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103B2C"/>
            <w:tcBorders>
              <w:top w:val="single" w:sz="12" w:color="1E6B52"/>
              <w:left w:val="single" w:sz="12" w:color="1E6B52"/>
              <w:bottom w:val="single" w:sz="12" w:color="1E6B52"/>
              <w:right w:val="single" w:sz="12" w:color="1E6B52"/>
            </w:tcBorders>
          </w:tcPr>
          <w:p>
            <w:pPr>
              <w:spacing w:after="20"/>
              <w:jc w:val="center"/>
            </w:pPr>
            <w:r/>
            <w:r>
              <w:rPr>
                <w:rFonts w:ascii="Arial" w:hAnsi="Arial"/>
                <w:b/>
                <w:color w:val="F6F2E8"/>
                <w:sz w:val="17"/>
              </w:rPr>
              <w:t>RESPONSE TO REVIEWERS</w:t>
            </w:r>
          </w:p>
        </w:tc>
      </w:tr>
    </w:tbl>
    <w:p>
      <w:pPr>
        <w:spacing w:before="100" w:after="40"/>
        <w:jc w:val="center"/>
      </w:pPr>
      <w:r>
        <w:rPr>
          <w:rFonts w:ascii="Aptos" w:hAnsi="Aptos"/>
          <w:b/>
          <w:color w:val="103B2C"/>
          <w:sz w:val="36"/>
        </w:rPr>
        <w:t>African Journal of Climate Science and Vulnerability Assessment</w:t>
      </w:r>
    </w:p>
    <w:p>
      <w:pPr>
        <w:spacing w:after="60"/>
        <w:jc w:val="center"/>
      </w:pPr>
      <w:r>
        <w:rPr>
          <w:rFonts w:ascii="Aptos" w:hAnsi="Aptos"/>
          <w:b/>
          <w:color w:val="1F2A24"/>
          <w:sz w:val="26"/>
        </w:rPr>
        <w:t>Flood-Resilient Road Design Standards for the Sudd Wetland Region of South Sudan</w:t>
      </w:r>
    </w:p>
    <w:p>
      <w:pPr>
        <w:spacing w:after="160"/>
        <w:jc w:val="center"/>
      </w:pPr>
      <w:r>
        <w:rPr>
          <w:rFonts w:ascii="Arial" w:hAnsi="Arial"/>
          <w:color w:val="1D6A4F"/>
          <w:sz w:val="18"/>
        </w:rPr>
        <w:t>Author-facing revision letter prepared from the review package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Manuscript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Flood-Resilient Road Design Standards for the Sudd Wetland Region of South Sudan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Authors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Aduot Madit Anhiem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Journal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African Journal of Climate Science and Vulnerability Assessment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Date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24 Mar 2026</w:t>
            </w:r>
          </w:p>
        </w:tc>
      </w:tr>
    </w:tbl>
    <w:p/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Revision Summary</w:t>
      </w:r>
    </w:p>
    <w:p>
      <w:pPr>
        <w:spacing w:line="240" w:lineRule="auto" w:after="100"/>
      </w:pPr>
      <w:r>
        <w:rPr>
          <w:rFonts w:ascii="Times New Roman" w:hAnsi="Times New Roman"/>
          <w:i w:val="0"/>
          <w:color w:val="1F2A24"/>
          <w:sz w:val="21"/>
        </w:rPr>
        <w:t>This document consolidates the responses expected for each reviewer concern before final publication.</w:t>
      </w:r>
    </w:p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Reviewer 1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Provide comprehensive methodological details for all analytical components, including data sources, processing steps, model parameters, and validation procedures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Include sensitivity analysis for the benefit-cost calculations and compare results with similar infrastructure projects in comparable environments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Expand the discussion section to address implementation challenges, maintenance requirements, and adaptation strategies for local constraints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Clarify the study's limitations regarding data quality, model assumptions, and generalisability to other wetland regions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Reviewer 2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Conduct and report field validation of proposed standards through pilot implementation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Provide complete methodological details for benefit-cost analysis with sensitivity testing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Extend hydrological analysis with longer-term data and ground verification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Address construction and maintenance practicalities in conflict-affected environment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Reviewer 3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Provide a detailed methodology section including remote-sensing data sources, processing steps, and validation metrics for the flood frequency analysis.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Justify the 25% climate change surcharge with regional climate model projections or peer-reviewed literature, or replace it with a sensitivity analysis.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Expand the discussion to address practical implementation challenges: local material sourcing, construction techniques, maintenance regimes, and training needs.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p>
      <w:pPr>
        <w:spacing w:after="40"/>
      </w:pPr>
      <w:r>
        <w:rPr>
          <w:rFonts w:ascii="Arial" w:hAnsi="Arial"/>
          <w:b/>
          <w:color w:val="103B2C"/>
          <w:sz w:val="19"/>
        </w:rPr>
        <w:t xml:space="preserve">Comment: </w:t>
      </w:r>
      <w:r>
        <w:rPr>
          <w:rFonts w:ascii="Times New Roman" w:hAnsi="Times New Roman"/>
          <w:color w:val="1F2A24"/>
          <w:sz w:val="20"/>
        </w:rPr>
        <w:t>Include a transparent breakdown of the benefit-cost analysis, specifying all cost inputs, benefit valuations, discount rates, and sensitivity tests.</w:t>
      </w:r>
    </w:p>
    <w:p>
      <w:pPr>
        <w:spacing w:after="100"/>
        <w:ind w:left="288"/>
      </w:pPr>
      <w:r>
        <w:rPr>
          <w:rFonts w:ascii="Arial" w:hAnsi="Arial"/>
          <w:b/>
          <w:color w:val="1D6A4F"/>
          <w:sz w:val="19"/>
        </w:rPr>
        <w:t xml:space="preserve">Response: </w:t>
      </w:r>
      <w:r>
        <w:rPr>
          <w:rFonts w:ascii="Times New Roman" w:hAnsi="Times New Roman"/>
          <w:color w:val="1F2A24"/>
          <w:sz w:val="20"/>
        </w:rPr>
        <w:t>Addressed in the revised manuscript.</w:t>
      </w:r>
    </w:p>
    <w:sectPr w:rsidR="00FC693F" w:rsidRPr="0006063C" w:rsidSect="00034616"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color w:val="1F2A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