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10080"/>
      </w:tblGrid>
      <w:tr>
        <w:tc>
          <w:tcPr>
            <w:tcW w:type="dxa" w:w="10080"/>
            <w:shd w:fill="103B2C"/>
            <w:tcBorders>
              <w:top w:val="single" w:sz="12" w:color="1E6B52"/>
              <w:left w:val="single" w:sz="12" w:color="1E6B52"/>
              <w:bottom w:val="single" w:sz="12" w:color="1E6B52"/>
              <w:right w:val="single" w:sz="12" w:color="1E6B52"/>
            </w:tcBorders>
          </w:tcPr>
          <w:p>
            <w:pPr>
              <w:spacing w:after="20"/>
              <w:jc w:val="center"/>
            </w:pPr>
            <w:r/>
            <w:r>
              <w:rPr>
                <w:rFonts w:ascii="Arial" w:hAnsi="Arial"/>
                <w:b/>
                <w:color w:val="F6F2E8"/>
                <w:sz w:val="17"/>
              </w:rPr>
              <w:t>EDITORIAL DECISION REPORT</w:t>
            </w:r>
          </w:p>
        </w:tc>
      </w:tr>
    </w:tbl>
    <w:p>
      <w:pPr>
        <w:spacing w:before="100" w:after="40"/>
        <w:jc w:val="center"/>
      </w:pPr>
      <w:r>
        <w:rPr>
          <w:rFonts w:ascii="Aptos" w:hAnsi="Aptos"/>
          <w:b/>
          <w:color w:val="103B2C"/>
          <w:sz w:val="36"/>
        </w:rPr>
        <w:t>African Journal of Climate Science and Vulnerability Assessment</w:t>
      </w:r>
    </w:p>
    <w:p>
      <w:pPr>
        <w:spacing w:after="60"/>
        <w:jc w:val="center"/>
      </w:pPr>
      <w:r>
        <w:rPr>
          <w:rFonts w:ascii="Aptos" w:hAnsi="Aptos"/>
          <w:b/>
          <w:color w:val="1F2A24"/>
          <w:sz w:val="26"/>
        </w:rPr>
        <w:t>Flood-Resilient Road Design Standards for the Sudd Wetland Region of South Sudan</w:t>
      </w:r>
    </w:p>
    <w:p>
      <w:pPr>
        <w:spacing w:after="160"/>
        <w:jc w:val="center"/>
      </w:pPr>
      <w:r>
        <w:rPr>
          <w:rFonts w:ascii="Arial" w:hAnsi="Arial"/>
          <w:color w:val="1D6A4F"/>
          <w:sz w:val="18"/>
        </w:rPr>
        <w:t>Editor-facing summary of reviewer feedback and final decision</w:t>
      </w:r>
    </w:p>
    <w:tbl>
      <w:tblPr>
        <w:tblW w:type="auto" w:w="0"/>
        <w:tblLayout w:type="autofit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  <w:shd w:fill="F7FAF8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Arial" w:hAnsi="Arial"/>
                <w:b/>
                <w:color w:val="103B2C"/>
                <w:sz w:val="17"/>
              </w:rPr>
              <w:t>Decision</w:t>
            </w:r>
          </w:p>
        </w:tc>
        <w:tc>
          <w:tcPr>
            <w:tcW w:type="dxa" w:w="504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9"/>
              </w:rPr>
              <w:t>Reject</w:t>
            </w:r>
          </w:p>
        </w:tc>
      </w:tr>
      <w:tr>
        <w:tc>
          <w:tcPr>
            <w:tcW w:type="dxa" w:w="5040"/>
            <w:shd w:fill="F7FAF8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Arial" w:hAnsi="Arial"/>
                <w:b/>
                <w:color w:val="103B2C"/>
                <w:sz w:val="17"/>
              </w:rPr>
              <w:t>Authors</w:t>
            </w:r>
          </w:p>
        </w:tc>
        <w:tc>
          <w:tcPr>
            <w:tcW w:type="dxa" w:w="504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9"/>
              </w:rPr>
              <w:t>Aduot Madit Anhiem</w:t>
            </w:r>
          </w:p>
        </w:tc>
      </w:tr>
      <w:tr>
        <w:tc>
          <w:tcPr>
            <w:tcW w:type="dxa" w:w="5040"/>
            <w:shd w:fill="F7FAF8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Arial" w:hAnsi="Arial"/>
                <w:b/>
                <w:color w:val="103B2C"/>
                <w:sz w:val="17"/>
              </w:rPr>
              <w:t>Journal</w:t>
            </w:r>
          </w:p>
        </w:tc>
        <w:tc>
          <w:tcPr>
            <w:tcW w:type="dxa" w:w="504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9"/>
              </w:rPr>
              <w:t>African Journal of Climate Science and Vulnerability Assessment</w:t>
            </w:r>
          </w:p>
        </w:tc>
      </w:tr>
      <w:tr>
        <w:tc>
          <w:tcPr>
            <w:tcW w:type="dxa" w:w="5040"/>
            <w:shd w:fill="F7FAF8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Arial" w:hAnsi="Arial"/>
                <w:b/>
                <w:color w:val="103B2C"/>
                <w:sz w:val="17"/>
              </w:rPr>
              <w:t>Date</w:t>
            </w:r>
          </w:p>
        </w:tc>
        <w:tc>
          <w:tcPr>
            <w:tcW w:type="dxa" w:w="504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9"/>
              </w:rPr>
              <w:t>24 Mar 2026</w:t>
            </w:r>
          </w:p>
        </w:tc>
      </w:tr>
    </w:tbl>
    <w:p/>
    <w:p>
      <w:pPr>
        <w:spacing w:before="160" w:after="40"/>
      </w:pPr>
      <w:r>
        <w:rPr>
          <w:rFonts w:ascii="Aptos" w:hAnsi="Aptos"/>
          <w:b/>
          <w:color w:val="103B2C"/>
          <w:sz w:val="23"/>
        </w:rPr>
        <w:t>Reviewer Snapshot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  <w:shd w:fill="103B2C"/>
            <w:tcBorders>
              <w:top w:val="single" w:sz="10" w:color="1E6B52"/>
              <w:left w:val="single" w:sz="10" w:color="1E6B52"/>
              <w:bottom w:val="single" w:sz="10" w:color="1E6B52"/>
              <w:right w:val="single" w:sz="10" w:color="1E6B52"/>
            </w:tcBorders>
          </w:tcPr>
          <w:p>
            <w:r/>
            <w:r>
              <w:rPr>
                <w:rFonts w:ascii="Arial" w:hAnsi="Arial"/>
                <w:b/>
                <w:color w:val="F6F2E8"/>
                <w:sz w:val="17"/>
              </w:rPr>
              <w:t>Reviewer</w:t>
            </w:r>
          </w:p>
        </w:tc>
        <w:tc>
          <w:tcPr>
            <w:tcW w:type="dxa" w:w="2520"/>
            <w:shd w:fill="103B2C"/>
            <w:tcBorders>
              <w:top w:val="single" w:sz="10" w:color="1E6B52"/>
              <w:left w:val="single" w:sz="10" w:color="1E6B52"/>
              <w:bottom w:val="single" w:sz="10" w:color="1E6B52"/>
              <w:right w:val="single" w:sz="10" w:color="1E6B52"/>
            </w:tcBorders>
          </w:tcPr>
          <w:p>
            <w:r/>
            <w:r>
              <w:rPr>
                <w:rFonts w:ascii="Arial" w:hAnsi="Arial"/>
                <w:b/>
                <w:color w:val="F6F2E8"/>
                <w:sz w:val="17"/>
              </w:rPr>
              <w:t>Recommendation</w:t>
            </w:r>
          </w:p>
        </w:tc>
        <w:tc>
          <w:tcPr>
            <w:tcW w:type="dxa" w:w="2520"/>
            <w:shd w:fill="103B2C"/>
            <w:tcBorders>
              <w:top w:val="single" w:sz="10" w:color="1E6B52"/>
              <w:left w:val="single" w:sz="10" w:color="1E6B52"/>
              <w:bottom w:val="single" w:sz="10" w:color="1E6B52"/>
              <w:right w:val="single" w:sz="10" w:color="1E6B52"/>
            </w:tcBorders>
          </w:tcPr>
          <w:p>
            <w:r/>
            <w:r>
              <w:rPr>
                <w:rFonts w:ascii="Arial" w:hAnsi="Arial"/>
                <w:b/>
                <w:color w:val="F6F2E8"/>
                <w:sz w:val="17"/>
              </w:rPr>
              <w:t>Major</w:t>
            </w:r>
          </w:p>
        </w:tc>
        <w:tc>
          <w:tcPr>
            <w:tcW w:type="dxa" w:w="2520"/>
            <w:shd w:fill="103B2C"/>
            <w:tcBorders>
              <w:top w:val="single" w:sz="10" w:color="1E6B52"/>
              <w:left w:val="single" w:sz="10" w:color="1E6B52"/>
              <w:bottom w:val="single" w:sz="10" w:color="1E6B52"/>
              <w:right w:val="single" w:sz="10" w:color="1E6B52"/>
            </w:tcBorders>
          </w:tcPr>
          <w:p>
            <w:r/>
            <w:r>
              <w:rPr>
                <w:rFonts w:ascii="Arial" w:hAnsi="Arial"/>
                <w:b/>
                <w:color w:val="F6F2E8"/>
                <w:sz w:val="17"/>
              </w:rPr>
              <w:t>Minor</w:t>
            </w:r>
          </w:p>
        </w:tc>
      </w:tr>
      <w:tr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Reviewer 1</w:t>
            </w:r>
          </w:p>
        </w:tc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Major Revision</w:t>
            </w:r>
          </w:p>
        </w:tc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3</w:t>
            </w:r>
          </w:p>
        </w:tc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3</w:t>
            </w:r>
          </w:p>
        </w:tc>
      </w:tr>
      <w:tr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Reviewer 2</w:t>
            </w:r>
          </w:p>
        </w:tc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Reject</w:t>
            </w:r>
          </w:p>
        </w:tc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3</w:t>
            </w:r>
          </w:p>
        </w:tc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3</w:t>
            </w:r>
          </w:p>
        </w:tc>
      </w:tr>
      <w:tr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Reviewer 3</w:t>
            </w:r>
          </w:p>
        </w:tc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Major Revision</w:t>
            </w:r>
          </w:p>
        </w:tc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3</w:t>
            </w:r>
          </w:p>
        </w:tc>
        <w:tc>
          <w:tcPr>
            <w:tcW w:type="dxa" w:w="2520"/>
            <w:shd w:fill="EEF6F1"/>
            <w:tcBorders>
              <w:top w:val="single" w:sz="8" w:color="8FAE9F"/>
              <w:left w:val="single" w:sz="8" w:color="8FAE9F"/>
              <w:bottom w:val="single" w:sz="8" w:color="8FAE9F"/>
              <w:right w:val="single" w:sz="8" w:color="8FAE9F"/>
            </w:tcBorders>
          </w:tcPr>
          <w:p>
            <w:r/>
            <w:r>
              <w:rPr>
                <w:rFonts w:ascii="Times New Roman" w:hAnsi="Times New Roman"/>
                <w:color w:val="1F2A24"/>
                <w:sz w:val="18"/>
              </w:rPr>
              <w:t>3</w:t>
            </w:r>
          </w:p>
        </w:tc>
      </w:tr>
    </w:tbl>
    <w:p/>
    <w:p>
      <w:pPr>
        <w:spacing w:before="160" w:after="40"/>
      </w:pPr>
      <w:r>
        <w:rPr>
          <w:rFonts w:ascii="Aptos" w:hAnsi="Aptos"/>
          <w:b/>
          <w:color w:val="103B2C"/>
          <w:sz w:val="23"/>
        </w:rPr>
        <w:t>Editorial Decision</w:t>
      </w:r>
    </w:p>
    <w:p>
      <w:pPr>
        <w:spacing w:line="240" w:lineRule="auto" w:after="100"/>
      </w:pPr>
      <w:r>
        <w:rPr>
          <w:rFonts w:ascii="Times New Roman" w:hAnsi="Times New Roman"/>
          <w:i w:val="0"/>
          <w:color w:val="1F2A24"/>
          <w:sz w:val="21"/>
        </w:rPr>
        <w:t>The current consolidated editorial decision is reject. Human editorial verification remains required before publication.</w:t>
      </w:r>
    </w:p>
    <w:p>
      <w:pPr>
        <w:spacing w:before="160" w:after="40"/>
      </w:pPr>
      <w:r>
        <w:rPr>
          <w:rFonts w:ascii="Aptos" w:hAnsi="Aptos"/>
          <w:b/>
          <w:color w:val="103B2C"/>
          <w:sz w:val="23"/>
        </w:rPr>
        <w:t>Required Changes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Provide comprehensive methodological details for all analytical components, including data sources, processing steps, model parameters, and validation procedures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Include sensitivity analysis for the benefit-cost calculations and compare results with similar infrastructure projects in comparable environments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Expand the discussion section to address implementation challenges, maintenance requirements, and adaptation strategies for local constraints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Clarify the study's limitations regarding data quality, model assumptions, and generalisability to other wetland regions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Insufficient methodological detail on the hydrological modelling approach, particularly regarding data sources, validation procedures, and uncertainty quantification for the Log-Pearson Type III distribution application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No validation or sensitivity analysis for the benefit-cost calculations, with the reported NPV of USD 4.7 million per kilometre appearing exceptionally high without supporting evidence or comparison to regional benchmarks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Inadequate consideration of practical implementation challenges in South Sudan's context, including construction material availability, local technical capacity, maintenance requirements, and security constraints affecting infrastructure projects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Conduct and report field validation of proposed standards through pilot implementation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Provide complete methodological details for benefit-cost analysis with sensitivity testing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Extend hydrological analysis with longer-term data and ground verification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Address construction and maintenance practicalities in conflict-affected environment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Inadequate validation of proposed standards through field trials or case studies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Questionable benefit-cost analysis methodology with unrealistic NPV figures (USD 4.7 million per km) unsupported by transparent calculations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Over-reliance on remote sensing data (2010-2023) for flood frequency analysis without ground-truthing or consideration of longer-term climate variability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Provide a detailed methodology section including remote-sensing data sources, processing steps, and validation metrics for the flood frequency analysis.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Justify the 25% climate change surcharge with regional climate model projections or peer-reviewed literature, or replace it with a sensitivity analysis.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Expand the discussion to address practical implementation challenges: local material sourcing, construction techniques, maintenance regimes, and training needs.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Include a transparent breakdown of the benefit-cost analysis, specifying all cost inputs, benefit valuations, discount rates, and sensitivity tests.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Insufficient methodological detail: The paper omits critical information about the remote-sensing data sources, processing methods, and validation procedures for flood frequency analysis, making reproducibility impossible.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Unsubstantiated climate change surcharge: The 25% climate change surcharge on peak discharge lacks justification through regional climate projections or sensitivity analysis, appearing arbitrary.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Inadequate consideration of implementation feasibility: The proposed standards (e.g., lime stabilisation, geotextiles) do not address local material availability, construction capacity, maintenance requirements, or cost implications beyond the high-level NPV.</w:t>
      </w:r>
    </w:p>
    <w:p>
      <w:pPr>
        <w:spacing w:before="160" w:after="40"/>
      </w:pPr>
      <w:r>
        <w:rPr>
          <w:rFonts w:ascii="Aptos" w:hAnsi="Aptos"/>
          <w:b/>
          <w:color w:val="103B2C"/>
          <w:sz w:val="23"/>
        </w:rPr>
        <w:t>Ethics and Transparency Checklist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Conflicts of interest: Not stated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Funding disclosure: Not stated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Data availability: Not stated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Ethics approval (if applicable): Not stated</w:t>
      </w:r>
    </w:p>
    <w:p>
      <w:pPr>
        <w:pStyle w:val="ListBullet"/>
      </w:pPr>
      <w:r>
        <w:rPr>
          <w:rFonts w:ascii="Times New Roman" w:hAnsi="Times New Roman"/>
          <w:color w:val="1F2A24"/>
          <w:sz w:val="20"/>
        </w:rPr>
        <w:t>Review method: Automated reviewer simulation requiring human verification before publication.</w:t>
      </w:r>
    </w:p>
    <w:sectPr w:rsidR="00FC693F" w:rsidRPr="0006063C" w:rsidSect="00034616">
      <w:pgSz w:w="12240" w:h="15840"/>
      <w:pgMar w:top="936" w:right="1080" w:bottom="936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Times New Roman" w:hAnsi="Times New Roman"/>
      <w:color w:val="1F2A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