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872" w:rsidRDefault="00F30872">
      <w:pPr>
        <w:spacing w:after="200"/>
      </w:pPr>
    </w:p>
    <w:p w:rsidR="00F30872" w:rsidRDefault="00217FF6">
      <w:pPr>
        <w:spacing w:after="60"/>
        <w:jc w:val="center"/>
      </w:pPr>
      <w:r>
        <w:rPr>
          <w:b/>
          <w:bCs/>
          <w:color w:val="1F4E79"/>
          <w:sz w:val="48"/>
          <w:szCs w:val="48"/>
        </w:rPr>
        <w:t>TRUE-10 Cube Based Governance Reactor</w:t>
      </w:r>
    </w:p>
    <w:p w:rsidR="00F30872" w:rsidRDefault="00217FF6">
      <w:pPr>
        <w:spacing w:after="60"/>
        <w:jc w:val="center"/>
      </w:pPr>
      <w:r>
        <w:rPr>
          <w:i/>
          <w:iCs/>
          <w:color w:val="404040"/>
          <w:sz w:val="26"/>
          <w:szCs w:val="26"/>
        </w:rPr>
        <w:t>A Deterministic Hypercube Framework for Regulator-Grade Document Governance</w:t>
      </w:r>
    </w:p>
    <w:p w:rsidR="00F30872" w:rsidRDefault="00217FF6">
      <w:pPr>
        <w:spacing w:after="40"/>
        <w:jc w:val="center"/>
      </w:pPr>
      <w:r>
        <w:rPr>
          <w:b/>
          <w:bCs/>
          <w:color w:val="854F0B"/>
        </w:rPr>
        <w:t>Conceptual Overview — Version 2.0 (Controlled Release)</w:t>
      </w:r>
    </w:p>
    <w:p w:rsidR="00F30872" w:rsidRDefault="00217FF6">
      <w:pPr>
        <w:pBdr>
          <w:bottom w:val="single" w:sz="8" w:space="2" w:color="1F4E79"/>
        </w:pBdr>
        <w:spacing w:before="40" w:after="160"/>
        <w:jc w:val="center"/>
      </w:pPr>
      <w:r>
        <w:rPr>
          <w:color w:val="555555"/>
          <w:sz w:val="20"/>
          <w:szCs w:val="20"/>
        </w:rPr>
        <w:t>Dr. Muhammad Usman Zafar, PhD  |  March 2026  |  zulfr.com  |  info@zulfr.com</w:t>
      </w:r>
    </w:p>
    <w:p w:rsidR="00F30872" w:rsidRDefault="00217FF6">
      <w:pPr>
        <w:pBdr>
          <w:top w:val="single" w:sz="4" w:space="0" w:color="854F0B"/>
          <w:left w:val="single" w:sz="4" w:space="0" w:color="854F0B"/>
          <w:bottom w:val="single" w:sz="4" w:space="0" w:color="854F0B"/>
          <w:right w:val="single" w:sz="4" w:space="0" w:color="854F0B"/>
        </w:pBdr>
        <w:shd w:val="clear" w:color="auto" w:fill="FAEEDA"/>
        <w:spacing w:before="60" w:after="60"/>
      </w:pPr>
      <w:r>
        <w:rPr>
          <w:color w:val="633806"/>
          <w:sz w:val="20"/>
          <w:szCs w:val="20"/>
        </w:rPr>
        <w:t>CONTROLLED RELEASE NOTICE: This document presents the conceptual architecture and governance philosophy of the TRUE-10 framework. Exact mathematical formulations, internal weighting parameters, calibration rubrics, and reference implementation code are pro</w:t>
      </w:r>
      <w:r>
        <w:rPr>
          <w:color w:val="633806"/>
          <w:sz w:val="20"/>
          <w:szCs w:val="20"/>
        </w:rPr>
        <w:t>prietary and available under license. Contact info@zulfr.com for research access or licensing inquiries. Prior art established: March 13, 2026 (Zenodo DOI: 10.5281/zenodo.19075200).</w:t>
      </w:r>
    </w:p>
    <w:p w:rsidR="00F30872" w:rsidRDefault="00F30872">
      <w:pPr>
        <w:spacing w:after="60"/>
      </w:pPr>
    </w:p>
    <w:p w:rsidR="00F30872" w:rsidRDefault="00217FF6">
      <w:pPr>
        <w:pStyle w:val="Heading1"/>
      </w:pPr>
      <w:r>
        <w:t>Abstract</w:t>
      </w:r>
    </w:p>
    <w:p w:rsidR="00F30872" w:rsidRDefault="00217FF6">
      <w:pPr>
        <w:spacing w:before="60" w:after="60" w:line="276" w:lineRule="auto"/>
        <w:jc w:val="both"/>
      </w:pPr>
      <w:r>
        <w:t>Large language models (LLMs) can generate fluent text but lack d</w:t>
      </w:r>
      <w:r>
        <w:t>eterministic governance, causal traceability, and regulator-grade auditability. This paper introduces the TRUE-10 Governance Reactor — a deterministic, hypercube-based framework for evaluating the governance integrity of any written artifact, including doc</w:t>
      </w:r>
      <w:r>
        <w:t>uments, reports, policies, and narratives. TRUE-10 decomposes governance into a four-dimensional hypercube over Dimensions, Checks, Evidence Classes, and Versions, augmented by a Multi-Vector Information Flow (MVIF) field, a Weighted Risk Redistribution Te</w:t>
      </w:r>
      <w:r>
        <w:t>nsor (WRRT), Epistemic Entropy (EE), a Multi-Mode Drift Model (MMDM), a Criticality Gradient Function (CGF), a Structural Integrity Score (SIS), and a Causal Telemetry Graph (CTG). The framework yields two key outputs: a binary Compliance flag and a contin</w:t>
      </w:r>
      <w:r>
        <w:t>uous Governance Quality score on a 0–100 scale, with sector-specific weightings. All scoring is deterministic, version-controlled, and fully auditable. This document presents the conceptual architecture. Full mathematical specifications are available under</w:t>
      </w:r>
      <w:r>
        <w:t xml:space="preserve"> license.</w:t>
      </w:r>
    </w:p>
    <w:p w:rsidR="00F30872" w:rsidRDefault="00F30872">
      <w:pPr>
        <w:spacing w:after="80"/>
      </w:pPr>
    </w:p>
    <w:p w:rsidR="00F30872" w:rsidRDefault="00217FF6">
      <w:pPr>
        <w:pStyle w:val="Heading1"/>
      </w:pPr>
      <w:r>
        <w:t>1. Introduction</w:t>
      </w:r>
    </w:p>
    <w:p w:rsidR="00F30872" w:rsidRDefault="00217FF6">
      <w:pPr>
        <w:spacing w:before="60" w:after="60" w:line="276" w:lineRule="auto"/>
        <w:jc w:val="both"/>
      </w:pPr>
      <w:r>
        <w:t>Modern organisations increasingly rely on complex documents — policies, risk reports, model cards, regulatory submissions, and public communications — to demonstrate compliance, transparency, and governance integrity. At the same</w:t>
      </w:r>
      <w:r>
        <w:t xml:space="preserve"> time, large language models have made it trivial to generate text at scale, but they do not natively provide deterministic scoring, explicit evidence requirements, causal traceability from claims to controls, temporal integrity and drift monitoring, or se</w:t>
      </w:r>
      <w:r>
        <w:t>ctor-specific governance expectations.</w:t>
      </w:r>
    </w:p>
    <w:p w:rsidR="00F30872" w:rsidRDefault="00F30872">
      <w:pPr>
        <w:spacing w:after="60"/>
      </w:pPr>
    </w:p>
    <w:p w:rsidR="00F30872" w:rsidRDefault="00217FF6">
      <w:pPr>
        <w:spacing w:before="60" w:after="60" w:line="276" w:lineRule="auto"/>
        <w:jc w:val="both"/>
      </w:pPr>
      <w:r>
        <w:t xml:space="preserve">Regulators and auditors require more than fluent language: they require structured, reproducible, and explainable governance. Existing frameworks such as the NIST AI Risk </w:t>
      </w:r>
      <w:r>
        <w:lastRenderedPageBreak/>
        <w:t xml:space="preserve">Management Framework, ISO/IEC 42001, and ISO </w:t>
      </w:r>
      <w:r>
        <w:t>31000 provide high-level principles but do not specify a deterministic, cell-level scoring engine for written content.</w:t>
      </w:r>
    </w:p>
    <w:p w:rsidR="00F30872" w:rsidRDefault="00F30872">
      <w:pPr>
        <w:spacing w:after="60"/>
      </w:pPr>
    </w:p>
    <w:p w:rsidR="00F30872" w:rsidRDefault="00217FF6">
      <w:pPr>
        <w:spacing w:before="60" w:after="60" w:line="276" w:lineRule="auto"/>
        <w:jc w:val="both"/>
      </w:pPr>
      <w:r>
        <w:t>TRUE-10 addresses this gap. It is not another language model — it is a governance environment into which any text can be placed and eval</w:t>
      </w:r>
      <w:r>
        <w:t>uated. Built with 2044 in mind, TRUE-10 is designed not just for today's AI systems but for the governance challenges of AI systems that do not yet exist.</w:t>
      </w:r>
    </w:p>
    <w:p w:rsidR="00F30872" w:rsidRDefault="00F30872">
      <w:pPr>
        <w:spacing w:after="80"/>
      </w:pPr>
    </w:p>
    <w:p w:rsidR="00F30872" w:rsidRDefault="00217FF6">
      <w:pPr>
        <w:pStyle w:val="Heading1"/>
      </w:pPr>
      <w:r>
        <w:t>2. TRUE-10 Governance Hypercube</w:t>
      </w:r>
    </w:p>
    <w:p w:rsidR="00F30872" w:rsidRDefault="00217FF6">
      <w:pPr>
        <w:pStyle w:val="Heading2"/>
      </w:pPr>
      <w:r>
        <w:t>2.1 Hypercube Definition</w:t>
      </w:r>
    </w:p>
    <w:p w:rsidR="00F30872" w:rsidRDefault="00217FF6">
      <w:pPr>
        <w:spacing w:before="60" w:after="60" w:line="276" w:lineRule="auto"/>
        <w:jc w:val="both"/>
      </w:pPr>
      <w:r>
        <w:t>The core structure of TRUE-10 is an Expandable Governance Hypercube (EGH) defined over four axes: Dimensions (D), Checks (C), Evidence Classes (E), and Versions (V). Each element of the hypercube is a cell representing a specific governance slice of a docu</w:t>
      </w:r>
      <w:r>
        <w:t>ment at a given version. The hypercube is expandable — new dimensions, checks, or evidence classes can be added without breaking the deterministic structure.</w:t>
      </w:r>
    </w:p>
    <w:p w:rsidR="00F30872" w:rsidRDefault="00F30872">
      <w:pPr>
        <w:spacing w:after="60"/>
      </w:pPr>
    </w:p>
    <w:tbl>
      <w:tblPr>
        <w:tblW w:w="936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1800"/>
        <w:gridCol w:w="1800"/>
        <w:gridCol w:w="1800"/>
        <w:gridCol w:w="3960"/>
      </w:tblGrid>
      <w:tr w:rsidR="00F30872">
        <w:tblPrEx>
          <w:tblCellMar>
            <w:top w:w="0" w:type="dxa"/>
            <w:bottom w:w="0" w:type="dxa"/>
          </w:tblCellMar>
        </w:tblPrEx>
        <w:trPr>
          <w:tblHeader/>
        </w:trPr>
        <w:tc>
          <w:tcPr>
            <w:tcW w:w="180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Symbol</w:t>
            </w:r>
          </w:p>
        </w:tc>
        <w:tc>
          <w:tcPr>
            <w:tcW w:w="180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Name</w:t>
            </w:r>
          </w:p>
        </w:tc>
        <w:tc>
          <w:tcPr>
            <w:tcW w:w="180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Cardinality</w:t>
            </w:r>
          </w:p>
        </w:tc>
        <w:tc>
          <w:tcPr>
            <w:tcW w:w="396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Description</w:t>
            </w:r>
          </w:p>
        </w:tc>
      </w:tr>
      <w:tr w:rsidR="00F30872">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D</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Dimensions</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|D| = 5</w:t>
            </w:r>
          </w:p>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Truthfulness, Clarity, Manipulation, Timeliness, Effectiveness</w:t>
            </w:r>
          </w:p>
        </w:tc>
      </w:tr>
      <w:tr w:rsidR="00F30872">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C</w:t>
            </w:r>
          </w:p>
        </w:tc>
        <w:tc>
          <w:tcPr>
            <w:tcW w:w="18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Checks</w:t>
            </w:r>
          </w:p>
        </w:tc>
        <w:tc>
          <w:tcPr>
            <w:tcW w:w="18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|C| = 5</w:t>
            </w:r>
          </w:p>
        </w:tc>
        <w:tc>
          <w:tcPr>
            <w:tcW w:w="396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Commitment, Mechanism, Measurement, Oversight, Failure Handling</w:t>
            </w:r>
          </w:p>
        </w:tc>
      </w:tr>
      <w:tr w:rsidR="00F30872">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Evidence Classes</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|E| = 4</w:t>
            </w:r>
          </w:p>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Procedural, Operational, Quantitative, Oversight</w:t>
            </w:r>
          </w:p>
        </w:tc>
      </w:tr>
      <w:tr w:rsidR="00F30872">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V</w:t>
            </w:r>
          </w:p>
        </w:tc>
        <w:tc>
          <w:tcPr>
            <w:tcW w:w="18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Versions</w:t>
            </w:r>
          </w:p>
        </w:tc>
        <w:tc>
          <w:tcPr>
            <w:tcW w:w="18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|V| = N</w:t>
            </w:r>
          </w:p>
        </w:tc>
        <w:tc>
          <w:tcPr>
            <w:tcW w:w="396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Document and model versions with temporal tracking</w:t>
            </w:r>
          </w:p>
        </w:tc>
      </w:tr>
    </w:tbl>
    <w:p w:rsidR="00F30872" w:rsidRDefault="00217FF6">
      <w:pPr>
        <w:spacing w:before="60" w:after="120"/>
        <w:jc w:val="center"/>
      </w:pPr>
      <w:r>
        <w:rPr>
          <w:i/>
          <w:iCs/>
          <w:color w:val="666666"/>
          <w:sz w:val="18"/>
          <w:szCs w:val="18"/>
        </w:rPr>
        <w:t>Table 1. TRUE-10 Governance Hypercube axes and cardinalities.</w:t>
      </w:r>
    </w:p>
    <w:p w:rsidR="00F30872" w:rsidRDefault="00F30872">
      <w:pPr>
        <w:spacing w:after="60"/>
      </w:pPr>
    </w:p>
    <w:p w:rsidR="00F30872" w:rsidRDefault="00217FF6">
      <w:pPr>
        <w:pStyle w:val="Heading2"/>
      </w:pPr>
      <w:r>
        <w:t>2.2 Cell Scoring</w:t>
      </w:r>
    </w:p>
    <w:p w:rsidR="00F30872" w:rsidRDefault="00217FF6">
      <w:pPr>
        <w:spacing w:before="60" w:after="60" w:line="276" w:lineRule="auto"/>
        <w:jc w:val="both"/>
      </w:pPr>
      <w:r>
        <w:t>Each cell in the hypercube is scored on the interval [0, 1] according to a fixed rubric applied consistently across all evaluations. The rubric and model version used for scoring are recorded in V, ensuring that identical inputs under the same version yiel</w:t>
      </w:r>
      <w:r>
        <w:t>d identical scores. This determinism is the foundation of TRUE-10's regulator-grade auditability.</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Cell scoring rubric and exact thresholds — Full specification available under license — Available under license. Contact: info@zulfr.com ]</w:t>
      </w:r>
    </w:p>
    <w:p w:rsidR="00F30872" w:rsidRDefault="00F30872">
      <w:pPr>
        <w:spacing w:after="60"/>
      </w:pPr>
    </w:p>
    <w:p w:rsidR="00F30872" w:rsidRDefault="00217FF6">
      <w:pPr>
        <w:pStyle w:val="Heading2"/>
      </w:pPr>
      <w:r>
        <w:t>2.3 2044-Proof Design</w:t>
      </w:r>
    </w:p>
    <w:p w:rsidR="00F30872" w:rsidRDefault="00217FF6">
      <w:pPr>
        <w:spacing w:before="60" w:after="60" w:line="276" w:lineRule="auto"/>
        <w:jc w:val="both"/>
      </w:pPr>
      <w:r>
        <w:t xml:space="preserve">With |D|=5, |C|=5, |E|=4, and V versions, the hypercube exposes 100×V unique governance cells. For realistic version histories (V ≥ 21), this yields 2,044+ unique governance evaluation </w:t>
      </w:r>
      <w:r>
        <w:lastRenderedPageBreak/>
        <w:t>cells — giving the framework its 2044-proof desig</w:t>
      </w:r>
      <w:r>
        <w:t>nation. TRUE-10 is structurally extensible for decades of regulatory evolution without breaking backward compatibility.</w:t>
      </w:r>
    </w:p>
    <w:p w:rsidR="00F30872" w:rsidRDefault="00F30872">
      <w:pPr>
        <w:spacing w:after="80"/>
      </w:pPr>
    </w:p>
    <w:p w:rsidR="00F30872" w:rsidRDefault="00217FF6">
      <w:pPr>
        <w:pStyle w:val="Heading1"/>
      </w:pPr>
      <w:r>
        <w:t>3. Multi-Vector Information Flow (MVIF)</w:t>
      </w:r>
    </w:p>
    <w:p w:rsidR="00F30872" w:rsidRDefault="00217FF6">
      <w:pPr>
        <w:spacing w:before="60" w:after="60" w:line="276" w:lineRule="auto"/>
        <w:jc w:val="both"/>
      </w:pPr>
      <w:r>
        <w:t>Documents are not static collections of sentences — they encode flows of claims, evidence, oversight, and temporal signals. TRUE-10 models this via a Multi-Vector Information Flow (MVIF) field that captures how information moves through a document across f</w:t>
      </w:r>
      <w:r>
        <w:t>our channels: claim density and clarity, evidence adequacy and linkage, oversight structures and responsibilities, and temporal freshness and update cadence.</w:t>
      </w:r>
    </w:p>
    <w:p w:rsidR="00F30872" w:rsidRDefault="00F30872">
      <w:pPr>
        <w:spacing w:after="60"/>
      </w:pPr>
    </w:p>
    <w:p w:rsidR="00F30872" w:rsidRDefault="00217FF6">
      <w:pPr>
        <w:spacing w:before="60" w:after="60" w:line="276" w:lineRule="auto"/>
        <w:jc w:val="both"/>
      </w:pPr>
      <w:r>
        <w:t>The MVIF produces a scalar flow efficiency measure that quantifies governance flow quality. Highe</w:t>
      </w:r>
      <w:r>
        <w:t>r flow efficiency indicates well-supported claims, connected oversight, and maintained temporal aspects with fewer contradictions and missing links.</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xml:space="preserve">[ MVIF flow vector formula and flow efficiency calculation — Full specification available under license — </w:t>
      </w:r>
      <w:r>
        <w:rPr>
          <w:i/>
          <w:iCs/>
          <w:color w:val="854F0B"/>
          <w:sz w:val="20"/>
          <w:szCs w:val="20"/>
        </w:rPr>
        <w:t>Available under license. Contact: info@zulfr.com ]</w:t>
      </w:r>
    </w:p>
    <w:p w:rsidR="00F30872" w:rsidRDefault="00F30872">
      <w:pPr>
        <w:spacing w:after="80"/>
      </w:pPr>
    </w:p>
    <w:p w:rsidR="00F30872" w:rsidRDefault="00217FF6">
      <w:pPr>
        <w:pStyle w:val="Heading1"/>
      </w:pPr>
      <w:r>
        <w:t>4. Weighted Risk Redistribution Tensor (WRRT)</w:t>
      </w:r>
    </w:p>
    <w:p w:rsidR="00F30872" w:rsidRDefault="00217FF6">
      <w:pPr>
        <w:spacing w:before="60" w:after="60" w:line="276" w:lineRule="auto"/>
        <w:jc w:val="both"/>
      </w:pPr>
      <w:r>
        <w:t>When evidence is missing or weak, risk does not disappear — it redistributes across dimensions and checks. TRUE-10 formalizes this via a Weighted Risk Redistr</w:t>
      </w:r>
      <w:r>
        <w:t>ibution Tensor (WRRT). This mechanism ensures that missing or weak evidence increases risk in the most relevant governance dimensions and checks, rather than being silently ignored or absorbed into an undifferentiated penalty.</w:t>
      </w:r>
    </w:p>
    <w:p w:rsidR="00F30872" w:rsidRDefault="00F30872">
      <w:pPr>
        <w:spacing w:after="60"/>
      </w:pPr>
    </w:p>
    <w:p w:rsidR="00F30872" w:rsidRDefault="00217FF6">
      <w:pPr>
        <w:spacing w:before="60" w:after="60" w:line="276" w:lineRule="auto"/>
        <w:jc w:val="both"/>
      </w:pPr>
      <w:r>
        <w:t>The WRRT is one of TRUE-10's</w:t>
      </w:r>
      <w:r>
        <w:t xml:space="preserve"> most distinctive architectural features. It transforms governance evaluation from a simple scoring exercise into a causal risk accounting system — one where the consequences of evidentiary gaps are explicitly traced and quantified.</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WRRT tensor definiti</w:t>
      </w:r>
      <w:r>
        <w:rPr>
          <w:i/>
          <w:iCs/>
          <w:color w:val="854F0B"/>
          <w:sz w:val="20"/>
          <w:szCs w:val="20"/>
        </w:rPr>
        <w:t>on, risk update rule, and weight parameters — Full specification available under license — Available under license. Contact: info@zulfr.com ]</w:t>
      </w:r>
    </w:p>
    <w:p w:rsidR="00F30872" w:rsidRDefault="00F30872">
      <w:pPr>
        <w:spacing w:after="80"/>
      </w:pPr>
    </w:p>
    <w:p w:rsidR="00F30872" w:rsidRDefault="00217FF6">
      <w:pPr>
        <w:pStyle w:val="Heading1"/>
      </w:pPr>
      <w:r>
        <w:t>5. Epistemic Entropy (EE)</w:t>
      </w:r>
    </w:p>
    <w:p w:rsidR="00F30872" w:rsidRDefault="00217FF6">
      <w:pPr>
        <w:spacing w:before="60" w:after="60" w:line="276" w:lineRule="auto"/>
        <w:jc w:val="both"/>
      </w:pPr>
      <w:r>
        <w:t>Governance integrity decays over time if documents are not updated. TRUE-10 captures th</w:t>
      </w:r>
      <w:r>
        <w:t>is via an Epistemic Entropy function. The entropy measure starts higher when a document has more missing evidence, more contradictions, or higher disagreement between evaluation signals. As time passes without updates, the entropy function applies increasi</w:t>
      </w:r>
      <w:r>
        <w:t>ng penalties to the governance score.</w:t>
      </w:r>
    </w:p>
    <w:p w:rsidR="00F30872" w:rsidRDefault="00F30872">
      <w:pPr>
        <w:spacing w:after="60"/>
      </w:pPr>
    </w:p>
    <w:p w:rsidR="00F30872" w:rsidRDefault="00217FF6">
      <w:pPr>
        <w:spacing w:before="60" w:after="60" w:line="276" w:lineRule="auto"/>
        <w:jc w:val="both"/>
      </w:pPr>
      <w:r>
        <w:lastRenderedPageBreak/>
        <w:t>Sector-specific decay parameters allow different content types to decay at different rates — news content decays faster than legal contracts; regulatory submissions decay faster than marketing materials. This sector-aware temporal modeling is a key differe</w:t>
      </w:r>
      <w:r>
        <w:t>ntiator from static compliance frameworks.</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Epistemic Entropy formula and sector-specific decay parameters — Full specification available under license — Available under license. Contact: info@zulfr.com ]</w:t>
      </w:r>
    </w:p>
    <w:p w:rsidR="00F30872" w:rsidRDefault="00F30872">
      <w:pPr>
        <w:spacing w:after="80"/>
      </w:pPr>
    </w:p>
    <w:p w:rsidR="00F30872" w:rsidRDefault="00217FF6">
      <w:pPr>
        <w:pStyle w:val="Heading1"/>
      </w:pPr>
      <w:r>
        <w:t>6. Multi-Mode Drift Model (MMDM)</w:t>
      </w:r>
    </w:p>
    <w:p w:rsidR="00F30872" w:rsidRDefault="00217FF6">
      <w:pPr>
        <w:spacing w:before="60" w:after="60" w:line="276" w:lineRule="auto"/>
        <w:jc w:val="both"/>
      </w:pPr>
      <w:r>
        <w:t>Governance qual</w:t>
      </w:r>
      <w:r>
        <w:t xml:space="preserve">ity can drift across document versions. TRUE-10 monitors this via a Multi-Mode Drift Model that tracks changes across four governance signals between versions: evidence quality, oversight structures, metric completeness, and failure handling. The MMDM can </w:t>
      </w:r>
      <w:r>
        <w:t>trigger alerts when drift exceeds defined thresholds and supports longitudinal governance monitoring across document lifecycles.</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xml:space="preserve">[ MMDM drift formula, threshold parameters, and alert triggers — Full specification available under license — Available under </w:t>
      </w:r>
      <w:r>
        <w:rPr>
          <w:i/>
          <w:iCs/>
          <w:color w:val="854F0B"/>
          <w:sz w:val="20"/>
          <w:szCs w:val="20"/>
        </w:rPr>
        <w:t>license. Contact: info@zulfr.com ]</w:t>
      </w:r>
    </w:p>
    <w:p w:rsidR="00F30872" w:rsidRDefault="00F30872">
      <w:pPr>
        <w:spacing w:after="80"/>
      </w:pPr>
    </w:p>
    <w:p w:rsidR="00F30872" w:rsidRDefault="00217FF6">
      <w:pPr>
        <w:pStyle w:val="Heading1"/>
      </w:pPr>
      <w:r>
        <w:t>7. Criticality Gradient Function (CGF)</w:t>
      </w:r>
    </w:p>
    <w:p w:rsidR="00F30872" w:rsidRDefault="00217FF6">
      <w:pPr>
        <w:spacing w:before="60" w:after="60" w:line="276" w:lineRule="auto"/>
        <w:jc w:val="both"/>
      </w:pPr>
      <w:r>
        <w:t xml:space="preserve">Some governance cells are more critical than others — particularly Oversight, Failure Handling, and Measurement. TRUE-10 applies a smooth, graded penalty via a Criticality Gradient </w:t>
      </w:r>
      <w:r>
        <w:t>Function that avoids brittle pass/fail behavior. The CGF provides a continuous penalty curve that increases sharply as critical cell scores fall below defined thresholds, while approaching zero as scores exceed those thresholds.</w:t>
      </w:r>
    </w:p>
    <w:p w:rsidR="00F30872" w:rsidRDefault="00F30872">
      <w:pPr>
        <w:spacing w:after="60"/>
      </w:pPr>
    </w:p>
    <w:p w:rsidR="00F30872" w:rsidRDefault="00217FF6">
      <w:pPr>
        <w:spacing w:before="60" w:after="60" w:line="276" w:lineRule="auto"/>
        <w:jc w:val="both"/>
      </w:pPr>
      <w:r>
        <w:t>This design ensures that a</w:t>
      </w:r>
      <w:r>
        <w:t xml:space="preserve"> document with strong truthfulness but weak oversight cannot simply average its way to compliance — the CGF enforces minimum standards on the most safety-critical governance dimensions.</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CGF logistic penalty formula and criticality parameters — Full spec</w:t>
      </w:r>
      <w:r>
        <w:rPr>
          <w:i/>
          <w:iCs/>
          <w:color w:val="854F0B"/>
          <w:sz w:val="20"/>
          <w:szCs w:val="20"/>
        </w:rPr>
        <w:t>ification available under license — Available under license. Contact: info@zulfr.com ]</w:t>
      </w:r>
    </w:p>
    <w:p w:rsidR="00F30872" w:rsidRDefault="00F30872">
      <w:pPr>
        <w:spacing w:after="80"/>
      </w:pPr>
    </w:p>
    <w:p w:rsidR="00F30872" w:rsidRDefault="00217FF6">
      <w:pPr>
        <w:pStyle w:val="Heading1"/>
      </w:pPr>
      <w:r>
        <w:t>8. Structural Integrity Score (SIS)</w:t>
      </w:r>
    </w:p>
    <w:p w:rsidR="00F30872" w:rsidRDefault="00217FF6">
      <w:pPr>
        <w:spacing w:before="60" w:after="60" w:line="276" w:lineRule="auto"/>
        <w:jc w:val="both"/>
      </w:pPr>
      <w:r>
        <w:t>The Structural Integrity Score quantifies document coherence and governance density. It captures structural weaknesses not visible i</w:t>
      </w:r>
      <w:r>
        <w:t>n individual cell scores — including contradiction count, unlinked claims, uncovered failure modes, and temporal misalignment. The SIS functions as a global modifier in the final scoring and provides a high-level indicator of governance density that comple</w:t>
      </w:r>
      <w:r>
        <w:t>ments the cell-level hypercube analysis.</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lastRenderedPageBreak/>
        <w:t>[ SIS computation function and modifier weights — Full specification available under license — Available under license. Contact: info@zulfr.com ]</w:t>
      </w:r>
    </w:p>
    <w:p w:rsidR="00F30872" w:rsidRDefault="00F30872">
      <w:pPr>
        <w:spacing w:after="80"/>
      </w:pPr>
    </w:p>
    <w:p w:rsidR="00F30872" w:rsidRDefault="00217FF6">
      <w:pPr>
        <w:pStyle w:val="Heading1"/>
      </w:pPr>
      <w:r>
        <w:t>9. Causal Telemetry Graph (CTG)</w:t>
      </w:r>
    </w:p>
    <w:p w:rsidR="00F30872" w:rsidRDefault="00217FF6">
      <w:pPr>
        <w:spacing w:before="60" w:after="60" w:line="276" w:lineRule="auto"/>
        <w:jc w:val="both"/>
      </w:pPr>
      <w:r>
        <w:t>To achieve full causal traceability, TRUE-10 constructs a Causal Telemetry Graph for each document. The CTG is a directed graph with six node types — Claim, Evidence, Mechanism, Metric, Oversight, Failure — connected by four edge types: supports, monitors,</w:t>
      </w:r>
      <w:r>
        <w:t xml:space="preserve"> mitigates, and contradicts.</w:t>
      </w:r>
    </w:p>
    <w:p w:rsidR="00F30872" w:rsidRDefault="00F30872">
      <w:pPr>
        <w:spacing w:after="60"/>
      </w:pPr>
    </w:p>
    <w:p w:rsidR="00F30872" w:rsidRDefault="00217FF6">
      <w:pPr>
        <w:spacing w:before="60" w:after="60" w:line="276" w:lineRule="auto"/>
        <w:jc w:val="both"/>
      </w:pPr>
      <w:r>
        <w:t>The CTG enforces a fundamental requirement: every scored cell in the hypercube must trace to at least one path in the graph. This ensures full causal auditability from claims to controls, transparent dependency tracking, and r</w:t>
      </w:r>
      <w:r>
        <w:t>egulator-ready forensic analysis. A document that cannot be traced through the CTG cannot receive a passing governance score.</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CTG construction algorithm and path validation logic — Full specification available under license — Available under license. Co</w:t>
      </w:r>
      <w:r>
        <w:rPr>
          <w:i/>
          <w:iCs/>
          <w:color w:val="854F0B"/>
          <w:sz w:val="20"/>
          <w:szCs w:val="20"/>
        </w:rPr>
        <w:t>ntact: info@zulfr.com ]</w:t>
      </w:r>
    </w:p>
    <w:p w:rsidR="00F30872" w:rsidRDefault="00F30872">
      <w:pPr>
        <w:spacing w:after="80"/>
      </w:pPr>
    </w:p>
    <w:p w:rsidR="00F30872" w:rsidRDefault="00217FF6">
      <w:pPr>
        <w:pStyle w:val="Heading1"/>
      </w:pPr>
      <w:r>
        <w:t>10. Sector-Specific Weighting</w:t>
      </w:r>
    </w:p>
    <w:p w:rsidR="00F30872" w:rsidRDefault="00217FF6">
      <w:pPr>
        <w:spacing w:before="60" w:after="60" w:line="276" w:lineRule="auto"/>
        <w:jc w:val="both"/>
      </w:pPr>
      <w:r>
        <w:t>Different sectors have different governance expectations. TRUE-10 encodes this via sector-specific weights over the five dimensions. The weighting system is designed to reflect real-world regulatory pr</w:t>
      </w:r>
      <w:r>
        <w:t>iorities — legal content prioritizes precision and verifiability, news content prioritizes accuracy and recency, marketing content prioritizes communication effectiveness.</w:t>
      </w:r>
    </w:p>
    <w:p w:rsidR="00F30872" w:rsidRDefault="00F30872">
      <w:pPr>
        <w:spacing w:after="60"/>
      </w:pPr>
    </w:p>
    <w:tbl>
      <w:tblPr>
        <w:tblW w:w="936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1600"/>
        <w:gridCol w:w="2000"/>
        <w:gridCol w:w="5760"/>
      </w:tblGrid>
      <w:tr w:rsidR="00F30872">
        <w:tblPrEx>
          <w:tblCellMar>
            <w:top w:w="0" w:type="dxa"/>
            <w:bottom w:w="0" w:type="dxa"/>
          </w:tblCellMar>
        </w:tblPrEx>
        <w:trPr>
          <w:tblHeader/>
        </w:trPr>
        <w:tc>
          <w:tcPr>
            <w:tcW w:w="160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Sector</w:t>
            </w:r>
          </w:p>
        </w:tc>
        <w:tc>
          <w:tcPr>
            <w:tcW w:w="200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Primary Weight</w:t>
            </w:r>
          </w:p>
        </w:tc>
        <w:tc>
          <w:tcPr>
            <w:tcW w:w="576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Weighting Philosophy</w:t>
            </w:r>
          </w:p>
        </w:tc>
      </w:tr>
      <w:tr w:rsidR="00F30872">
        <w:tblPrEx>
          <w:tblCellMar>
            <w:top w:w="0" w:type="dxa"/>
            <w:bottom w:w="0" w:type="dxa"/>
          </w:tblCellMar>
        </w:tblPrEx>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News</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Truthfulness</w:t>
            </w:r>
          </w:p>
        </w:tc>
        <w:tc>
          <w:tcPr>
            <w:tcW w:w="5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Accuracy and recency dominate — misinformation risk highest</w:t>
            </w:r>
          </w:p>
        </w:tc>
      </w:tr>
      <w:tr w:rsidR="00F30872">
        <w:tblPrEx>
          <w:tblCellMar>
            <w:top w:w="0" w:type="dxa"/>
            <w:bottom w:w="0" w:type="dxa"/>
          </w:tblCellMar>
        </w:tblPrEx>
        <w:tc>
          <w:tcPr>
            <w:tcW w:w="16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Legal</w:t>
            </w:r>
          </w:p>
        </w:tc>
        <w:tc>
          <w:tcPr>
            <w:tcW w:w="20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Truthfulness + Clarity</w:t>
            </w:r>
          </w:p>
        </w:tc>
        <w:tc>
          <w:tcPr>
            <w:tcW w:w="576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Precision and verifiability are paramount</w:t>
            </w:r>
          </w:p>
        </w:tc>
      </w:tr>
      <w:tr w:rsidR="00F30872">
        <w:tblPrEx>
          <w:tblCellMar>
            <w:top w:w="0" w:type="dxa"/>
            <w:bottom w:w="0" w:type="dxa"/>
          </w:tblCellMar>
        </w:tblPrEx>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Marketing</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Effectiveness</w:t>
            </w:r>
          </w:p>
        </w:tc>
        <w:tc>
          <w:tcPr>
            <w:tcW w:w="5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Communication outcome weighted highest</w:t>
            </w:r>
          </w:p>
        </w:tc>
      </w:tr>
      <w:tr w:rsidR="00F30872">
        <w:tblPrEx>
          <w:tblCellMar>
            <w:top w:w="0" w:type="dxa"/>
            <w:bottom w:w="0" w:type="dxa"/>
          </w:tblCellMar>
        </w:tblPrEx>
        <w:tc>
          <w:tcPr>
            <w:tcW w:w="16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Social</w:t>
            </w:r>
          </w:p>
        </w:tc>
        <w:tc>
          <w:tcPr>
            <w:tcW w:w="20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Balanced</w:t>
            </w:r>
          </w:p>
        </w:tc>
        <w:tc>
          <w:tcPr>
            <w:tcW w:w="576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All five dimensions weighted for general discourse</w:t>
            </w:r>
          </w:p>
        </w:tc>
      </w:tr>
      <w:tr w:rsidR="00F30872">
        <w:tblPrEx>
          <w:tblCellMar>
            <w:top w:w="0" w:type="dxa"/>
            <w:bottom w:w="0" w:type="dxa"/>
          </w:tblCellMar>
        </w:tblPrEx>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Healthcare*</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Truthfulness</w:t>
            </w:r>
          </w:p>
        </w:tc>
        <w:tc>
          <w:tcPr>
            <w:tcW w:w="5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Evidence requirements strictest — reserved for v2.0</w:t>
            </w:r>
          </w:p>
        </w:tc>
      </w:tr>
      <w:tr w:rsidR="00F30872">
        <w:tblPrEx>
          <w:tblCellMar>
            <w:top w:w="0" w:type="dxa"/>
            <w:bottom w:w="0" w:type="dxa"/>
          </w:tblCellMar>
        </w:tblPrEx>
        <w:tc>
          <w:tcPr>
            <w:tcW w:w="16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Finance*</w:t>
            </w:r>
          </w:p>
        </w:tc>
        <w:tc>
          <w:tcPr>
            <w:tcW w:w="20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Truthfulness + Time.</w:t>
            </w:r>
          </w:p>
        </w:tc>
        <w:tc>
          <w:tcPr>
            <w:tcW w:w="576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Recency and accuracy critical — reserved for v2.0</w:t>
            </w:r>
          </w:p>
        </w:tc>
      </w:tr>
    </w:tbl>
    <w:p w:rsidR="00F30872" w:rsidRDefault="00217FF6">
      <w:pPr>
        <w:spacing w:before="60" w:after="120"/>
        <w:jc w:val="center"/>
      </w:pPr>
      <w:r>
        <w:rPr>
          <w:i/>
          <w:iCs/>
          <w:color w:val="666666"/>
          <w:sz w:val="18"/>
          <w:szCs w:val="18"/>
        </w:rPr>
        <w:t>Table 2. TRUE-10 sector weighting profiles. Exact weight vectors available under license.</w:t>
      </w:r>
    </w:p>
    <w:p w:rsidR="00F30872" w:rsidRDefault="00F30872">
      <w:pPr>
        <w:spacing w:after="60"/>
      </w:pPr>
    </w:p>
    <w:p w:rsidR="00F30872" w:rsidRDefault="00217FF6">
      <w:pPr>
        <w:spacing w:before="60" w:after="60" w:line="276" w:lineRule="auto"/>
        <w:jc w:val="both"/>
      </w:pPr>
      <w:r>
        <w:t>The sector weighting system is extensible. Healthcare and finance profiles are reserved for TRUE-10 v2.0, which will incorporate domain-specific evidence requirement</w:t>
      </w:r>
      <w:r>
        <w:t>s aligned with FDA, EMA, SEC, and FCA regulatory standards.</w:t>
      </w:r>
    </w:p>
    <w:p w:rsidR="00F30872" w:rsidRDefault="00F30872">
      <w:pPr>
        <w:spacing w:after="80"/>
      </w:pPr>
    </w:p>
    <w:p w:rsidR="00F30872" w:rsidRDefault="00217FF6">
      <w:pPr>
        <w:pStyle w:val="Heading1"/>
      </w:pPr>
      <w:r>
        <w:t>11. Dimension Scoring and Final Score</w:t>
      </w:r>
    </w:p>
    <w:p w:rsidR="00F30872" w:rsidRDefault="00217FF6">
      <w:pPr>
        <w:pStyle w:val="Heading2"/>
      </w:pPr>
      <w:r>
        <w:lastRenderedPageBreak/>
        <w:t>11.1 Dimension-Level Scoring</w:t>
      </w:r>
    </w:p>
    <w:p w:rsidR="00F30872" w:rsidRDefault="00217FF6">
      <w:pPr>
        <w:spacing w:before="60" w:after="60" w:line="276" w:lineRule="auto"/>
        <w:jc w:val="both"/>
      </w:pPr>
      <w:r>
        <w:t xml:space="preserve">For each of the five dimensions, TRUE-10 combines three signal sources: linguistic evaluation signals derived from the 10-layer </w:t>
      </w:r>
      <w:r>
        <w:t>processing architecture, governance hypercube-derived scores aggregated from cell-level scoring, and document-level consistency and density signals from the SIS. The relative weights of these three sources are sector-calibrated and version-controlled.</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Dimension scoring formula and signal combination weights — Full specification available under license — Available under license. Contact: info@zulfr.com ]</w:t>
      </w:r>
    </w:p>
    <w:p w:rsidR="00F30872" w:rsidRDefault="00F30872">
      <w:pPr>
        <w:spacing w:after="60"/>
      </w:pPr>
    </w:p>
    <w:p w:rsidR="00F30872" w:rsidRDefault="00217FF6">
      <w:pPr>
        <w:pStyle w:val="Heading2"/>
      </w:pPr>
      <w:r>
        <w:t>11.2 Final TRUE-10 Score</w:t>
      </w:r>
    </w:p>
    <w:p w:rsidR="00F30872" w:rsidRDefault="00217FF6">
      <w:pPr>
        <w:spacing w:before="60" w:after="60" w:line="276" w:lineRule="auto"/>
        <w:jc w:val="both"/>
      </w:pPr>
      <w:r>
        <w:t>The global TRUE-10 score aggregates dimension scores using sector-specifi</w:t>
      </w:r>
      <w:r>
        <w:t>c weights, applies CGF penalties for critical cell failures, and incorporates SIS and MMDM modifiers. The result is scaled to [0, 100] and is fully deterministic — identical inputs under the same framework version yield identical scores.</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xml:space="preserve">[ Global scoring </w:t>
      </w:r>
      <w:r>
        <w:rPr>
          <w:i/>
          <w:iCs/>
          <w:color w:val="854F0B"/>
          <w:sz w:val="20"/>
          <w:szCs w:val="20"/>
        </w:rPr>
        <w:t>formula and aggregation logic — Full specification available under license — Available under license. Contact: info@zulfr.com ]</w:t>
      </w:r>
    </w:p>
    <w:p w:rsidR="00F30872" w:rsidRDefault="00F30872">
      <w:pPr>
        <w:spacing w:after="80"/>
      </w:pPr>
    </w:p>
    <w:p w:rsidR="00F30872" w:rsidRDefault="00217FF6">
      <w:pPr>
        <w:pStyle w:val="Heading1"/>
      </w:pPr>
      <w:r>
        <w:t>12. Compliance vs Governance Quality</w:t>
      </w:r>
    </w:p>
    <w:p w:rsidR="00F30872" w:rsidRDefault="00217FF6">
      <w:pPr>
        <w:pStyle w:val="Heading2"/>
      </w:pPr>
      <w:r>
        <w:t>12.1 Compliance Flag</w:t>
      </w:r>
    </w:p>
    <w:p w:rsidR="00F30872" w:rsidRDefault="00217FF6">
      <w:pPr>
        <w:spacing w:before="60" w:after="60" w:line="276" w:lineRule="auto"/>
        <w:jc w:val="both"/>
      </w:pPr>
      <w:r>
        <w:t>Compliance is a binary output based on hard thresholds applied to the</w:t>
      </w:r>
      <w:r>
        <w:t xml:space="preserve"> three primary dimensions: Truthfulness, Clarity, and Manipulation Integrity. All three must meet their respective sector-specific thresholds simultaneously for a document to be declared compliant. This binary output satisfies regulatory checkbox requireme</w:t>
      </w:r>
      <w:r>
        <w:t>nts — a document either meets the standard or it does not.</w:t>
      </w:r>
    </w:p>
    <w:p w:rsidR="00F30872" w:rsidRDefault="00F30872">
      <w:pPr>
        <w:spacing w:after="40"/>
      </w:pPr>
    </w:p>
    <w:p w:rsidR="00F30872" w:rsidRDefault="00217FF6">
      <w:pPr>
        <w:pBdr>
          <w:top w:val="dashed" w:sz="4" w:space="0" w:color="854F0B"/>
          <w:left w:val="dashed" w:sz="4" w:space="0" w:color="854F0B"/>
          <w:bottom w:val="dashed" w:sz="4" w:space="0" w:color="854F0B"/>
          <w:right w:val="dashed" w:sz="4" w:space="0" w:color="854F0B"/>
        </w:pBdr>
        <w:spacing w:before="60" w:after="60"/>
        <w:jc w:val="center"/>
      </w:pPr>
      <w:r>
        <w:rPr>
          <w:i/>
          <w:iCs/>
          <w:color w:val="854F0B"/>
          <w:sz w:val="20"/>
          <w:szCs w:val="20"/>
        </w:rPr>
        <w:t>[ Compliance threshold values by sector — Full specification available under license — Available under license. Contact: info@zulfr.com ]</w:t>
      </w:r>
    </w:p>
    <w:p w:rsidR="00F30872" w:rsidRDefault="00F30872">
      <w:pPr>
        <w:spacing w:after="60"/>
      </w:pPr>
    </w:p>
    <w:p w:rsidR="00F30872" w:rsidRDefault="00217FF6">
      <w:pPr>
        <w:pStyle w:val="Heading2"/>
      </w:pPr>
      <w:r>
        <w:t>12.2 Governance Quality Score</w:t>
      </w:r>
    </w:p>
    <w:p w:rsidR="00F30872" w:rsidRDefault="00217FF6">
      <w:pPr>
        <w:spacing w:before="60" w:after="60" w:line="276" w:lineRule="auto"/>
        <w:jc w:val="both"/>
      </w:pPr>
      <w:r>
        <w:t>Governance Quality is a continuous score in [0, 100] that incorporates CGF penalties, SIS modifiers, and temporal decay signals. Unlike the binary compliance flag, governance quality supports internal monitoring, benchmarking, and continuous improvement tr</w:t>
      </w:r>
      <w:r>
        <w:t>acking. Reporting both outputs allows organisations to satisfy regulatory requirements while also tracking progress toward higher governance standards over time.</w:t>
      </w:r>
    </w:p>
    <w:p w:rsidR="00F30872" w:rsidRDefault="00F30872">
      <w:pPr>
        <w:spacing w:after="80"/>
      </w:pPr>
    </w:p>
    <w:p w:rsidR="00F30872" w:rsidRDefault="00217FF6">
      <w:pPr>
        <w:pStyle w:val="Heading1"/>
      </w:pPr>
      <w:r>
        <w:t>13. Evaluation Pipeline</w:t>
      </w:r>
    </w:p>
    <w:p w:rsidR="00F30872" w:rsidRDefault="00217FF6">
      <w:pPr>
        <w:spacing w:before="60" w:after="60" w:line="276" w:lineRule="auto"/>
        <w:jc w:val="both"/>
      </w:pPr>
      <w:r>
        <w:lastRenderedPageBreak/>
        <w:t>The TRUE-10 evaluation pipeline operates in four stages. First, docum</w:t>
      </w:r>
      <w:r>
        <w:t>ent ingestion and normalization — tokenization, sectioning, metadata extraction, and version stamping. Second, hypercube scoring — mapping document content to cells and applying fixed rubrics to compute cell scores. Third, linguistic and structural analysi</w:t>
      </w:r>
      <w:r>
        <w:t>s — computing MVIF, CTG, SIS, EE, MMDM, and CGF signals. Fourth, scoring and reporting — aggregating dimension scores, applying sector weights, determining compliance, and generating the audit report.</w:t>
      </w:r>
    </w:p>
    <w:p w:rsidR="00F30872" w:rsidRDefault="00F30872">
      <w:pPr>
        <w:spacing w:after="60"/>
      </w:pPr>
    </w:p>
    <w:p w:rsidR="00F30872" w:rsidRDefault="00217FF6">
      <w:pPr>
        <w:spacing w:before="60" w:after="60" w:line="276" w:lineRule="auto"/>
        <w:jc w:val="both"/>
      </w:pPr>
      <w:r>
        <w:t>The audit report includes scores, causal paths from th</w:t>
      </w:r>
      <w:r>
        <w:t>e CTG, risk redistribution maps from the WRRT, drift metrics from the MMDM, and complete version history. Every element of the report is traceable to a specific cell, layer, or signal in the framework — providing the forensic transparency required for regu</w:t>
      </w:r>
      <w:r>
        <w:t>lator-grade governance.</w:t>
      </w:r>
    </w:p>
    <w:p w:rsidR="00F30872" w:rsidRDefault="00F30872">
      <w:pPr>
        <w:spacing w:after="80"/>
      </w:pPr>
    </w:p>
    <w:p w:rsidR="00F30872" w:rsidRDefault="00217FF6">
      <w:pPr>
        <w:pStyle w:val="Heading1"/>
      </w:pPr>
      <w:r>
        <w:t>14. TRUE-10 as AI Governor</w:t>
      </w:r>
    </w:p>
    <w:p w:rsidR="00F30872" w:rsidRDefault="00217FF6">
      <w:pPr>
        <w:spacing w:before="60" w:after="60" w:line="276" w:lineRule="auto"/>
        <w:jc w:val="both"/>
      </w:pPr>
      <w:r>
        <w:t>A critical distinction: TRUE-10 is not a competitor to large language models. It is a governance reactor that evaluates any text — human-written or machine-generated — under a deterministic, versioned, and causally traceable framework.</w:t>
      </w:r>
    </w:p>
    <w:p w:rsidR="00F30872" w:rsidRDefault="00F30872">
      <w:pPr>
        <w:spacing w:after="60"/>
      </w:pPr>
    </w:p>
    <w:p w:rsidR="00F30872" w:rsidRDefault="00217FF6">
      <w:pPr>
        <w:spacing w:before="60" w:after="60" w:line="276" w:lineRule="auto"/>
        <w:jc w:val="both"/>
      </w:pPr>
      <w:r>
        <w:t>LLMs generate answe</w:t>
      </w:r>
      <w:r>
        <w:t xml:space="preserve">rs through distributional pattern scoring. TRUE-10 governs whether those answers meet an evidentiary standard. A speed camera does not need to be faster than a car to enforce the speed limit. TRUE-10 does not need to generate better content than GPT-4o to </w:t>
      </w:r>
      <w:r>
        <w:t>determine whether GPT-4o's output meets governance requirements.</w:t>
      </w:r>
    </w:p>
    <w:p w:rsidR="00F30872" w:rsidRDefault="00F30872">
      <w:pPr>
        <w:spacing w:after="60"/>
      </w:pPr>
    </w:p>
    <w:p w:rsidR="00F30872" w:rsidRDefault="00217FF6">
      <w:pPr>
        <w:spacing w:before="60" w:after="60" w:line="276" w:lineRule="auto"/>
        <w:jc w:val="both"/>
      </w:pPr>
      <w:r>
        <w:t>The specific failures of LLMs under TRUE-10 evaluation are structural, not incidental:</w:t>
      </w:r>
    </w:p>
    <w:p w:rsidR="00F30872" w:rsidRDefault="00217FF6">
      <w:pPr>
        <w:pStyle w:val="ListParagraph"/>
        <w:numPr>
          <w:ilvl w:val="0"/>
          <w:numId w:val="2"/>
        </w:numPr>
        <w:spacing w:before="40" w:after="40"/>
      </w:pPr>
      <w:r>
        <w:t>No evidence requirements — LLM outputs are not grounded in verifiable, cited sources by default</w:t>
      </w:r>
    </w:p>
    <w:p w:rsidR="00F30872" w:rsidRDefault="00217FF6">
      <w:pPr>
        <w:pStyle w:val="ListParagraph"/>
        <w:numPr>
          <w:ilvl w:val="0"/>
          <w:numId w:val="2"/>
        </w:numPr>
        <w:spacing w:before="40" w:after="40"/>
      </w:pPr>
      <w:r>
        <w:t>No caus</w:t>
      </w:r>
      <w:r>
        <w:t>al traceability — contradictions and unsupportable claims are undetectable from inside the model</w:t>
      </w:r>
    </w:p>
    <w:p w:rsidR="00F30872" w:rsidRDefault="00217FF6">
      <w:pPr>
        <w:pStyle w:val="ListParagraph"/>
        <w:numPr>
          <w:ilvl w:val="0"/>
          <w:numId w:val="2"/>
        </w:numPr>
        <w:spacing w:before="40" w:after="40"/>
      </w:pPr>
      <w:r>
        <w:t>No governance integrity verification — LLMs can generate text about governance but cannot verify whether that text meets a governance standard</w:t>
      </w:r>
    </w:p>
    <w:p w:rsidR="00F30872" w:rsidRDefault="00F30872">
      <w:pPr>
        <w:spacing w:after="60"/>
      </w:pPr>
    </w:p>
    <w:tbl>
      <w:tblPr>
        <w:tblW w:w="936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500"/>
        <w:gridCol w:w="2200"/>
        <w:gridCol w:w="6660"/>
      </w:tblGrid>
      <w:tr w:rsidR="00F30872">
        <w:tblPrEx>
          <w:tblCellMar>
            <w:top w:w="0" w:type="dxa"/>
            <w:bottom w:w="0" w:type="dxa"/>
          </w:tblCellMar>
        </w:tblPrEx>
        <w:trPr>
          <w:tblHeader/>
        </w:trPr>
        <w:tc>
          <w:tcPr>
            <w:tcW w:w="50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w:t>
            </w:r>
          </w:p>
        </w:tc>
        <w:tc>
          <w:tcPr>
            <w:tcW w:w="220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Mechanism</w:t>
            </w:r>
          </w:p>
        </w:tc>
        <w:tc>
          <w:tcPr>
            <w:tcW w:w="666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Pur</w:t>
            </w:r>
            <w:r>
              <w:rPr>
                <w:b/>
                <w:bCs/>
                <w:color w:val="FFFFFF"/>
                <w:sz w:val="18"/>
                <w:szCs w:val="18"/>
              </w:rPr>
              <w:t>pose</w:t>
            </w:r>
          </w:p>
        </w:tc>
      </w:tr>
      <w:tr w:rsidR="00F30872">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1</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Embeddings</w:t>
            </w:r>
          </w:p>
        </w:tc>
        <w:tc>
          <w:tcPr>
            <w:tcW w:w="66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Extract semantic meaning from text tokens</w:t>
            </w:r>
          </w:p>
        </w:tc>
      </w:tr>
      <w:tr w:rsidR="00F30872">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2</w:t>
            </w:r>
          </w:p>
        </w:tc>
        <w:tc>
          <w:tcPr>
            <w:tcW w:w="22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Local Attention</w:t>
            </w:r>
          </w:p>
        </w:tc>
        <w:tc>
          <w:tcPr>
            <w:tcW w:w="666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Identify relevant spans — who, what, when, where</w:t>
            </w:r>
          </w:p>
        </w:tc>
      </w:tr>
      <w:tr w:rsidR="00F30872">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3</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Global Attention</w:t>
            </w:r>
          </w:p>
        </w:tc>
        <w:tc>
          <w:tcPr>
            <w:tcW w:w="66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Understand structure, flow, and relationships</w:t>
            </w:r>
          </w:p>
        </w:tc>
      </w:tr>
      <w:tr w:rsidR="00F30872">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4</w:t>
            </w:r>
          </w:p>
        </w:tc>
        <w:tc>
          <w:tcPr>
            <w:tcW w:w="22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Multi-Head Analysis</w:t>
            </w:r>
          </w:p>
        </w:tc>
        <w:tc>
          <w:tcPr>
            <w:tcW w:w="666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Analyze tone, bias, sentiment, and framing</w:t>
            </w:r>
          </w:p>
        </w:tc>
      </w:tr>
      <w:tr w:rsidR="00F30872">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5</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Contextual Weighting</w:t>
            </w:r>
          </w:p>
        </w:tc>
        <w:tc>
          <w:tcPr>
            <w:tcW w:w="66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Resolve ambiguity and polysemy</w:t>
            </w:r>
          </w:p>
        </w:tc>
      </w:tr>
      <w:tr w:rsidR="00F30872">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6</w:t>
            </w:r>
          </w:p>
        </w:tc>
        <w:tc>
          <w:tcPr>
            <w:tcW w:w="22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Deep Reasoning</w:t>
            </w:r>
          </w:p>
        </w:tc>
        <w:tc>
          <w:tcPr>
            <w:tcW w:w="666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Detect contradictions, logic gaps, unsupported claims</w:t>
            </w:r>
          </w:p>
        </w:tc>
      </w:tr>
      <w:tr w:rsidR="00F30872">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7</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Pattern Inference</w:t>
            </w:r>
          </w:p>
        </w:tc>
        <w:tc>
          <w:tcPr>
            <w:tcW w:w="66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Produce final multi-dimensional governance scores</w:t>
            </w:r>
          </w:p>
        </w:tc>
      </w:tr>
    </w:tbl>
    <w:p w:rsidR="00F30872" w:rsidRDefault="00217FF6">
      <w:pPr>
        <w:spacing w:before="60" w:after="120"/>
        <w:jc w:val="center"/>
      </w:pPr>
      <w:r>
        <w:rPr>
          <w:i/>
          <w:iCs/>
          <w:color w:val="666666"/>
          <w:sz w:val="18"/>
          <w:szCs w:val="18"/>
        </w:rPr>
        <w:t>Table 3. TRUE-10 seven core mechanisms and their governance roles.</w:t>
      </w:r>
    </w:p>
    <w:p w:rsidR="00F30872" w:rsidRDefault="00F30872">
      <w:pPr>
        <w:spacing w:after="80"/>
      </w:pPr>
    </w:p>
    <w:p w:rsidR="00F30872" w:rsidRDefault="00217FF6">
      <w:pPr>
        <w:pStyle w:val="Heading1"/>
      </w:pPr>
      <w:r>
        <w:t>15. Five Output Dimensions</w:t>
      </w:r>
    </w:p>
    <w:tbl>
      <w:tblPr>
        <w:tblW w:w="936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1400"/>
        <w:gridCol w:w="2480"/>
        <w:gridCol w:w="5480"/>
      </w:tblGrid>
      <w:tr w:rsidR="00F30872">
        <w:tblPrEx>
          <w:tblCellMar>
            <w:top w:w="0" w:type="dxa"/>
            <w:bottom w:w="0" w:type="dxa"/>
          </w:tblCellMar>
        </w:tblPrEx>
        <w:trPr>
          <w:tblHeader/>
        </w:trPr>
        <w:tc>
          <w:tcPr>
            <w:tcW w:w="140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Dimension</w:t>
            </w:r>
          </w:p>
        </w:tc>
        <w:tc>
          <w:tcPr>
            <w:tcW w:w="248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Governance Role</w:t>
            </w:r>
          </w:p>
        </w:tc>
        <w:tc>
          <w:tcPr>
            <w:tcW w:w="5480" w:type="dxa"/>
            <w:tcBorders>
              <w:top w:val="single" w:sz="1" w:space="0" w:color="1F4E79"/>
              <w:left w:val="single" w:sz="1" w:space="0" w:color="1F4E79"/>
              <w:bottom w:val="single" w:sz="1" w:space="0" w:color="1F4E79"/>
              <w:right w:val="single" w:sz="1" w:space="0" w:color="1F4E79"/>
            </w:tcBorders>
            <w:shd w:val="clear" w:color="auto" w:fill="1F4E79"/>
            <w:tcMar>
              <w:top w:w="80" w:type="dxa"/>
              <w:left w:w="120" w:type="dxa"/>
              <w:bottom w:w="80" w:type="dxa"/>
              <w:right w:w="120" w:type="dxa"/>
            </w:tcMar>
          </w:tcPr>
          <w:p w:rsidR="00F30872" w:rsidRDefault="00217FF6">
            <w:pPr>
              <w:jc w:val="center"/>
            </w:pPr>
            <w:r>
              <w:rPr>
                <w:b/>
                <w:bCs/>
                <w:color w:val="FFFFFF"/>
                <w:sz w:val="18"/>
                <w:szCs w:val="18"/>
              </w:rPr>
              <w:t>What It Catches</w:t>
            </w:r>
          </w:p>
        </w:tc>
      </w:tr>
      <w:tr w:rsidR="00F30872">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Truthfulness</w:t>
            </w:r>
          </w:p>
        </w:tc>
        <w:tc>
          <w:tcPr>
            <w:tcW w:w="2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Factual integrity</w:t>
            </w:r>
          </w:p>
        </w:tc>
        <w:tc>
          <w:tcPr>
            <w:tcW w:w="5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Missing citations, unverifiable claims, contradictions</w:t>
            </w:r>
          </w:p>
        </w:tc>
      </w:tr>
      <w:tr w:rsidR="00F30872">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Clarity</w:t>
            </w:r>
          </w:p>
        </w:tc>
        <w:tc>
          <w:tcPr>
            <w:tcW w:w="248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Communication integrity</w:t>
            </w:r>
          </w:p>
        </w:tc>
        <w:tc>
          <w:tcPr>
            <w:tcW w:w="548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Ambiguity, passive voice, readability failures</w:t>
            </w:r>
          </w:p>
        </w:tc>
      </w:tr>
      <w:tr w:rsidR="00F30872">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Manipulation</w:t>
            </w:r>
          </w:p>
        </w:tc>
        <w:tc>
          <w:tcPr>
            <w:tcW w:w="2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Neutrality integrity</w:t>
            </w:r>
          </w:p>
        </w:tc>
        <w:tc>
          <w:tcPr>
            <w:tcW w:w="5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Emotional loading, framing bias, omission</w:t>
            </w:r>
          </w:p>
        </w:tc>
      </w:tr>
      <w:tr w:rsidR="00F30872">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r>
              <w:rPr>
                <w:sz w:val="18"/>
                <w:szCs w:val="18"/>
              </w:rPr>
              <w:t>Timeliness</w:t>
            </w:r>
          </w:p>
        </w:tc>
        <w:tc>
          <w:tcPr>
            <w:tcW w:w="248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Temporal integrity</w:t>
            </w:r>
          </w:p>
        </w:tc>
        <w:tc>
          <w:tcPr>
            <w:tcW w:w="5480" w:type="dxa"/>
            <w:tcBorders>
              <w:top w:val="single" w:sz="1" w:space="0" w:color="CCCCCC"/>
              <w:left w:val="single" w:sz="1" w:space="0" w:color="CCCCCC"/>
              <w:bottom w:val="single" w:sz="1" w:space="0" w:color="CCCCCC"/>
              <w:right w:val="single" w:sz="1" w:space="0" w:color="CCCCCC"/>
            </w:tcBorders>
            <w:shd w:val="clear" w:color="auto" w:fill="EBF3FC"/>
            <w:tcMar>
              <w:top w:w="80" w:type="dxa"/>
              <w:left w:w="120" w:type="dxa"/>
              <w:bottom w:w="80" w:type="dxa"/>
              <w:right w:w="120" w:type="dxa"/>
            </w:tcMar>
          </w:tcPr>
          <w:p w:rsidR="00F30872" w:rsidRDefault="00217FF6">
            <w:pPr>
              <w:jc w:val="center"/>
            </w:pPr>
            <w:r>
              <w:rPr>
                <w:sz w:val="18"/>
                <w:szCs w:val="18"/>
              </w:rPr>
              <w:t>Stale data, outdated references, recency failures</w:t>
            </w:r>
          </w:p>
        </w:tc>
      </w:tr>
      <w:tr w:rsidR="00F30872">
        <w:tblPrEx>
          <w:tblCellMar>
            <w:top w:w="0" w:type="dxa"/>
            <w:bottom w:w="0" w:type="dxa"/>
          </w:tblCellMar>
        </w:tblPrEx>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r>
              <w:rPr>
                <w:sz w:val="18"/>
                <w:szCs w:val="18"/>
              </w:rPr>
              <w:t>Effectiveness</w:t>
            </w:r>
          </w:p>
        </w:tc>
        <w:tc>
          <w:tcPr>
            <w:tcW w:w="2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Communication outcome</w:t>
            </w:r>
          </w:p>
        </w:tc>
        <w:tc>
          <w:tcPr>
            <w:tcW w:w="54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F30872" w:rsidRDefault="00217FF6">
            <w:pPr>
              <w:jc w:val="center"/>
            </w:pPr>
            <w:r>
              <w:rPr>
                <w:sz w:val="18"/>
                <w:szCs w:val="18"/>
              </w:rPr>
              <w:t>Missing conclusions, incoherent structure</w:t>
            </w:r>
          </w:p>
        </w:tc>
      </w:tr>
    </w:tbl>
    <w:p w:rsidR="00F30872" w:rsidRDefault="00217FF6">
      <w:pPr>
        <w:spacing w:before="60" w:after="120"/>
        <w:jc w:val="center"/>
      </w:pPr>
      <w:r>
        <w:rPr>
          <w:i/>
          <w:iCs/>
          <w:color w:val="666666"/>
          <w:sz w:val="18"/>
          <w:szCs w:val="18"/>
        </w:rPr>
        <w:t>Table 4. TRUE-10 five output dimensions, governance roles, and failure detection scope.</w:t>
      </w:r>
    </w:p>
    <w:p w:rsidR="00F30872" w:rsidRDefault="00F30872">
      <w:pPr>
        <w:spacing w:after="80"/>
      </w:pPr>
    </w:p>
    <w:p w:rsidR="00F30872" w:rsidRDefault="00217FF6">
      <w:pPr>
        <w:pStyle w:val="Heading1"/>
      </w:pPr>
      <w:r>
        <w:t>16. Discussion and Future Work</w:t>
      </w:r>
    </w:p>
    <w:p w:rsidR="00F30872" w:rsidRDefault="00217FF6">
      <w:pPr>
        <w:spacing w:before="60" w:after="60" w:line="276" w:lineRule="auto"/>
        <w:jc w:val="both"/>
      </w:pPr>
      <w:r>
        <w:t>TRUE-10 v1.0 establishes the mathematical blueprint and conceptual architecture. Future work includes reference implementations of the evaluation pipeline, calibration studies across sectors including finance, healthcare, and critical infrastructure, integ</w:t>
      </w:r>
      <w:r>
        <w:t>ration with existing risk management frameworks such as NIST AI RMF and ISO 42001, and development of TRUE-10-aware writing tools that generate documents optimised for governance integrity.</w:t>
      </w:r>
    </w:p>
    <w:p w:rsidR="00F30872" w:rsidRDefault="00F30872">
      <w:pPr>
        <w:spacing w:after="60"/>
      </w:pPr>
    </w:p>
    <w:p w:rsidR="00F30872" w:rsidRDefault="00217FF6">
      <w:pPr>
        <w:spacing w:before="60" w:after="60" w:line="276" w:lineRule="auto"/>
        <w:jc w:val="both"/>
      </w:pPr>
      <w:r>
        <w:t>Season 2 of the AI Accountability League benchmark will include A</w:t>
      </w:r>
      <w:r>
        <w:t xml:space="preserve">PI-level evaluation, open-source models, and multi-domain testing across Technical, Legal, Medical, and Scientific domain weights. The longitudinal benchmark record — tracking whether frontier AI models are getting closer to governance readiness over time </w:t>
      </w:r>
      <w:r>
        <w:t>— is the primary research contribution of the League.</w:t>
      </w:r>
    </w:p>
    <w:p w:rsidR="00F30872" w:rsidRDefault="00F30872">
      <w:pPr>
        <w:spacing w:after="80"/>
      </w:pPr>
    </w:p>
    <w:p w:rsidR="00F30872" w:rsidRDefault="00217FF6">
      <w:pPr>
        <w:pStyle w:val="Heading1"/>
      </w:pPr>
      <w:r>
        <w:t>17. Conclusion</w:t>
      </w:r>
    </w:p>
    <w:p w:rsidR="00F30872" w:rsidRDefault="00217FF6">
      <w:pPr>
        <w:spacing w:before="60" w:after="60" w:line="276" w:lineRule="auto"/>
        <w:jc w:val="both"/>
      </w:pPr>
      <w:r>
        <w:t>The TRUE-10 Governance Reactor provides a deterministic, hypercube-based framework for evaluating the governance integrity of any written content. By combining a governance hypercube, mu</w:t>
      </w:r>
      <w:r>
        <w:t>lti-vector information flow, risk redistribution, epistemic entropy, drift modeling, criticality penalties, structural integrity scoring, and causal telemetry, TRUE-10 delivers regulator-grade, auditable, and extensible governance evaluation.</w:t>
      </w:r>
    </w:p>
    <w:p w:rsidR="00F30872" w:rsidRDefault="00F30872">
      <w:pPr>
        <w:spacing w:after="60"/>
      </w:pPr>
    </w:p>
    <w:p w:rsidR="00F30872" w:rsidRDefault="00217FF6">
      <w:pPr>
        <w:spacing w:before="60" w:after="60" w:line="276" w:lineRule="auto"/>
        <w:jc w:val="both"/>
      </w:pPr>
      <w:r>
        <w:t>Rather than attempting to replace language models, TRUE-10 defines the environment in which their outputs — and all other documents — can be rigorously evaluated. With its 2044+ cell framing and forward-compatible design, TRUE-10 is positioned as a candida</w:t>
      </w:r>
      <w:r>
        <w:t>te foundation for future AI governance standards.</w:t>
      </w:r>
    </w:p>
    <w:p w:rsidR="00F30872" w:rsidRDefault="00F30872">
      <w:pPr>
        <w:spacing w:after="80"/>
      </w:pPr>
    </w:p>
    <w:p w:rsidR="00F30872" w:rsidRDefault="00217FF6">
      <w:pPr>
        <w:pStyle w:val="Heading1"/>
      </w:pPr>
      <w:r>
        <w:t>References</w:t>
      </w:r>
    </w:p>
    <w:p w:rsidR="00F30872" w:rsidRDefault="00217FF6">
      <w:pPr>
        <w:spacing w:before="60" w:after="60" w:line="276" w:lineRule="auto"/>
        <w:jc w:val="both"/>
      </w:pPr>
      <w:r>
        <w:lastRenderedPageBreak/>
        <w:t>[1] National Institute of Standards and Technology. Artificial Intelligence Risk Management Framework (AI RMF 1.0). NIST, 2023.</w:t>
      </w:r>
    </w:p>
    <w:p w:rsidR="00F30872" w:rsidRDefault="00F30872">
      <w:pPr>
        <w:spacing w:after="40"/>
      </w:pPr>
    </w:p>
    <w:p w:rsidR="00F30872" w:rsidRDefault="00217FF6">
      <w:pPr>
        <w:spacing w:before="60" w:after="60" w:line="276" w:lineRule="auto"/>
        <w:jc w:val="both"/>
      </w:pPr>
      <w:r>
        <w:t>[2] International Organization for Standardization. ISO/IEC 42001:2023 Artificial intelligence — Management system. ISO, 2023.</w:t>
      </w:r>
    </w:p>
    <w:p w:rsidR="00F30872" w:rsidRDefault="00F30872">
      <w:pPr>
        <w:spacing w:after="40"/>
      </w:pPr>
    </w:p>
    <w:p w:rsidR="00F30872" w:rsidRDefault="00217FF6">
      <w:pPr>
        <w:spacing w:before="60" w:after="60" w:line="276" w:lineRule="auto"/>
        <w:jc w:val="both"/>
      </w:pPr>
      <w:r>
        <w:t>[3] International Organization for Standardization. ISO 31000:2018 Risk management — Guidelines. ISO, 2018.</w:t>
      </w:r>
    </w:p>
    <w:p w:rsidR="00F30872" w:rsidRDefault="00F30872">
      <w:pPr>
        <w:spacing w:after="40"/>
      </w:pPr>
    </w:p>
    <w:p w:rsidR="00F30872" w:rsidRDefault="00217FF6">
      <w:pPr>
        <w:spacing w:before="60" w:after="60" w:line="276" w:lineRule="auto"/>
        <w:jc w:val="both"/>
      </w:pPr>
      <w:r>
        <w:t>[4] European Union.</w:t>
      </w:r>
      <w:r>
        <w:t xml:space="preserve"> Regulation of the European Parliament and of the Council laying down harmonised rules on Artificial Intelligence (AI Act). 2024.</w:t>
      </w:r>
    </w:p>
    <w:p w:rsidR="00F30872" w:rsidRDefault="00F30872">
      <w:pPr>
        <w:spacing w:after="40"/>
      </w:pPr>
    </w:p>
    <w:p w:rsidR="00F30872" w:rsidRDefault="00217FF6">
      <w:pPr>
        <w:spacing w:before="60" w:after="60" w:line="276" w:lineRule="auto"/>
        <w:jc w:val="both"/>
      </w:pPr>
      <w:r>
        <w:t>[5] Zafar, U. Governed or Blind: The Integrity Gap in Frontier AI. Zenodo, 2026. DOI: 10.5281/zenodo.19075200</w:t>
      </w:r>
    </w:p>
    <w:p w:rsidR="00F30872" w:rsidRDefault="00F30872">
      <w:pPr>
        <w:spacing w:after="80"/>
      </w:pPr>
    </w:p>
    <w:p w:rsidR="00F30872" w:rsidRDefault="00217FF6">
      <w:pPr>
        <w:pBdr>
          <w:top w:val="single" w:sz="4" w:space="0" w:color="1F4E79"/>
          <w:left w:val="single" w:sz="4" w:space="0" w:color="1F4E79"/>
          <w:bottom w:val="single" w:sz="4" w:space="0" w:color="1F4E79"/>
          <w:right w:val="single" w:sz="4" w:space="0" w:color="1F4E79"/>
        </w:pBdr>
        <w:shd w:val="clear" w:color="auto" w:fill="E6F1FB"/>
        <w:spacing w:before="60" w:after="60"/>
      </w:pPr>
      <w:r>
        <w:rPr>
          <w:color w:val="0C447C"/>
          <w:sz w:val="20"/>
          <w:szCs w:val="20"/>
        </w:rPr>
        <w:t xml:space="preserve">LICENSING AND </w:t>
      </w:r>
      <w:r>
        <w:rPr>
          <w:color w:val="0C447C"/>
          <w:sz w:val="20"/>
          <w:szCs w:val="20"/>
        </w:rPr>
        <w:t>ACCESS: The conceptual framework presented in this document is published under CC-BY 4.0. Full mathematical specifications, internal weighting parameters, calibration rubrics, cell scoring tables, and reference implementation code are proprietary intellect</w:t>
      </w:r>
      <w:r>
        <w:rPr>
          <w:color w:val="0C447C"/>
          <w:sz w:val="20"/>
          <w:szCs w:val="20"/>
        </w:rPr>
        <w:t>ual property of Dr. Muhammad Usman Zafar and Zulfr. Research access and commercial licensing available. Contact: info@zulfr.com | zulfr.com | Prior art: DOI 10.5281/zenodo.19075200 (March 13, 2026)</w:t>
      </w:r>
    </w:p>
    <w:p w:rsidR="00F30872" w:rsidRDefault="00F30872">
      <w:pPr>
        <w:spacing w:after="60"/>
      </w:pPr>
    </w:p>
    <w:p w:rsidR="00F30872" w:rsidRDefault="00217FF6">
      <w:pPr>
        <w:spacing w:before="40" w:after="20"/>
        <w:jc w:val="center"/>
      </w:pPr>
      <w:r>
        <w:rPr>
          <w:color w:val="555555"/>
          <w:sz w:val="18"/>
          <w:szCs w:val="18"/>
        </w:rPr>
        <w:t xml:space="preserve">TRUE-10 Governance Reactor  |  Conceptual Overview v2.0  </w:t>
      </w:r>
      <w:r>
        <w:rPr>
          <w:color w:val="555555"/>
          <w:sz w:val="18"/>
          <w:szCs w:val="18"/>
        </w:rPr>
        <w:t>|  Dr. Muhammad Usman Zafar, PhD  |  March 2026</w:t>
      </w:r>
    </w:p>
    <w:p w:rsidR="00F30872" w:rsidRDefault="00217FF6">
      <w:pPr>
        <w:jc w:val="center"/>
      </w:pPr>
      <w:r>
        <w:rPr>
          <w:color w:val="2E75B6"/>
          <w:sz w:val="18"/>
          <w:szCs w:val="18"/>
        </w:rPr>
        <w:t>zulfr.com  |  info@zulfr.com  |  github.com/usman19zafar/AI-Accountability-League-2026</w:t>
      </w:r>
    </w:p>
    <w:sectPr w:rsidR="00F30872" w:rsidSect="00F30872">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FF6" w:rsidRDefault="00217FF6" w:rsidP="00F30872">
      <w:r>
        <w:separator/>
      </w:r>
    </w:p>
  </w:endnote>
  <w:endnote w:type="continuationSeparator" w:id="1">
    <w:p w:rsidR="00217FF6" w:rsidRDefault="00217FF6" w:rsidP="00F3087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872" w:rsidRDefault="00217FF6">
    <w:pPr>
      <w:pBdr>
        <w:top w:val="single" w:sz="6" w:space="1" w:color="1F4E79"/>
      </w:pBdr>
      <w:jc w:val="center"/>
    </w:pPr>
    <w:r>
      <w:rPr>
        <w:color w:val="777777"/>
        <w:sz w:val="18"/>
        <w:szCs w:val="18"/>
      </w:rPr>
      <w:t xml:space="preserve">Page </w:t>
    </w:r>
    <w:r w:rsidR="00F30872">
      <w:rPr>
        <w:color w:val="777777"/>
        <w:sz w:val="18"/>
        <w:szCs w:val="18"/>
      </w:rPr>
      <w:fldChar w:fldCharType="begin"/>
    </w:r>
    <w:r>
      <w:rPr>
        <w:color w:val="777777"/>
        <w:sz w:val="18"/>
        <w:szCs w:val="18"/>
      </w:rPr>
      <w:instrText>PAGE</w:instrText>
    </w:r>
    <w:r w:rsidR="0057652B">
      <w:rPr>
        <w:color w:val="777777"/>
        <w:sz w:val="18"/>
        <w:szCs w:val="18"/>
      </w:rPr>
      <w:fldChar w:fldCharType="separate"/>
    </w:r>
    <w:r w:rsidR="0057652B">
      <w:rPr>
        <w:noProof/>
        <w:color w:val="777777"/>
        <w:sz w:val="18"/>
        <w:szCs w:val="18"/>
      </w:rPr>
      <w:t>1</w:t>
    </w:r>
    <w:r w:rsidR="00F30872">
      <w:rPr>
        <w:color w:val="777777"/>
        <w:sz w:val="18"/>
        <w:szCs w:val="18"/>
      </w:rPr>
      <w:fldChar w:fldCharType="end"/>
    </w:r>
    <w:r>
      <w:rPr>
        <w:color w:val="777777"/>
        <w:sz w:val="18"/>
        <w:szCs w:val="18"/>
      </w:rPr>
      <w:t xml:space="preserve">  |  CC-BY 4.0 Conceptual Framework  |  Implementation available under license  |  info@zulfr.com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FF6" w:rsidRDefault="00217FF6" w:rsidP="00F30872">
      <w:r>
        <w:separator/>
      </w:r>
    </w:p>
  </w:footnote>
  <w:footnote w:type="continuationSeparator" w:id="1">
    <w:p w:rsidR="00217FF6" w:rsidRDefault="00217FF6" w:rsidP="00F308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872" w:rsidRDefault="00217FF6">
    <w:pPr>
      <w:pBdr>
        <w:bottom w:val="single" w:sz="6" w:space="1" w:color="1F4E79"/>
      </w:pBdr>
    </w:pPr>
    <w:r>
      <w:rPr>
        <w:color w:val="555555"/>
        <w:sz w:val="18"/>
        <w:szCs w:val="18"/>
      </w:rPr>
      <w:t>TRUE-10 Cube Based Governance Reactor  |  Conceptual Overview  |  Dr. Muhammad Usman Zafar  |  v2.0 (Controlled)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F2BD3"/>
    <w:multiLevelType w:val="hybridMultilevel"/>
    <w:tmpl w:val="DB8AE99E"/>
    <w:lvl w:ilvl="0" w:tplc="EAD8EE50">
      <w:start w:val="1"/>
      <w:numFmt w:val="bullet"/>
      <w:lvlText w:val="•"/>
      <w:lvlJc w:val="left"/>
      <w:pPr>
        <w:ind w:left="720" w:hanging="360"/>
      </w:pPr>
    </w:lvl>
    <w:lvl w:ilvl="1" w:tplc="FA7E7A1C">
      <w:numFmt w:val="decimal"/>
      <w:lvlText w:val=""/>
      <w:lvlJc w:val="left"/>
    </w:lvl>
    <w:lvl w:ilvl="2" w:tplc="078CD2EA">
      <w:numFmt w:val="decimal"/>
      <w:lvlText w:val=""/>
      <w:lvlJc w:val="left"/>
    </w:lvl>
    <w:lvl w:ilvl="3" w:tplc="063CA550">
      <w:numFmt w:val="decimal"/>
      <w:lvlText w:val=""/>
      <w:lvlJc w:val="left"/>
    </w:lvl>
    <w:lvl w:ilvl="4" w:tplc="6EECD222">
      <w:numFmt w:val="decimal"/>
      <w:lvlText w:val=""/>
      <w:lvlJc w:val="left"/>
    </w:lvl>
    <w:lvl w:ilvl="5" w:tplc="20CA29B2">
      <w:numFmt w:val="decimal"/>
      <w:lvlText w:val=""/>
      <w:lvlJc w:val="left"/>
    </w:lvl>
    <w:lvl w:ilvl="6" w:tplc="F3C8FEDA">
      <w:numFmt w:val="decimal"/>
      <w:lvlText w:val=""/>
      <w:lvlJc w:val="left"/>
    </w:lvl>
    <w:lvl w:ilvl="7" w:tplc="A594C870">
      <w:numFmt w:val="decimal"/>
      <w:lvlText w:val=""/>
      <w:lvlJc w:val="left"/>
    </w:lvl>
    <w:lvl w:ilvl="8" w:tplc="F56A9BAA">
      <w:numFmt w:val="decimal"/>
      <w:lvlText w:val=""/>
      <w:lvlJc w:val="left"/>
    </w:lvl>
  </w:abstractNum>
  <w:abstractNum w:abstractNumId="1">
    <w:nsid w:val="7E4D22C6"/>
    <w:multiLevelType w:val="hybridMultilevel"/>
    <w:tmpl w:val="63C28FCC"/>
    <w:lvl w:ilvl="0" w:tplc="26B69ABE">
      <w:start w:val="1"/>
      <w:numFmt w:val="bullet"/>
      <w:lvlText w:val="●"/>
      <w:lvlJc w:val="left"/>
      <w:pPr>
        <w:ind w:left="720" w:hanging="360"/>
      </w:pPr>
    </w:lvl>
    <w:lvl w:ilvl="1" w:tplc="CF9ABEE8">
      <w:start w:val="1"/>
      <w:numFmt w:val="bullet"/>
      <w:lvlText w:val="○"/>
      <w:lvlJc w:val="left"/>
      <w:pPr>
        <w:ind w:left="1440" w:hanging="360"/>
      </w:pPr>
    </w:lvl>
    <w:lvl w:ilvl="2" w:tplc="6E7AB736">
      <w:start w:val="1"/>
      <w:numFmt w:val="bullet"/>
      <w:lvlText w:val="■"/>
      <w:lvlJc w:val="left"/>
      <w:pPr>
        <w:ind w:left="2160" w:hanging="360"/>
      </w:pPr>
    </w:lvl>
    <w:lvl w:ilvl="3" w:tplc="32ECD5FA">
      <w:start w:val="1"/>
      <w:numFmt w:val="bullet"/>
      <w:lvlText w:val="●"/>
      <w:lvlJc w:val="left"/>
      <w:pPr>
        <w:ind w:left="2880" w:hanging="360"/>
      </w:pPr>
    </w:lvl>
    <w:lvl w:ilvl="4" w:tplc="8BB054F4">
      <w:start w:val="1"/>
      <w:numFmt w:val="bullet"/>
      <w:lvlText w:val="○"/>
      <w:lvlJc w:val="left"/>
      <w:pPr>
        <w:ind w:left="3600" w:hanging="360"/>
      </w:pPr>
    </w:lvl>
    <w:lvl w:ilvl="5" w:tplc="78FAA15E">
      <w:start w:val="1"/>
      <w:numFmt w:val="bullet"/>
      <w:lvlText w:val="■"/>
      <w:lvlJc w:val="left"/>
      <w:pPr>
        <w:ind w:left="4320" w:hanging="360"/>
      </w:pPr>
    </w:lvl>
    <w:lvl w:ilvl="6" w:tplc="0054ECEE">
      <w:start w:val="1"/>
      <w:numFmt w:val="bullet"/>
      <w:lvlText w:val="●"/>
      <w:lvlJc w:val="left"/>
      <w:pPr>
        <w:ind w:left="5040" w:hanging="360"/>
      </w:pPr>
    </w:lvl>
    <w:lvl w:ilvl="7" w:tplc="E8CEDDE6">
      <w:start w:val="1"/>
      <w:numFmt w:val="bullet"/>
      <w:lvlText w:val="●"/>
      <w:lvlJc w:val="left"/>
      <w:pPr>
        <w:ind w:left="5760" w:hanging="360"/>
      </w:pPr>
    </w:lvl>
    <w:lvl w:ilvl="8" w:tplc="3C107EB4">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0"/>
    <w:footnote w:id="1"/>
  </w:footnotePr>
  <w:endnotePr>
    <w:endnote w:id="0"/>
    <w:endnote w:id="1"/>
  </w:endnotePr>
  <w:compat/>
  <w:rsids>
    <w:rsidRoot w:val="00F30872"/>
    <w:rsid w:val="00217FF6"/>
    <w:rsid w:val="0057652B"/>
    <w:rsid w:val="00F308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qFormat/>
    <w:rsid w:val="00F30872"/>
    <w:pPr>
      <w:spacing w:before="320" w:after="100"/>
      <w:outlineLvl w:val="0"/>
    </w:pPr>
    <w:rPr>
      <w:b/>
      <w:bCs/>
      <w:color w:val="1F4E79"/>
      <w:sz w:val="28"/>
      <w:szCs w:val="28"/>
    </w:rPr>
  </w:style>
  <w:style w:type="paragraph" w:styleId="Heading2">
    <w:name w:val="heading 2"/>
    <w:qFormat/>
    <w:rsid w:val="00F30872"/>
    <w:pPr>
      <w:spacing w:before="200" w:after="80"/>
      <w:outlineLvl w:val="1"/>
    </w:pPr>
    <w:rPr>
      <w:b/>
      <w:bCs/>
      <w:color w:val="2E75B6"/>
      <w:sz w:val="24"/>
      <w:szCs w:val="24"/>
    </w:rPr>
  </w:style>
  <w:style w:type="paragraph" w:styleId="Heading3">
    <w:name w:val="heading 3"/>
    <w:qFormat/>
    <w:rsid w:val="00F30872"/>
    <w:pPr>
      <w:outlineLvl w:val="2"/>
    </w:pPr>
    <w:rPr>
      <w:color w:val="1F4D78"/>
      <w:sz w:val="24"/>
      <w:szCs w:val="24"/>
    </w:rPr>
  </w:style>
  <w:style w:type="paragraph" w:styleId="Heading4">
    <w:name w:val="heading 4"/>
    <w:qFormat/>
    <w:rsid w:val="00F30872"/>
    <w:pPr>
      <w:outlineLvl w:val="3"/>
    </w:pPr>
    <w:rPr>
      <w:i/>
      <w:iCs/>
      <w:color w:val="2E74B5"/>
    </w:rPr>
  </w:style>
  <w:style w:type="paragraph" w:styleId="Heading5">
    <w:name w:val="heading 5"/>
    <w:qFormat/>
    <w:rsid w:val="00F30872"/>
    <w:pPr>
      <w:outlineLvl w:val="4"/>
    </w:pPr>
    <w:rPr>
      <w:color w:val="2E74B5"/>
    </w:rPr>
  </w:style>
  <w:style w:type="paragraph" w:styleId="Heading6">
    <w:name w:val="heading 6"/>
    <w:qFormat/>
    <w:rsid w:val="00F30872"/>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sid w:val="00F30872"/>
    <w:rPr>
      <w:sz w:val="56"/>
      <w:szCs w:val="56"/>
    </w:rPr>
  </w:style>
  <w:style w:type="paragraph" w:customStyle="1" w:styleId="Strong1">
    <w:name w:val="Strong1"/>
    <w:qFormat/>
    <w:rsid w:val="00F30872"/>
    <w:rPr>
      <w:b/>
      <w:bCs/>
    </w:rPr>
  </w:style>
  <w:style w:type="paragraph" w:styleId="ListParagraph">
    <w:name w:val="List Paragraph"/>
    <w:qFormat/>
    <w:rsid w:val="00F30872"/>
  </w:style>
  <w:style w:type="character" w:styleId="Hyperlink">
    <w:name w:val="Hyperlink"/>
    <w:uiPriority w:val="99"/>
    <w:unhideWhenUsed/>
    <w:rsid w:val="00F30872"/>
    <w:rPr>
      <w:color w:val="0563C1"/>
      <w:u w:val="single"/>
    </w:rPr>
  </w:style>
  <w:style w:type="character" w:styleId="FootnoteReference">
    <w:name w:val="footnote reference"/>
    <w:uiPriority w:val="99"/>
    <w:semiHidden/>
    <w:unhideWhenUsed/>
    <w:rsid w:val="00F30872"/>
    <w:rPr>
      <w:vertAlign w:val="superscript"/>
    </w:rPr>
  </w:style>
  <w:style w:type="paragraph" w:styleId="FootnoteText">
    <w:name w:val="footnote text"/>
    <w:link w:val="FootnoteTextChar"/>
    <w:uiPriority w:val="99"/>
    <w:semiHidden/>
    <w:unhideWhenUsed/>
    <w:rsid w:val="00F30872"/>
    <w:rPr>
      <w:sz w:val="20"/>
      <w:szCs w:val="20"/>
    </w:rPr>
  </w:style>
  <w:style w:type="character" w:customStyle="1" w:styleId="FootnoteTextChar">
    <w:name w:val="Footnote Text Char"/>
    <w:link w:val="FootnoteText"/>
    <w:uiPriority w:val="99"/>
    <w:semiHidden/>
    <w:unhideWhenUsed/>
    <w:rsid w:val="00F30872"/>
    <w:rPr>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2902</Words>
  <Characters>16545</Characters>
  <Application>Microsoft Office Word</Application>
  <DocSecurity>0</DocSecurity>
  <Lines>137</Lines>
  <Paragraphs>38</Paragraphs>
  <ScaleCrop>false</ScaleCrop>
  <Company>Deftones</Company>
  <LinksUpToDate>false</LinksUpToDate>
  <CharactersWithSpaces>19409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T470</cp:lastModifiedBy>
  <cp:revision>2</cp:revision>
  <dcterms:created xsi:type="dcterms:W3CDTF">2026-03-18T05:25:00Z</dcterms:created>
  <dcterms:modified xsi:type="dcterms:W3CDTF">2026-03-18T05:25:00Z</dcterms:modified>
</cp:coreProperties>
</file>