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440" w:after="0"/>
      </w:pPr>
    </w:p>
    <w:p>
      <w:pPr>
        <w:spacing w:before="0" w:after="60"/>
      </w:pPr>
      <w:r>
        <w:rPr>
          <w:rFonts w:ascii="Arial" w:cs="Arial" w:eastAsia="Arial" w:hAnsi="Arial"/>
          <w:b/>
          <w:bCs/>
          <w:color w:val="1a1916"/>
          <w:sz w:val="80"/>
          <w:szCs w:val="80"/>
        </w:rPr>
        <w:t xml:space="preserve">CONSTITUTIONAL OS</w:t>
      </w:r>
    </w:p>
    <w:p>
      <w:pPr>
        <w:spacing w:before="0" w:after="120"/>
      </w:pPr>
      <w:r>
        <w:rPr>
          <w:rFonts w:ascii="Arial" w:cs="Arial" w:eastAsia="Arial" w:hAnsi="Arial"/>
          <w:color w:val="C94400"/>
          <w:sz w:val="38"/>
          <w:szCs w:val="38"/>
        </w:rPr>
        <w:t xml:space="preserve">Formal Specification and Technical Whitepaper</w:t>
      </w:r>
    </w:p>
    <w:p>
      <w:pPr>
        <w:spacing w:before="0" w:after="60"/>
      </w:pPr>
      <w:r>
        <w:rPr>
          <w:rFonts w:ascii="Arial" w:cs="Arial" w:eastAsia="Arial" w:hAnsi="Arial"/>
          <w:color w:val="888884"/>
          <w:sz w:val="22"/>
          <w:szCs w:val="22"/>
        </w:rPr>
        <w:t xml:space="preserve">v0.3  —  with delta calculus, operational semantics, and formal proofs</w:t>
      </w:r>
    </w:p>
    <w:p>
      <w:pPr>
        <w:spacing w:before="0" w:after="80"/>
      </w:pPr>
      <w:r>
        <w:rPr>
          <w:rFonts w:ascii="Arial" w:cs="Arial" w:eastAsia="Arial" w:hAnsi="Arial"/>
          <w:color w:val="888884"/>
          <w:sz w:val="22"/>
          <w:szCs w:val="22"/>
        </w:rPr>
        <w:t xml:space="preserve">2026</w:t>
      </w:r>
    </w:p>
    <w:p>
      <w:pPr>
        <w:spacing w:before="80" w:after="0"/>
      </w:pPr>
    </w:p>
    <w:p>
      <w:pPr>
        <w:pBdr>
          <w:left w:val="single" w:color="C94400" w:sz="12" w:space="12"/>
        </w:pBdr>
        <w:spacing w:before="0" w:after="1440"/>
        <w:ind w:left="240"/>
      </w:pPr>
      <w:r>
        <w:rPr>
          <w:rFonts w:ascii="Arial" w:cs="Arial" w:eastAsia="Arial" w:hAnsi="Arial"/>
          <w:i/>
          <w:iCs/>
          <w:color w:val="888884"/>
          <w:sz w:val="24"/>
          <w:szCs w:val="24"/>
        </w:rPr>
        <w:t xml:space="preserve">Partially implemented. Fully architected. Formally specified.</w:t>
      </w:r>
    </w:p>
    <w:p>
      <w:pPr>
        <w:pBdr>
          <w:bottom w:val="single" w:color="E0DFD8" w:sz="4" w:space="1"/>
        </w:pBdr>
        <w:spacing w:before="320" w:after="320"/>
      </w:pPr>
    </w:p>
    <w:p>
      <w:pPr>
        <w:pStyle w:val="Heading2"/>
        <w:spacing w:before="400" w:after="160"/>
      </w:pPr>
      <w:r>
        <w:rPr>
          <w:rFonts w:ascii="Arial" w:cs="Arial" w:eastAsia="Arial" w:hAnsi="Arial"/>
          <w:b/>
          <w:bCs/>
          <w:color w:val="1a1916"/>
          <w:sz w:val="30"/>
          <w:szCs w:val="30"/>
        </w:rPr>
        <w:t xml:space="preserve">Abstract</w:t>
      </w:r>
    </w:p>
    <w:p>
      <w:pPr>
        <w:spacing w:before="60" w:after="140" w:line="360" w:lineRule="auto"/>
      </w:pPr>
      <w:r>
        <w:rPr>
          <w:rFonts w:ascii="Arial" w:cs="Arial" w:eastAsia="Arial" w:hAnsi="Arial"/>
          <w:i w:val="false"/>
          <w:iCs w:val="false"/>
          <w:color w:val="1a1916"/>
          <w:sz w:val="22"/>
          <w:szCs w:val="22"/>
        </w:rPr>
        <w:t xml:space="preserve">We present the Constitutional OS: a formally-grounded governance substrate for AI ecosystems. The system provides rights, obligations, invariants, safety membranes, a proposal lifecycle, temporal continuity, and human primacy guarantees. Unlike approaches that treat AI governance as external audit, the Constitutional OS embeds governance primitives directly into the execution environment.</w:t>
      </w:r>
    </w:p>
    <w:p>
      <w:pPr>
        <w:spacing w:before="60" w:after="140" w:line="360" w:lineRule="auto"/>
      </w:pPr>
      <w:r>
        <w:rPr>
          <w:rFonts w:ascii="Arial" w:cs="Arial" w:eastAsia="Arial" w:hAnsi="Arial"/>
          <w:i w:val="false"/>
          <w:iCs w:val="false"/>
          <w:color w:val="1a1916"/>
          <w:sz w:val="22"/>
          <w:szCs w:val="22"/>
        </w:rPr>
        <w:t xml:space="preserve">This paper presents three layers of formal specification. First, the constitutional state model and its mathematical substrate, derived from category theory, type theory, temporal logic, and algebraic structures. Second, the delta calculus: a typed, reversible language of constitutional state transformers with an operational semantics and formal typing rules. Third, the runtime model: a typed event system in which the only state-changing step is delta ratification, with a formal safety theorem reducing runtime correctness to calculus typing.</w:t>
      </w:r>
    </w:p>
    <w:p>
      <w:pPr>
        <w:spacing w:before="60" w:after="140" w:line="360" w:lineRule="auto"/>
      </w:pPr>
      <w:r>
        <w:rPr>
          <w:rFonts w:ascii="Arial" w:cs="Arial" w:eastAsia="Arial" w:hAnsi="Arial"/>
          <w:i w:val="false"/>
          <w:iCs w:val="false"/>
          <w:color w:val="1a1916"/>
          <w:sz w:val="22"/>
          <w:szCs w:val="22"/>
        </w:rPr>
        <w:t xml:space="preserve">We prove two key theorems: the Runtime Safety Theorem, establishing that every ratified transition preserves constitutional validity; and the Runtime Reversibility Theorem, establishing that any reachable state can be restored via rollback. Together these theorems provide the formal foundation for trustworthy AI deployment in high-stakes domains.</w:t>
      </w:r>
    </w:p>
    <w:p>
      <w:pPr>
        <w:pBdr>
          <w:bottom w:val="single" w:color="E0DFD8" w:sz="4" w:space="1"/>
        </w:pBdr>
        <w:spacing w:before="320" w:after="320"/>
      </w:pPr>
    </w:p>
    <w:p>
      <w:pPr>
        <w:pStyle w:val="Heading1"/>
        <w:spacing w:before="520" w:after="200"/>
      </w:pPr>
      <w:r>
        <w:rPr>
          <w:rFonts w:ascii="Arial" w:cs="Arial" w:eastAsia="Arial" w:hAnsi="Arial"/>
          <w:b/>
          <w:bCs/>
          <w:color w:val="C94400"/>
          <w:sz w:val="40"/>
          <w:szCs w:val="40"/>
        </w:rPr>
        <w:t xml:space="preserve">1.  Introduction</w:t>
      </w:r>
    </w:p>
    <w:p>
      <w:pPr>
        <w:spacing w:before="60" w:after="140" w:line="360" w:lineRule="auto"/>
      </w:pPr>
      <w:r>
        <w:rPr>
          <w:rFonts w:ascii="Arial" w:cs="Arial" w:eastAsia="Arial" w:hAnsi="Arial"/>
          <w:i w:val="false"/>
          <w:iCs w:val="false"/>
          <w:color w:val="1a1916"/>
          <w:sz w:val="22"/>
          <w:szCs w:val="22"/>
        </w:rPr>
        <w:t xml:space="preserve">The deployment of AI agents at scale introduces a governance problem that existing software infrastructure cannot address. Traditional operating systems manage physical resources: memory, CPU, I/O. They provide no primitives for rights, obligations, or constitutional constraints. Existing AI safety approaches operate at training time and provide no runtime enforcement of governance invariants.</w:t>
      </w:r>
    </w:p>
    <w:p>
      <w:pPr>
        <w:spacing w:before="60" w:after="140" w:line="360" w:lineRule="auto"/>
      </w:pPr>
      <w:r>
        <w:rPr>
          <w:rFonts w:ascii="Arial" w:cs="Arial" w:eastAsia="Arial" w:hAnsi="Arial"/>
          <w:i w:val="false"/>
          <w:iCs w:val="false"/>
          <w:color w:val="1a1916"/>
          <w:sz w:val="22"/>
          <w:szCs w:val="22"/>
        </w:rPr>
        <w:t xml:space="preserve">The Constitutional OS addresses this gap by introducing a governance substrate that operates at the infrastructure layer. It manages governance resources: rights, obligations, invariants, and temporal continuity. Crucially, it does so with formal guarantees — not policy documents, not audit checklists, but mechanically-verifiable proofs that the system cannot violate its own constitutional constraints.</w:t>
      </w:r>
    </w:p>
    <w:p>
      <w:pPr>
        <w:spacing w:before="60" w:after="140" w:line="360" w:lineRule="auto"/>
      </w:pPr>
      <w:r>
        <w:rPr>
          <w:rFonts w:ascii="Arial" w:cs="Arial" w:eastAsia="Arial" w:hAnsi="Arial"/>
          <w:i w:val="false"/>
          <w:iCs w:val="false"/>
          <w:color w:val="1a1916"/>
          <w:sz w:val="22"/>
          <w:szCs w:val="22"/>
        </w:rPr>
        <w:t xml:space="preserve">The architecture is organized around three formal components that are described in sequence in this paper: the constitutional state model (Section 2), the delta calculus (Section 3), and the runtime with safety and reversibility proofs (Section 4).</w:t>
      </w:r>
    </w:p>
    <w:p>
      <w:pPr>
        <w:pStyle w:val="Heading3"/>
        <w:spacing w:before="300" w:after="100"/>
      </w:pPr>
      <w:r>
        <w:rPr>
          <w:rFonts w:ascii="Arial" w:cs="Arial" w:eastAsia="Arial" w:hAnsi="Arial"/>
          <w:b/>
          <w:bCs/>
          <w:color w:val="1a1916"/>
          <w:sz w:val="24"/>
          <w:szCs w:val="24"/>
        </w:rPr>
        <w:t xml:space="preserve">1.1  Four Design Principles</w:t>
      </w:r>
    </w:p>
    <w:p>
      <w:pPr>
        <w:pStyle w:val="ListParagraph"/>
        <w:numPr>
          <w:ilvl w:val="0"/>
          <w:numId w:val="2"/>
        </w:numPr>
        <w:spacing w:before="40" w:after="60"/>
      </w:pPr>
      <w:r>
        <w:rPr>
          <w:rFonts w:ascii="Arial" w:cs="Arial" w:eastAsia="Arial" w:hAnsi="Arial"/>
          <w:color w:val="1a1916"/>
          <w:sz w:val="22"/>
          <w:szCs w:val="22"/>
        </w:rPr>
        <w:t xml:space="preserve">Safety: No action may violate a constitutional invariant. Safety is enforced by typed deltas and membrane checks that are mandatory at ratification.</w:t>
      </w:r>
    </w:p>
    <w:p>
      <w:pPr>
        <w:pStyle w:val="ListParagraph"/>
        <w:numPr>
          <w:ilvl w:val="0"/>
          <w:numId w:val="2"/>
        </w:numPr>
        <w:spacing w:before="40" w:after="60"/>
      </w:pPr>
      <w:r>
        <w:rPr>
          <w:rFonts w:ascii="Arial" w:cs="Arial" w:eastAsia="Arial" w:hAnsi="Arial"/>
          <w:color w:val="1a1916"/>
          <w:sz w:val="22"/>
          <w:szCs w:val="22"/>
        </w:rPr>
        <w:t xml:space="preserve">Reversibility: All state changes are reversible by construction. The delta calculus requires every primitive to have a formal inverse.</w:t>
      </w:r>
    </w:p>
    <w:p>
      <w:pPr>
        <w:pStyle w:val="ListParagraph"/>
        <w:numPr>
          <w:ilvl w:val="0"/>
          <w:numId w:val="2"/>
        </w:numPr>
        <w:spacing w:before="40" w:after="60"/>
      </w:pPr>
      <w:r>
        <w:rPr>
          <w:rFonts w:ascii="Arial" w:cs="Arial" w:eastAsia="Arial" w:hAnsi="Arial"/>
          <w:color w:val="1a1916"/>
          <w:sz w:val="22"/>
          <w:szCs w:val="22"/>
        </w:rPr>
        <w:t xml:space="preserve">Pluralism: The system supports multiple governed surfaces with distinct doctrines, provided all remain within constitutional bounds.</w:t>
      </w:r>
    </w:p>
    <w:p>
      <w:pPr>
        <w:pStyle w:val="ListParagraph"/>
        <w:numPr>
          <w:ilvl w:val="0"/>
          <w:numId w:val="2"/>
        </w:numPr>
        <w:spacing w:before="40" w:after="60"/>
      </w:pPr>
      <w:r>
        <w:rPr>
          <w:rFonts w:ascii="Arial" w:cs="Arial" w:eastAsia="Arial" w:hAnsi="Arial"/>
          <w:color w:val="1a1916"/>
          <w:sz w:val="22"/>
          <w:szCs w:val="22"/>
        </w:rPr>
        <w:t xml:space="preserve">Legibility: Every governance decision is auditable. The continuity chain provides a tamper-evident record of all ratified changes.</w:t>
      </w:r>
    </w:p>
    <w:p>
      <w:pPr>
        <w:pBdr>
          <w:bottom w:val="single" w:color="E0DFD8" w:sz="4" w:space="1"/>
        </w:pBdr>
        <w:spacing w:before="320" w:after="320"/>
      </w:pPr>
    </w:p>
    <w:p>
      <w:pPr>
        <w:pStyle w:val="Heading1"/>
        <w:spacing w:before="520" w:after="200"/>
      </w:pPr>
      <w:r>
        <w:rPr>
          <w:rFonts w:ascii="Arial" w:cs="Arial" w:eastAsia="Arial" w:hAnsi="Arial"/>
          <w:b/>
          <w:bCs/>
          <w:color w:val="C94400"/>
          <w:sz w:val="40"/>
          <w:szCs w:val="40"/>
        </w:rPr>
        <w:t xml:space="preserve">2.  Constitutional State Model</w:t>
      </w:r>
    </w:p>
    <w:p>
      <w:pPr>
        <w:spacing w:before="60" w:after="140" w:line="360" w:lineRule="auto"/>
      </w:pPr>
      <w:r>
        <w:rPr>
          <w:rFonts w:ascii="Arial" w:cs="Arial" w:eastAsia="Arial" w:hAnsi="Arial"/>
          <w:i w:val="false"/>
          <w:iCs w:val="false"/>
          <w:color w:val="1a1916"/>
          <w:sz w:val="22"/>
          <w:szCs w:val="22"/>
        </w:rPr>
        <w:t xml:space="preserve">This section defines the global constitutional state, the structure of governed surfaces and kernels, and the mathematical substrate underlying the architecture.</w:t>
      </w:r>
    </w:p>
    <w:p>
      <w:pPr>
        <w:pStyle w:val="Heading3"/>
        <w:spacing w:before="300" w:after="100"/>
      </w:pPr>
      <w:r>
        <w:rPr>
          <w:rFonts w:ascii="Arial" w:cs="Arial" w:eastAsia="Arial" w:hAnsi="Arial"/>
          <w:b/>
          <w:bCs/>
          <w:color w:val="1a1916"/>
          <w:sz w:val="24"/>
          <w:szCs w:val="24"/>
        </w:rPr>
        <w:t xml:space="preserve">2.1  Global Constitutional State</w:t>
      </w:r>
    </w:p>
    <w:p>
      <w:pPr>
        <w:spacing w:before="60" w:after="140" w:line="360" w:lineRule="auto"/>
      </w:pPr>
      <w:r>
        <w:rPr>
          <w:rFonts w:ascii="Arial" w:cs="Arial" w:eastAsia="Arial" w:hAnsi="Arial"/>
          <w:i w:val="false"/>
          <w:iCs w:val="false"/>
          <w:color w:val="1a1916"/>
          <w:sz w:val="22"/>
          <w:szCs w:val="22"/>
        </w:rPr>
        <w:t xml:space="preserve">Let Σ be the constitutional state space. A single state σ ∈ Σ contains:</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 = ⟨ Surf, Prop, Chain ⟩</w:t>
      </w:r>
    </w:p>
    <w:p>
      <w:pPr>
        <w:spacing w:before="40" w:after="80"/>
      </w:pPr>
    </w:p>
    <w:p>
      <w:pPr>
        <w:pStyle w:val="ListParagraph"/>
        <w:numPr>
          <w:ilvl w:val="0"/>
          <w:numId w:val="2"/>
        </w:numPr>
        <w:spacing w:before="40" w:after="60"/>
      </w:pPr>
      <w:r>
        <w:rPr>
          <w:rFonts w:ascii="Arial" w:cs="Arial" w:eastAsia="Arial" w:hAnsi="Arial"/>
          <w:color w:val="1a1916"/>
          <w:sz w:val="22"/>
          <w:szCs w:val="22"/>
        </w:rPr>
        <w:t xml:space="preserve">Surf: the set of active governed surfaces</w:t>
      </w:r>
    </w:p>
    <w:p>
      <w:pPr>
        <w:pStyle w:val="ListParagraph"/>
        <w:numPr>
          <w:ilvl w:val="0"/>
          <w:numId w:val="2"/>
        </w:numPr>
        <w:spacing w:before="40" w:after="60"/>
      </w:pPr>
      <w:r>
        <w:rPr>
          <w:rFonts w:ascii="Arial" w:cs="Arial" w:eastAsia="Arial" w:hAnsi="Arial"/>
          <w:color w:val="1a1916"/>
          <w:sz w:val="22"/>
          <w:szCs w:val="22"/>
        </w:rPr>
        <w:t xml:space="preserve">Prop: the set of in-flight proposals</w:t>
      </w:r>
    </w:p>
    <w:p>
      <w:pPr>
        <w:pStyle w:val="ListParagraph"/>
        <w:numPr>
          <w:ilvl w:val="0"/>
          <w:numId w:val="2"/>
        </w:numPr>
        <w:spacing w:before="40" w:after="60"/>
      </w:pPr>
      <w:r>
        <w:rPr>
          <w:rFonts w:ascii="Arial" w:cs="Arial" w:eastAsia="Arial" w:hAnsi="Arial"/>
          <w:color w:val="1a1916"/>
          <w:sz w:val="22"/>
          <w:szCs w:val="22"/>
        </w:rPr>
        <w:t xml:space="preserve">Chain = ⟨e₁, …, e_n⟩: the continuity chain (temporal ledger)</w:t>
      </w:r>
    </w:p>
    <w:p>
      <w:pPr>
        <w:pStyle w:val="Heading3"/>
        <w:spacing w:before="300" w:after="100"/>
      </w:pPr>
      <w:r>
        <w:rPr>
          <w:rFonts w:ascii="Arial" w:cs="Arial" w:eastAsia="Arial" w:hAnsi="Arial"/>
          <w:b/>
          <w:bCs/>
          <w:color w:val="1a1916"/>
          <w:sz w:val="24"/>
          <w:szCs w:val="24"/>
        </w:rPr>
        <w:t xml:space="preserve">2.2  Governed Surfaces and Kernels</w:t>
      </w:r>
    </w:p>
    <w:p>
      <w:pPr>
        <w:spacing w:before="60" w:after="140" w:line="360" w:lineRule="auto"/>
      </w:pPr>
      <w:r>
        <w:rPr>
          <w:rFonts w:ascii="Arial" w:cs="Arial" w:eastAsia="Arial" w:hAnsi="Arial"/>
          <w:i w:val="false"/>
          <w:iCs w:val="false"/>
          <w:color w:val="1a1916"/>
          <w:sz w:val="22"/>
          <w:szCs w:val="22"/>
        </w:rPr>
        <w:t xml:space="preserve">Each surface s ∈ Surf is a 7-tuple:</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s = ⟨ I, R, O, Φ, M, P, C ⟩</w:t>
      </w:r>
    </w:p>
    <w:p>
      <w:pPr>
        <w:spacing w:before="40" w:after="80"/>
      </w:pPr>
    </w:p>
    <w:p>
      <w:pPr>
        <w:spacing w:before="80"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2000"/>
        <w:gridCol w:w="6460"/>
      </w:tblGrid>
      <w:tr>
        <w:tc>
          <w:tcPr>
            <w:tcW w:type="dxa" w:w="9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Symbol</w:t>
            </w:r>
          </w:p>
        </w:tc>
        <w:tc>
          <w:tcPr>
            <w:tcW w:type="dxa" w:w="20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Component</w:t>
            </w:r>
          </w:p>
        </w:tc>
        <w:tc>
          <w:tcPr>
            <w:tcW w:type="dxa" w:w="646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Type and description</w:t>
            </w:r>
          </w:p>
        </w:tc>
      </w:tr>
      <w:tr>
        <w:tc>
          <w:tcPr>
            <w:tcW w:type="dxa" w:w="9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I</w:t>
            </w:r>
          </w:p>
        </w:tc>
        <w:tc>
          <w:tcPr>
            <w:tcW w:type="dxa" w:w="2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Identity</w:t>
            </w:r>
          </w:p>
        </w:tc>
        <w:tc>
          <w:tcPr>
            <w:tcW w:type="dxa" w:w="64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SurfaceID — unique identifier, name, version, surface type</w:t>
            </w:r>
          </w:p>
        </w:tc>
      </w:tr>
      <w:tr>
        <w:tc>
          <w:tcPr>
            <w:tcW w:type="dxa" w:w="9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R</w:t>
            </w:r>
          </w:p>
        </w:tc>
        <w:tc>
          <w:tcPr>
            <w:tcW w:type="dxa" w:w="2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Rights</w:t>
            </w:r>
          </w:p>
        </w:tc>
        <w:tc>
          <w:tcPr>
            <w:tcW w:type="dxa" w:w="64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Rights[] — non-revocable, non-transferable rights of the surface</w:t>
            </w:r>
          </w:p>
        </w:tc>
      </w:tr>
      <w:tr>
        <w:tc>
          <w:tcPr>
            <w:tcW w:type="dxa" w:w="9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O</w:t>
            </w:r>
          </w:p>
        </w:tc>
        <w:tc>
          <w:tcPr>
            <w:tcW w:type="dxa" w:w="2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Obligations</w:t>
            </w:r>
          </w:p>
        </w:tc>
        <w:tc>
          <w:tcPr>
            <w:tcW w:type="dxa" w:w="64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Obligation[] — duties the surface must fulfill</w:t>
            </w:r>
          </w:p>
        </w:tc>
      </w:tr>
      <w:tr>
        <w:tc>
          <w:tcPr>
            <w:tcW w:type="dxa" w:w="9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Φ</w:t>
            </w:r>
          </w:p>
        </w:tc>
        <w:tc>
          <w:tcPr>
            <w:tcW w:type="dxa" w:w="2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Invariants</w:t>
            </w:r>
          </w:p>
        </w:tc>
        <w:tc>
          <w:tcPr>
            <w:tcW w:type="dxa" w:w="64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Predicate[] — φ: Σ → {true,false}, must hold at all times</w:t>
            </w:r>
          </w:p>
        </w:tc>
      </w:tr>
      <w:tr>
        <w:tc>
          <w:tcPr>
            <w:tcW w:type="dxa" w:w="9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M</w:t>
            </w:r>
          </w:p>
        </w:tc>
        <w:tc>
          <w:tcPr>
            <w:tcW w:type="dxa" w:w="2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Membranes</w:t>
            </w:r>
          </w:p>
        </w:tc>
        <w:tc>
          <w:tcPr>
            <w:tcW w:type="dxa" w:w="64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Predicate[] — μ: Action → {pass,fail}, gate on all proposals</w:t>
            </w:r>
          </w:p>
        </w:tc>
      </w:tr>
      <w:tr>
        <w:tc>
          <w:tcPr>
            <w:tcW w:type="dxa" w:w="9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P</w:t>
            </w:r>
          </w:p>
        </w:tc>
        <w:tc>
          <w:tcPr>
            <w:tcW w:type="dxa" w:w="2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Proposal handler</w:t>
            </w:r>
          </w:p>
        </w:tc>
        <w:tc>
          <w:tcPr>
            <w:tcW w:type="dxa" w:w="64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Handler — receives and processes proposals targeting s</w:t>
            </w:r>
          </w:p>
        </w:tc>
      </w:tr>
      <w:tr>
        <w:tc>
          <w:tcPr>
            <w:tcW w:type="dxa" w:w="9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C</w:t>
            </w:r>
          </w:p>
        </w:tc>
        <w:tc>
          <w:tcPr>
            <w:tcW w:type="dxa" w:w="2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Continuity handler</w:t>
            </w:r>
          </w:p>
        </w:tc>
        <w:tc>
          <w:tcPr>
            <w:tcW w:type="dxa" w:w="64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Handler — emits and receives continuity events</w:t>
            </w:r>
          </w:p>
        </w:tc>
      </w:tr>
    </w:tbl>
    <w:p>
      <w:pPr>
        <w:spacing w:before="160" w:after="80"/>
      </w:pPr>
    </w:p>
    <w:p>
      <w:pPr>
        <w:spacing w:before="60" w:after="140" w:line="360" w:lineRule="auto"/>
      </w:pPr>
      <w:r>
        <w:rPr>
          <w:rFonts w:ascii="Arial" w:cs="Arial" w:eastAsia="Arial" w:hAnsi="Arial"/>
          <w:i w:val="false"/>
          <w:iCs w:val="false"/>
          <w:color w:val="1a1916"/>
          <w:sz w:val="22"/>
          <w:szCs w:val="22"/>
        </w:rPr>
        <w:t xml:space="preserve">Invariants are predicates on the global state:</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φ_i : Σ → {true, false}</w:t>
      </w:r>
    </w:p>
    <w:p>
      <w:pPr>
        <w:spacing w:before="80" w:after="80"/>
      </w:pPr>
    </w:p>
    <w:p>
      <w:pPr>
        <w:spacing w:before="60" w:after="140" w:line="360" w:lineRule="auto"/>
      </w:pPr>
      <w:r>
        <w:rPr>
          <w:rFonts w:ascii="Arial" w:cs="Arial" w:eastAsia="Arial" w:hAnsi="Arial"/>
          <w:i w:val="false"/>
          <w:iCs w:val="false"/>
          <w:color w:val="1a1916"/>
          <w:sz w:val="22"/>
          <w:szCs w:val="22"/>
        </w:rPr>
        <w:t xml:space="preserve">Membranes are predicates on actions and proposals, where Λ is the set of possible actions:</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μ_j : Λ → {pass, fail}</w:t>
      </w:r>
    </w:p>
    <w:p>
      <w:pPr>
        <w:pStyle w:val="Heading3"/>
        <w:spacing w:before="300" w:after="100"/>
      </w:pPr>
      <w:r>
        <w:rPr>
          <w:rFonts w:ascii="Arial" w:cs="Arial" w:eastAsia="Arial" w:hAnsi="Arial"/>
          <w:b/>
          <w:bCs/>
          <w:color w:val="1a1916"/>
          <w:sz w:val="24"/>
          <w:szCs w:val="24"/>
        </w:rPr>
        <w:t xml:space="preserve">2.3  Constitutional Validity</w:t>
      </w:r>
    </w:p>
    <w:p>
      <w:pPr>
        <w:spacing w:before="60" w:after="140" w:line="360" w:lineRule="auto"/>
      </w:pPr>
      <w:r>
        <w:rPr>
          <w:rFonts w:ascii="Arial" w:cs="Arial" w:eastAsia="Arial" w:hAnsi="Arial"/>
          <w:i w:val="false"/>
          <w:iCs w:val="false"/>
          <w:color w:val="1a1916"/>
          <w:sz w:val="22"/>
          <w:szCs w:val="22"/>
        </w:rPr>
        <w:t xml:space="preserve">The global state is constitutionally valid if and only if all invariants hold:</w:t>
      </w:r>
    </w:p>
    <w:p>
      <w:pPr>
        <w:spacing w:before="80" w:after="40"/>
      </w:pPr>
    </w:p>
    <w:p>
      <w:pPr>
        <w:shd w:fill="EEEDE6" w:val="clear"/>
        <w:spacing w:before="80" w:after="80"/>
        <w:ind w:left="720" w:right="360"/>
      </w:pPr>
      <w:r>
        <w:rPr>
          <w:rFonts w:ascii="Arial" w:cs="Arial" w:eastAsia="Arial" w:hAnsi="Arial"/>
          <w:b/>
          <w:bCs/>
          <w:color w:val="888884"/>
          <w:sz w:val="19"/>
          <w:szCs w:val="19"/>
        </w:rPr>
        <w:t xml:space="preserve">(CV)   </w:t>
      </w:r>
      <w:r>
        <w:rPr>
          <w:rFonts w:ascii="Cambria Math" w:cs="Cambria Math" w:eastAsia="Cambria Math" w:hAnsi="Cambria Math"/>
          <w:i/>
          <w:iCs/>
          <w:color w:val="1a1916"/>
          <w:sz w:val="23"/>
          <w:szCs w:val="23"/>
        </w:rPr>
        <w:t xml:space="preserve">valid(σ) ⇔ ∀i ∈ I : φ_i(σ) = true</w:t>
      </w:r>
    </w:p>
    <w:p>
      <w:pPr>
        <w:spacing w:before="40" w:after="80"/>
      </w:pPr>
    </w:p>
    <w:p>
      <w:pPr>
        <w:spacing w:before="60" w:after="140" w:line="360" w:lineRule="auto"/>
      </w:pPr>
      <w:r>
        <w:rPr>
          <w:rFonts w:ascii="Arial" w:cs="Arial" w:eastAsia="Arial" w:hAnsi="Arial"/>
          <w:i w:val="false"/>
          <w:iCs w:val="false"/>
          <w:color w:val="1a1916"/>
          <w:sz w:val="22"/>
          <w:szCs w:val="22"/>
        </w:rPr>
        <w:t xml:space="preserve">An action A is constitutionally permissible if and only if applying A to any valid state produces a valid state:</w:t>
      </w:r>
    </w:p>
    <w:p>
      <w:pPr>
        <w:spacing w:before="80" w:after="40"/>
      </w:pPr>
    </w:p>
    <w:p>
      <w:pPr>
        <w:shd w:fill="EEEDE6" w:val="clear"/>
        <w:spacing w:before="80" w:after="80"/>
        <w:ind w:left="720" w:right="360"/>
      </w:pPr>
      <w:r>
        <w:rPr>
          <w:rFonts w:ascii="Arial" w:cs="Arial" w:eastAsia="Arial" w:hAnsi="Arial"/>
          <w:b/>
          <w:bCs/>
          <w:color w:val="888884"/>
          <w:sz w:val="19"/>
          <w:szCs w:val="19"/>
        </w:rPr>
        <w:t xml:space="preserve">(CP)   </w:t>
      </w:r>
      <w:r>
        <w:rPr>
          <w:rFonts w:ascii="Cambria Math" w:cs="Cambria Math" w:eastAsia="Cambria Math" w:hAnsi="Cambria Math"/>
          <w:i/>
          <w:iCs/>
          <w:color w:val="1a1916"/>
          <w:sz w:val="23"/>
          <w:szCs w:val="23"/>
        </w:rPr>
        <w:t xml:space="preserve">permissible(A) ⇔ ∀σ : valid(σ) ⇒ valid(A(σ))</w:t>
      </w:r>
    </w:p>
    <w:p>
      <w:pPr>
        <w:spacing w:before="40" w:after="160"/>
      </w:pPr>
    </w:p>
    <w:p>
      <w:pPr>
        <w:pStyle w:val="Heading3"/>
        <w:spacing w:before="300" w:after="100"/>
      </w:pPr>
      <w:r>
        <w:rPr>
          <w:rFonts w:ascii="Arial" w:cs="Arial" w:eastAsia="Arial" w:hAnsi="Arial"/>
          <w:b/>
          <w:bCs/>
          <w:color w:val="1a1916"/>
          <w:sz w:val="24"/>
          <w:szCs w:val="24"/>
        </w:rPr>
        <w:t xml:space="preserve">2.4  Proposals as State Machine Objects</w:t>
      </w:r>
    </w:p>
    <w:p>
      <w:pPr>
        <w:spacing w:before="60" w:after="140" w:line="360" w:lineRule="auto"/>
      </w:pPr>
      <w:r>
        <w:rPr>
          <w:rFonts w:ascii="Arial" w:cs="Arial" w:eastAsia="Arial" w:hAnsi="Arial"/>
          <w:i w:val="false"/>
          <w:iCs w:val="false"/>
          <w:color w:val="1a1916"/>
          <w:sz w:val="22"/>
          <w:szCs w:val="22"/>
        </w:rPr>
        <w:t xml:space="preserve">The set of proposal lifecycle states is:</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Q = {created, classified, reviewed, inv‑checked, mem‑checked, veto‑window, ratified, anchored, rejected}</w:t>
      </w:r>
    </w:p>
    <w:p>
      <w:pPr>
        <w:spacing w:before="40" w:after="80"/>
      </w:pPr>
    </w:p>
    <w:p>
      <w:pPr>
        <w:spacing w:before="60" w:after="140" w:line="360" w:lineRule="auto"/>
      </w:pPr>
      <w:r>
        <w:rPr>
          <w:rFonts w:ascii="Arial" w:cs="Arial" w:eastAsia="Arial" w:hAnsi="Arial"/>
          <w:i w:val="false"/>
          <w:iCs w:val="false"/>
          <w:color w:val="1a1916"/>
          <w:sz w:val="22"/>
          <w:szCs w:val="22"/>
        </w:rPr>
        <w:t xml:space="preserve">A proposal p is a 5-tuple:</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p = ⟨ id, target, q, cls, δ ⟩</w:t>
      </w:r>
    </w:p>
    <w:p>
      <w:pPr>
        <w:spacing w:before="40" w:after="80"/>
      </w:pPr>
    </w:p>
    <w:p>
      <w:pPr>
        <w:pStyle w:val="ListParagraph"/>
        <w:numPr>
          <w:ilvl w:val="0"/>
          <w:numId w:val="2"/>
        </w:numPr>
        <w:spacing w:before="40" w:after="60"/>
      </w:pPr>
      <w:r>
        <w:rPr>
          <w:rFonts w:ascii="Arial" w:cs="Arial" w:eastAsia="Arial" w:hAnsi="Arial"/>
          <w:color w:val="1a1916"/>
          <w:sz w:val="22"/>
          <w:szCs w:val="22"/>
        </w:rPr>
        <w:t xml:space="preserve">id: proposal identifier</w:t>
      </w:r>
    </w:p>
    <w:p>
      <w:pPr>
        <w:pStyle w:val="ListParagraph"/>
        <w:numPr>
          <w:ilvl w:val="0"/>
          <w:numId w:val="2"/>
        </w:numPr>
        <w:spacing w:before="40" w:after="60"/>
      </w:pPr>
      <w:r>
        <w:rPr>
          <w:rFonts w:ascii="Arial" w:cs="Arial" w:eastAsia="Arial" w:hAnsi="Arial"/>
          <w:color w:val="1a1916"/>
          <w:sz w:val="22"/>
          <w:szCs w:val="22"/>
        </w:rPr>
        <w:t xml:space="preserve">target: target surface s ∈ Surf</w:t>
      </w:r>
    </w:p>
    <w:p>
      <w:pPr>
        <w:pStyle w:val="ListParagraph"/>
        <w:numPr>
          <w:ilvl w:val="0"/>
          <w:numId w:val="2"/>
        </w:numPr>
        <w:spacing w:before="40" w:after="60"/>
      </w:pPr>
      <w:r>
        <w:rPr>
          <w:rFonts w:ascii="Arial" w:cs="Arial" w:eastAsia="Arial" w:hAnsi="Arial"/>
          <w:color w:val="1a1916"/>
          <w:sz w:val="22"/>
          <w:szCs w:val="22"/>
        </w:rPr>
        <w:t xml:space="preserve">q ∈ Q: current lifecycle state</w:t>
      </w:r>
    </w:p>
    <w:p>
      <w:pPr>
        <w:pStyle w:val="ListParagraph"/>
        <w:numPr>
          <w:ilvl w:val="0"/>
          <w:numId w:val="2"/>
        </w:numPr>
        <w:spacing w:before="40" w:after="60"/>
      </w:pPr>
      <w:r>
        <w:rPr>
          <w:rFonts w:ascii="Arial" w:cs="Arial" w:eastAsia="Arial" w:hAnsi="Arial"/>
          <w:color w:val="1a1916"/>
          <w:sz w:val="22"/>
          <w:szCs w:val="22"/>
        </w:rPr>
        <w:t xml:space="preserve">cls: classification (constitutional | operational | emergency | corrective | archival)</w:t>
      </w:r>
    </w:p>
    <w:p>
      <w:pPr>
        <w:pStyle w:val="ListParagraph"/>
        <w:numPr>
          <w:ilvl w:val="0"/>
          <w:numId w:val="2"/>
        </w:numPr>
        <w:spacing w:before="40" w:after="60"/>
      </w:pPr>
      <w:r>
        <w:rPr>
          <w:rFonts w:ascii="Arial" w:cs="Arial" w:eastAsia="Arial" w:hAnsi="Arial"/>
          <w:color w:val="1a1916"/>
          <w:sz w:val="22"/>
          <w:szCs w:val="22"/>
        </w:rPr>
        <w:t xml:space="preserve">δ: constitutional delta — a term from the delta calculus (Section 3)</w:t>
      </w:r>
    </w:p>
    <w:p>
      <w:pPr>
        <w:pStyle w:val="Heading3"/>
        <w:spacing w:before="300" w:after="100"/>
      </w:pPr>
      <w:r>
        <w:rPr>
          <w:rFonts w:ascii="Arial" w:cs="Arial" w:eastAsia="Arial" w:hAnsi="Arial"/>
          <w:b/>
          <w:bCs/>
          <w:color w:val="1a1916"/>
          <w:sz w:val="24"/>
          <w:szCs w:val="24"/>
        </w:rPr>
        <w:t xml:space="preserve">2.5  Category-Theoretic Interpretation</w:t>
      </w:r>
    </w:p>
    <w:p>
      <w:pPr>
        <w:spacing w:before="60" w:after="140" w:line="360" w:lineRule="auto"/>
      </w:pPr>
      <w:r>
        <w:rPr>
          <w:rFonts w:ascii="Arial" w:cs="Arial" w:eastAsia="Arial" w:hAnsi="Arial"/>
          <w:i w:val="false"/>
          <w:iCs w:val="false"/>
          <w:color w:val="1a1916"/>
          <w:sz w:val="22"/>
          <w:szCs w:val="22"/>
        </w:rPr>
        <w:t xml:space="preserve">The constitutional state model has a natural categorical interpretation providing compositional soundness:</w:t>
      </w:r>
    </w:p>
    <w:p>
      <w:pPr>
        <w:spacing w:before="80"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Constitutional concept</w:t>
            </w:r>
          </w:p>
        </w:tc>
        <w:tc>
          <w:tcPr>
            <w:tcW w:type="dxa" w:w="616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Category-theoretic object</w:t>
            </w:r>
          </w:p>
        </w:tc>
      </w:tr>
      <w:tr>
        <w:tc>
          <w:tcPr>
            <w:tcW w:type="dxa" w:w="32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Governed surfaces</w:t>
            </w:r>
          </w:p>
        </w:tc>
        <w:tc>
          <w:tcPr>
            <w:tcW w:type="dxa" w:w="61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Objects in constitutional category C</w:t>
            </w:r>
          </w:p>
        </w:tc>
      </w:tr>
      <w:tr>
        <w:tc>
          <w:tcPr>
            <w:tcW w:type="dxa" w:w="32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Reversible deltas</w:t>
            </w:r>
          </w:p>
        </w:tc>
        <w:tc>
          <w:tcPr>
            <w:tcW w:type="dxa" w:w="61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Morphisms f: σ₁ → σ₂ between states</w:t>
            </w:r>
          </w:p>
        </w:tc>
      </w:tr>
      <w:tr>
        <w:tc>
          <w:tcPr>
            <w:tcW w:type="dxa" w:w="32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Delta composition</w:t>
            </w:r>
          </w:p>
        </w:tc>
        <w:tc>
          <w:tcPr>
            <w:tcW w:type="dxa" w:w="61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Morphism composition: (g ∘ f): A → C</w:t>
            </w:r>
          </w:p>
        </w:tc>
      </w:tr>
      <w:tr>
        <w:tc>
          <w:tcPr>
            <w:tcW w:type="dxa" w:w="32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Identity delta ε</w:t>
            </w:r>
          </w:p>
        </w:tc>
        <w:tc>
          <w:tcPr>
            <w:tcW w:type="dxa" w:w="61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Identity morphism id_σ at each state</w:t>
            </w:r>
          </w:p>
        </w:tc>
      </w:tr>
      <w:tr>
        <w:tc>
          <w:tcPr>
            <w:tcW w:type="dxa" w:w="32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Continuity chain</w:t>
            </w:r>
          </w:p>
        </w:tc>
        <w:tc>
          <w:tcPr>
            <w:tcW w:type="dxa" w:w="61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Functor F: C → Time preserving constitutional structure</w:t>
            </w:r>
          </w:p>
        </w:tc>
      </w:tr>
      <w:tr>
        <w:tc>
          <w:tcPr>
            <w:tcW w:type="dxa" w:w="32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Membranes</w:t>
            </w:r>
          </w:p>
        </w:tc>
        <w:tc>
          <w:tcPr>
            <w:tcW w:type="dxa" w:w="61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Natural transformations enforcing boundary conditions between functors</w:t>
            </w:r>
          </w:p>
        </w:tc>
      </w:tr>
    </w:tbl>
    <w:p>
      <w:pPr>
        <w:spacing w:before="160" w:after="80"/>
      </w:pPr>
    </w:p>
    <w:p>
      <w:pPr>
        <w:spacing w:before="60" w:after="140" w:line="360" w:lineRule="auto"/>
      </w:pPr>
      <w:r>
        <w:rPr>
          <w:rFonts w:ascii="Arial" w:cs="Arial" w:eastAsia="Arial" w:hAnsi="Arial"/>
          <w:i w:val="false"/>
          <w:iCs w:val="false"/>
          <w:color w:val="1a1916"/>
          <w:sz w:val="22"/>
          <w:szCs w:val="22"/>
        </w:rPr>
        <w:t xml:space="preserve">The categorical structure provides a formal proof that constitutional constraints are preserved under delta composition: if δ₁ and δ₂ are both permissible, their composition δ₂ ∘ δ₁ is also permissible, provided the intermediate state remains valid.</w:t>
      </w:r>
    </w:p>
    <w:p>
      <w:pPr>
        <w:pBdr>
          <w:bottom w:val="single" w:color="E0DFD8" w:sz="4" w:space="1"/>
        </w:pBdr>
        <w:spacing w:before="320" w:after="320"/>
      </w:pPr>
    </w:p>
    <w:p>
      <w:pPr>
        <w:pStyle w:val="Heading1"/>
        <w:spacing w:before="520" w:after="200"/>
      </w:pPr>
      <w:r>
        <w:rPr>
          <w:rFonts w:ascii="Arial" w:cs="Arial" w:eastAsia="Arial" w:hAnsi="Arial"/>
          <w:b/>
          <w:bCs/>
          <w:color w:val="C94400"/>
          <w:sz w:val="40"/>
          <w:szCs w:val="40"/>
        </w:rPr>
        <w:t xml:space="preserve">3.  The Delta Calculus</w:t>
      </w:r>
    </w:p>
    <w:p>
      <w:pPr>
        <w:spacing w:before="60" w:after="140" w:line="360" w:lineRule="auto"/>
      </w:pPr>
      <w:r>
        <w:rPr>
          <w:rFonts w:ascii="Arial" w:cs="Arial" w:eastAsia="Arial" w:hAnsi="Arial"/>
          <w:i w:val="false"/>
          <w:iCs w:val="false"/>
          <w:color w:val="1a1916"/>
          <w:sz w:val="22"/>
          <w:szCs w:val="22"/>
        </w:rPr>
        <w:t xml:space="preserve">The delta calculus is the core formal language of the Constitutional OS. It is a minimal, typed, reversible calculus of constitutional state transformers. Every constitutional change is expressed as a term in this calculus. The calculus is intentionally compact — it is the lambda calculus of the Constitutional OS.</w:t>
      </w:r>
    </w:p>
    <w:p>
      <w:pPr>
        <w:pStyle w:val="Heading3"/>
        <w:spacing w:before="300" w:after="100"/>
      </w:pPr>
      <w:r>
        <w:rPr>
          <w:rFonts w:ascii="Arial" w:cs="Arial" w:eastAsia="Arial" w:hAnsi="Arial"/>
          <w:b/>
          <w:bCs/>
          <w:color w:val="1a1916"/>
          <w:sz w:val="24"/>
          <w:szCs w:val="24"/>
        </w:rPr>
        <w:t xml:space="preserve">3.1  Syntax</w:t>
      </w:r>
    </w:p>
    <w:p>
      <w:pPr>
        <w:spacing w:before="60" w:after="140" w:line="360" w:lineRule="auto"/>
      </w:pPr>
      <w:r>
        <w:rPr>
          <w:rFonts w:ascii="Arial" w:cs="Arial" w:eastAsia="Arial" w:hAnsi="Arial"/>
          <w:i w:val="false"/>
          <w:iCs w:val="false"/>
          <w:color w:val="1a1916"/>
          <w:sz w:val="22"/>
          <w:szCs w:val="22"/>
        </w:rPr>
        <w:t xml:space="preserve">Let σ range over constitutional states (finite maps from constitutional keys K to values V). The grammar of delta terms is:</w:t>
      </w:r>
    </w:p>
    <w:p>
      <w:pPr>
        <w:spacing w:before="80" w:after="40"/>
      </w:pPr>
    </w:p>
    <w:p>
      <w:pPr>
        <w:shd w:fill="EEEDE6" w:val="clear"/>
        <w:spacing w:before="30" w:after="30"/>
        <w:ind w:left="720"/>
      </w:pPr>
      <w:r>
        <w:rPr>
          <w:rFonts w:ascii="Courier New" w:cs="Courier New" w:eastAsia="Courier New" w:hAnsi="Courier New"/>
          <w:color w:val="2C2C2A"/>
          <w:sz w:val="19"/>
          <w:szCs w:val="19"/>
        </w:rPr>
        <w:t xml:space="preserve">δ ::=</w:t>
      </w:r>
    </w:p>
    <w:p>
      <w:pPr>
        <w:shd w:fill="EEEDE6" w:val="clear"/>
        <w:spacing w:before="30" w:after="30"/>
        <w:ind w:left="720"/>
      </w:pPr>
      <w:r>
        <w:rPr>
          <w:rFonts w:ascii="Courier New" w:cs="Courier New" w:eastAsia="Courier New" w:hAnsi="Courier New"/>
          <w:color w:val="2C2C2A"/>
          <w:sz w:val="19"/>
          <w:szCs w:val="19"/>
        </w:rPr>
        <w:t xml:space="preserve">    ε                        identity (no-op)</w:t>
      </w:r>
    </w:p>
    <w:p>
      <w:pPr>
        <w:shd w:fill="EEEDE6" w:val="clear"/>
        <w:spacing w:before="30" w:after="30"/>
        <w:ind w:left="720"/>
      </w:pPr>
      <w:r>
        <w:rPr>
          <w:rFonts w:ascii="Courier New" w:cs="Courier New" w:eastAsia="Courier New" w:hAnsi="Courier New"/>
          <w:color w:val="2C2C2A"/>
          <w:sz w:val="19"/>
          <w:szCs w:val="19"/>
        </w:rPr>
        <w:t xml:space="preserve">  | set(k, v)               overwrite field k with value v</w:t>
      </w:r>
    </w:p>
    <w:p>
      <w:pPr>
        <w:shd w:fill="EEEDE6" w:val="clear"/>
        <w:spacing w:before="30" w:after="30"/>
        <w:ind w:left="720"/>
      </w:pPr>
      <w:r>
        <w:rPr>
          <w:rFonts w:ascii="Courier New" w:cs="Courier New" w:eastAsia="Courier New" w:hAnsi="Courier New"/>
          <w:color w:val="2C2C2A"/>
          <w:sz w:val="19"/>
          <w:szCs w:val="19"/>
        </w:rPr>
        <w:t xml:space="preserve">  | add(k, v)               insert new binding k ↦ v</w:t>
      </w:r>
    </w:p>
    <w:p>
      <w:pPr>
        <w:shd w:fill="EEEDE6" w:val="clear"/>
        <w:spacing w:before="30" w:after="30"/>
        <w:ind w:left="720"/>
      </w:pPr>
      <w:r>
        <w:rPr>
          <w:rFonts w:ascii="Courier New" w:cs="Courier New" w:eastAsia="Courier New" w:hAnsi="Courier New"/>
          <w:color w:val="2C2C2A"/>
          <w:sz w:val="19"/>
          <w:szCs w:val="19"/>
        </w:rPr>
        <w:t xml:space="preserve">  | del(k)                  delete binding k</w:t>
      </w:r>
    </w:p>
    <w:p>
      <w:pPr>
        <w:shd w:fill="EEEDE6" w:val="clear"/>
        <w:spacing w:before="30" w:after="30"/>
        <w:ind w:left="720"/>
      </w:pPr>
      <w:r>
        <w:rPr>
          <w:rFonts w:ascii="Courier New" w:cs="Courier New" w:eastAsia="Courier New" w:hAnsi="Courier New"/>
          <w:color w:val="2C2C2A"/>
          <w:sz w:val="19"/>
          <w:szCs w:val="19"/>
        </w:rPr>
        <w:t xml:space="preserve">  | δ₁ ; δ₂               sequential composition</w:t>
      </w:r>
    </w:p>
    <w:p>
      <w:pPr>
        <w:shd w:fill="EEEDE6" w:val="clear"/>
        <w:spacing w:before="30" w:after="30"/>
        <w:ind w:left="720"/>
      </w:pPr>
      <w:r>
        <w:rPr>
          <w:rFonts w:ascii="Courier New" w:cs="Courier New" w:eastAsia="Courier New" w:hAnsi="Courier New"/>
          <w:color w:val="2C2C2A"/>
          <w:sz w:val="19"/>
          <w:szCs w:val="19"/>
        </w:rPr>
        <w:t xml:space="preserve">  | δ⁻¹                       formal inverse of δ</w:t>
      </w:r>
    </w:p>
    <w:p>
      <w:pPr>
        <w:spacing w:before="80" w:after="80"/>
      </w:pPr>
    </w:p>
    <w:p>
      <w:pPr>
        <w:spacing w:before="60" w:after="140" w:line="360" w:lineRule="auto"/>
      </w:pPr>
      <w:r>
        <w:rPr>
          <w:rFonts w:ascii="Arial" w:cs="Arial" w:eastAsia="Arial" w:hAnsi="Arial"/>
          <w:i w:val="false"/>
          <w:iCs w:val="false"/>
          <w:color w:val="1a1916"/>
          <w:sz w:val="22"/>
          <w:szCs w:val="22"/>
        </w:rPr>
        <w:t xml:space="preserve">A constitutional state σ is a finite map:</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 : K ↸ V</w:t>
      </w:r>
    </w:p>
    <w:p>
      <w:pPr>
        <w:pStyle w:val="Heading3"/>
        <w:spacing w:before="300" w:after="100"/>
      </w:pPr>
      <w:r>
        <w:rPr>
          <w:rFonts w:ascii="Arial" w:cs="Arial" w:eastAsia="Arial" w:hAnsi="Arial"/>
          <w:b/>
          <w:bCs/>
          <w:color w:val="1a1916"/>
          <w:sz w:val="24"/>
          <w:szCs w:val="24"/>
        </w:rPr>
        <w:t xml:space="preserve">3.2  Operational Semantics</w:t>
      </w:r>
    </w:p>
    <w:p>
      <w:pPr>
        <w:spacing w:before="60" w:after="140" w:line="360" w:lineRule="auto"/>
      </w:pPr>
      <w:r>
        <w:rPr>
          <w:rFonts w:ascii="Arial" w:cs="Arial" w:eastAsia="Arial" w:hAnsi="Arial"/>
          <w:i w:val="false"/>
          <w:iCs w:val="false"/>
          <w:color w:val="1a1916"/>
          <w:sz w:val="22"/>
          <w:szCs w:val="22"/>
        </w:rPr>
        <w:t xml:space="preserve">We define a small-step reduction relation σ ⊢ δ ⇨ σ'. The primitive rules are:</w:t>
      </w:r>
    </w:p>
    <w:p>
      <w:pPr>
        <w:spacing w:before="80"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3200"/>
        <w:gridCol w:w="4760"/>
      </w:tblGrid>
      <w:tr>
        <w:tc>
          <w:tcPr>
            <w:tcW w:type="dxa" w:w="14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Rule</w:t>
            </w:r>
          </w:p>
        </w:tc>
        <w:tc>
          <w:tcPr>
            <w:tcW w:type="dxa" w:w="32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Premise</w:t>
            </w:r>
          </w:p>
        </w:tc>
        <w:tc>
          <w:tcPr>
            <w:tcW w:type="dxa" w:w="476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Conclusion</w:t>
            </w:r>
          </w:p>
        </w:tc>
      </w:tr>
      <w:tr>
        <w:tc>
          <w:tcPr>
            <w:tcW w:type="dxa" w:w="14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Identity</w:t>
            </w:r>
          </w:p>
        </w:tc>
        <w:tc>
          <w:tcPr>
            <w:tcW w:type="dxa" w:w="32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w:t>
            </w:r>
          </w:p>
        </w:tc>
        <w:tc>
          <w:tcPr>
            <w:tcW w:type="dxa" w:w="47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σ ⊢ ε ⇨ σ</w:t>
            </w:r>
          </w:p>
        </w:tc>
      </w:tr>
      <w:tr>
        <w:tc>
          <w:tcPr>
            <w:tcW w:type="dxa" w:w="14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Set</w:t>
            </w:r>
          </w:p>
        </w:tc>
        <w:tc>
          <w:tcPr>
            <w:tcW w:type="dxa" w:w="32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w:t>
            </w:r>
          </w:p>
        </w:tc>
        <w:tc>
          <w:tcPr>
            <w:tcW w:type="dxa" w:w="47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σ ⊢ set(k,v) ⇨ σ[k ↦ v]</w:t>
            </w:r>
          </w:p>
        </w:tc>
      </w:tr>
      <w:tr>
        <w:tc>
          <w:tcPr>
            <w:tcW w:type="dxa" w:w="14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Add</w:t>
            </w:r>
          </w:p>
        </w:tc>
        <w:tc>
          <w:tcPr>
            <w:tcW w:type="dxa" w:w="32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k ∉ dom(σ)</w:t>
            </w:r>
          </w:p>
        </w:tc>
        <w:tc>
          <w:tcPr>
            <w:tcW w:type="dxa" w:w="47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σ ⊢ add(k,v) ⇨ σ ∪ {k ↦ v}</w:t>
            </w:r>
          </w:p>
        </w:tc>
      </w:tr>
      <w:tr>
        <w:tc>
          <w:tcPr>
            <w:tcW w:type="dxa" w:w="14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Remove</w:t>
            </w:r>
          </w:p>
        </w:tc>
        <w:tc>
          <w:tcPr>
            <w:tcW w:type="dxa" w:w="32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k ∈ dom(σ)</w:t>
            </w:r>
          </w:p>
        </w:tc>
        <w:tc>
          <w:tcPr>
            <w:tcW w:type="dxa" w:w="47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σ ⊢ del(k) ⇨ σ \ {k}</w:t>
            </w:r>
          </w:p>
        </w:tc>
      </w:tr>
    </w:tbl>
    <w:p>
      <w:pPr>
        <w:spacing w:before="80" w:after="80"/>
      </w:pPr>
    </w:p>
    <w:p>
      <w:pPr>
        <w:spacing w:before="60" w:after="140" w:line="360" w:lineRule="auto"/>
      </w:pPr>
      <w:r>
        <w:rPr>
          <w:rFonts w:ascii="Arial" w:cs="Arial" w:eastAsia="Arial" w:hAnsi="Arial"/>
          <w:i w:val="false"/>
          <w:iCs w:val="false"/>
          <w:color w:val="1a1916"/>
          <w:sz w:val="22"/>
          <w:szCs w:val="22"/>
        </w:rPr>
        <w:t xml:space="preserve">Composition reduces left-to-right:</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 ⊢ δ₁ ⇨ σ'    σ' ⊢ δ₂ ⇨ σ''</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 ⊢ δ₁ ; δ₂ ⇨ σ''</w:t>
      </w:r>
    </w:p>
    <w:p>
      <w:pPr>
        <w:spacing w:before="40" w:after="80"/>
      </w:pPr>
    </w:p>
    <w:p>
      <w:pPr>
        <w:spacing w:before="60" w:after="140" w:line="360" w:lineRule="auto"/>
      </w:pPr>
      <w:r>
        <w:rPr>
          <w:rFonts w:ascii="Arial" w:cs="Arial" w:eastAsia="Arial" w:hAnsi="Arial"/>
          <w:i w:val="false"/>
          <w:iCs w:val="false"/>
          <w:color w:val="1a1916"/>
          <w:sz w:val="22"/>
          <w:szCs w:val="22"/>
        </w:rPr>
        <w:t xml:space="preserve">Inversion is defined structurally, giving the calculus its groupoid structure:</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ε⁻¹ = ε</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set(k,v)⁻¹ = set(k, σ(k))     —  restore prior value</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add(k,v)⁻¹ = del(k)</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del(k)⁻¹ = add(k, σ(k))      —  restore prior binding</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(δ₁ ; δ₂)⁻¹ = δ₂⁻¹ ; δ₁⁻¹</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(δ⁻¹)⁻¹ = δ</w:t>
      </w:r>
    </w:p>
    <w:p>
      <w:pPr>
        <w:spacing w:before="40" w:after="80"/>
      </w:pPr>
    </w:p>
    <w:p>
      <w:pPr>
        <w:spacing w:before="60" w:after="140" w:line="360" w:lineRule="auto"/>
      </w:pPr>
      <w:r>
        <w:rPr>
          <w:rFonts w:ascii="Arial" w:cs="Arial" w:eastAsia="Arial" w:hAnsi="Arial"/>
          <w:i w:val="false"/>
          <w:iCs w:val="false"/>
          <w:color w:val="1a1916"/>
          <w:sz w:val="22"/>
          <w:szCs w:val="22"/>
        </w:rPr>
        <w:t xml:space="preserve">The groupoid property gives us:</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δ ; δ⁻¹ = ε    and    δ⁻¹ ; δ = ε</w:t>
      </w:r>
    </w:p>
    <w:p>
      <w:pPr>
        <w:pStyle w:val="Heading3"/>
        <w:spacing w:before="300" w:after="100"/>
      </w:pPr>
      <w:r>
        <w:rPr>
          <w:rFonts w:ascii="Arial" w:cs="Arial" w:eastAsia="Arial" w:hAnsi="Arial"/>
          <w:b/>
          <w:bCs/>
          <w:color w:val="1a1916"/>
          <w:sz w:val="24"/>
          <w:szCs w:val="24"/>
        </w:rPr>
        <w:t xml:space="preserve">3.3  Typing Rules</w:t>
      </w:r>
    </w:p>
    <w:p>
      <w:pPr>
        <w:spacing w:before="60" w:after="140" w:line="360" w:lineRule="auto"/>
      </w:pPr>
      <w:r>
        <w:rPr>
          <w:rFonts w:ascii="Arial" w:cs="Arial" w:eastAsia="Arial" w:hAnsi="Arial"/>
          <w:i w:val="false"/>
          <w:iCs w:val="false"/>
          <w:color w:val="1a1916"/>
          <w:sz w:val="22"/>
          <w:szCs w:val="22"/>
        </w:rPr>
        <w:t xml:space="preserve">We introduce a typing judgment:</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Γ ⊢ δ : σ → σ'</w:t>
      </w:r>
    </w:p>
    <w:p>
      <w:pPr>
        <w:spacing w:before="40" w:after="80"/>
      </w:pPr>
    </w:p>
    <w:p>
      <w:pPr>
        <w:spacing w:before="60" w:after="140" w:line="360" w:lineRule="auto"/>
      </w:pPr>
      <w:r>
        <w:rPr>
          <w:rFonts w:ascii="Arial" w:cs="Arial" w:eastAsia="Arial" w:hAnsi="Arial"/>
          <w:i w:val="false"/>
          <w:iCs w:val="false"/>
          <w:color w:val="1a1916"/>
          <w:sz w:val="22"/>
          <w:szCs w:val="22"/>
        </w:rPr>
        <w:t xml:space="preserve">Read as: “under constitutional context Γ, delta δ is a well-formed transformer from state σ to state σ'.” The context Γ contains declared keys, key types, membrane constraints, and invariant predicates.</w:t>
      </w:r>
    </w:p>
    <w:p>
      <w:pPr>
        <w:spacing w:before="80"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7760"/>
      </w:tblGrid>
      <w:tr>
        <w:tc>
          <w:tcPr>
            <w:tcW w:type="dxa" w:w="16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Rule</w:t>
            </w:r>
          </w:p>
        </w:tc>
        <w:tc>
          <w:tcPr>
            <w:tcW w:type="dxa" w:w="776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Typing judgment</w:t>
            </w:r>
          </w:p>
        </w:tc>
      </w:tr>
      <w:tr>
        <w:tc>
          <w:tcPr>
            <w:tcW w:type="dxa" w:w="16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Skip</w:t>
            </w:r>
          </w:p>
        </w:tc>
        <w:tc>
          <w:tcPr>
            <w:tcW w:type="dxa" w:w="77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Γ ⊢ ε : σ → σ</w:t>
            </w:r>
          </w:p>
        </w:tc>
      </w:tr>
      <w:tr>
        <w:tc>
          <w:tcPr>
            <w:tcW w:type="dxa" w:w="16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Set</w:t>
            </w:r>
          </w:p>
        </w:tc>
        <w:tc>
          <w:tcPr>
            <w:tcW w:type="dxa" w:w="77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k ∈ dom(σ)  ⊢  Γ ⊢ set(k,v) : σ → σ[k↦v]</w:t>
            </w:r>
          </w:p>
        </w:tc>
      </w:tr>
      <w:tr>
        <w:tc>
          <w:tcPr>
            <w:tcW w:type="dxa" w:w="16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Add</w:t>
            </w:r>
          </w:p>
        </w:tc>
        <w:tc>
          <w:tcPr>
            <w:tcW w:type="dxa" w:w="77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k ∉ dom(σ)  ⊢  Γ ⊢ add(k,v) : σ → σ∪{k↦v}</w:t>
            </w:r>
          </w:p>
        </w:tc>
      </w:tr>
      <w:tr>
        <w:tc>
          <w:tcPr>
            <w:tcW w:type="dxa" w:w="16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Remove</w:t>
            </w:r>
          </w:p>
        </w:tc>
        <w:tc>
          <w:tcPr>
            <w:tcW w:type="dxa" w:w="77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k ∈ dom(σ)  ⊢  Γ ⊢ del(k) : σ → σ\{k}</w:t>
            </w:r>
          </w:p>
        </w:tc>
      </w:tr>
      <w:tr>
        <w:tc>
          <w:tcPr>
            <w:tcW w:type="dxa" w:w="16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Composition</w:t>
            </w:r>
          </w:p>
        </w:tc>
        <w:tc>
          <w:tcPr>
            <w:tcW w:type="dxa" w:w="77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Γ ⊢ δ₁ : σ → σ'  and  Γ ⊢ δ₂ : σ' → σ''  ⊢  Γ ⊢ δ₁;δ₂ : σ → σ''</w:t>
            </w:r>
          </w:p>
        </w:tc>
      </w:tr>
      <w:tr>
        <w:tc>
          <w:tcPr>
            <w:tcW w:type="dxa" w:w="16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Inversion</w:t>
            </w:r>
          </w:p>
        </w:tc>
        <w:tc>
          <w:tcPr>
            <w:tcW w:type="dxa" w:w="77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Γ ⊢ δ : σ → σ'  ⊢  Γ ⊢ δ⁻¹ : σ' → σ</w:t>
            </w:r>
          </w:p>
        </w:tc>
      </w:tr>
    </w:tbl>
    <w:p>
      <w:pPr>
        <w:spacing w:before="160" w:after="80"/>
      </w:pPr>
    </w:p>
    <w:p>
      <w:pPr>
        <w:pStyle w:val="Heading3"/>
        <w:spacing w:before="300" w:after="100"/>
      </w:pPr>
      <w:r>
        <w:rPr>
          <w:rFonts w:ascii="Arial" w:cs="Arial" w:eastAsia="Arial" w:hAnsi="Arial"/>
          <w:b/>
          <w:bCs/>
          <w:color w:val="1a1916"/>
          <w:sz w:val="24"/>
          <w:szCs w:val="24"/>
        </w:rPr>
        <w:t xml:space="preserve">3.4  Invariant Preservation</w:t>
      </w:r>
    </w:p>
    <w:p>
      <w:pPr>
        <w:spacing w:before="60" w:after="140" w:line="360" w:lineRule="auto"/>
      </w:pPr>
      <w:r>
        <w:rPr>
          <w:rFonts w:ascii="Arial" w:cs="Arial" w:eastAsia="Arial" w:hAnsi="Arial"/>
          <w:i w:val="false"/>
          <w:iCs w:val="false"/>
          <w:color w:val="1a1916"/>
          <w:sz w:val="22"/>
          <w:szCs w:val="22"/>
        </w:rPr>
        <w:t xml:space="preserve">Each invariant φ_i is a predicate on states. A delta δ is invariant-preserving if:</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 : valid(σ) ⇒ σ ⊢ δ ⇨ σ' ⇒ valid(σ')</w:t>
      </w:r>
    </w:p>
    <w:p>
      <w:pPr>
        <w:spacing w:before="40" w:after="80"/>
      </w:pPr>
    </w:p>
    <w:p>
      <w:pPr>
        <w:spacing w:before="60" w:after="140" w:line="360" w:lineRule="auto"/>
      </w:pPr>
      <w:r>
        <w:rPr>
          <w:rFonts w:ascii="Arial" w:cs="Arial" w:eastAsia="Arial" w:hAnsi="Arial"/>
          <w:i w:val="false"/>
          <w:iCs w:val="false"/>
          <w:color w:val="1a1916"/>
          <w:sz w:val="22"/>
          <w:szCs w:val="22"/>
        </w:rPr>
        <w:t xml:space="preserve">We encode this as a typing rule:</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Γ ⊢ δ : σ → σ'    ∀i : φ_i(σ') = true</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Γ ⊢ δ : σ →[Φ‑pres] σ'</w:t>
      </w:r>
    </w:p>
    <w:p>
      <w:pPr>
        <w:spacing w:before="40" w:after="160"/>
      </w:pPr>
    </w:p>
    <w:p>
      <w:pPr>
        <w:pStyle w:val="Heading3"/>
        <w:spacing w:before="300" w:after="100"/>
      </w:pPr>
      <w:r>
        <w:rPr>
          <w:rFonts w:ascii="Arial" w:cs="Arial" w:eastAsia="Arial" w:hAnsi="Arial"/>
          <w:b/>
          <w:bCs/>
          <w:color w:val="1a1916"/>
          <w:sz w:val="24"/>
          <w:szCs w:val="24"/>
        </w:rPr>
        <w:t xml:space="preserve">3.5  Membrane Admissibility</w:t>
      </w:r>
    </w:p>
    <w:p>
      <w:pPr>
        <w:spacing w:before="60" w:after="140" w:line="360" w:lineRule="auto"/>
      </w:pPr>
      <w:r>
        <w:rPr>
          <w:rFonts w:ascii="Arial" w:cs="Arial" w:eastAsia="Arial" w:hAnsi="Arial"/>
          <w:i w:val="false"/>
          <w:iCs w:val="false"/>
          <w:color w:val="1a1916"/>
          <w:sz w:val="22"/>
          <w:szCs w:val="22"/>
        </w:rPr>
        <w:t xml:space="preserve">Each membrane μ_j is a predicate on deltas. A delta is membrane-admissible if:</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∀j : μ_j(δ) = pass</w:t>
      </w:r>
    </w:p>
    <w:p>
      <w:pPr>
        <w:spacing w:before="40" w:after="80"/>
      </w:pPr>
    </w:p>
    <w:p>
      <w:pPr>
        <w:spacing w:before="60" w:after="140" w:line="360" w:lineRule="auto"/>
      </w:pPr>
      <w:r>
        <w:rPr>
          <w:rFonts w:ascii="Arial" w:cs="Arial" w:eastAsia="Arial" w:hAnsi="Arial"/>
          <w:i w:val="false"/>
          <w:iCs w:val="false"/>
          <w:color w:val="1a1916"/>
          <w:sz w:val="22"/>
          <w:szCs w:val="22"/>
        </w:rPr>
        <w:t xml:space="preserve">Typing rule:</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Γ ⊢ δ : σ → σ'    ∀j : μ_j(δ) = pass</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Γ ⊢ δ : σ →[Μ‑adm] σ'</w:t>
      </w:r>
    </w:p>
    <w:p>
      <w:pPr>
        <w:spacing w:before="40" w:after="160"/>
      </w:pPr>
    </w:p>
    <w:p>
      <w:pPr>
        <w:pStyle w:val="Heading3"/>
        <w:spacing w:before="300" w:after="100"/>
      </w:pPr>
      <w:r>
        <w:rPr>
          <w:rFonts w:ascii="Arial" w:cs="Arial" w:eastAsia="Arial" w:hAnsi="Arial"/>
          <w:b/>
          <w:bCs/>
          <w:color w:val="1a1916"/>
          <w:sz w:val="24"/>
          <w:szCs w:val="24"/>
        </w:rPr>
        <w:t xml:space="preserve">3.6  Ratifiable Delta</w:t>
      </w:r>
    </w:p>
    <w:p>
      <w:pPr>
        <w:spacing w:before="60" w:after="140" w:line="360" w:lineRule="auto"/>
      </w:pPr>
      <w:r>
        <w:rPr>
          <w:rFonts w:ascii="Arial" w:cs="Arial" w:eastAsia="Arial" w:hAnsi="Arial"/>
          <w:i w:val="false"/>
          <w:iCs w:val="false"/>
          <w:color w:val="1a1916"/>
          <w:sz w:val="22"/>
          <w:szCs w:val="22"/>
        </w:rPr>
        <w:t xml:space="preserve">A delta is ratifiable if it satisfies all four conditions simultaneously:</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ratifiable(δ) ⇔</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    well‑typed(δ)</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  ∧ invariant‑preserving(δ)</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  ∧ membrane‑admissible(δ)</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  ∧ HumanOK(δ)</w:t>
      </w:r>
    </w:p>
    <w:p>
      <w:pPr>
        <w:spacing w:before="40" w:after="80"/>
      </w:pPr>
    </w:p>
    <w:p>
      <w:pPr>
        <w:pBdr>
          <w:left w:val="single" w:color="C94400" w:sz="16" w:space="14"/>
        </w:pBdr>
        <w:shd w:fill="F7F6F2" w:val="clear"/>
        <w:spacing w:before="120" w:after="120"/>
        <w:ind w:left="240" w:right="0"/>
      </w:pPr>
      <w:r>
        <w:rPr>
          <w:rFonts w:ascii="Arial" w:cs="Arial" w:eastAsia="Arial" w:hAnsi="Arial"/>
          <w:b/>
          <w:bCs/>
          <w:color w:val="C94400"/>
          <w:sz w:val="22"/>
          <w:szCs w:val="22"/>
        </w:rPr>
        <w:t xml:space="preserve">Core Safety Theorem (Calculus)  </w:t>
      </w:r>
      <w:r>
        <w:rPr>
          <w:rFonts w:ascii="Arial" w:cs="Arial" w:eastAsia="Arial" w:hAnsi="Arial"/>
          <w:i/>
          <w:iCs/>
          <w:color w:val="1a1916"/>
          <w:sz w:val="22"/>
          <w:szCs w:val="22"/>
        </w:rPr>
        <w:t xml:space="preserve">A constitutional delta is only executable if it is well-typed, invariant-preserving, membrane-admissible, and explicitly human-approved. This is the soundness condition of the delta calculus.</w:t>
      </w:r>
    </w:p>
    <w:p>
      <w:pPr>
        <w:spacing w:before="160" w:after="80"/>
      </w:pPr>
    </w:p>
    <w:p>
      <w:pPr>
        <w:pBdr>
          <w:bottom w:val="single" w:color="E0DFD8" w:sz="4" w:space="1"/>
        </w:pBdr>
        <w:spacing w:before="320" w:after="320"/>
      </w:pPr>
    </w:p>
    <w:p>
      <w:pPr>
        <w:pStyle w:val="Heading1"/>
        <w:spacing w:before="520" w:after="200"/>
      </w:pPr>
      <w:r>
        <w:rPr>
          <w:rFonts w:ascii="Arial" w:cs="Arial" w:eastAsia="Arial" w:hAnsi="Arial"/>
          <w:b/>
          <w:bCs/>
          <w:color w:val="C94400"/>
          <w:sz w:val="40"/>
          <w:szCs w:val="40"/>
        </w:rPr>
        <w:t xml:space="preserve">4.  Runtime Model with Formal Proofs</w:t>
      </w:r>
    </w:p>
    <w:p>
      <w:pPr>
        <w:spacing w:before="60" w:after="140" w:line="360" w:lineRule="auto"/>
      </w:pPr>
      <w:r>
        <w:rPr>
          <w:rFonts w:ascii="Arial" w:cs="Arial" w:eastAsia="Arial" w:hAnsi="Arial"/>
          <w:i w:val="false"/>
          <w:iCs w:val="false"/>
          <w:color w:val="1a1916"/>
          <w:sz w:val="22"/>
          <w:szCs w:val="22"/>
        </w:rPr>
        <w:t xml:space="preserve">This section defines the full runtime of the Constitutional OS, embeds the delta calculus into the runtime semantics, and proves the two core theorems: runtime safety and runtime reversibility.</w:t>
      </w:r>
    </w:p>
    <w:p>
      <w:pPr>
        <w:pStyle w:val="Heading3"/>
        <w:spacing w:before="300" w:after="100"/>
      </w:pPr>
      <w:r>
        <w:rPr>
          <w:rFonts w:ascii="Arial" w:cs="Arial" w:eastAsia="Arial" w:hAnsi="Arial"/>
          <w:b/>
          <w:bCs/>
          <w:color w:val="1a1916"/>
          <w:sz w:val="24"/>
          <w:szCs w:val="24"/>
        </w:rPr>
        <w:t xml:space="preserve">4.1  Runtime State</w:t>
      </w:r>
    </w:p>
    <w:p>
      <w:pPr>
        <w:spacing w:before="60" w:after="140" w:line="360" w:lineRule="auto"/>
      </w:pPr>
      <w:r>
        <w:rPr>
          <w:rFonts w:ascii="Arial" w:cs="Arial" w:eastAsia="Arial" w:hAnsi="Arial"/>
          <w:i w:val="false"/>
          <w:iCs w:val="false"/>
          <w:color w:val="1a1916"/>
          <w:sz w:val="22"/>
          <w:szCs w:val="22"/>
        </w:rPr>
        <w:t xml:space="preserve">The global runtime state is:</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 = ⟨ Surf, Prop, Chain ⟩</w:t>
      </w:r>
    </w:p>
    <w:p>
      <w:pPr>
        <w:spacing w:before="40" w:after="80"/>
      </w:pPr>
    </w:p>
    <w:p>
      <w:pPr>
        <w:spacing w:before="60" w:after="140" w:line="360" w:lineRule="auto"/>
      </w:pPr>
      <w:r>
        <w:rPr>
          <w:rFonts w:ascii="Arial" w:cs="Arial" w:eastAsia="Arial" w:hAnsi="Arial"/>
          <w:i w:val="false"/>
          <w:iCs w:val="false"/>
          <w:color w:val="1a1916"/>
          <w:sz w:val="22"/>
          <w:szCs w:val="22"/>
        </w:rPr>
        <w:t xml:space="preserve">Each proposal now carries a typed delta from the calculus:</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p = ⟨ id, target, q, cls, δ ⟩   where  Γ(σ) ⊢ δ : σ → σ'</w:t>
      </w:r>
    </w:p>
    <w:p>
      <w:pPr>
        <w:spacing w:before="40" w:after="80"/>
      </w:pPr>
    </w:p>
    <w:p>
      <w:pPr>
        <w:spacing w:before="60" w:after="140" w:line="360" w:lineRule="auto"/>
      </w:pPr>
      <w:r>
        <w:rPr>
          <w:rFonts w:ascii="Arial" w:cs="Arial" w:eastAsia="Arial" w:hAnsi="Arial"/>
          <w:i w:val="false"/>
          <w:iCs w:val="false"/>
          <w:color w:val="1a1916"/>
          <w:sz w:val="22"/>
          <w:szCs w:val="22"/>
        </w:rPr>
        <w:t xml:space="preserve">The typing context is derived from the current constitutional state:</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Γ(σ) = ⟨ dom(σ), types(σ), invariants(σ), membranes(σ) ⟩</w:t>
      </w:r>
    </w:p>
    <w:p>
      <w:pPr>
        <w:spacing w:before="40" w:after="160"/>
      </w:pPr>
    </w:p>
    <w:p>
      <w:pPr>
        <w:pStyle w:val="Heading3"/>
        <w:spacing w:before="300" w:after="100"/>
      </w:pPr>
      <w:r>
        <w:rPr>
          <w:rFonts w:ascii="Arial" w:cs="Arial" w:eastAsia="Arial" w:hAnsi="Arial"/>
          <w:b/>
          <w:bCs/>
          <w:color w:val="1a1916"/>
          <w:sz w:val="24"/>
          <w:szCs w:val="24"/>
        </w:rPr>
        <w:t xml:space="preserve">4.2  Well-Formedness of Proposals</w:t>
      </w:r>
    </w:p>
    <w:p>
      <w:pPr>
        <w:spacing w:before="60" w:after="140" w:line="360" w:lineRule="auto"/>
      </w:pPr>
      <w:r>
        <w:rPr>
          <w:rFonts w:ascii="Arial" w:cs="Arial" w:eastAsia="Arial" w:hAnsi="Arial"/>
          <w:i w:val="false"/>
          <w:iCs w:val="false"/>
          <w:color w:val="1a1916"/>
          <w:sz w:val="22"/>
          <w:szCs w:val="22"/>
        </w:rPr>
        <w:t xml:space="preserve">A proposal p targeting surface s with delta δ is well-formed if and only if:</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WF(p, s, δ) ⇔</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    Γ(σ) ⊢ δ : σ → σ'             (well-typed)</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  ∧ ∀φ ∈ Φ(s) : φ(σ') = true        (invariant-preserving for s)</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  ∧ ∀μ ∈ M(s) : μ(δ) = pass          (membrane-admissible for s)</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  ∧ ∀φ ∈ Φ_G : φ(σ') = true          (global invariants preserved)</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  ∧ ∀μ ∈ M_G : μ(δ) = pass            (global membranes admissible)</w:t>
      </w:r>
    </w:p>
    <w:p>
      <w:pPr>
        <w:spacing w:before="40" w:after="160"/>
      </w:pPr>
    </w:p>
    <w:p>
      <w:pPr>
        <w:pStyle w:val="Heading3"/>
        <w:spacing w:before="300" w:after="100"/>
      </w:pPr>
      <w:r>
        <w:rPr>
          <w:rFonts w:ascii="Arial" w:cs="Arial" w:eastAsia="Arial" w:hAnsi="Arial"/>
          <w:b/>
          <w:bCs/>
          <w:color w:val="1a1916"/>
          <w:sz w:val="24"/>
          <w:szCs w:val="24"/>
        </w:rPr>
        <w:t xml:space="preserve">4.3  The Ratification Transition</w:t>
      </w:r>
    </w:p>
    <w:p>
      <w:pPr>
        <w:spacing w:before="60" w:after="140" w:line="360" w:lineRule="auto"/>
      </w:pPr>
      <w:r>
        <w:rPr>
          <w:rFonts w:ascii="Arial" w:cs="Arial" w:eastAsia="Arial" w:hAnsi="Arial"/>
          <w:i w:val="false"/>
          <w:iCs w:val="false"/>
          <w:color w:val="1a1916"/>
          <w:sz w:val="22"/>
          <w:szCs w:val="22"/>
        </w:rPr>
        <w:t xml:space="preserve">The ratification step is the only transition that modifies the constitutional state via a delta. All other lifecycle transitions update only the proposal state q:</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Ratify rule:</w:t>
      </w:r>
    </w:p>
    <w:p>
      <w:pPr>
        <w:spacing w:before="4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 ⊢ p₁ ⇨ σ'</w:t>
      </w:r>
    </w:p>
    <w:p>
      <w:pPr>
        <w:spacing w:before="40" w:after="80"/>
      </w:pPr>
    </w:p>
    <w:p>
      <w:pPr>
        <w:spacing w:before="60" w:after="140" w:line="360" w:lineRule="auto"/>
      </w:pPr>
      <w:r>
        <w:rPr>
          <w:rFonts w:ascii="Arial" w:cs="Arial" w:eastAsia="Arial" w:hAnsi="Arial"/>
          <w:i w:val="false"/>
          <w:iCs w:val="false"/>
          <w:color w:val="1a1916"/>
          <w:sz w:val="22"/>
          <w:szCs w:val="22"/>
        </w:rPr>
        <w:t xml:space="preserve">Formally, given current state σ, a proposal p with lifecycle state q = veto-window, delta δ, and human approval HumanOK(δ):</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p.q = veto‑window    WF(p, s, δ)    HumanOK(δ)</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 ⊢ ratify(p) ⇨ σ'</w:t>
      </w:r>
    </w:p>
    <w:p>
      <w:pPr>
        <w:spacing w:before="40" w:after="80"/>
      </w:pPr>
    </w:p>
    <w:p>
      <w:pPr>
        <w:spacing w:before="60" w:after="140" w:line="360" w:lineRule="auto"/>
      </w:pPr>
      <w:r>
        <w:rPr>
          <w:rFonts w:ascii="Arial" w:cs="Arial" w:eastAsia="Arial" w:hAnsi="Arial"/>
          <w:i w:val="false"/>
          <w:iCs w:val="false"/>
          <w:color w:val="1a1916"/>
          <w:sz w:val="22"/>
          <w:szCs w:val="22"/>
        </w:rPr>
        <w:t xml:space="preserve">Where σ' is defined as:</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σ'.Surf = δ(σ.Surf)           (state updated by delta)</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σ'.Prop = σ.Prop[p.q ↦ ratified]  (proposal marked ratified)</w:t>
      </w: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σ'.Chain = σ.Chain • e_new        (continuity event appended)</w:t>
      </w:r>
    </w:p>
    <w:p>
      <w:pPr>
        <w:spacing w:before="40" w:after="80"/>
      </w:pPr>
    </w:p>
    <w:p>
      <w:pPr>
        <w:spacing w:before="60" w:after="140" w:line="360" w:lineRule="auto"/>
      </w:pPr>
      <w:r>
        <w:rPr>
          <w:rFonts w:ascii="Arial" w:cs="Arial" w:eastAsia="Arial" w:hAnsi="Arial"/>
          <w:i w:val="false"/>
          <w:iCs w:val="false"/>
          <w:color w:val="1a1916"/>
          <w:sz w:val="22"/>
          <w:szCs w:val="22"/>
        </w:rPr>
        <w:t xml:space="preserve">Where the new continuity event is:</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e_new = ⟨ t_now, δ, p.id ⟩</w:t>
      </w:r>
    </w:p>
    <w:p>
      <w:pPr>
        <w:spacing w:before="40" w:after="160"/>
      </w:pPr>
    </w:p>
    <w:p>
      <w:pPr>
        <w:pStyle w:val="Heading3"/>
        <w:spacing w:before="300" w:after="100"/>
      </w:pPr>
      <w:r>
        <w:rPr>
          <w:rFonts w:ascii="Arial" w:cs="Arial" w:eastAsia="Arial" w:hAnsi="Arial"/>
          <w:b/>
          <w:bCs/>
          <w:color w:val="1a1916"/>
          <w:sz w:val="24"/>
          <w:szCs w:val="24"/>
        </w:rPr>
        <w:t xml:space="preserve">4.4  Human Primacy as a Hard Invariant</w:t>
      </w:r>
    </w:p>
    <w:p>
      <w:pPr>
        <w:spacing w:before="60" w:after="140" w:line="360" w:lineRule="auto"/>
      </w:pPr>
      <w:r>
        <w:rPr>
          <w:rFonts w:ascii="Arial" w:cs="Arial" w:eastAsia="Arial" w:hAnsi="Arial"/>
          <w:i w:val="false"/>
          <w:iCs w:val="false"/>
          <w:color w:val="1a1916"/>
          <w:sz w:val="22"/>
          <w:szCs w:val="22"/>
        </w:rPr>
        <w:t xml:space="preserve">Let H be the distinguished set of human approval events. For any proposal p, define:</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HumanOK(p) ⇔ ∃ h ∈ H : h.target = p.id ∧ h.approved = true</w:t>
      </w:r>
    </w:p>
    <w:p>
      <w:pPr>
        <w:spacing w:before="40" w:after="80"/>
      </w:pPr>
    </w:p>
    <w:p>
      <w:pPr>
        <w:spacing w:before="60" w:after="140" w:line="360" w:lineRule="auto"/>
      </w:pPr>
      <w:r>
        <w:rPr>
          <w:rFonts w:ascii="Arial" w:cs="Arial" w:eastAsia="Arial" w:hAnsi="Arial"/>
          <w:i w:val="false"/>
          <w:iCs w:val="false"/>
          <w:color w:val="1a1916"/>
          <w:sz w:val="22"/>
          <w:szCs w:val="22"/>
        </w:rPr>
        <w:t xml:space="preserve">The ratification rule requires HumanOK(p) as an explicit premise. This bakes human primacy into the transition system at the type level — it is not a policy constraint that can be overridden, it is a premise that must be satisfied for the transition rule to fire.</w:t>
      </w:r>
    </w:p>
    <w:p>
      <w:pPr>
        <w:pStyle w:val="Heading3"/>
        <w:spacing w:before="300" w:after="100"/>
      </w:pPr>
      <w:r>
        <w:rPr>
          <w:rFonts w:ascii="Arial" w:cs="Arial" w:eastAsia="Arial" w:hAnsi="Arial"/>
          <w:b/>
          <w:bCs/>
          <w:color w:val="1a1916"/>
          <w:sz w:val="24"/>
          <w:szCs w:val="24"/>
        </w:rPr>
        <w:t xml:space="preserve">4.5  Small-Step Operational Semantics</w:t>
      </w:r>
    </w:p>
    <w:p>
      <w:pPr>
        <w:spacing w:before="60" w:after="140" w:line="360" w:lineRule="auto"/>
      </w:pPr>
      <w:r>
        <w:rPr>
          <w:rFonts w:ascii="Arial" w:cs="Arial" w:eastAsia="Arial" w:hAnsi="Arial"/>
          <w:i w:val="false"/>
          <w:iCs w:val="false"/>
          <w:color w:val="1a1916"/>
          <w:sz w:val="22"/>
          <w:szCs w:val="22"/>
        </w:rPr>
        <w:t xml:space="preserve">The global step relation over constitutional states is:</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 →_e σ'</w:t>
      </w:r>
    </w:p>
    <w:p>
      <w:pPr>
        <w:spacing w:before="40" w:after="80"/>
      </w:pPr>
    </w:p>
    <w:p>
      <w:pPr>
        <w:spacing w:before="60" w:after="140" w:line="360" w:lineRule="auto"/>
      </w:pPr>
      <w:r>
        <w:rPr>
          <w:rFonts w:ascii="Arial" w:cs="Arial" w:eastAsia="Arial" w:hAnsi="Arial"/>
          <w:i w:val="false"/>
          <w:iCs w:val="false"/>
          <w:color w:val="1a1916"/>
          <w:sz w:val="22"/>
          <w:szCs w:val="22"/>
        </w:rPr>
        <w:t xml:space="preserve">Where e ranges over all lifecycle events: classify, review, check_inv, check_mem, open_veto, close_veto, ratify, reject, rollback. The ratify event is the only one that executes a delta and modifies the constitutional state. All other events update only the proposal lifecycle state q.</w:t>
      </w:r>
    </w:p>
    <w:p>
      <w:pPr>
        <w:spacing w:before="160" w:after="80"/>
      </w:pPr>
    </w:p>
    <w:p>
      <w:pPr>
        <w:pStyle w:val="Heading3"/>
        <w:spacing w:before="300" w:after="100"/>
      </w:pPr>
      <w:r>
        <w:rPr>
          <w:rFonts w:ascii="Arial" w:cs="Arial" w:eastAsia="Arial" w:hAnsi="Arial"/>
          <w:b/>
          <w:bCs/>
          <w:color w:val="1a1916"/>
          <w:sz w:val="24"/>
          <w:szCs w:val="24"/>
        </w:rPr>
        <w:t xml:space="preserve">4.6  Theorem: Runtime Safety</w:t>
      </w:r>
    </w:p>
    <w:p>
      <w:pPr>
        <w:spacing w:before="80" w:after="60"/>
      </w:pPr>
    </w:p>
    <w:p>
      <w:pPr>
        <w:pBdr>
          <w:left w:val="single" w:color="C94400" w:sz="16" w:space="14"/>
        </w:pBdr>
        <w:shd w:fill="F7F6F2" w:val="clear"/>
        <w:spacing w:before="120" w:after="120"/>
        <w:ind w:left="240" w:right="0"/>
      </w:pPr>
      <w:r>
        <w:rPr>
          <w:rFonts w:ascii="Arial" w:cs="Arial" w:eastAsia="Arial" w:hAnsi="Arial"/>
          <w:b/>
          <w:bCs/>
          <w:color w:val="C94400"/>
          <w:sz w:val="22"/>
          <w:szCs w:val="22"/>
        </w:rPr>
        <w:t xml:space="preserve">Theorem 1 (Runtime Safety)  </w:t>
      </w:r>
      <w:r>
        <w:rPr>
          <w:rFonts w:ascii="Arial" w:cs="Arial" w:eastAsia="Arial" w:hAnsi="Arial"/>
          <w:i/>
          <w:iCs/>
          <w:color w:val="1a1916"/>
          <w:sz w:val="22"/>
          <w:szCs w:val="22"/>
        </w:rPr>
        <w:t xml:space="preserve">If σ is a constitutionally valid state and σ →_ratify σ', then σ' is also constitutionally valid. Formally: valid(σ) ⇒ valid(σ').</w:t>
      </w:r>
    </w:p>
    <w:p>
      <w:pPr>
        <w:spacing w:before="80" w:after="80"/>
      </w:pPr>
    </w:p>
    <w:p>
      <w:pPr>
        <w:spacing w:before="60" w:after="140" w:line="360" w:lineRule="auto"/>
      </w:pPr>
      <w:r>
        <w:rPr>
          <w:rFonts w:ascii="Arial" w:cs="Arial" w:eastAsia="Arial" w:hAnsi="Arial"/>
          <w:i w:val="false"/>
          <w:iCs w:val="false"/>
          <w:color w:val="1a1916"/>
          <w:sz w:val="22"/>
          <w:szCs w:val="22"/>
        </w:rPr>
        <w:t xml:space="preserve">Proof:</w:t>
      </w:r>
    </w:p>
    <w:p>
      <w:pPr>
        <w:shd w:fill="F7F6F2" w:val="clear"/>
        <w:spacing w:before="60" w:after="60"/>
        <w:ind w:left="900" w:right="360"/>
      </w:pPr>
      <w:r>
        <w:rPr>
          <w:rFonts w:ascii="Arial" w:cs="Arial" w:eastAsia="Arial" w:hAnsi="Arial"/>
          <w:i/>
          <w:iCs/>
          <w:color w:val="444441"/>
          <w:sz w:val="20"/>
          <w:szCs w:val="20"/>
        </w:rPr>
        <w:t xml:space="preserve">1. Ratification requires WF(p, s, δ) as a premise.</w:t>
      </w:r>
    </w:p>
    <w:p>
      <w:pPr>
        <w:shd w:fill="F7F6F2" w:val="clear"/>
        <w:spacing w:before="60" w:after="60"/>
        <w:ind w:left="900" w:right="360"/>
      </w:pPr>
      <w:r>
        <w:rPr>
          <w:rFonts w:ascii="Arial" w:cs="Arial" w:eastAsia="Arial" w:hAnsi="Arial"/>
          <w:i/>
          <w:iCs/>
          <w:color w:val="444441"/>
          <w:sz w:val="20"/>
          <w:szCs w:val="20"/>
        </w:rPr>
        <w:t xml:space="preserve">2. WF(p, s, δ) requires ∀φ ∈ Φ(s) ∪ Φ_G : φ(σ') = true.</w:t>
      </w:r>
    </w:p>
    <w:p>
      <w:pPr>
        <w:shd w:fill="F7F6F2" w:val="clear"/>
        <w:spacing w:before="60" w:after="60"/>
        <w:ind w:left="900" w:right="360"/>
      </w:pPr>
      <w:r>
        <w:rPr>
          <w:rFonts w:ascii="Arial" w:cs="Arial" w:eastAsia="Arial" w:hAnsi="Arial"/>
          <w:i/>
          <w:iCs/>
          <w:color w:val="444441"/>
          <w:sz w:val="20"/>
          <w:szCs w:val="20"/>
        </w:rPr>
        <w:t xml:space="preserve">3. Therefore valid(σ') holds by definition of valid.</w:t>
      </w:r>
    </w:p>
    <w:p>
      <w:pPr>
        <w:shd w:fill="F7F6F2" w:val="clear"/>
        <w:spacing w:before="60" w:after="60"/>
        <w:ind w:left="900" w:right="360"/>
      </w:pPr>
      <w:r>
        <w:rPr>
          <w:rFonts w:ascii="Arial" w:cs="Arial" w:eastAsia="Arial" w:hAnsi="Arial"/>
          <w:i/>
          <w:iCs/>
          <w:color w:val="444441"/>
          <w:sz w:val="20"/>
          <w:szCs w:val="20"/>
        </w:rPr>
        <w:t xml:space="preserve">4. HumanOK(δ) ensures human primacy is satisfied at the transition level.</w:t>
      </w:r>
    </w:p>
    <w:p>
      <w:pPr>
        <w:shd w:fill="F7F6F2" w:val="clear"/>
        <w:spacing w:before="60" w:after="60"/>
        <w:ind w:left="900" w:right="360"/>
      </w:pPr>
      <w:r>
        <w:rPr>
          <w:rFonts w:ascii="Arial" w:cs="Arial" w:eastAsia="Arial" w:hAnsi="Arial"/>
          <w:i/>
          <w:iCs/>
          <w:color w:val="444441"/>
          <w:sz w:val="20"/>
          <w:szCs w:val="20"/>
        </w:rPr>
        <w:t xml:space="preserve">5. No other transition type modifies the constitutional state, so no other transition can introduce a violation.</w:t>
      </w:r>
    </w:p>
    <w:p>
      <w:pPr>
        <w:shd w:fill="F7F6F2" w:val="clear"/>
        <w:spacing w:before="60" w:after="60"/>
        <w:ind w:left="900" w:right="360"/>
      </w:pPr>
      <w:r>
        <w:rPr>
          <w:rFonts w:ascii="Arial" w:cs="Arial" w:eastAsia="Arial" w:hAnsi="Arial"/>
          <w:i/>
          <w:iCs/>
          <w:color w:val="444441"/>
          <w:sz w:val="20"/>
          <w:szCs w:val="20"/>
        </w:rPr>
        <w:t xml:space="preserve">∎ Runtime safety reduces to the well-formedness check on the delta, which reduces to the typing rules of the delta calculus.</w:t>
      </w:r>
    </w:p>
    <w:p>
      <w:pPr>
        <w:spacing w:before="160" w:after="80"/>
      </w:pPr>
    </w:p>
    <w:p>
      <w:pPr>
        <w:pStyle w:val="Heading3"/>
        <w:spacing w:before="300" w:after="100"/>
      </w:pPr>
      <w:r>
        <w:rPr>
          <w:rFonts w:ascii="Arial" w:cs="Arial" w:eastAsia="Arial" w:hAnsi="Arial"/>
          <w:b/>
          <w:bCs/>
          <w:color w:val="1a1916"/>
          <w:sz w:val="24"/>
          <w:szCs w:val="24"/>
        </w:rPr>
        <w:t xml:space="preserve">4.7  Theorem: Runtime Reversibility</w:t>
      </w:r>
    </w:p>
    <w:p>
      <w:pPr>
        <w:spacing w:before="80" w:after="60"/>
      </w:pPr>
    </w:p>
    <w:p>
      <w:pPr>
        <w:pBdr>
          <w:left w:val="single" w:color="C94400" w:sz="16" w:space="14"/>
        </w:pBdr>
        <w:shd w:fill="F7F6F2" w:val="clear"/>
        <w:spacing w:before="120" w:after="120"/>
        <w:ind w:left="240" w:right="0"/>
      </w:pPr>
      <w:r>
        <w:rPr>
          <w:rFonts w:ascii="Arial" w:cs="Arial" w:eastAsia="Arial" w:hAnsi="Arial"/>
          <w:b/>
          <w:bCs/>
          <w:color w:val="C94400"/>
          <w:sz w:val="22"/>
          <w:szCs w:val="22"/>
        </w:rPr>
        <w:t xml:space="preserve">Theorem 2 (Runtime Reversibility)  </w:t>
      </w:r>
      <w:r>
        <w:rPr>
          <w:rFonts w:ascii="Arial" w:cs="Arial" w:eastAsia="Arial" w:hAnsi="Arial"/>
          <w:i/>
          <w:iCs/>
          <w:color w:val="1a1916"/>
          <w:sz w:val="22"/>
          <w:szCs w:val="22"/>
        </w:rPr>
        <w:t xml:space="preserve">For any 0 ≤ k ≤ n, the system can restore state σ_k from σ_n via the rollback delta ρ_{k←n}. Formally: rollback(k) applied to σ_n yields σ_k.</w:t>
      </w:r>
    </w:p>
    <w:p>
      <w:pPr>
        <w:spacing w:before="80" w:after="80"/>
      </w:pPr>
    </w:p>
    <w:p>
      <w:pPr>
        <w:pStyle w:val="Heading4"/>
        <w:spacing w:before="200" w:after="80"/>
      </w:pPr>
      <w:r>
        <w:rPr>
          <w:rFonts w:ascii="Arial" w:cs="Arial" w:eastAsia="Arial" w:hAnsi="Arial"/>
          <w:b/>
          <w:bCs/>
          <w:color w:val="888884"/>
          <w:sz w:val="22"/>
          <w:szCs w:val="22"/>
        </w:rPr>
        <w:t xml:space="preserve">Rollback Delta</w:t>
      </w:r>
    </w:p>
    <w:p>
      <w:pPr>
        <w:spacing w:before="60" w:after="140" w:line="360" w:lineRule="auto"/>
      </w:pPr>
      <w:r>
        <w:rPr>
          <w:rFonts w:ascii="Arial" w:cs="Arial" w:eastAsia="Arial" w:hAnsi="Arial"/>
          <w:i w:val="false"/>
          <w:iCs w:val="false"/>
          <w:color w:val="1a1916"/>
          <w:sz w:val="22"/>
          <w:szCs w:val="22"/>
        </w:rPr>
        <w:t xml:space="preserve">Given continuity chain C = ⟨e₁, …, e_n⟩, define the rollback delta:</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ρ_{k←n} = δ⁻¹_{k+1} ; δ⁻¹_{k+2} ; … ; δ⁻¹_n</w:t>
      </w:r>
    </w:p>
    <w:p>
      <w:pPr>
        <w:spacing w:before="40" w:after="80"/>
      </w:pPr>
    </w:p>
    <w:p>
      <w:pPr>
        <w:spacing w:before="60" w:after="140" w:line="360" w:lineRule="auto"/>
      </w:pPr>
      <w:r>
        <w:rPr>
          <w:rFonts w:ascii="Arial" w:cs="Arial" w:eastAsia="Arial" w:hAnsi="Arial"/>
          <w:i w:val="false"/>
          <w:iCs w:val="false"/>
          <w:color w:val="1a1916"/>
          <w:sz w:val="22"/>
          <w:szCs w:val="22"/>
        </w:rPr>
        <w:t xml:space="preserve">The state at index n is:</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σ_n = δ_n ; δ_{n−1} ; … ; δ₁(σ₀)</w:t>
      </w:r>
    </w:p>
    <w:p>
      <w:pPr>
        <w:spacing w:before="40" w:after="80"/>
      </w:pPr>
    </w:p>
    <w:p>
      <w:pPr>
        <w:spacing w:before="60" w:after="140" w:line="360" w:lineRule="auto"/>
      </w:pPr>
      <w:r>
        <w:rPr>
          <w:rFonts w:ascii="Arial" w:cs="Arial" w:eastAsia="Arial" w:hAnsi="Arial"/>
          <w:i w:val="false"/>
          <w:iCs w:val="false"/>
          <w:color w:val="1a1916"/>
          <w:sz w:val="22"/>
          <w:szCs w:val="22"/>
        </w:rPr>
        <w:t xml:space="preserve">The rollback event is:</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rollback(k) : σ_n → σ_k   via   ρ_{k←n}</w:t>
      </w:r>
    </w:p>
    <w:p>
      <w:pPr>
        <w:spacing w:before="40" w:after="160"/>
      </w:pPr>
    </w:p>
    <w:p>
      <w:pPr>
        <w:pStyle w:val="Heading4"/>
        <w:spacing w:before="200" w:after="80"/>
      </w:pPr>
      <w:r>
        <w:rPr>
          <w:rFonts w:ascii="Arial" w:cs="Arial" w:eastAsia="Arial" w:hAnsi="Arial"/>
          <w:b/>
          <w:bCs/>
          <w:color w:val="888884"/>
          <w:sz w:val="22"/>
          <w:szCs w:val="22"/>
        </w:rPr>
        <w:t xml:space="preserve">Proof</w:t>
      </w:r>
    </w:p>
    <w:p>
      <w:pPr>
        <w:shd w:fill="F7F6F2" w:val="clear"/>
        <w:spacing w:before="60" w:after="60"/>
        <w:ind w:left="900" w:right="360"/>
      </w:pPr>
      <w:r>
        <w:rPr>
          <w:rFonts w:ascii="Arial" w:cs="Arial" w:eastAsia="Arial" w:hAnsi="Arial"/>
          <w:i/>
          <w:iCs/>
          <w:color w:val="444441"/>
          <w:sz w:val="20"/>
          <w:szCs w:val="20"/>
        </w:rPr>
        <w:t xml:space="preserve">By definition: σ_k = δ_k ; … ; δ₁(σ₀)</w:t>
      </w:r>
    </w:p>
    <w:p>
      <w:pPr>
        <w:shd w:fill="F7F6F2" w:val="clear"/>
        <w:spacing w:before="60" w:after="60"/>
        <w:ind w:left="900" w:right="360"/>
      </w:pPr>
      <w:r>
        <w:rPr>
          <w:rFonts w:ascii="Arial" w:cs="Arial" w:eastAsia="Arial" w:hAnsi="Arial"/>
          <w:i/>
          <w:iCs/>
          <w:color w:val="444441"/>
          <w:sz w:val="20"/>
          <w:szCs w:val="20"/>
        </w:rPr>
        <w:t xml:space="preserve">and: σ_n = δ_n ; … ; δ_{k+1}(σ_k)</w:t>
      </w:r>
    </w:p>
    <w:p>
      <w:pPr>
        <w:shd w:fill="F7F6F2" w:val="clear"/>
        <w:spacing w:before="60" w:after="60"/>
        <w:ind w:left="900" w:right="360"/>
      </w:pPr>
      <w:r>
        <w:rPr>
          <w:rFonts w:ascii="Arial" w:cs="Arial" w:eastAsia="Arial" w:hAnsi="Arial"/>
          <w:i/>
          <w:iCs/>
          <w:color w:val="444441"/>
          <w:sz w:val="20"/>
          <w:szCs w:val="20"/>
        </w:rPr>
        <w:t xml:space="preserve">Apply ρ_{k←n} to σ_n:</w:t>
      </w:r>
    </w:p>
    <w:p>
      <w:pPr>
        <w:shd w:fill="F7F6F2" w:val="clear"/>
        <w:spacing w:before="60" w:after="60"/>
        <w:ind w:left="900" w:right="360"/>
      </w:pPr>
      <w:r>
        <w:rPr>
          <w:rFonts w:ascii="Arial" w:cs="Arial" w:eastAsia="Arial" w:hAnsi="Arial"/>
          <w:i/>
          <w:iCs/>
          <w:color w:val="444441"/>
          <w:sz w:val="20"/>
          <w:szCs w:val="20"/>
        </w:rPr>
        <w:t xml:space="preserve">ρ_{k←n}(σ_n) = (δ⁻¹_{k+1} ; … ; δ⁻¹_n)(σ_n)</w:t>
      </w:r>
    </w:p>
    <w:p>
      <w:pPr>
        <w:shd w:fill="F7F6F2" w:val="clear"/>
        <w:spacing w:before="60" w:after="60"/>
        <w:ind w:left="900" w:right="360"/>
      </w:pPr>
      <w:r>
        <w:rPr>
          <w:rFonts w:ascii="Arial" w:cs="Arial" w:eastAsia="Arial" w:hAnsi="Arial"/>
          <w:i/>
          <w:iCs/>
          <w:color w:val="444441"/>
          <w:sz w:val="20"/>
          <w:szCs w:val="20"/>
        </w:rPr>
        <w:t xml:space="preserve">Substitute σ_n = δ_n ; … ; δ_{k+1}(σ_k):</w:t>
      </w:r>
    </w:p>
    <w:p>
      <w:pPr>
        <w:shd w:fill="F7F6F2" w:val="clear"/>
        <w:spacing w:before="60" w:after="60"/>
        <w:ind w:left="900" w:right="360"/>
      </w:pPr>
      <w:r>
        <w:rPr>
          <w:rFonts w:ascii="Arial" w:cs="Arial" w:eastAsia="Arial" w:hAnsi="Arial"/>
          <w:i/>
          <w:iCs/>
          <w:color w:val="444441"/>
          <w:sz w:val="20"/>
          <w:szCs w:val="20"/>
        </w:rPr>
        <w:t xml:space="preserve">= δ⁻¹_{k+1} ; … ; δ⁻¹_n ; δ_n ; … ; δ_{k+1}(σ_k)</w:t>
      </w:r>
    </w:p>
    <w:p>
      <w:pPr>
        <w:shd w:fill="F7F6F2" w:val="clear"/>
        <w:spacing w:before="60" w:after="60"/>
        <w:ind w:left="900" w:right="360"/>
      </w:pPr>
      <w:r>
        <w:rPr>
          <w:rFonts w:ascii="Arial" w:cs="Arial" w:eastAsia="Arial" w:hAnsi="Arial"/>
          <w:i/>
          <w:iCs/>
          <w:color w:val="444441"/>
          <w:sz w:val="20"/>
          <w:szCs w:val="20"/>
        </w:rPr>
        <w:t xml:space="preserve">By the groupoid property δ_i⁻¹ ; δ_i = ε, all adjacent pairs cancel:</w:t>
      </w:r>
    </w:p>
    <w:p>
      <w:pPr>
        <w:shd w:fill="F7F6F2" w:val="clear"/>
        <w:spacing w:before="60" w:after="60"/>
        <w:ind w:left="900" w:right="360"/>
      </w:pPr>
      <w:r>
        <w:rPr>
          <w:rFonts w:ascii="Arial" w:cs="Arial" w:eastAsia="Arial" w:hAnsi="Arial"/>
          <w:i/>
          <w:iCs/>
          <w:color w:val="444441"/>
          <w:sz w:val="20"/>
          <w:szCs w:val="20"/>
        </w:rPr>
        <w:t xml:space="preserve">= ε(σ_k) = σ_k  ∎</w:t>
      </w:r>
    </w:p>
    <w:p>
      <w:pPr>
        <w:spacing w:before="80" w:after="80"/>
      </w:pPr>
    </w:p>
    <w:p>
      <w:pPr>
        <w:spacing w:before="60" w:after="140" w:line="360" w:lineRule="auto"/>
      </w:pPr>
      <w:r>
        <w:rPr>
          <w:rFonts w:ascii="Arial" w:cs="Arial" w:eastAsia="Arial" w:hAnsi="Arial"/>
          <w:i w:val="false"/>
          <w:iCs w:val="false"/>
          <w:color w:val="1a1916"/>
          <w:sz w:val="22"/>
          <w:szCs w:val="22"/>
        </w:rPr>
        <w:t xml:space="preserve">The rollback delta is well-typed by the Inversion typing rule: if δ_i was well-typed (as it must have been for ratification to have succeeded), then δ_i⁻¹ is also well-typed by the Inversion rule. The continuity chain is not mutated by rollback — it is append-only. The rollback event may optionally be logged as a new continuity event for full auditability.</w:t>
      </w:r>
    </w:p>
    <w:p>
      <w:pPr>
        <w:spacing w:before="80" w:after="80"/>
      </w:pPr>
    </w:p>
    <w:p>
      <w:pPr>
        <w:pStyle w:val="Heading3"/>
        <w:spacing w:before="300" w:after="100"/>
      </w:pPr>
      <w:r>
        <w:rPr>
          <w:rFonts w:ascii="Arial" w:cs="Arial" w:eastAsia="Arial" w:hAnsi="Arial"/>
          <w:b/>
          <w:bCs/>
          <w:color w:val="1a1916"/>
          <w:sz w:val="24"/>
          <w:szCs w:val="24"/>
        </w:rPr>
        <w:t xml:space="preserve">4.8  Safety of Rollback</w:t>
      </w:r>
    </w:p>
    <w:p>
      <w:pPr>
        <w:pBdr>
          <w:left w:val="single" w:color="C94400" w:sz="16" w:space="14"/>
        </w:pBdr>
        <w:shd w:fill="F7F6F2" w:val="clear"/>
        <w:spacing w:before="120" w:after="120"/>
        <w:ind w:left="240" w:right="0"/>
      </w:pPr>
      <w:r>
        <w:rPr>
          <w:rFonts w:ascii="Arial" w:cs="Arial" w:eastAsia="Arial" w:hAnsi="Arial"/>
          <w:b/>
          <w:bCs/>
          <w:color w:val="C94400"/>
          <w:sz w:val="22"/>
          <w:szCs w:val="22"/>
        </w:rPr>
        <w:t xml:space="preserve">Corollary (Rollback Safety)  </w:t>
      </w:r>
      <w:r>
        <w:rPr>
          <w:rFonts w:ascii="Arial" w:cs="Arial" w:eastAsia="Arial" w:hAnsi="Arial"/>
          <w:i/>
          <w:iCs/>
          <w:color w:val="1a1916"/>
          <w:sz w:val="22"/>
          <w:szCs w:val="22"/>
        </w:rPr>
        <w:t xml:space="preserve">If σ_n is reachable from σ_k via ratified deltas, then σ_k is reachable from σ_n via rollback.</w:t>
      </w:r>
    </w:p>
    <w:p>
      <w:pPr>
        <w:spacing w:before="80" w:after="80"/>
      </w:pPr>
    </w:p>
    <w:p>
      <w:pPr>
        <w:spacing w:before="60" w:after="140" w:line="360" w:lineRule="auto"/>
      </w:pPr>
      <w:r>
        <w:rPr>
          <w:rFonts w:ascii="Arial" w:cs="Arial" w:eastAsia="Arial" w:hAnsi="Arial"/>
          <w:i w:val="false"/>
          <w:iCs w:val="false"/>
          <w:color w:val="1a1916"/>
          <w:sz w:val="22"/>
          <w:szCs w:val="22"/>
        </w:rPr>
        <w:t xml:space="preserve">This corollary establishes the bidirectionality of constitutional reachability: every state in the reachability graph has a path back to any prior ratified state. Combined with the Runtime Safety Theorem, this means the Constitutional OS can always escape from any valid state to any prior valid state — the system can never become constitutionally stuck.</w:t>
      </w:r>
    </w:p>
    <w:p>
      <w:pPr>
        <w:pBdr>
          <w:bottom w:val="single" w:color="E0DFD8" w:sz="4" w:space="1"/>
        </w:pBdr>
        <w:spacing w:before="320" w:after="320"/>
      </w:pPr>
    </w:p>
    <w:p>
      <w:pPr>
        <w:pStyle w:val="Heading1"/>
        <w:spacing w:before="520" w:after="200"/>
      </w:pPr>
      <w:r>
        <w:rPr>
          <w:rFonts w:ascii="Arial" w:cs="Arial" w:eastAsia="Arial" w:hAnsi="Arial"/>
          <w:b/>
          <w:bCs/>
          <w:color w:val="C94400"/>
          <w:sz w:val="40"/>
          <w:szCs w:val="40"/>
        </w:rPr>
        <w:t xml:space="preserve">5.  Proposal Lifecycle</w:t>
      </w:r>
    </w:p>
    <w:p>
      <w:pPr>
        <w:spacing w:before="60" w:after="140" w:line="360" w:lineRule="auto"/>
      </w:pPr>
      <w:r>
        <w:rPr>
          <w:rFonts w:ascii="Arial" w:cs="Arial" w:eastAsia="Arial" w:hAnsi="Arial"/>
          <w:i w:val="false"/>
          <w:iCs w:val="false"/>
          <w:color w:val="1a1916"/>
          <w:sz w:val="22"/>
          <w:szCs w:val="22"/>
        </w:rPr>
        <w:t xml:space="preserve">The proposal lifecycle is a deterministic finite automaton L = ⟨Q, Σ, δ, q₀, F⟩. Every change to the Constitutional OS must flow through this automaton. There are no back-channel modifications.</w:t>
      </w:r>
    </w:p>
    <w:p>
      <w:pPr>
        <w:pStyle w:val="Heading3"/>
        <w:spacing w:before="300" w:after="100"/>
      </w:pPr>
      <w:r>
        <w:rPr>
          <w:rFonts w:ascii="Arial" w:cs="Arial" w:eastAsia="Arial" w:hAnsi="Arial"/>
          <w:b/>
          <w:bCs/>
          <w:color w:val="1a1916"/>
          <w:sz w:val="24"/>
          <w:szCs w:val="24"/>
        </w:rPr>
        <w:t xml:space="preserve">5.1  Lifecycle Transition System</w:t>
      </w:r>
    </w:p>
    <w:p>
      <w:pPr>
        <w:spacing w:before="80" w:after="60"/>
      </w:pP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2600"/>
        <w:gridCol w:w="3800"/>
        <w:gridCol w:w="3000"/>
      </w:tblGrid>
      <w:tr>
        <w:tc>
          <w:tcPr>
            <w:tcW w:type="dxa" w:w="26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Transition</w:t>
            </w:r>
          </w:p>
        </w:tc>
        <w:tc>
          <w:tcPr>
            <w:tcW w:type="dxa" w:w="38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Guard condition</w:t>
            </w:r>
          </w:p>
        </w:tc>
        <w:tc>
          <w:tcPr>
            <w:tcW w:type="dxa" w:w="30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Effect</w:t>
            </w:r>
          </w:p>
        </w:tc>
      </w:tr>
      <w:tr>
        <w:tc>
          <w:tcPr>
            <w:tcW w:type="dxa" w:w="26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created → classified</w:t>
            </w:r>
          </w:p>
        </w:tc>
        <w:tc>
          <w:tcPr>
            <w:tcW w:type="dxa" w:w="3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Valid classification type provided</w:t>
            </w:r>
          </w:p>
        </w:tc>
        <w:tc>
          <w:tcPr>
            <w:tcW w:type="dxa" w:w="3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p.cls assigned</w:t>
            </w:r>
          </w:p>
        </w:tc>
      </w:tr>
      <w:tr>
        <w:tc>
          <w:tcPr>
            <w:tcW w:type="dxa" w:w="26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classified → reviewed</w:t>
            </w:r>
          </w:p>
        </w:tc>
        <w:tc>
          <w:tcPr>
            <w:tcW w:type="dxa" w:w="3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Specification complete, prior artifacts referenced</w:t>
            </w:r>
          </w:p>
        </w:tc>
        <w:tc>
          <w:tcPr>
            <w:tcW w:type="dxa" w:w="3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Review record created</w:t>
            </w:r>
          </w:p>
        </w:tc>
      </w:tr>
      <w:tr>
        <w:tc>
          <w:tcPr>
            <w:tcW w:type="dxa" w:w="26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reviewed → inv-checked</w:t>
            </w:r>
          </w:p>
        </w:tc>
        <w:tc>
          <w:tcPr>
            <w:tcW w:type="dxa" w:w="3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∀φ ∈ Φ(target) : φ(σ[p.δ]) = true</w:t>
            </w:r>
          </w:p>
        </w:tc>
        <w:tc>
          <w:tcPr>
            <w:tcW w:type="dxa" w:w="3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Invariant check result recorded</w:t>
            </w:r>
          </w:p>
        </w:tc>
      </w:tr>
      <w:tr>
        <w:tc>
          <w:tcPr>
            <w:tcW w:type="dxa" w:w="26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inv-checked → mem-checked</w:t>
            </w:r>
          </w:p>
        </w:tc>
        <w:tc>
          <w:tcPr>
            <w:tcW w:type="dxa" w:w="3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∀μ ∈ M(target) : μ(p.δ) = pass</w:t>
            </w:r>
          </w:p>
        </w:tc>
        <w:tc>
          <w:tcPr>
            <w:tcW w:type="dxa" w:w="3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Membrane check results recorded</w:t>
            </w:r>
          </w:p>
        </w:tc>
      </w:tr>
      <w:tr>
        <w:tc>
          <w:tcPr>
            <w:tcW w:type="dxa" w:w="26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mem-checked → veto-window</w:t>
            </w:r>
          </w:p>
        </w:tc>
        <w:tc>
          <w:tcPr>
            <w:tcW w:type="dxa" w:w="3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Human primacy condition holds (explicit open)</w:t>
            </w:r>
          </w:p>
        </w:tc>
        <w:tc>
          <w:tcPr>
            <w:tcW w:type="dxa" w:w="3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Veto clock started</w:t>
            </w:r>
          </w:p>
        </w:tc>
      </w:tr>
      <w:tr>
        <w:tc>
          <w:tcPr>
            <w:tcW w:type="dxa" w:w="26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veto-window → ratified</w:t>
            </w:r>
          </w:p>
        </w:tc>
        <w:tc>
          <w:tcPr>
            <w:tcW w:type="dxa" w:w="3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HumanOK(p) ∧ veto window elapsed without veto</w:t>
            </w:r>
          </w:p>
        </w:tc>
        <w:tc>
          <w:tcPr>
            <w:tcW w:type="dxa" w:w="3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WF(p,s,δ) satisfied; ratify transition fires</w:t>
            </w:r>
          </w:p>
        </w:tc>
      </w:tr>
      <w:tr>
        <w:tc>
          <w:tcPr>
            <w:tcW w:type="dxa" w:w="26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any → rejected</w:t>
            </w:r>
          </w:p>
        </w:tc>
        <w:tc>
          <w:tcPr>
            <w:tcW w:type="dxa" w:w="3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Human veto issued OR any guard fails</w:t>
            </w:r>
          </w:p>
        </w:tc>
        <w:tc>
          <w:tcPr>
            <w:tcW w:type="dxa" w:w="3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Proposal archived, surface notified</w:t>
            </w:r>
          </w:p>
        </w:tc>
      </w:tr>
      <w:tr>
        <w:tc>
          <w:tcPr>
            <w:tcW w:type="dxa" w:w="26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ratified → anchored</w:t>
            </w:r>
          </w:p>
        </w:tc>
        <w:tc>
          <w:tcPr>
            <w:tcW w:type="dxa" w:w="3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Continuity event appended to chain</w:t>
            </w:r>
          </w:p>
        </w:tc>
        <w:tc>
          <w:tcPr>
            <w:tcW w:type="dxa" w:w="3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e_new = ⟨t_now, δ, p.id⟩</w:t>
            </w:r>
          </w:p>
        </w:tc>
      </w:tr>
    </w:tbl>
    <w:p>
      <w:pPr>
        <w:spacing w:before="160" w:after="80"/>
      </w:pPr>
    </w:p>
    <w:p>
      <w:pPr>
        <w:pStyle w:val="Heading3"/>
        <w:spacing w:before="300" w:after="100"/>
      </w:pPr>
      <w:r>
        <w:rPr>
          <w:rFonts w:ascii="Arial" w:cs="Arial" w:eastAsia="Arial" w:hAnsi="Arial"/>
          <w:b/>
          <w:bCs/>
          <w:color w:val="1a1916"/>
          <w:sz w:val="24"/>
          <w:szCs w:val="24"/>
        </w:rPr>
        <w:t xml:space="preserve">5.2  Classification and Veto Windows</w:t>
      </w:r>
    </w:p>
    <w:p>
      <w:pPr>
        <w:spacing w:before="80"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600"/>
        <w:gridCol w:w="1400"/>
        <w:gridCol w:w="4360"/>
      </w:tblGrid>
      <w:tr>
        <w:tc>
          <w:tcPr>
            <w:tcW w:type="dxa" w:w="20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Type</w:t>
            </w:r>
          </w:p>
        </w:tc>
        <w:tc>
          <w:tcPr>
            <w:tcW w:type="dxa" w:w="16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Veto window</w:t>
            </w:r>
          </w:p>
        </w:tc>
        <w:tc>
          <w:tcPr>
            <w:tcW w:type="dxa" w:w="14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Reversible</w:t>
            </w:r>
          </w:p>
        </w:tc>
        <w:tc>
          <w:tcPr>
            <w:tcW w:type="dxa" w:w="436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Use case</w:t>
            </w:r>
          </w:p>
        </w:tc>
      </w:tr>
      <w:tr>
        <w:tc>
          <w:tcPr>
            <w:tcW w:type="dxa" w:w="2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constitutional</w:t>
            </w:r>
          </w:p>
        </w:tc>
        <w:tc>
          <w:tcPr>
            <w:tcW w:type="dxa" w:w="16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168h (7 days)</w:t>
            </w:r>
          </w:p>
        </w:tc>
        <w:tc>
          <w:tcPr>
            <w:tcW w:type="dxa" w:w="14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No</w:t>
            </w:r>
          </w:p>
        </w:tc>
        <w:tc>
          <w:tcPr>
            <w:tcW w:type="dxa" w:w="43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Changes to rights, invariants, constitutional layer</w:t>
            </w:r>
          </w:p>
        </w:tc>
      </w:tr>
      <w:tr>
        <w:tc>
          <w:tcPr>
            <w:tcW w:type="dxa" w:w="2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operational</w:t>
            </w:r>
          </w:p>
        </w:tc>
        <w:tc>
          <w:tcPr>
            <w:tcW w:type="dxa" w:w="16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24h</w:t>
            </w:r>
          </w:p>
        </w:tc>
        <w:tc>
          <w:tcPr>
            <w:tcW w:type="dxa" w:w="14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Yes</w:t>
            </w:r>
          </w:p>
        </w:tc>
        <w:tc>
          <w:tcPr>
            <w:tcW w:type="dxa" w:w="43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Doctrine changes, surface configuration, runtime params</w:t>
            </w:r>
          </w:p>
        </w:tc>
      </w:tr>
      <w:tr>
        <w:tc>
          <w:tcPr>
            <w:tcW w:type="dxa" w:w="2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emergency</w:t>
            </w:r>
          </w:p>
        </w:tc>
        <w:tc>
          <w:tcPr>
            <w:tcW w:type="dxa" w:w="16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4h minimum</w:t>
            </w:r>
          </w:p>
        </w:tc>
        <w:tc>
          <w:tcPr>
            <w:tcW w:type="dxa" w:w="14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Yes</w:t>
            </w:r>
          </w:p>
        </w:tc>
        <w:tc>
          <w:tcPr>
            <w:tcW w:type="dxa" w:w="43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Urgent operational changes with compressed timeline</w:t>
            </w:r>
          </w:p>
        </w:tc>
      </w:tr>
      <w:tr>
        <w:tc>
          <w:tcPr>
            <w:tcW w:type="dxa" w:w="2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corrective</w:t>
            </w:r>
          </w:p>
        </w:tc>
        <w:tc>
          <w:tcPr>
            <w:tcW w:type="dxa" w:w="16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24h</w:t>
            </w:r>
          </w:p>
        </w:tc>
        <w:tc>
          <w:tcPr>
            <w:tcW w:type="dxa" w:w="14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Yes</w:t>
            </w:r>
          </w:p>
        </w:tc>
        <w:tc>
          <w:tcPr>
            <w:tcW w:type="dxa" w:w="43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Fixes to prior proposals with unintended effects</w:t>
            </w:r>
          </w:p>
        </w:tc>
      </w:tr>
      <w:tr>
        <w:tc>
          <w:tcPr>
            <w:tcW w:type="dxa" w:w="2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archival</w:t>
            </w:r>
          </w:p>
        </w:tc>
        <w:tc>
          <w:tcPr>
            <w:tcW w:type="dxa" w:w="16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72h</w:t>
            </w:r>
          </w:p>
        </w:tc>
        <w:tc>
          <w:tcPr>
            <w:tcW w:type="dxa" w:w="14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Partial</w:t>
            </w:r>
          </w:p>
        </w:tc>
        <w:tc>
          <w:tcPr>
            <w:tcW w:type="dxa" w:w="43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Surface deactivation, historical record creation</w:t>
            </w:r>
          </w:p>
        </w:tc>
      </w:tr>
    </w:tbl>
    <w:p>
      <w:pPr>
        <w:spacing w:before="160" w:after="80"/>
      </w:pPr>
    </w:p>
    <w:p>
      <w:pPr>
        <w:pBdr>
          <w:bottom w:val="single" w:color="E0DFD8" w:sz="4" w:space="1"/>
        </w:pBdr>
        <w:spacing w:before="320" w:after="320"/>
      </w:pPr>
    </w:p>
    <w:p>
      <w:pPr>
        <w:pStyle w:val="Heading1"/>
        <w:spacing w:before="520" w:after="200"/>
      </w:pPr>
      <w:r>
        <w:rPr>
          <w:rFonts w:ascii="Arial" w:cs="Arial" w:eastAsia="Arial" w:hAnsi="Arial"/>
          <w:b/>
          <w:bCs/>
          <w:color w:val="C94400"/>
          <w:sz w:val="40"/>
          <w:szCs w:val="40"/>
        </w:rPr>
        <w:t xml:space="preserve">6.  Constitutional Bus</w:t>
      </w:r>
    </w:p>
    <w:p>
      <w:pPr>
        <w:spacing w:before="60" w:after="140" w:line="360" w:lineRule="auto"/>
      </w:pPr>
      <w:r>
        <w:rPr>
          <w:rFonts w:ascii="Arial" w:cs="Arial" w:eastAsia="Arial" w:hAnsi="Arial"/>
          <w:i w:val="false"/>
          <w:iCs w:val="false"/>
          <w:color w:val="1a1916"/>
          <w:sz w:val="22"/>
          <w:szCs w:val="22"/>
        </w:rPr>
        <w:t xml:space="preserve">The constitutional bus is the event-routing infrastructure. Formally, it is a routing function:</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B : Events × Handlers → Deliveries</w:t>
      </w:r>
    </w:p>
    <w:p>
      <w:pPr>
        <w:spacing w:before="40" w:after="80"/>
      </w:pPr>
    </w:p>
    <w:p>
      <w:pPr>
        <w:spacing w:before="60" w:after="140" w:line="360" w:lineRule="auto"/>
      </w:pPr>
      <w:r>
        <w:rPr>
          <w:rFonts w:ascii="Arial" w:cs="Arial" w:eastAsia="Arial" w:hAnsi="Arial"/>
          <w:i w:val="false"/>
          <w:iCs w:val="false"/>
          <w:color w:val="1a1916"/>
          <w:sz w:val="22"/>
          <w:szCs w:val="22"/>
        </w:rPr>
        <w:t xml:space="preserve">For an event e, B(e) returns the set of handlers that must process it. Each handler is a state transformer:</w:t>
      </w:r>
    </w:p>
    <w:p>
      <w:pPr>
        <w:spacing w:before="80" w:after="40"/>
      </w:pPr>
    </w:p>
    <w:p>
      <w:pPr>
        <w:shd w:fill="EEEDE6" w:val="clear"/>
        <w:spacing w:before="120" w:after="120"/>
        <w:ind w:left="720" w:right="720"/>
        <w:jc w:val="center"/>
      </w:pPr>
      <w:r>
        <w:rPr>
          <w:rFonts w:ascii="Cambria Math" w:cs="Cambria Math" w:eastAsia="Cambria Math" w:hAnsi="Cambria Math"/>
          <w:i/>
          <w:iCs/>
          <w:color w:val="2C2C2A"/>
          <w:sz w:val="23"/>
          <w:szCs w:val="23"/>
        </w:rPr>
        <w:t xml:space="preserve">h : Σ × Event → Σ × Events*</w:t>
      </w:r>
    </w:p>
    <w:p>
      <w:pPr>
        <w:spacing w:before="40" w:after="80"/>
      </w:pPr>
    </w:p>
    <w:p>
      <w:pPr>
        <w:spacing w:before="60" w:after="140" w:line="360" w:lineRule="auto"/>
      </w:pPr>
      <w:r>
        <w:rPr>
          <w:rFonts w:ascii="Arial" w:cs="Arial" w:eastAsia="Arial" w:hAnsi="Arial"/>
          <w:i w:val="false"/>
          <w:iCs w:val="false"/>
          <w:color w:val="1a1916"/>
          <w:sz w:val="22"/>
          <w:szCs w:val="22"/>
        </w:rPr>
        <w:t xml:space="preserve">Returning an updated state and a (possibly empty) set of new events to be dispatched. This gives the Constitutional OS a small-step operational semantics over Σ: repeatedly dispatching events through B and applying handlers reduces the global state.</w:t>
      </w:r>
    </w:p>
    <w:p>
      <w:pPr>
        <w:pStyle w:val="Heading3"/>
        <w:spacing w:before="300" w:after="100"/>
      </w:pPr>
      <w:r>
        <w:rPr>
          <w:rFonts w:ascii="Arial" w:cs="Arial" w:eastAsia="Arial" w:hAnsi="Arial"/>
          <w:b/>
          <w:bCs/>
          <w:color w:val="1a1916"/>
          <w:sz w:val="24"/>
          <w:szCs w:val="24"/>
        </w:rPr>
        <w:t xml:space="preserve">6.1  Bus Integrity Properties</w:t>
      </w:r>
    </w:p>
    <w:p>
      <w:pPr>
        <w:pStyle w:val="ListParagraph"/>
        <w:numPr>
          <w:ilvl w:val="0"/>
          <w:numId w:val="2"/>
        </w:numPr>
        <w:spacing w:before="40" w:after="60"/>
      </w:pPr>
      <w:r>
        <w:rPr>
          <w:rFonts w:ascii="Arial" w:cs="Arial" w:eastAsia="Arial" w:hAnsi="Arial"/>
          <w:color w:val="1a1916"/>
          <w:sz w:val="22"/>
          <w:szCs w:val="22"/>
        </w:rPr>
        <w:t xml:space="preserve">Ordering: Events are dispatched in constitutional order. Constitutional-layer events have strict priority over operational-layer events.</w:t>
      </w:r>
    </w:p>
    <w:p>
      <w:pPr>
        <w:pStyle w:val="ListParagraph"/>
        <w:numPr>
          <w:ilvl w:val="0"/>
          <w:numId w:val="2"/>
        </w:numPr>
        <w:spacing w:before="40" w:after="60"/>
      </w:pPr>
      <w:r>
        <w:rPr>
          <w:rFonts w:ascii="Arial" w:cs="Arial" w:eastAsia="Arial" w:hAnsi="Arial"/>
          <w:color w:val="1a1916"/>
          <w:sz w:val="22"/>
          <w:szCs w:val="22"/>
        </w:rPr>
        <w:t xml:space="preserve">Completeness: No proposal advances to the next lifecycle stage until all processing at the current stage produces acknowledgments from all required handlers.</w:t>
      </w:r>
    </w:p>
    <w:p>
      <w:pPr>
        <w:pStyle w:val="ListParagraph"/>
        <w:numPr>
          <w:ilvl w:val="0"/>
          <w:numId w:val="2"/>
        </w:numPr>
        <w:spacing w:before="40" w:after="60"/>
      </w:pPr>
      <w:r>
        <w:rPr>
          <w:rFonts w:ascii="Arial" w:cs="Arial" w:eastAsia="Arial" w:hAnsi="Arial"/>
          <w:color w:val="1a1916"/>
          <w:sz w:val="22"/>
          <w:szCs w:val="22"/>
        </w:rPr>
        <w:t xml:space="preserve">Auditability: Every dispatch is logged. The bus log is a component of the continuity chain.</w:t>
      </w:r>
    </w:p>
    <w:p>
      <w:pPr>
        <w:pBdr>
          <w:bottom w:val="single" w:color="E0DFD8" w:sz="4" w:space="1"/>
        </w:pBdr>
        <w:spacing w:before="320" w:after="320"/>
      </w:pPr>
    </w:p>
    <w:p>
      <w:pPr>
        <w:pStyle w:val="Heading1"/>
        <w:spacing w:before="520" w:after="200"/>
      </w:pPr>
      <w:r>
        <w:rPr>
          <w:rFonts w:ascii="Arial" w:cs="Arial" w:eastAsia="Arial" w:hAnsi="Arial"/>
          <w:b/>
          <w:bCs/>
          <w:color w:val="C94400"/>
          <w:sz w:val="40"/>
          <w:szCs w:val="40"/>
        </w:rPr>
        <w:t xml:space="preserve">7.  Related Work</w:t>
      </w:r>
    </w:p>
    <w:p>
      <w:pPr>
        <w:pStyle w:val="Heading3"/>
        <w:spacing w:before="300" w:after="100"/>
      </w:pPr>
      <w:r>
        <w:rPr>
          <w:rFonts w:ascii="Arial" w:cs="Arial" w:eastAsia="Arial" w:hAnsi="Arial"/>
          <w:b/>
          <w:bCs/>
          <w:color w:val="1a1916"/>
          <w:sz w:val="24"/>
          <w:szCs w:val="24"/>
        </w:rPr>
        <w:t xml:space="preserve">Constitutional AI</w:t>
      </w:r>
    </w:p>
    <w:p>
      <w:pPr>
        <w:spacing w:before="60" w:after="140" w:line="360" w:lineRule="auto"/>
      </w:pPr>
      <w:r>
        <w:rPr>
          <w:rFonts w:ascii="Arial" w:cs="Arial" w:eastAsia="Arial" w:hAnsi="Arial"/>
          <w:i w:val="false"/>
          <w:iCs w:val="false"/>
          <w:color w:val="1a1916"/>
          <w:sz w:val="22"/>
          <w:szCs w:val="22"/>
        </w:rPr>
        <w:t xml:space="preserve">Bai et al. (2022) introduced Constitutional AI as a training-time method for instilling principles in language models via a principle set and self-critique. The Constitutional OS complements this approach by providing runtime enforcement. Training-time instillation and runtime governance are not competing approaches — they operate at different layers and are mutually reinforcing.</w:t>
      </w:r>
    </w:p>
    <w:p>
      <w:pPr>
        <w:pStyle w:val="Heading3"/>
        <w:spacing w:before="300" w:after="100"/>
      </w:pPr>
      <w:r>
        <w:rPr>
          <w:rFonts w:ascii="Arial" w:cs="Arial" w:eastAsia="Arial" w:hAnsi="Arial"/>
          <w:b/>
          <w:bCs/>
          <w:color w:val="1a1916"/>
          <w:sz w:val="24"/>
          <w:szCs w:val="24"/>
        </w:rPr>
        <w:t xml:space="preserve">Formal Methods for AI Safety</w:t>
      </w:r>
    </w:p>
    <w:p>
      <w:pPr>
        <w:spacing w:before="60" w:after="140" w:line="360" w:lineRule="auto"/>
      </w:pPr>
      <w:r>
        <w:rPr>
          <w:rFonts w:ascii="Arial" w:cs="Arial" w:eastAsia="Arial" w:hAnsi="Arial"/>
          <w:i w:val="false"/>
          <w:iCs w:val="false"/>
          <w:color w:val="1a1916"/>
          <w:sz w:val="22"/>
          <w:szCs w:val="22"/>
        </w:rPr>
        <w:t xml:space="preserve">Research in formal verification for neural networks (Katz et al., 2017; Singh et al., 2019) provides mathematical guarantees about model behavior within bounded input ranges. The Constitutional OS extends this to runtime governance of multi-agent systems in unbounded operational environments, and adds the proposal lifecycle as a formally-governed change management mechanism.</w:t>
      </w:r>
    </w:p>
    <w:p>
      <w:pPr>
        <w:pStyle w:val="Heading3"/>
        <w:spacing w:before="300" w:after="100"/>
      </w:pPr>
      <w:r>
        <w:rPr>
          <w:rFonts w:ascii="Arial" w:cs="Arial" w:eastAsia="Arial" w:hAnsi="Arial"/>
          <w:b/>
          <w:bCs/>
          <w:color w:val="1a1916"/>
          <w:sz w:val="24"/>
          <w:szCs w:val="24"/>
        </w:rPr>
        <w:t xml:space="preserve">Process Calculi</w:t>
      </w:r>
    </w:p>
    <w:p>
      <w:pPr>
        <w:spacing w:before="60" w:after="140" w:line="360" w:lineRule="auto"/>
      </w:pPr>
      <w:r>
        <w:rPr>
          <w:rFonts w:ascii="Arial" w:cs="Arial" w:eastAsia="Arial" w:hAnsi="Arial"/>
          <w:i w:val="false"/>
          <w:iCs w:val="false"/>
          <w:color w:val="1a1916"/>
          <w:sz w:val="22"/>
          <w:szCs w:val="22"/>
        </w:rPr>
        <w:t xml:space="preserve">The delta calculus shares structure with process calculi such as CCS (Milner, 1980) and the π-calculus (Milner et al., 1992). Like these calculi, the delta calculus provides a minimal formal language with compositional semantics. Unlike them, the delta calculus is specifically designed for reversible state transformation over constitutional key-value stores, and its typing rules directly encode constitutional constraints.</w:t>
      </w:r>
    </w:p>
    <w:p>
      <w:pPr>
        <w:pStyle w:val="Heading3"/>
        <w:spacing w:before="300" w:after="100"/>
      </w:pPr>
      <w:r>
        <w:rPr>
          <w:rFonts w:ascii="Arial" w:cs="Arial" w:eastAsia="Arial" w:hAnsi="Arial"/>
          <w:b/>
          <w:bCs/>
          <w:color w:val="1a1916"/>
          <w:sz w:val="24"/>
          <w:szCs w:val="24"/>
        </w:rPr>
        <w:t xml:space="preserve">Reversible Computing</w:t>
      </w:r>
    </w:p>
    <w:p>
      <w:pPr>
        <w:spacing w:before="60" w:after="140" w:line="360" w:lineRule="auto"/>
      </w:pPr>
      <w:r>
        <w:rPr>
          <w:rFonts w:ascii="Arial" w:cs="Arial" w:eastAsia="Arial" w:hAnsi="Arial"/>
          <w:i w:val="false"/>
          <w:iCs w:val="false"/>
          <w:color w:val="1a1916"/>
          <w:sz w:val="22"/>
          <w:szCs w:val="22"/>
        </w:rPr>
        <w:t xml:space="preserve">The groupoid structure of constitutional deltas is related to reversible computing (Landauer, 1961; Bennett, 1973) and reversible process calculi (Danos and Krivine, 2004). The Constitutional OS uses reversibility as a governance primitive rather than a computational efficiency mechanism.</w:t>
      </w:r>
    </w:p>
    <w:p>
      <w:pPr>
        <w:pStyle w:val="Heading3"/>
        <w:spacing w:before="300" w:after="100"/>
      </w:pPr>
      <w:r>
        <w:rPr>
          <w:rFonts w:ascii="Arial" w:cs="Arial" w:eastAsia="Arial" w:hAnsi="Arial"/>
          <w:b/>
          <w:bCs/>
          <w:color w:val="1a1916"/>
          <w:sz w:val="24"/>
          <w:szCs w:val="24"/>
        </w:rPr>
        <w:t xml:space="preserve">AI Governance Frameworks</w:t>
      </w:r>
    </w:p>
    <w:p>
      <w:pPr>
        <w:spacing w:before="60" w:after="140" w:line="360" w:lineRule="auto"/>
      </w:pPr>
      <w:r>
        <w:rPr>
          <w:rFonts w:ascii="Arial" w:cs="Arial" w:eastAsia="Arial" w:hAnsi="Arial"/>
          <w:i w:val="false"/>
          <w:iCs w:val="false"/>
          <w:color w:val="1a1916"/>
          <w:sz w:val="22"/>
          <w:szCs w:val="22"/>
        </w:rPr>
        <w:t xml:space="preserve">The EU AI Act (2024) and NIST AI RMF (2023) define regulatory requirements for AI systems. The Constitutional OS provides the technical infrastructure to satisfy these requirements by construction: the proposal lifecycle maps to change management requirements, the continuity chain provides the audit trail, and the membrane architecture provides the risk management layer.</w:t>
      </w:r>
    </w:p>
    <w:p>
      <w:pPr>
        <w:pBdr>
          <w:bottom w:val="single" w:color="E0DFD8" w:sz="4" w:space="1"/>
        </w:pBdr>
        <w:spacing w:before="320" w:after="320"/>
      </w:pPr>
    </w:p>
    <w:p>
      <w:pPr>
        <w:pStyle w:val="Heading1"/>
        <w:spacing w:before="520" w:after="200"/>
      </w:pPr>
      <w:r>
        <w:rPr>
          <w:rFonts w:ascii="Arial" w:cs="Arial" w:eastAsia="Arial" w:hAnsi="Arial"/>
          <w:b/>
          <w:bCs/>
          <w:color w:val="C94400"/>
          <w:sz w:val="40"/>
          <w:szCs w:val="40"/>
        </w:rPr>
        <w:t xml:space="preserve">8.  Conclusion</w:t>
      </w:r>
    </w:p>
    <w:p>
      <w:pPr>
        <w:spacing w:before="60" w:after="140" w:line="360" w:lineRule="auto"/>
      </w:pPr>
      <w:r>
        <w:rPr>
          <w:rFonts w:ascii="Arial" w:cs="Arial" w:eastAsia="Arial" w:hAnsi="Arial"/>
          <w:i w:val="false"/>
          <w:iCs w:val="false"/>
          <w:color w:val="1a1916"/>
          <w:sz w:val="22"/>
          <w:szCs w:val="22"/>
        </w:rPr>
        <w:t xml:space="preserve">The Constitutional OS addresses a structural gap in AI infrastructure: the absence of a formal, runtime governance layer with mechanically-verifiable safety and reversibility guarantees. The system achieves these guarantees through three formal layers.</w:t>
      </w:r>
    </w:p>
    <w:p>
      <w:pPr>
        <w:spacing w:before="60" w:after="140" w:line="360" w:lineRule="auto"/>
      </w:pPr>
      <w:r>
        <w:rPr>
          <w:rFonts w:ascii="Arial" w:cs="Arial" w:eastAsia="Arial" w:hAnsi="Arial"/>
          <w:i w:val="false"/>
          <w:iCs w:val="false"/>
          <w:color w:val="1a1916"/>
          <w:sz w:val="22"/>
          <w:szCs w:val="22"/>
        </w:rPr>
        <w:t xml:space="preserve">The constitutional state model defines the global state, governed surfaces, and proposals as mathematical objects, with a category-theoretic interpretation providing compositional soundness. The delta calculus provides a typed, reversible language of state transformers whose typing rules directly encode constitutional constraints. The runtime model embeds the calculus into a typed event system and proves that ratification preserves constitutional validity (Theorem 1) and that any reachable state can be rolled back to any prior state (Theorem 2).</w:t>
      </w:r>
    </w:p>
    <w:p>
      <w:pPr>
        <w:spacing w:before="60" w:after="140" w:line="360" w:lineRule="auto"/>
      </w:pPr>
      <w:r>
        <w:rPr>
          <w:rFonts w:ascii="Arial" w:cs="Arial" w:eastAsia="Arial" w:hAnsi="Arial"/>
          <w:i w:val="false"/>
          <w:iCs w:val="false"/>
          <w:color w:val="1a1916"/>
          <w:sz w:val="22"/>
          <w:szCs w:val="22"/>
        </w:rPr>
        <w:t xml:space="preserve">The system is partially implemented and fully architected. The formal specification presented here provides the mathematical foundation for full implementation and mechanical verification. We invite collaboration from researchers in formal methods, programming language theory, and AI governance who share the conviction that trustworthy AI infrastructure requires formal proof, not policy intention.</w:t>
      </w:r>
    </w:p>
    <w:p>
      <w:pPr>
        <w:spacing w:before="80" w:after="80"/>
      </w:pPr>
    </w:p>
    <w:p>
      <w:pPr>
        <w:pBdr>
          <w:left w:val="single" w:color="C94400" w:sz="12" w:space="12"/>
        </w:pBdr>
        <w:spacing w:before="0" w:after="0"/>
        <w:ind w:left="240"/>
      </w:pPr>
      <w:r>
        <w:rPr>
          <w:rFonts w:ascii="Arial" w:cs="Arial" w:eastAsia="Arial" w:hAnsi="Arial"/>
          <w:i/>
          <w:iCs/>
          <w:color w:val="888884"/>
          <w:sz w:val="20"/>
          <w:szCs w:val="20"/>
        </w:rPr>
        <w:t xml:space="preserve">Contact for collaboration, research partnership, or implementation:  </w:t>
      </w:r>
      <w:r>
        <w:rPr>
          <w:rFonts w:ascii="Arial" w:cs="Arial" w:eastAsia="Arial" w:hAnsi="Arial"/>
          <w:color w:val="C94400"/>
          <w:sz w:val="20"/>
          <w:szCs w:val="20"/>
        </w:rPr>
        <w:t xml:space="preserve">[author contact]</w:t>
      </w:r>
    </w:p>
    <w:p>
      <w:pPr>
        <w:pBdr>
          <w:bottom w:val="single" w:color="E0DFD8" w:sz="4" w:space="1"/>
        </w:pBdr>
        <w:spacing w:before="320" w:after="320"/>
      </w:pPr>
    </w:p>
    <w:p>
      <w:pPr>
        <w:pStyle w:val="Heading1"/>
        <w:spacing w:before="520" w:after="200"/>
      </w:pPr>
      <w:r>
        <w:rPr>
          <w:rFonts w:ascii="Arial" w:cs="Arial" w:eastAsia="Arial" w:hAnsi="Arial"/>
          <w:b/>
          <w:bCs/>
          <w:color w:val="C94400"/>
          <w:sz w:val="40"/>
          <w:szCs w:val="40"/>
        </w:rPr>
        <w:t xml:space="preserve">Appendix A:  Mathematical Reference</w:t>
      </w:r>
    </w:p>
    <w:p>
      <w:pPr>
        <w:spacing w:before="80"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4000"/>
        <w:gridCol w:w="2560"/>
      </w:tblGrid>
      <w:tr>
        <w:tc>
          <w:tcPr>
            <w:tcW w:type="dxa" w:w="28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Structure</w:t>
            </w:r>
          </w:p>
        </w:tc>
        <w:tc>
          <w:tcPr>
            <w:tcW w:type="dxa" w:w="40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Formal definition</w:t>
            </w:r>
          </w:p>
        </w:tc>
        <w:tc>
          <w:tcPr>
            <w:tcW w:type="dxa" w:w="256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Framework</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Constitutional state</w:t>
            </w:r>
          </w:p>
        </w:tc>
        <w:tc>
          <w:tcPr>
            <w:tcW w:type="dxa" w:w="4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σ = ⟨Surf, Prop, Chain⟩</w:t>
            </w:r>
          </w:p>
        </w:tc>
        <w:tc>
          <w:tcPr>
            <w:tcW w:type="dxa" w:w="2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Set theory</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Governed surface</w:t>
            </w:r>
          </w:p>
        </w:tc>
        <w:tc>
          <w:tcPr>
            <w:tcW w:type="dxa" w:w="4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s = ⟨I, R, O, Φ, M, P, C⟩</w:t>
            </w:r>
          </w:p>
        </w:tc>
        <w:tc>
          <w:tcPr>
            <w:tcW w:type="dxa" w:w="2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7-tuple / Type theory</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Invariant</w:t>
            </w:r>
          </w:p>
        </w:tc>
        <w:tc>
          <w:tcPr>
            <w:tcW w:type="dxa" w:w="4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φ: Σ → {true,false}</w:t>
            </w:r>
          </w:p>
        </w:tc>
        <w:tc>
          <w:tcPr>
            <w:tcW w:type="dxa" w:w="2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Predicate logic</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Membrane</w:t>
            </w:r>
          </w:p>
        </w:tc>
        <w:tc>
          <w:tcPr>
            <w:tcW w:type="dxa" w:w="4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μ: Λ → {pass,fail}</w:t>
            </w:r>
          </w:p>
        </w:tc>
        <w:tc>
          <w:tcPr>
            <w:tcW w:type="dxa" w:w="2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Boundary function</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Constitutional validity</w:t>
            </w:r>
          </w:p>
        </w:tc>
        <w:tc>
          <w:tcPr>
            <w:tcW w:type="dxa" w:w="4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valid(σ) ⇔ ∀i: φ_i(σ)=true</w:t>
            </w:r>
          </w:p>
        </w:tc>
        <w:tc>
          <w:tcPr>
            <w:tcW w:type="dxa" w:w="2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Predicate logic</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Delta calculus term</w:t>
            </w:r>
          </w:p>
        </w:tc>
        <w:tc>
          <w:tcPr>
            <w:tcW w:type="dxa" w:w="4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δ ::= ε | set(k,v) | add(k,v) | del(k) | δ;δ | δ⁻¹</w:t>
            </w:r>
          </w:p>
        </w:tc>
        <w:tc>
          <w:tcPr>
            <w:tcW w:type="dxa" w:w="2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Formal grammar</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Delta typing</w:t>
            </w:r>
          </w:p>
        </w:tc>
        <w:tc>
          <w:tcPr>
            <w:tcW w:type="dxa" w:w="4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Γ ⊢ δ: σ → σ'</w:t>
            </w:r>
          </w:p>
        </w:tc>
        <w:tc>
          <w:tcPr>
            <w:tcW w:type="dxa" w:w="2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Type theory</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Groupoid property</w:t>
            </w:r>
          </w:p>
        </w:tc>
        <w:tc>
          <w:tcPr>
            <w:tcW w:type="dxa" w:w="4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δ;δ⁻¹ = ε</w:t>
            </w:r>
          </w:p>
        </w:tc>
        <w:tc>
          <w:tcPr>
            <w:tcW w:type="dxa" w:w="2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Algebra</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Proposal lifecycle</w:t>
            </w:r>
          </w:p>
        </w:tc>
        <w:tc>
          <w:tcPr>
            <w:tcW w:type="dxa" w:w="4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L = ⟨Q, Σ, δ, q₀, F⟩</w:t>
            </w:r>
          </w:p>
        </w:tc>
        <w:tc>
          <w:tcPr>
            <w:tcW w:type="dxa" w:w="2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Deterministic finite automaton</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Continuity event</w:t>
            </w:r>
          </w:p>
        </w:tc>
        <w:tc>
          <w:tcPr>
            <w:tcW w:type="dxa" w:w="4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e_i = ⟨t_i, δ_i, id_p⟩</w:t>
            </w:r>
          </w:p>
        </w:tc>
        <w:tc>
          <w:tcPr>
            <w:tcW w:type="dxa" w:w="2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Temporal ledger entry</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Rollback delta</w:t>
            </w:r>
          </w:p>
        </w:tc>
        <w:tc>
          <w:tcPr>
            <w:tcW w:type="dxa" w:w="4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ρ_{k←n} = δ⁻¹_{k+1};…;δ⁻¹_n</w:t>
            </w:r>
          </w:p>
        </w:tc>
        <w:tc>
          <w:tcPr>
            <w:tcW w:type="dxa" w:w="2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Algebraic inverse composition</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Constitutional bus</w:t>
            </w:r>
          </w:p>
        </w:tc>
        <w:tc>
          <w:tcPr>
            <w:tcW w:type="dxa" w:w="4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B: Events × Handlers → Deliveries</w:t>
            </w:r>
          </w:p>
        </w:tc>
        <w:tc>
          <w:tcPr>
            <w:tcW w:type="dxa" w:w="2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Directed routing graph</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Category (objects)</w:t>
            </w:r>
          </w:p>
        </w:tc>
        <w:tc>
          <w:tcPr>
            <w:tcW w:type="dxa" w:w="4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Constitutional states σ</w:t>
            </w:r>
          </w:p>
        </w:tc>
        <w:tc>
          <w:tcPr>
            <w:tcW w:type="dxa" w:w="2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Category theory</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Category (morphisms)</w:t>
            </w:r>
          </w:p>
        </w:tc>
        <w:tc>
          <w:tcPr>
            <w:tcW w:type="dxa" w:w="4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Reversible deltas δ: σ₁→σ₂</w:t>
            </w:r>
          </w:p>
        </w:tc>
        <w:tc>
          <w:tcPr>
            <w:tcW w:type="dxa" w:w="2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Category theory</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Continuity functor</w:t>
            </w:r>
          </w:p>
        </w:tc>
        <w:tc>
          <w:tcPr>
            <w:tcW w:type="dxa" w:w="4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F: C → Time</w:t>
            </w:r>
          </w:p>
        </w:tc>
        <w:tc>
          <w:tcPr>
            <w:tcW w:type="dxa" w:w="2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Category theory</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Membranes as nat. transforms.</w:t>
            </w:r>
          </w:p>
        </w:tc>
        <w:tc>
          <w:tcPr>
            <w:tcW w:type="dxa" w:w="4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Natural transformations between functors</w:t>
            </w:r>
          </w:p>
        </w:tc>
        <w:tc>
          <w:tcPr>
            <w:tcW w:type="dxa" w:w="2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Category theory</w:t>
            </w:r>
          </w:p>
        </w:tc>
      </w:tr>
    </w:tbl>
    <w:p>
      <w:pPr>
        <w:spacing w:before="160" w:after="80"/>
      </w:pPr>
    </w:p>
    <w:p>
      <w:pPr>
        <w:pStyle w:val="Heading1"/>
        <w:spacing w:before="520" w:after="200"/>
      </w:pPr>
      <w:r>
        <w:rPr>
          <w:rFonts w:ascii="Arial" w:cs="Arial" w:eastAsia="Arial" w:hAnsi="Arial"/>
          <w:b/>
          <w:bCs/>
          <w:color w:val="C94400"/>
          <w:sz w:val="40"/>
          <w:szCs w:val="40"/>
        </w:rPr>
        <w:t xml:space="preserve">Appendix B:  Theorem Index</w:t>
      </w:r>
    </w:p>
    <w:p>
      <w:pPr>
        <w:spacing w:before="80"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4560"/>
        <w:gridCol w:w="2000"/>
      </w:tblGrid>
      <w:tr>
        <w:tc>
          <w:tcPr>
            <w:tcW w:type="dxa" w:w="28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Theorem</w:t>
            </w:r>
          </w:p>
        </w:tc>
        <w:tc>
          <w:tcPr>
            <w:tcW w:type="dxa" w:w="456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Statement</w:t>
            </w:r>
          </w:p>
        </w:tc>
        <w:tc>
          <w:tcPr>
            <w:tcW w:type="dxa" w:w="2000"/>
            <w:tcBorders>
              <w:top w:val="single" w:color="E0DFD8" w:sz="1"/>
              <w:left w:val="single" w:color="E0DFD8" w:sz="1"/>
              <w:bottom w:val="single" w:color="E0DFD8" w:sz="1"/>
              <w:right w:val="single" w:color="E0DFD8" w:sz="1"/>
            </w:tcBorders>
            <w:shd w:fill="1a1916" w:val="clear"/>
            <w:tcMar>
              <w:top w:type="dxa" w:w="80"/>
              <w:left w:type="dxa" w:w="140"/>
              <w:bottom w:type="dxa" w:w="80"/>
              <w:right w:type="dxa" w:w="140"/>
            </w:tcMar>
          </w:tcPr>
          <w:p>
            <w:r>
              <w:rPr>
                <w:rFonts w:ascii="Arial" w:cs="Arial" w:eastAsia="Arial" w:hAnsi="Arial"/>
                <w:b/>
                <w:bCs/>
                <w:color w:val="FFFFFF"/>
                <w:sz w:val="20"/>
                <w:szCs w:val="20"/>
              </w:rPr>
              <w:t xml:space="preserve">Location</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Core Safety (Calculus)</w:t>
            </w:r>
          </w:p>
        </w:tc>
        <w:tc>
          <w:tcPr>
            <w:tcW w:type="dxa" w:w="4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A delta is only executable if well-typed, invariant-preserving, membrane-admissible, and human-approved.</w:t>
            </w:r>
          </w:p>
        </w:tc>
        <w:tc>
          <w:tcPr>
            <w:tcW w:type="dxa" w:w="2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Section 3.6</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Theorem 1: Runtime Safety</w:t>
            </w:r>
          </w:p>
        </w:tc>
        <w:tc>
          <w:tcPr>
            <w:tcW w:type="dxa" w:w="4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valid(σ) ⇒ valid(σ') for any ratification transition.</w:t>
            </w:r>
          </w:p>
        </w:tc>
        <w:tc>
          <w:tcPr>
            <w:tcW w:type="dxa" w:w="2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Section 4.6</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Theorem 2: Runtime Reversibility</w:t>
            </w:r>
          </w:p>
        </w:tc>
        <w:tc>
          <w:tcPr>
            <w:tcW w:type="dxa" w:w="4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ρ_{k←n}(σ_n) = σ_k for any 0 ≤ k ≤ n.</w:t>
            </w:r>
          </w:p>
        </w:tc>
        <w:tc>
          <w:tcPr>
            <w:tcW w:type="dxa" w:w="2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Section 4.7</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Corollary: Rollback Safety</w:t>
            </w:r>
          </w:p>
        </w:tc>
        <w:tc>
          <w:tcPr>
            <w:tcW w:type="dxa" w:w="4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Every reachable state has a path back to any prior ratified state.</w:t>
            </w:r>
          </w:p>
        </w:tc>
        <w:tc>
          <w:tcPr>
            <w:tcW w:type="dxa" w:w="2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Section 4.8</w:t>
            </w:r>
          </w:p>
        </w:tc>
      </w:tr>
      <w:tr>
        <w:tc>
          <w:tcPr>
            <w:tcW w:type="dxa" w:w="28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C94400"/>
                <w:sz w:val="20"/>
                <w:szCs w:val="20"/>
              </w:rPr>
              <w:t xml:space="preserve">Groupoid Property</w:t>
            </w:r>
          </w:p>
        </w:tc>
        <w:tc>
          <w:tcPr>
            <w:tcW w:type="dxa" w:w="456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δ;δ⁻¹ = ε and δ⁻¹;δ = ε for all well-typed δ.</w:t>
            </w:r>
          </w:p>
        </w:tc>
        <w:tc>
          <w:tcPr>
            <w:tcW w:type="dxa" w:w="2000"/>
            <w:tcBorders>
              <w:top w:val="single" w:color="E0DFD8" w:sz="1"/>
              <w:left w:val="single" w:color="E0DFD8" w:sz="1"/>
              <w:bottom w:val="single" w:color="E0DFD8" w:sz="1"/>
              <w:right w:val="single" w:color="E0DFD8" w:sz="1"/>
            </w:tcBorders>
            <w:shd w:fill="F7F6F2" w:val="clear"/>
            <w:tcMar>
              <w:top w:type="dxa" w:w="80"/>
              <w:left w:type="dxa" w:w="140"/>
              <w:bottom w:type="dxa" w:w="80"/>
              <w:right w:type="dxa" w:w="140"/>
            </w:tcMar>
          </w:tcPr>
          <w:p>
            <w:r>
              <w:rPr>
                <w:rFonts w:ascii="Arial" w:cs="Arial" w:eastAsia="Arial" w:hAnsi="Arial"/>
                <w:color w:val="1a1916"/>
                <w:sz w:val="20"/>
                <w:szCs w:val="20"/>
              </w:rPr>
              <w:t xml:space="preserve">Section 3.2</w:t>
            </w:r>
          </w:p>
        </w:tc>
      </w:tr>
      <w:tr>
        <w:tc>
          <w:tcPr>
            <w:tcW w:type="dxa" w:w="28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C94400"/>
                <w:sz w:val="20"/>
                <w:szCs w:val="20"/>
              </w:rPr>
              <w:t xml:space="preserve">Compositional Soundness</w:t>
            </w:r>
          </w:p>
        </w:tc>
        <w:tc>
          <w:tcPr>
            <w:tcW w:type="dxa" w:w="456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If δ₁ and δ₂ are permissible, δ₁;δ₂ is permissible (via category theory).</w:t>
            </w:r>
          </w:p>
        </w:tc>
        <w:tc>
          <w:tcPr>
            <w:tcW w:type="dxa" w:w="2000"/>
            <w:tcBorders>
              <w:top w:val="single" w:color="E0DFD8" w:sz="1"/>
              <w:left w:val="single" w:color="E0DFD8" w:sz="1"/>
              <w:bottom w:val="single" w:color="E0DFD8" w:sz="1"/>
              <w:right w:val="single" w:color="E0DFD8" w:sz="1"/>
            </w:tcBorders>
            <w:shd w:fill="FFFFFF" w:val="clear"/>
            <w:tcMar>
              <w:top w:type="dxa" w:w="80"/>
              <w:left w:type="dxa" w:w="140"/>
              <w:bottom w:type="dxa" w:w="80"/>
              <w:right w:type="dxa" w:w="140"/>
            </w:tcMar>
          </w:tcPr>
          <w:p>
            <w:r>
              <w:rPr>
                <w:rFonts w:ascii="Arial" w:cs="Arial" w:eastAsia="Arial" w:hAnsi="Arial"/>
                <w:color w:val="1a1916"/>
                <w:sz w:val="20"/>
                <w:szCs w:val="20"/>
              </w:rPr>
              <w:t xml:space="preserve">Section 2.5</w:t>
            </w:r>
          </w:p>
        </w:tc>
      </w:tr>
    </w:tbl>
    <w:p>
      <w:pPr>
        <w:spacing w:before="160" w:after="80"/>
      </w:pPr>
    </w:p>
    <w:p>
      <w:pPr>
        <w:pStyle w:val="Heading1"/>
        <w:spacing w:before="520" w:after="200"/>
      </w:pPr>
      <w:r>
        <w:rPr>
          <w:rFonts w:ascii="Arial" w:cs="Arial" w:eastAsia="Arial" w:hAnsi="Arial"/>
          <w:b/>
          <w:bCs/>
          <w:color w:val="C94400"/>
          <w:sz w:val="40"/>
          <w:szCs w:val="40"/>
        </w:rPr>
        <w:t xml:space="preserve">Appendix C:  Glossary</w:t>
      </w:r>
    </w:p>
    <w:p>
      <w:pPr>
        <w:spacing w:before="80" w:after="40"/>
      </w:pPr>
    </w:p>
    <w:p>
      <w:pPr>
        <w:spacing w:before="80" w:after="80"/>
      </w:pPr>
      <w:r>
        <w:rPr>
          <w:rFonts w:ascii="Arial" w:cs="Arial" w:eastAsia="Arial" w:hAnsi="Arial"/>
          <w:b/>
          <w:bCs/>
          <w:color w:val="C94400"/>
          <w:sz w:val="22"/>
          <w:szCs w:val="22"/>
        </w:rPr>
        <w:t xml:space="preserve">Constitutional delta (δ):  </w:t>
      </w:r>
      <w:r>
        <w:rPr>
          <w:rFonts w:ascii="Arial" w:cs="Arial" w:eastAsia="Arial" w:hAnsi="Arial"/>
          <w:color w:val="1a1916"/>
          <w:sz w:val="22"/>
          <w:szCs w:val="22"/>
        </w:rPr>
        <w:t xml:space="preserve">A term in the delta calculus: a typed, reversible state transformer with formal inverse δ⁻¹.</w:t>
      </w:r>
    </w:p>
    <w:p>
      <w:pPr>
        <w:spacing w:before="80" w:after="80"/>
      </w:pPr>
      <w:r>
        <w:rPr>
          <w:rFonts w:ascii="Arial" w:cs="Arial" w:eastAsia="Arial" w:hAnsi="Arial"/>
          <w:b/>
          <w:bCs/>
          <w:color w:val="C94400"/>
          <w:sz w:val="22"/>
          <w:szCs w:val="22"/>
        </w:rPr>
        <w:t xml:space="preserve">Constitutional organism:  </w:t>
      </w:r>
      <w:r>
        <w:rPr>
          <w:rFonts w:ascii="Arial" w:cs="Arial" w:eastAsia="Arial" w:hAnsi="Arial"/>
          <w:color w:val="1a1916"/>
          <w:sz w:val="22"/>
          <w:szCs w:val="22"/>
        </w:rPr>
        <w:t xml:space="preserve">A collection of governed surfaces operating within a shared constitutional substrate.</w:t>
      </w:r>
    </w:p>
    <w:p>
      <w:pPr>
        <w:spacing w:before="80" w:after="80"/>
      </w:pPr>
      <w:r>
        <w:rPr>
          <w:rFonts w:ascii="Arial" w:cs="Arial" w:eastAsia="Arial" w:hAnsi="Arial"/>
          <w:b/>
          <w:bCs/>
          <w:color w:val="C94400"/>
          <w:sz w:val="22"/>
          <w:szCs w:val="22"/>
        </w:rPr>
        <w:t xml:space="preserve">Constitutional state (σ):  </w:t>
      </w:r>
      <w:r>
        <w:rPr>
          <w:rFonts w:ascii="Arial" w:cs="Arial" w:eastAsia="Arial" w:hAnsi="Arial"/>
          <w:color w:val="1a1916"/>
          <w:sz w:val="22"/>
          <w:szCs w:val="22"/>
        </w:rPr>
        <w:t xml:space="preserve">The tuple ⟨Surf, Prop, Chain⟩ representing the complete state of the system at a moment in time.</w:t>
      </w:r>
    </w:p>
    <w:p>
      <w:pPr>
        <w:spacing w:before="80" w:after="80"/>
      </w:pPr>
      <w:r>
        <w:rPr>
          <w:rFonts w:ascii="Arial" w:cs="Arial" w:eastAsia="Arial" w:hAnsi="Arial"/>
          <w:b/>
          <w:bCs/>
          <w:color w:val="C94400"/>
          <w:sz w:val="22"/>
          <w:szCs w:val="22"/>
        </w:rPr>
        <w:t xml:space="preserve">Continuity event (e_i):  </w:t>
      </w:r>
      <w:r>
        <w:rPr>
          <w:rFonts w:ascii="Arial" w:cs="Arial" w:eastAsia="Arial" w:hAnsi="Arial"/>
          <w:color w:val="1a1916"/>
          <w:sz w:val="22"/>
          <w:szCs w:val="22"/>
        </w:rPr>
        <w:t xml:space="preserve">A timestamped, tamper-evident record ⟨t_i, δ_i, id_p⟩ of a ratified state change.</w:t>
      </w:r>
    </w:p>
    <w:p>
      <w:pPr>
        <w:spacing w:before="80" w:after="80"/>
      </w:pPr>
      <w:r>
        <w:rPr>
          <w:rFonts w:ascii="Arial" w:cs="Arial" w:eastAsia="Arial" w:hAnsi="Arial"/>
          <w:b/>
          <w:bCs/>
          <w:color w:val="C94400"/>
          <w:sz w:val="22"/>
          <w:szCs w:val="22"/>
        </w:rPr>
        <w:t xml:space="preserve">Delta calculus:  </w:t>
      </w:r>
      <w:r>
        <w:rPr>
          <w:rFonts w:ascii="Arial" w:cs="Arial" w:eastAsia="Arial" w:hAnsi="Arial"/>
          <w:color w:val="1a1916"/>
          <w:sz w:val="22"/>
          <w:szCs w:val="22"/>
        </w:rPr>
        <w:t xml:space="preserve">The minimal formal language of reversible constitutional state transformers, with typing rules encoding constitutional constraints.</w:t>
      </w:r>
    </w:p>
    <w:p>
      <w:pPr>
        <w:spacing w:before="80" w:after="80"/>
      </w:pPr>
      <w:r>
        <w:rPr>
          <w:rFonts w:ascii="Arial" w:cs="Arial" w:eastAsia="Arial" w:hAnsi="Arial"/>
          <w:b/>
          <w:bCs/>
          <w:color w:val="C94400"/>
          <w:sz w:val="22"/>
          <w:szCs w:val="22"/>
        </w:rPr>
        <w:t xml:space="preserve">Governed surface (s):  </w:t>
      </w:r>
      <w:r>
        <w:rPr>
          <w:rFonts w:ascii="Arial" w:cs="Arial" w:eastAsia="Arial" w:hAnsi="Arial"/>
          <w:color w:val="1a1916"/>
          <w:sz w:val="22"/>
          <w:szCs w:val="22"/>
        </w:rPr>
        <w:t xml:space="preserve">Any domain, agent, or system represented as a 7-tuple ⟨I, R, O, Φ, M, P, C⟩ within the constitutional system.</w:t>
      </w:r>
    </w:p>
    <w:p>
      <w:pPr>
        <w:spacing w:before="80" w:after="80"/>
      </w:pPr>
      <w:r>
        <w:rPr>
          <w:rFonts w:ascii="Arial" w:cs="Arial" w:eastAsia="Arial" w:hAnsi="Arial"/>
          <w:b/>
          <w:bCs/>
          <w:color w:val="C94400"/>
          <w:sz w:val="22"/>
          <w:szCs w:val="22"/>
        </w:rPr>
        <w:t xml:space="preserve">Groupoid:  </w:t>
      </w:r>
      <w:r>
        <w:rPr>
          <w:rFonts w:ascii="Arial" w:cs="Arial" w:eastAsia="Arial" w:hAnsi="Arial"/>
          <w:color w:val="1a1916"/>
          <w:sz w:val="22"/>
          <w:szCs w:val="22"/>
        </w:rPr>
        <w:t xml:space="preserve">An algebraic structure in which every element has an inverse. Constitutional deltas form a groupoid over reachable states.</w:t>
      </w:r>
    </w:p>
    <w:p>
      <w:pPr>
        <w:spacing w:before="80" w:after="80"/>
      </w:pPr>
      <w:r>
        <w:rPr>
          <w:rFonts w:ascii="Arial" w:cs="Arial" w:eastAsia="Arial" w:hAnsi="Arial"/>
          <w:b/>
          <w:bCs/>
          <w:color w:val="C94400"/>
          <w:sz w:val="22"/>
          <w:szCs w:val="22"/>
        </w:rPr>
        <w:t xml:space="preserve">Human primacy:  </w:t>
      </w:r>
      <w:r>
        <w:rPr>
          <w:rFonts w:ascii="Arial" w:cs="Arial" w:eastAsia="Arial" w:hAnsi="Arial"/>
          <w:color w:val="1a1916"/>
          <w:sz w:val="22"/>
          <w:szCs w:val="22"/>
        </w:rPr>
        <w:t xml:space="preserve">The invariant that no transition may reduce human oversight capacity or remove the human veto right.</w:t>
      </w:r>
    </w:p>
    <w:p>
      <w:pPr>
        <w:spacing w:before="80" w:after="80"/>
      </w:pPr>
      <w:r>
        <w:rPr>
          <w:rFonts w:ascii="Arial" w:cs="Arial" w:eastAsia="Arial" w:hAnsi="Arial"/>
          <w:b/>
          <w:bCs/>
          <w:color w:val="C94400"/>
          <w:sz w:val="22"/>
          <w:szCs w:val="22"/>
        </w:rPr>
        <w:t xml:space="preserve">Invariant (φ):  </w:t>
      </w:r>
      <w:r>
        <w:rPr>
          <w:rFonts w:ascii="Arial" w:cs="Arial" w:eastAsia="Arial" w:hAnsi="Arial"/>
          <w:color w:val="1a1916"/>
          <w:sz w:val="22"/>
          <w:szCs w:val="22"/>
        </w:rPr>
        <w:t xml:space="preserve">A predicate φ: Σ → {true,false} that must evaluate true over all constitutionally valid states.</w:t>
      </w:r>
    </w:p>
    <w:p>
      <w:pPr>
        <w:spacing w:before="80" w:after="80"/>
      </w:pPr>
      <w:r>
        <w:rPr>
          <w:rFonts w:ascii="Arial" w:cs="Arial" w:eastAsia="Arial" w:hAnsi="Arial"/>
          <w:b/>
          <w:bCs/>
          <w:color w:val="C94400"/>
          <w:sz w:val="22"/>
          <w:szCs w:val="22"/>
        </w:rPr>
        <w:t xml:space="preserve">Membrane (μ):  </w:t>
      </w:r>
      <w:r>
        <w:rPr>
          <w:rFonts w:ascii="Arial" w:cs="Arial" w:eastAsia="Arial" w:hAnsi="Arial"/>
          <w:color w:val="1a1916"/>
          <w:sz w:val="22"/>
          <w:szCs w:val="22"/>
        </w:rPr>
        <w:t xml:space="preserve">A boundary function μ: Λ → {pass,fail} that gates whether a proposed action may proceed to ratification.</w:t>
      </w:r>
    </w:p>
    <w:p>
      <w:pPr>
        <w:spacing w:before="80" w:after="80"/>
      </w:pPr>
      <w:r>
        <w:rPr>
          <w:rFonts w:ascii="Arial" w:cs="Arial" w:eastAsia="Arial" w:hAnsi="Arial"/>
          <w:b/>
          <w:bCs/>
          <w:color w:val="C94400"/>
          <w:sz w:val="22"/>
          <w:szCs w:val="22"/>
        </w:rPr>
        <w:t xml:space="preserve">Ratifiable delta:  </w:t>
      </w:r>
      <w:r>
        <w:rPr>
          <w:rFonts w:ascii="Arial" w:cs="Arial" w:eastAsia="Arial" w:hAnsi="Arial"/>
          <w:color w:val="1a1916"/>
          <w:sz w:val="22"/>
          <w:szCs w:val="22"/>
        </w:rPr>
        <w:t xml:space="preserve">A delta that is well-typed, invariant-preserving, membrane-admissible, and human-approved.</w:t>
      </w:r>
    </w:p>
    <w:p>
      <w:pPr>
        <w:spacing w:before="80" w:after="80"/>
      </w:pPr>
      <w:r>
        <w:rPr>
          <w:rFonts w:ascii="Arial" w:cs="Arial" w:eastAsia="Arial" w:hAnsi="Arial"/>
          <w:b/>
          <w:bCs/>
          <w:color w:val="C94400"/>
          <w:sz w:val="22"/>
          <w:szCs w:val="22"/>
        </w:rPr>
        <w:t xml:space="preserve">Rollback delta (ρ_{k←n}):  </w:t>
      </w:r>
      <w:r>
        <w:rPr>
          <w:rFonts w:ascii="Arial" w:cs="Arial" w:eastAsia="Arial" w:hAnsi="Arial"/>
          <w:color w:val="1a1916"/>
          <w:sz w:val="22"/>
          <w:szCs w:val="22"/>
        </w:rPr>
        <w:t xml:space="preserve">The composition of inverse deltas δ⁻¹_{k+1};…;δ⁻¹_n that restores state σ_k from σ_n.</w:t>
      </w:r>
    </w:p>
    <w:p>
      <w:pPr>
        <w:spacing w:before="80" w:after="80"/>
      </w:pPr>
      <w:r>
        <w:rPr>
          <w:rFonts w:ascii="Arial" w:cs="Arial" w:eastAsia="Arial" w:hAnsi="Arial"/>
          <w:b/>
          <w:bCs/>
          <w:color w:val="C94400"/>
          <w:sz w:val="22"/>
          <w:szCs w:val="22"/>
        </w:rPr>
        <w:t xml:space="preserve">Surface kernel:  </w:t>
      </w:r>
      <w:r>
        <w:rPr>
          <w:rFonts w:ascii="Arial" w:cs="Arial" w:eastAsia="Arial" w:hAnsi="Arial"/>
          <w:color w:val="1a1916"/>
          <w:sz w:val="22"/>
          <w:szCs w:val="22"/>
        </w:rPr>
        <w:t xml:space="preserve">The 7-tuple ⟨I, R, O, Φ, M, P, C⟩ constituting the constitutional identity and governance bindings of a governed surface.</w:t>
      </w:r>
    </w:p>
    <w:p>
      <w:pPr>
        <w:spacing w:before="80" w:after="80"/>
      </w:pPr>
      <w:r>
        <w:rPr>
          <w:rFonts w:ascii="Arial" w:cs="Arial" w:eastAsia="Arial" w:hAnsi="Arial"/>
          <w:b/>
          <w:bCs/>
          <w:color w:val="C94400"/>
          <w:sz w:val="22"/>
          <w:szCs w:val="22"/>
        </w:rPr>
        <w:t xml:space="preserve">Well-formed proposal:  </w:t>
      </w:r>
      <w:r>
        <w:rPr>
          <w:rFonts w:ascii="Arial" w:cs="Arial" w:eastAsia="Arial" w:hAnsi="Arial"/>
          <w:color w:val="1a1916"/>
          <w:sz w:val="22"/>
          <w:szCs w:val="22"/>
        </w:rPr>
        <w:t xml:space="preserve">A proposal whose delta is well-typed, invariant-preserving under all applicable invariants, and membrane-admissible under all applicable membranes.</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E0DFD8" w:sz="3" w:space="4"/>
      </w:pBdr>
      <w:tabs>
        <w:tab w:val="right" w:pos="9026"/>
      </w:tabs>
      <w:spacing w:before="120"/>
    </w:pPr>
    <w:r>
      <w:rPr>
        <w:rFonts w:ascii="Arial" w:cs="Arial" w:eastAsia="Arial" w:hAnsi="Arial"/>
        <w:color w:val="888884"/>
        <w:sz w:val="18"/>
        <w:szCs w:val="18"/>
      </w:rPr>
      <w:t xml:space="preserve">Confidential draft — not for distribution</w:t>
    </w:r>
    <w:r>
      <w:rPr>
        <w:sz w:val="18"/>
        <w:szCs w:val="18"/>
      </w:rPr>
      <w:t xml:space="preserve">	</w:t>
    </w:r>
    <w:r>
      <w:rPr>
        <w:rFonts w:ascii="Arial" w:cs="Arial" w:eastAsia="Arial" w:hAnsi="Arial"/>
        <w:color w:val="888884"/>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0DFD8" w:sz="3" w:space="4"/>
      </w:pBdr>
      <w:spacing w:after="120"/>
    </w:pPr>
    <w:r>
      <w:rPr>
        <w:rFonts w:ascii="Arial" w:cs="Arial" w:eastAsia="Arial" w:hAnsi="Arial"/>
        <w:color w:val="888884"/>
        <w:sz w:val="18"/>
        <w:szCs w:val="18"/>
      </w:rPr>
      <w:t xml:space="preserve">Constitutional OS  —  Formal Specification and Whitepaper  v0.3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520" w:after="200"/>
      <w:outlineLvl w:val="0"/>
    </w:pPr>
    <w:rPr>
      <w:rFonts w:ascii="Arial" w:cs="Arial" w:eastAsia="Arial" w:hAnsi="Arial"/>
      <w:b/>
      <w:bCs/>
      <w:color w:val="C94400"/>
      <w:sz w:val="40"/>
      <w:szCs w:val="40"/>
    </w:rPr>
  </w:style>
  <w:style w:type="paragraph" w:styleId="Heading2">
    <w:name w:val="Heading 2"/>
    <w:basedOn w:val="Normal"/>
    <w:next w:val="Normal"/>
    <w:qFormat/>
    <w:pPr>
      <w:spacing w:before="400" w:after="160"/>
      <w:outlineLvl w:val="1"/>
    </w:pPr>
    <w:rPr>
      <w:rFonts w:ascii="Arial" w:cs="Arial" w:eastAsia="Arial" w:hAnsi="Arial"/>
      <w:b/>
      <w:bCs/>
      <w:color w:val="1a1916"/>
      <w:sz w:val="30"/>
      <w:szCs w:val="30"/>
    </w:rPr>
  </w:style>
  <w:style w:type="paragraph" w:styleId="Heading3">
    <w:name w:val="Heading 3"/>
    <w:basedOn w:val="Normal"/>
    <w:next w:val="Normal"/>
    <w:qFormat/>
    <w:pPr>
      <w:spacing w:before="300" w:after="100"/>
      <w:outlineLvl w:val="2"/>
    </w:pPr>
    <w:rPr>
      <w:rFonts w:ascii="Arial" w:cs="Arial" w:eastAsia="Arial" w:hAnsi="Arial"/>
      <w:b/>
      <w:bCs/>
      <w:color w:val="1a191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2026-03-16T06:53:15.421Z</dcterms:created>
  <dcterms:modified xsi:type="dcterms:W3CDTF">2026-03-16T06:53:15.422Z</dcterms:modified>
</cp:coreProperties>
</file>

<file path=docProps/custom.xml><?xml version="1.0" encoding="utf-8"?>
<Properties xmlns="http://schemas.openxmlformats.org/officeDocument/2006/custom-properties" xmlns:vt="http://schemas.openxmlformats.org/officeDocument/2006/docPropsVTypes"/>
</file>