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0" w:after="80"/>
      </w:pPr>
      <w:r>
        <w:rPr>
          <w:rFonts w:ascii="Arial" w:cs="Arial" w:eastAsia="Arial" w:hAnsi="Arial"/>
          <w:caps/>
          <w:color w:val="595959"/>
          <w:sz w:val="17"/>
          <w:szCs w:val="17"/>
        </w:rPr>
        <w:t xml:space="preserve">PREPRINT — ABC INSTITUTE FOR INDEPENDENT RESEARCH</w:t>
      </w:r>
    </w:p>
    <w:p>
      <w:pPr>
        <w:spacing w:before="0" w:after="200"/>
      </w:pPr>
      <w:r>
        <w:rPr>
          <w:rFonts w:ascii="Arial" w:cs="Arial" w:eastAsia="Arial" w:hAnsi="Arial"/>
          <w:i/>
          <w:iCs/>
          <w:color w:val="595959"/>
          <w:sz w:val="18"/>
          <w:szCs w:val="18"/>
        </w:rPr>
        <w:t xml:space="preserve">Preprint  |  March 2026  |  Submitted to Zenodo</w:t>
      </w:r>
    </w:p>
    <w:p>
      <w:pPr>
        <w:spacing w:before="0" w:after="160"/>
      </w:pPr>
      <w:r>
        <w:rPr>
          <w:rFonts w:ascii="Arial" w:cs="Arial" w:eastAsia="Arial" w:hAnsi="Arial"/>
          <w:b/>
          <w:bCs/>
          <w:color w:val="1F3864"/>
          <w:sz w:val="36"/>
          <w:szCs w:val="36"/>
        </w:rPr>
        <w:t xml:space="preserve">On the Absence of Pseudoprimes in the Generalized Pell Primality Test of Bazzanella, Di Scala, Dutto &amp; Murru (2022): A Structural Characterization and Algorithmic Improvement</w:t>
      </w:r>
    </w:p>
    <w:p>
      <w:pPr>
        <w:pBdr>
          <w:bottom w:val="single" w:color="CCCCCC" w:sz="4" w:space="1"/>
        </w:pBdr>
        <w:spacing w:before="120" w:after="120"/>
      </w:pPr>
      <w:r>
        <w:rPr>
          <w:rFonts w:ascii="Arial" w:cs="Arial" w:eastAsia="Arial" w:hAnsi="Arial"/>
          <w:sz w:val="4"/>
          <w:szCs w:val="4"/>
        </w:rPr>
        <w:t xml:space="preserve"/>
      </w:r>
    </w:p>
    <w:p>
      <w:pPr>
        <w:spacing w:before="120" w:after="40"/>
      </w:pPr>
      <w:r>
        <w:rPr>
          <w:rFonts w:ascii="Arial" w:cs="Arial" w:eastAsia="Arial" w:hAnsi="Arial"/>
          <w:b/>
          <w:bCs/>
          <w:color w:val="000000"/>
          <w:sz w:val="22"/>
          <w:szCs w:val="22"/>
        </w:rPr>
        <w:t xml:space="preserve">Crescente Furnaguera</w:t>
      </w:r>
      <w:r>
        <w:rPr>
          <w:rFonts w:ascii="Arial" w:cs="Arial" w:eastAsia="Arial" w:hAnsi="Arial"/>
          <w:color w:val="595959"/>
          <w:sz w:val="20"/>
          <w:szCs w:val="20"/>
        </w:rPr>
        <w:t xml:space="preserve">  |  ABC Institute for Independent Research</w:t>
      </w:r>
    </w:p>
    <w:p>
      <w:pPr>
        <w:spacing w:before="0" w:after="40"/>
      </w:pPr>
      <w:r>
        <w:rPr>
          <w:rFonts w:ascii="Arial" w:cs="Arial" w:eastAsia="Arial" w:hAnsi="Arial"/>
          <w:i/>
          <w:iCs/>
          <w:color w:val="595959"/>
          <w:sz w:val="18"/>
          <w:szCs w:val="18"/>
        </w:rPr>
        <w:t xml:space="preserve">Lauderhill, Florida  |  furnaguera@gmail.com  |  ORCID: 0009-0008-6800-4485</w:t>
      </w:r>
    </w:p>
    <w:p>
      <w:pPr>
        <w:pBdr>
          <w:bottom w:val="single" w:color="CCCCCC" w:sz="4" w:space="1"/>
        </w:pBdr>
        <w:spacing w:before="120" w:after="120"/>
      </w:pPr>
      <w:r>
        <w:rPr>
          <w:rFonts w:ascii="Arial" w:cs="Arial" w:eastAsia="Arial" w:hAnsi="Arial"/>
          <w:sz w:val="4"/>
          <w:szCs w:val="4"/>
        </w:rPr>
        <w:t xml:space="preserve"/>
      </w:r>
    </w:p>
    <w:p>
      <w:pPr>
        <w:spacing w:before="0" w:after="0"/>
      </w:pPr>
      <w:r>
        <w:rPr>
          <w:rFonts w:ascii="Arial" w:cs="Arial" w:eastAsia="Arial" w:hAnsi="Arial"/>
          <w:sz w:val="20"/>
          <w:szCs w:val="20"/>
        </w:rPr>
        <w:t xml:space="preserve"/>
      </w:r>
    </w:p>
    <w:p>
      <w:pPr>
        <w:spacing w:before="0" w:after="80"/>
      </w:pPr>
      <w:r>
        <w:rPr>
          <w:rFonts w:ascii="Arial" w:cs="Arial" w:eastAsia="Arial" w:hAnsi="Arial"/>
          <w:b/>
          <w:bCs/>
          <w:color w:val="1F3864"/>
          <w:sz w:val="22"/>
          <w:szCs w:val="22"/>
        </w:rPr>
        <w:t xml:space="preserve">Abstract</w:t>
      </w:r>
    </w:p>
    <w:p>
      <w:pPr>
        <w:spacing w:before="0" w:after="120"/>
        <w:ind w:left="360" w:right="360"/>
        <w:jc w:val="both"/>
      </w:pPr>
      <w:r>
        <w:rPr>
          <w:rFonts w:ascii="Arial" w:cs="Arial" w:eastAsia="Arial" w:hAnsi="Arial"/>
          <w:b w:val="false"/>
          <w:bCs w:val="false"/>
          <w:color w:val="000000"/>
          <w:sz w:val="20"/>
          <w:szCs w:val="20"/>
        </w:rPr>
        <w:t xml:space="preserve">Bazzanella, Di Scala, Dutto and Murru (2022) introduced a Generalized Pell Primality Test and verified empirically that no pseudoprimes exist up to 2</w:t>
      </w:r>
      <w:r>
        <w:rPr>
          <w:rFonts w:ascii="Arial" w:cs="Arial" w:eastAsia="Arial" w:hAnsi="Arial"/>
          <w:b w:val="false"/>
          <w:bCs w:val="false"/>
          <w:color w:val="000000"/>
          <w:sz w:val="20"/>
          <w:szCs w:val="20"/>
          <w:vertAlign w:val="superscript"/>
        </w:rPr>
        <w:t xml:space="preserve">64</w:t>
      </w:r>
      <w:r>
        <w:rPr>
          <w:rFonts w:ascii="Arial" w:cs="Arial" w:eastAsia="Arial" w:hAnsi="Arial"/>
          <w:b w:val="false"/>
          <w:bCs w:val="false"/>
          <w:color w:val="000000"/>
          <w:sz w:val="20"/>
          <w:szCs w:val="20"/>
        </w:rPr>
        <w:t xml:space="preserve"> under Selfridge parameter selection, explicitly leaving the structural reason as an open question. We provide the first arithmetic characterization of this phenomenon. The central result is a necessary condition for a composite n = pq to be a pseudoprime: the divisibility condition gcd(p+1, q−1) | (p−q) must hold, a requirement that fails for the overwhelming majority of semiprimes under Selfridge selection. We further introduce an involution barrier argument showing that borderline cases with gcd = 2 impose factorization constraints incompatible with the pseudoprime condition. Additionally, we present an algorithmic optimization of the test using Non-Adjacent Form (NAF) exponent representation with a step-back formula for Lucas sequences, reducing non-zero digit density from ≈1/2 to ≈1/3 and achieving a measured 5.6% reduction in modular multiplications. Computational verification to 10</w:t>
      </w:r>
      <w:r>
        <w:rPr>
          <w:rFonts w:ascii="Arial" w:cs="Arial" w:eastAsia="Arial" w:hAnsi="Arial"/>
          <w:b w:val="false"/>
          <w:bCs w:val="false"/>
          <w:color w:val="000000"/>
          <w:sz w:val="20"/>
          <w:szCs w:val="20"/>
          <w:vertAlign w:val="superscript"/>
        </w:rPr>
        <w:t xml:space="preserve">6</w:t>
      </w:r>
      <w:r>
        <w:rPr>
          <w:rFonts w:ascii="Arial" w:cs="Arial" w:eastAsia="Arial" w:hAnsi="Arial"/>
          <w:b w:val="false"/>
          <w:bCs w:val="false"/>
          <w:color w:val="000000"/>
          <w:sz w:val="20"/>
          <w:szCs w:val="20"/>
        </w:rPr>
        <w:t xml:space="preserve"> confirms zero pseudoprimes for both the original and optimized implementations, with complete agreement between them.</w:t>
      </w:r>
    </w:p>
    <w:p>
      <w:pPr>
        <w:spacing w:before="0" w:after="240"/>
        <w:ind w:left="360"/>
      </w:pPr>
      <w:r>
        <w:rPr>
          <w:rFonts w:ascii="Arial" w:cs="Arial" w:eastAsia="Arial" w:hAnsi="Arial"/>
          <w:b/>
          <w:bCs/>
          <w:color w:val="000000"/>
          <w:sz w:val="20"/>
          <w:szCs w:val="20"/>
        </w:rPr>
        <w:t xml:space="preserve">Keywords: </w:t>
      </w:r>
      <w:r>
        <w:rPr>
          <w:rFonts w:ascii="Arial" w:cs="Arial" w:eastAsia="Arial" w:hAnsi="Arial"/>
          <w:b w:val="false"/>
          <w:bCs w:val="false"/>
          <w:color w:val="000000"/>
          <w:sz w:val="20"/>
          <w:szCs w:val="20"/>
        </w:rPr>
        <w:t xml:space="preserve">Generalized Pell test, pseudoprimes, Lucas sequences, Selfridge parameters, Non-Adjacent Form, primality testing, Pell conic.</w:t>
      </w:r>
    </w:p>
    <w:p>
      <w:pPr>
        <w:pStyle w:val="Heading1"/>
        <w:spacing w:before="360" w:after="160"/>
      </w:pPr>
      <w:r>
        <w:rPr>
          <w:rFonts w:ascii="Arial" w:cs="Arial" w:eastAsia="Arial" w:hAnsi="Arial"/>
          <w:b/>
          <w:bCs/>
          <w:color w:val="1F3864"/>
          <w:sz w:val="28"/>
          <w:szCs w:val="28"/>
        </w:rPr>
        <w:t xml:space="preserve">1. Introduction</w:t>
      </w:r>
    </w:p>
    <w:p>
      <w:pPr>
        <w:spacing w:before="120" w:after="120"/>
        <w:jc w:val="both"/>
      </w:pPr>
      <w:r>
        <w:rPr>
          <w:rFonts w:ascii="Arial" w:cs="Arial" w:eastAsia="Arial" w:hAnsi="Arial"/>
          <w:b w:val="false"/>
          <w:bCs w:val="false"/>
          <w:color w:val="000000"/>
          <w:sz w:val="20"/>
          <w:szCs w:val="20"/>
        </w:rPr>
        <w:t>In their 2022 paper published in The Ramanujan Journal, Bazzanella, Di Scala, Dutto and Murru introduced a unifying matrix framework for degree-2 linear recurrent sequence primality tests, with the Generalized Pell Primality Test as its principal application [1]. The test combines a classical Fermat witness condition with a joint condition on the Lucas sequences Uₙ₊₁ and Vₙ₊₁ derived from the Pell equation x² − Dy² = Q, where parameters are selected via the Selfridge algorithm.</w:t>
      </w:r>
    </w:p>
    <w:p>
      <w:pPr>
        <w:spacing w:before="120" w:after="120"/>
        <w:jc w:val="both"/>
      </w:pPr>
      <w:r>
        <w:rPr>
          <w:rFonts w:ascii="Arial" w:cs="Arial" w:eastAsia="Arial" w:hAnsi="Arial"/>
          <w:b w:val="false"/>
          <w:bCs w:val="false"/>
          <w:color w:val="000000"/>
          <w:sz w:val="20"/>
          <w:szCs w:val="20"/>
        </w:rPr>
        <w:t xml:space="preserve">The authors verified computationally that no pseudoprimes exist up to 2</w:t>
      </w:r>
      <w:r>
        <w:rPr>
          <w:rFonts w:ascii="Arial" w:cs="Arial" w:eastAsia="Arial" w:hAnsi="Arial"/>
          <w:b w:val="false"/>
          <w:bCs w:val="false"/>
          <w:color w:val="000000"/>
          <w:sz w:val="20"/>
          <w:szCs w:val="20"/>
          <w:vertAlign w:val="superscript"/>
        </w:rPr>
        <w:t xml:space="preserve">64</w:t>
      </w:r>
      <w:r>
        <w:rPr>
          <w:rFonts w:ascii="Arial" w:cs="Arial" w:eastAsia="Arial" w:hAnsi="Arial"/>
          <w:b w:val="false"/>
          <w:bCs w:val="false"/>
          <w:color w:val="000000"/>
          <w:sz w:val="20"/>
          <w:szCs w:val="20"/>
        </w:rPr>
        <w:t xml:space="preserve"> for the combined test. However, they provided no structural explanation for this absence, stating that the reason remains an open question. This paper addresses that question directly.</w:t>
      </w:r>
    </w:p>
    <w:p>
      <w:pPr>
        <w:spacing w:before="120" w:after="120"/>
        <w:jc w:val="both"/>
      </w:pPr>
      <w:r>
        <w:rPr>
          <w:rFonts w:ascii="Arial" w:cs="Arial" w:eastAsia="Arial" w:hAnsi="Arial"/>
          <w:b w:val="false"/>
          <w:bCs w:val="false"/>
          <w:color w:val="000000"/>
          <w:sz w:val="20"/>
          <w:szCs w:val="20"/>
        </w:rPr>
        <w:t>Our contributions are threefold: (1) a necessary arithmetic condition for the existence of pseudoprimes, formulated in terms of the divisor structure of gcd(p+1, q−1) for a semiprime n = pq; (2) an involution barrier argument that closes the remaining borderline cases; and (3) a verified algorithmic optimization using NAF exponentiation with a step-back formula, which we implement and compare side-by-side against the original.</w:t>
      </w:r>
    </w:p>
    <w:p>
      <w:pPr>
        <w:pStyle w:val="Heading1"/>
        <w:spacing w:before="360" w:after="160"/>
      </w:pPr>
      <w:r>
        <w:rPr>
          <w:rFonts w:ascii="Arial" w:cs="Arial" w:eastAsia="Arial" w:hAnsi="Arial"/>
          <w:b/>
          <w:bCs/>
          <w:color w:val="1F3864"/>
          <w:sz w:val="28"/>
          <w:szCs w:val="28"/>
        </w:rPr>
        <w:t xml:space="preserve">2. Preliminaries</w:t>
      </w:r>
    </w:p>
    <w:p>
      <w:pPr>
        <w:pStyle w:val="Heading2"/>
        <w:spacing w:before="280" w:after="120"/>
      </w:pPr>
      <w:r>
        <w:rPr>
          <w:rFonts w:ascii="Arial" w:cs="Arial" w:eastAsia="Arial" w:hAnsi="Arial"/>
          <w:b/>
          <w:bCs/>
          <w:color w:val="2E5FA3"/>
          <w:sz w:val="24"/>
          <w:szCs w:val="24"/>
        </w:rPr>
        <w:t xml:space="preserve">2.1 Lucas Sequences</w:t>
      </w:r>
    </w:p>
    <w:p>
      <w:pPr>
        <w:spacing w:before="120" w:after="120"/>
        <w:jc w:val="both"/>
      </w:pPr>
      <w:r>
        <w:rPr>
          <w:rFonts w:ascii="Arial" w:cs="Arial" w:eastAsia="Arial" w:hAnsi="Arial"/>
          <w:b w:val="false"/>
          <w:bCs w:val="false"/>
          <w:color w:val="000000"/>
          <w:sz w:val="20"/>
          <w:szCs w:val="20"/>
        </w:rPr>
        <w:t>For integers P and Q with discriminant D = P² − 4Q, the Lucas sequences Un(P,Q) and Vn(P,Q) satisfy the recurrence:</w:t>
      </w:r>
    </w:p>
    <w:p>
      <w:pPr>
        <w:spacing w:before="0" w:after="0"/>
      </w:pPr>
      <w:r>
        <w:rPr>
          <w:rFonts w:ascii="Arial" w:cs="Arial" w:eastAsia="Arial" w:hAnsi="Arial"/>
          <w:sz w:val="20"/>
          <w:szCs w:val="20"/>
        </w:rPr>
        <w:t xml:space="preserve"/>
      </w:r>
    </w:p>
    <w:p>
      <w:pPr>
        <w:spacing w:before="60" w:after="60"/>
        <w:jc w:val="center"/>
      </w:pPr>
      <w:r>
        <w:rPr>
          <w:rFonts w:ascii="Arial" w:cs="Arial" w:eastAsia="Arial" w:hAnsi="Arial"/>
          <w:b w:val="false"/>
          <w:bCs w:val="false"/>
          <w:color w:val="000000"/>
          <w:sz w:val="20"/>
          <w:szCs w:val="20"/>
        </w:rPr>
        <w:t xml:space="preserve">Uₙ₊₁ = P·Uₙ − Q·Uₙ₋₁,   Vₙ₊₁ = P·Vₙ − Q·Vₙ₋₁</w:t>
      </w:r>
    </w:p>
    <w:p>
      <w:pPr>
        <w:spacing w:before="0" w:after="0"/>
      </w:pPr>
      <w:r>
        <w:rPr>
          <w:rFonts w:ascii="Arial" w:cs="Arial" w:eastAsia="Arial" w:hAnsi="Arial"/>
          <w:sz w:val="20"/>
          <w:szCs w:val="20"/>
        </w:rPr>
        <w:t xml:space="preserve"/>
      </w:r>
    </w:p>
    <w:p>
      <w:pPr>
        <w:spacing w:before="120" w:after="120"/>
        <w:jc w:val="both"/>
      </w:pPr>
      <w:r>
        <w:rPr>
          <w:rFonts w:ascii="Arial" w:cs="Arial" w:eastAsia="Arial" w:hAnsi="Arial"/>
          <w:color w:val="000000"/>
          <w:sz w:val="20"/>
          <w:szCs w:val="20"/>
        </w:rPr>
        <w:t xml:space="preserve">with initial conditions U₀ = 0, U₁ = 1 and V₀ = 2, V₁ = P. The sequences satisfy the congruence properties that form the basis of all Lucas-type primality tests.</w:t>
      </w:r>
    </w:p>
    <w:p>
      <w:pPr>
        <w:pStyle w:val="Heading2"/>
        <w:spacing w:before="280" w:after="120"/>
      </w:pPr>
      <w:r>
        <w:rPr>
          <w:rFonts w:ascii="Arial" w:cs="Arial" w:eastAsia="Arial" w:hAnsi="Arial"/>
          <w:b/>
          <w:bCs/>
          <w:color w:val="2E5FA3"/>
          <w:sz w:val="24"/>
          <w:szCs w:val="24"/>
        </w:rPr>
        <w:t xml:space="preserve">2.2 Selfridge Parameter Selection</w:t>
      </w:r>
    </w:p>
    <w:p>
      <w:pPr>
        <w:spacing w:before="120" w:after="120"/>
        <w:jc w:val="both"/>
      </w:pPr>
      <w:r>
        <w:rPr>
          <w:rFonts w:ascii="Arial" w:cs="Arial" w:eastAsia="Arial" w:hAnsi="Arial"/>
          <w:b w:val="false"/>
          <w:bCs w:val="false"/>
          <w:color w:val="000000"/>
          <w:sz w:val="20"/>
          <w:szCs w:val="20"/>
        </w:rPr>
        <w:t xml:space="preserve">Given an odd integer n, the Selfridge algorithm selects the first D in the sequence {5, −7, 9, −11, 13, −15, …} (alternating sign, incrementing |D| by 2) such that the Jacobi symbol (D/n) = −1. The parameters are then set as P = 1 and Q = (1−D)/4. This selection guarantees that (D/n) = −1, which is the key condition exploited in the pseudoprime analysis. If gcd(|D|, n) &gt; 1 is found first, n is immediately declared composite.</w:t>
      </w:r>
    </w:p>
    <w:p>
      <w:pPr>
        <w:pStyle w:val="Heading2"/>
        <w:spacing w:before="280" w:after="120"/>
      </w:pPr>
      <w:r>
        <w:rPr>
          <w:rFonts w:ascii="Arial" w:cs="Arial" w:eastAsia="Arial" w:hAnsi="Arial"/>
          <w:b/>
          <w:bCs/>
          <w:color w:val="2E5FA3"/>
          <w:sz w:val="24"/>
          <w:szCs w:val="24"/>
        </w:rPr>
        <w:t xml:space="preserve">2.3 The Generalized Pell Primality Test (Murru et al., 2022)</w:t>
      </w:r>
    </w:p>
    <w:p>
      <w:pPr>
        <w:spacing w:before="120" w:after="120"/>
        <w:jc w:val="both"/>
      </w:pPr>
      <w:r>
        <w:rPr>
          <w:rFonts w:ascii="Arial" w:cs="Arial" w:eastAsia="Arial" w:hAnsi="Arial"/>
          <w:b w:val="false"/>
          <w:bCs w:val="false"/>
          <w:color w:val="000000"/>
          <w:sz w:val="20"/>
          <w:szCs w:val="20"/>
        </w:rPr>
        <w:t>For an odd integer n with Selfridge parameters (D, P, Q), Murru et al. define the combined test as follows: n passes the test if and only if both of the following hold:</w:t>
      </w:r>
    </w:p>
    <w:p>
      <w:pPr>
        <w:pStyle w:val="ListParagraph"/>
        <w:numPr>
          <w:ilvl w:val="0"/>
          <w:numId w:val="2"/>
        </w:numPr>
        <w:spacing w:before="60" w:after="60"/>
      </w:pPr>
      <w:r>
        <w:rPr>
          <w:rFonts w:ascii="Arial" w:cs="Arial" w:eastAsia="Arial" w:hAnsi="Arial"/>
          <w:b w:val="false"/>
          <w:bCs w:val="false"/>
          <w:color w:val="000000"/>
          <w:sz w:val="20"/>
          <w:szCs w:val="20"/>
        </w:rPr>
        <w:t>Fermat condition: 2ⁿ⁻¹ ≡ 1 (mod n)</w:t>
      </w:r>
    </w:p>
    <w:p>
      <w:pPr>
        <w:pStyle w:val="ListParagraph"/>
        <w:numPr>
          <w:ilvl w:val="0"/>
          <w:numId w:val="2"/>
        </w:numPr>
        <w:spacing w:before="60" w:after="60"/>
      </w:pPr>
      <w:r>
        <w:rPr>
          <w:rFonts w:ascii="Arial" w:cs="Arial" w:eastAsia="Arial" w:hAnsi="Arial"/>
          <w:b w:val="false"/>
          <w:bCs w:val="false"/>
          <w:color w:val="000000"/>
          <w:sz w:val="20"/>
          <w:szCs w:val="20"/>
        </w:rPr>
        <w:t>Generalized Pell condition: Uₙ₊₁(P,Q) ≡ 0 (mod n) and Vₙ₊₁(P,Q) ≡ 2Qⁿ₊¹² (mod n)</w:t>
      </w:r>
    </w:p>
    <w:p>
      <w:pPr>
        <w:spacing w:before="0" w:after="0"/>
      </w:pPr>
      <w:r>
        <w:rPr>
          <w:rFonts w:ascii="Arial" w:cs="Arial" w:eastAsia="Arial" w:hAnsi="Arial"/>
          <w:sz w:val="20"/>
          <w:szCs w:val="20"/>
        </w:rPr>
        <w:t xml:space="preserve"/>
      </w:r>
    </w:p>
    <w:p>
      <w:pPr>
        <w:spacing w:before="120" w:after="120"/>
        <w:jc w:val="both"/>
      </w:pPr>
      <w:r>
        <w:rPr>
          <w:rFonts w:ascii="Arial" w:cs="Arial" w:eastAsia="Arial" w:hAnsi="Arial"/>
          <w:b w:val="false"/>
          <w:bCs w:val="false"/>
          <w:color w:val="000000"/>
          <w:sz w:val="20"/>
          <w:szCs w:val="20"/>
        </w:rPr>
        <w:t xml:space="preserve">Every prime n with (D/n) = −1 passes the test. The Murru test was verified to have no pseudoprimes up to 2</w:t>
      </w:r>
      <w:r>
        <w:rPr>
          <w:rFonts w:ascii="Arial" w:cs="Arial" w:eastAsia="Arial" w:hAnsi="Arial"/>
          <w:b w:val="false"/>
          <w:bCs w:val="false"/>
          <w:color w:val="000000"/>
          <w:sz w:val="20"/>
          <w:szCs w:val="20"/>
          <w:vertAlign w:val="superscript"/>
        </w:rPr>
        <w:t xml:space="preserve">64</w:t>
      </w:r>
      <w:r>
        <w:rPr>
          <w:rFonts w:ascii="Arial" w:cs="Arial" w:eastAsia="Arial" w:hAnsi="Arial"/>
          <w:b w:val="false"/>
          <w:bCs w:val="false"/>
          <w:color w:val="000000"/>
          <w:sz w:val="20"/>
          <w:szCs w:val="20"/>
        </w:rPr>
        <w:t xml:space="preserve">, but no proof of this absence was provided.</w:t>
      </w:r>
    </w:p>
    <w:p>
      <w:pPr>
        <w:pStyle w:val="Heading2"/>
        <w:spacing w:before="280" w:after="120"/>
      </w:pPr>
      <w:r>
        <w:rPr>
          <w:rFonts w:ascii="Arial" w:cs="Arial" w:eastAsia="Arial" w:hAnsi="Arial"/>
          <w:b/>
          <w:bCs/>
          <w:color w:val="2E5FA3"/>
          <w:sz w:val="24"/>
          <w:szCs w:val="24"/>
        </w:rPr>
        <w:t xml:space="preserve">2.4 The Pell Conic over Finite Fields</w:t>
      </w:r>
    </w:p>
    <w:p>
      <w:pPr>
        <w:spacing w:before="120" w:after="120"/>
        <w:jc w:val="both"/>
      </w:pPr>
      <w:r>
        <w:rPr>
          <w:rFonts w:ascii="Arial" w:cs="Arial" w:eastAsia="Arial" w:hAnsi="Arial"/>
          <w:b w:val="false"/>
          <w:bCs w:val="false"/>
          <w:color w:val="000000"/>
          <w:sz w:val="20"/>
          <w:szCs w:val="20"/>
        </w:rPr>
        <w:t xml:space="preserve">For a prime p with (D/p) = −1, the Pell conic C(ℤₚ) = {(x,y) ∈ ℤₚ² : x² − Dy² = 1} forms a cyclic group of order p+1 under the Brahmagupta composition law:</w:t>
      </w:r>
    </w:p>
    <w:p>
      <w:pPr>
        <w:spacing w:before="0" w:after="0"/>
      </w:pPr>
      <w:r>
        <w:rPr>
          <w:rFonts w:ascii="Arial" w:cs="Arial" w:eastAsia="Arial" w:hAnsi="Arial"/>
          <w:sz w:val="20"/>
          <w:szCs w:val="20"/>
        </w:rPr>
        <w:t xml:space="preserve"/>
      </w:r>
    </w:p>
    <w:p>
      <w:pPr>
        <w:spacing w:before="60" w:after="60"/>
        <w:jc w:val="center"/>
      </w:pPr>
      <w:r>
        <w:rPr>
          <w:rFonts w:ascii="Arial" w:cs="Arial" w:eastAsia="Arial" w:hAnsi="Arial"/>
          <w:b w:val="false"/>
          <w:bCs w:val="false"/>
          <w:color w:val="000000"/>
          <w:sz w:val="20"/>
          <w:szCs w:val="20"/>
        </w:rPr>
        <w:t xml:space="preserve">(x₁, y₁) ⊗ (x₂, y₂) = (x₁x₂ + Dy₁y₂,  x₁y₂ + x₂y₁)</w:t>
      </w:r>
    </w:p>
    <w:p>
      <w:pPr>
        <w:spacing w:before="0" w:after="0"/>
      </w:pPr>
      <w:r>
        <w:rPr>
          <w:rFonts w:ascii="Arial" w:cs="Arial" w:eastAsia="Arial" w:hAnsi="Arial"/>
          <w:sz w:val="20"/>
          <w:szCs w:val="20"/>
        </w:rPr>
        <w:t xml:space="preserve"/>
      </w:r>
    </w:p>
    <w:p>
      <w:pPr>
        <w:spacing w:before="120" w:after="120"/>
        <w:jc w:val="both"/>
      </w:pPr>
      <w:r>
        <w:rPr>
          <w:rFonts w:ascii="Arial" w:cs="Arial" w:eastAsia="Arial" w:hAnsi="Arial"/>
          <w:b w:val="false"/>
          <w:bCs w:val="false"/>
          <w:color w:val="000000"/>
          <w:sz w:val="20"/>
          <w:szCs w:val="20"/>
        </w:rPr>
        <w:t xml:space="preserve">The inverse of (x, y) under this law is (x, −y), since (x, y) ⊗ (x, −y) = (x² − Dy², 0) = (1, 0). This trivial inverse structure is the algebraic foundation of both our involution argument and the NAF optimization.</w:t>
      </w:r>
    </w:p>
    <w:p>
      <w:pPr>
        <w:pStyle w:val="Heading1"/>
        <w:spacing w:before="360" w:after="160"/>
      </w:pPr>
      <w:r>
        <w:rPr>
          <w:rFonts w:ascii="Arial" w:cs="Arial" w:eastAsia="Arial" w:hAnsi="Arial"/>
          <w:b/>
          <w:bCs/>
          <w:color w:val="1F3864"/>
          <w:sz w:val="28"/>
          <w:szCs w:val="28"/>
        </w:rPr>
        <w:t xml:space="preserve">3. The Structural Characterization</w:t>
      </w:r>
    </w:p>
    <w:p>
      <w:pPr>
        <w:pStyle w:val="Heading2"/>
        <w:spacing w:before="280" w:after="120"/>
      </w:pPr>
      <w:r>
        <w:rPr>
          <w:rFonts w:ascii="Arial" w:cs="Arial" w:eastAsia="Arial" w:hAnsi="Arial"/>
          <w:b/>
          <w:bCs/>
          <w:color w:val="2E5FA3"/>
          <w:sz w:val="24"/>
          <w:szCs w:val="24"/>
        </w:rPr>
        <w:t xml:space="preserve">3.1 Group Orders Under Selfridge Selection</w:t>
      </w:r>
    </w:p>
    <w:p>
      <w:pPr>
        <w:spacing w:before="120" w:after="120"/>
        <w:jc w:val="both"/>
      </w:pPr>
      <w:r>
        <w:rPr>
          <w:rFonts w:ascii="Arial" w:cs="Arial" w:eastAsia="Arial" w:hAnsi="Arial"/>
          <w:b w:val="false"/>
          <w:bCs w:val="false"/>
          <w:color w:val="000000"/>
          <w:sz w:val="20"/>
          <w:szCs w:val="20"/>
        </w:rPr>
        <w:t xml:space="preserve">Let n = pq be a semiprime where p &lt; q are odd primes. Under Selfridge selection, (D/n) = −1, which forces the Jacobi symbol to split as either:</w:t>
      </w:r>
    </w:p>
    <w:p>
      <w:pPr>
        <w:pStyle w:val="ListParagraph"/>
        <w:numPr>
          <w:ilvl w:val="0"/>
          <w:numId w:val="2"/>
        </w:numPr>
        <w:spacing w:before="60" w:after="60"/>
      </w:pPr>
      <w:r>
        <w:rPr>
          <w:rFonts w:ascii="Arial" w:cs="Arial" w:eastAsia="Arial" w:hAnsi="Arial"/>
          <w:b w:val="false"/>
          <w:bCs w:val="false"/>
          <w:color w:val="000000"/>
          <w:sz w:val="20"/>
          <w:szCs w:val="20"/>
        </w:rPr>
        <w:t>Case A: (D/p) = −1 and (D/q) = +1, giving |C(ℤₚ)| = p+1 and |C(ℤⁱ)| = q−1; or</w:t>
      </w:r>
    </w:p>
    <w:p>
      <w:pPr>
        <w:pStyle w:val="ListParagraph"/>
        <w:numPr>
          <w:ilvl w:val="0"/>
          <w:numId w:val="2"/>
        </w:numPr>
        <w:spacing w:before="60" w:after="60"/>
      </w:pPr>
      <w:r>
        <w:rPr>
          <w:rFonts w:ascii="Arial" w:cs="Arial" w:eastAsia="Arial" w:hAnsi="Arial"/>
          <w:b w:val="false"/>
          <w:bCs w:val="false"/>
          <w:color w:val="000000"/>
          <w:sz w:val="20"/>
          <w:szCs w:val="20"/>
        </w:rPr>
        <w:t xml:space="preserve">Case B: (D/p) = +1 and (D/q) = −1, giving |C(ℤₚ)| = p−1 and |C(ℤⁱ)| = q+1</w:t>
      </w:r>
    </w:p>
    <w:p>
      <w:pPr>
        <w:spacing w:before="0" w:after="0"/>
      </w:pPr>
      <w:r>
        <w:rPr>
          <w:rFonts w:ascii="Arial" w:cs="Arial" w:eastAsia="Arial" w:hAnsi="Arial"/>
          <w:sz w:val="20"/>
          <w:szCs w:val="20"/>
        </w:rPr>
        <w:t xml:space="preserve"/>
      </w:r>
    </w:p>
    <w:p>
      <w:pPr>
        <w:spacing w:before="120" w:after="120"/>
        <w:jc w:val="both"/>
      </w:pPr>
      <w:r>
        <w:rPr>
          <w:rFonts w:ascii="Arial" w:cs="Arial" w:eastAsia="Arial" w:hAnsi="Arial"/>
          <w:color w:val="000000"/>
          <w:sz w:val="20"/>
          <w:szCs w:val="20"/>
        </w:rPr>
        <w:t xml:space="preserve">These two cases are symmetric; we analyze Case A without loss of generality.</w:t>
      </w:r>
    </w:p>
    <w:p>
      <w:pPr>
        <w:pStyle w:val="Heading2"/>
        <w:spacing w:before="280" w:after="120"/>
      </w:pPr>
      <w:r>
        <w:rPr>
          <w:rFonts w:ascii="Arial" w:cs="Arial" w:eastAsia="Arial" w:hAnsi="Arial"/>
          <w:b/>
          <w:bCs/>
          <w:color w:val="2E5FA3"/>
          <w:sz w:val="24"/>
          <w:szCs w:val="24"/>
        </w:rPr>
        <w:t xml:space="preserve">3.2 The Main Necessary Condition</w:t>
      </w:r>
    </w:p>
    <w:p>
      <w:pPr>
        <w:spacing w:before="120" w:after="120"/>
        <w:jc w:val="both"/>
      </w:pPr>
      <w:r>
        <w:rPr>
          <w:rFonts w:ascii="Arial" w:cs="Arial" w:eastAsia="Arial" w:hAnsi="Arial"/>
          <w:b w:val="false"/>
          <w:bCs w:val="false"/>
          <w:color w:val="000000"/>
          <w:sz w:val="20"/>
          <w:szCs w:val="20"/>
        </w:rPr>
        <w:t xml:space="preserve">Let B be the base point of the Pell conic corresponding to the Murru test, and let ωₚ = ordₚ(B) and ωⁱ = ordⁱ(B) denote the orders of B in C(ℤₚ) and C(ℤⁱ) respectively.</w:t>
      </w:r>
    </w:p>
    <w:p>
      <w:pPr>
        <w:spacing w:before="0" w:after="0"/>
      </w:pPr>
      <w:r>
        <w:rPr>
          <w:rFonts w:ascii="Arial" w:cs="Arial" w:eastAsia="Arial" w:hAnsi="Arial"/>
          <w:sz w:val="20"/>
          <w:szCs w:val="20"/>
        </w:rPr>
        <w:t xml:space="preserve"/>
      </w:r>
    </w:p>
    <w:p>
      <w:pPr>
        <w:spacing w:before="160" w:after="80"/>
        <w:ind w:left="360"/>
      </w:pPr>
      <w:r>
        <w:rPr>
          <w:rFonts w:ascii="Arial" w:cs="Arial" w:eastAsia="Arial" w:hAnsi="Arial"/>
          <w:b/>
          <w:bCs/>
          <w:color w:val="1F3864"/>
          <w:sz w:val="20"/>
          <w:szCs w:val="20"/>
        </w:rPr>
        <w:t xml:space="preserve">Proposition 1 (Necessary Condition for Pseudoprimes).</w:t>
      </w:r>
    </w:p>
    <w:p>
      <w:pPr>
        <w:spacing w:before="120" w:after="120"/>
        <w:ind w:left="360"/>
        <w:jc w:val="both"/>
      </w:pPr>
      <w:r>
        <w:rPr>
          <w:rFonts w:ascii="Arial" w:cs="Arial" w:eastAsia="Arial" w:hAnsi="Arial"/>
          <w:b w:val="false"/>
          <w:bCs w:val="false"/>
          <w:color w:val="000000"/>
          <w:sz w:val="20"/>
          <w:szCs w:val="20"/>
        </w:rPr>
        <w:t xml:space="preserve">Let n = pq be a semiprime with Selfridge parameters under Case A. If n is a pseudoprime of the Generalized Pell Test, then:</w:t>
      </w:r>
    </w:p>
    <w:p>
      <w:pPr>
        <w:spacing w:before="0" w:after="0"/>
      </w:pPr>
      <w:r>
        <w:rPr>
          <w:rFonts w:ascii="Arial" w:cs="Arial" w:eastAsia="Arial" w:hAnsi="Arial"/>
          <w:sz w:val="20"/>
          <w:szCs w:val="20"/>
        </w:rPr>
        <w:t xml:space="preserve"/>
      </w:r>
    </w:p>
    <w:p>
      <w:pPr>
        <w:spacing w:before="80" w:after="80"/>
        <w:jc w:val="center"/>
      </w:pPr>
      <w:r>
        <w:rPr>
          <w:rFonts w:ascii="Arial" w:cs="Arial" w:eastAsia="Arial" w:hAnsi="Arial"/>
          <w:b/>
          <w:bCs/>
          <w:color w:val="000000"/>
          <w:sz w:val="22"/>
          <w:szCs w:val="22"/>
        </w:rPr>
        <w:t xml:space="preserve">gcd(p+1, q−1)  |  (p−q)</w:t>
      </w:r>
    </w:p>
    <w:p>
      <w:pPr>
        <w:spacing w:before="0" w:after="0"/>
      </w:pPr>
      <w:r>
        <w:rPr>
          <w:rFonts w:ascii="Arial" w:cs="Arial" w:eastAsia="Arial" w:hAnsi="Arial"/>
          <w:sz w:val="20"/>
          <w:szCs w:val="20"/>
        </w:rPr>
        <w:t xml:space="preserve"/>
      </w:r>
    </w:p>
    <w:p>
      <w:pPr>
        <w:spacing w:before="120" w:after="120"/>
        <w:ind w:left="360"/>
        <w:jc w:val="both"/>
      </w:pPr>
      <w:r>
        <w:rPr>
          <w:rFonts w:ascii="Arial" w:cs="Arial" w:eastAsia="Arial" w:hAnsi="Arial"/>
          <w:b w:val="false"/>
          <w:bCs w:val="false"/>
          <w:color w:val="000000"/>
          <w:sz w:val="20"/>
          <w:szCs w:val="20"/>
        </w:rPr>
        <w:t>Proof sketch. For n to be a pseudoprime, the exponentiation B</w:t>
      </w:r>
      <w:r>
        <w:rPr>
          <w:rFonts w:ascii="Arial" w:cs="Arial" w:eastAsia="Arial" w:hAnsi="Arial"/>
          <w:b w:val="false"/>
          <w:bCs w:val="false"/>
          <w:color w:val="000000"/>
          <w:sz w:val="20"/>
          <w:szCs w:val="20"/>
          <w:vertAlign w:val="superscript"/>
        </w:rPr>
        <w:t xml:space="preserve">n+1</w:t>
      </w:r>
      <w:r>
        <w:rPr>
          <w:rFonts w:ascii="Arial" w:cs="Arial" w:eastAsia="Arial" w:hAnsi="Arial"/>
          <w:b w:val="false"/>
          <w:bCs w:val="false"/>
          <w:color w:val="000000"/>
          <w:sz w:val="20"/>
          <w:szCs w:val="20"/>
        </w:rPr>
        <w:t xml:space="preserve"> must yield the identity element of C(ℤₙ) by the Chinese Remainder Theorem. This requires lcm(ωₚ, ωⁱ) | n+1 = pq+1. Since ωₚ | p+1 and ωⁱ | q−1, we need lcm(ωₚ, ωⁱ) | pq+1. Writing pq+1 = (p+1)(q−1) + (p−q) and noting that lcm(ωₚ, ωⁱ) divides (p+1)(q−1), we conclude that lcm(ωₚ, ωⁱ) must also divide (p−q). For this to be possible with ωₚ and ωⁱ both non-trivial, we require gcd(p+1, q−1) | (p−q). □</w:t>
      </w:r>
    </w:p>
    <w:p>
      <w:pPr>
        <w:pStyle w:val="Heading2"/>
        <w:spacing w:before="280" w:after="120"/>
      </w:pPr>
      <w:r>
        <w:rPr>
          <w:rFonts w:ascii="Arial" w:cs="Arial" w:eastAsia="Arial" w:hAnsi="Arial"/>
          <w:b/>
          <w:bCs/>
          <w:color w:val="2E5FA3"/>
          <w:sz w:val="24"/>
          <w:szCs w:val="24"/>
        </w:rPr>
        <w:t xml:space="preserve">3.3 Numerical Verification</w:t>
      </w:r>
    </w:p>
    <w:p>
      <w:pPr>
        <w:spacing w:before="120" w:after="120"/>
        <w:jc w:val="both"/>
      </w:pPr>
      <w:r>
        <w:rPr>
          <w:rFonts w:ascii="Arial" w:cs="Arial" w:eastAsia="Arial" w:hAnsi="Arial"/>
          <w:color w:val="000000"/>
          <w:sz w:val="20"/>
          <w:szCs w:val="20"/>
        </w:rPr>
        <w:t xml:space="preserve">Table 1 illustrates that the necessary condition fails for representative prime pairs under Selfridge selection. The column 'Condition holds?' refers to gcd(p+1, q−1) | (p−q).</w:t>
      </w:r>
    </w:p>
    <w:p>
      <w:pPr>
        <w:spacing w:before="0" w:after="0"/>
      </w:pPr>
      <w:r>
        <w:rPr>
          <w:rFonts w:ascii="Arial" w:cs="Arial" w:eastAsia="Arial" w:hAnsi="Arial"/>
          <w:sz w:val="20"/>
          <w:szCs w:val="20"/>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200"/>
        <w:gridCol w:w="1200"/>
        <w:gridCol w:w="1560"/>
        <w:gridCol w:w="1560"/>
        <w:gridCol w:w="1560"/>
        <w:gridCol w:w="2280"/>
      </w:tblGrid>
      <w:tr>
        <w:trPr>
          <w:tblHeader/>
        </w:trPr>
        <w:tc>
          <w:tcPr>
            <w:tcW w:type="dxa" w:w="1200"/>
            <w:tcBorders>
              <w:top w:val="single" w:color="CCCCCC" w:sz="4"/>
              <w:left w:val="single" w:color="CCCCCC" w:sz="4"/>
              <w:bottom w:val="single" w:color="CCCCCC" w:sz="4"/>
              <w:right w:val="single" w:color="CCCCCC" w:sz="4"/>
            </w:tcBorders>
            <w:shd w:fill="1F3864" w:val="clear"/>
            <w:tcMar>
              <w:top w:type="dxa" w:w="80"/>
              <w:left w:type="dxa" w:w="120"/>
              <w:bottom w:type="dxa" w:w="80"/>
              <w:right w:type="dxa" w:w="120"/>
            </w:tcMar>
          </w:tcPr>
          <w:p>
            <w:pPr>
              <w:jc w:val="center"/>
            </w:pPr>
            <w:r>
              <w:rPr>
                <w:rFonts w:ascii="Arial" w:cs="Arial" w:eastAsia="Arial" w:hAnsi="Arial"/>
                <w:b/>
                <w:bCs/>
                <w:color w:val="FFFFFF"/>
                <w:sz w:val="19"/>
                <w:szCs w:val="19"/>
              </w:rPr>
              <w:t xml:space="preserve">p</w:t>
            </w:r>
          </w:p>
        </w:tc>
        <w:tc>
          <w:tcPr>
            <w:tcW w:type="dxa" w:w="1200"/>
            <w:tcBorders>
              <w:top w:val="single" w:color="CCCCCC" w:sz="4"/>
              <w:left w:val="single" w:color="CCCCCC" w:sz="4"/>
              <w:bottom w:val="single" w:color="CCCCCC" w:sz="4"/>
              <w:right w:val="single" w:color="CCCCCC" w:sz="4"/>
            </w:tcBorders>
            <w:shd w:fill="1F3864" w:val="clear"/>
            <w:tcMar>
              <w:top w:type="dxa" w:w="80"/>
              <w:left w:type="dxa" w:w="120"/>
              <w:bottom w:type="dxa" w:w="80"/>
              <w:right w:type="dxa" w:w="120"/>
            </w:tcMar>
          </w:tcPr>
          <w:p>
            <w:pPr>
              <w:jc w:val="center"/>
            </w:pPr>
            <w:r>
              <w:rPr>
                <w:rFonts w:ascii="Arial" w:cs="Arial" w:eastAsia="Arial" w:hAnsi="Arial"/>
                <w:b/>
                <w:bCs/>
                <w:color w:val="FFFFFF"/>
                <w:sz w:val="19"/>
                <w:szCs w:val="19"/>
              </w:rPr>
              <w:t xml:space="preserve">q</w:t>
            </w:r>
          </w:p>
        </w:tc>
        <w:tc>
          <w:tcPr>
            <w:tcW w:type="dxa" w:w="1560"/>
            <w:tcBorders>
              <w:top w:val="single" w:color="CCCCCC" w:sz="4"/>
              <w:left w:val="single" w:color="CCCCCC" w:sz="4"/>
              <w:bottom w:val="single" w:color="CCCCCC" w:sz="4"/>
              <w:right w:val="single" w:color="CCCCCC" w:sz="4"/>
            </w:tcBorders>
            <w:shd w:fill="1F3864" w:val="clear"/>
            <w:tcMar>
              <w:top w:type="dxa" w:w="80"/>
              <w:left w:type="dxa" w:w="120"/>
              <w:bottom w:type="dxa" w:w="80"/>
              <w:right w:type="dxa" w:w="120"/>
            </w:tcMar>
          </w:tcPr>
          <w:p>
            <w:pPr>
              <w:jc w:val="center"/>
            </w:pPr>
            <w:r>
              <w:rPr>
                <w:rFonts w:ascii="Arial" w:cs="Arial" w:eastAsia="Arial" w:hAnsi="Arial"/>
                <w:b/>
                <w:bCs/>
                <w:color w:val="FFFFFF"/>
                <w:sz w:val="19"/>
                <w:szCs w:val="19"/>
              </w:rPr>
              <w:t xml:space="preserve">p+1</w:t>
            </w:r>
          </w:p>
        </w:tc>
        <w:tc>
          <w:tcPr>
            <w:tcW w:type="dxa" w:w="1560"/>
            <w:tcBorders>
              <w:top w:val="single" w:color="CCCCCC" w:sz="4"/>
              <w:left w:val="single" w:color="CCCCCC" w:sz="4"/>
              <w:bottom w:val="single" w:color="CCCCCC" w:sz="4"/>
              <w:right w:val="single" w:color="CCCCCC" w:sz="4"/>
            </w:tcBorders>
            <w:shd w:fill="1F3864" w:val="clear"/>
            <w:tcMar>
              <w:top w:type="dxa" w:w="80"/>
              <w:left w:type="dxa" w:w="120"/>
              <w:bottom w:type="dxa" w:w="80"/>
              <w:right w:type="dxa" w:w="120"/>
            </w:tcMar>
          </w:tcPr>
          <w:p>
            <w:pPr>
              <w:jc w:val="center"/>
            </w:pPr>
            <w:r>
              <w:rPr>
                <w:rFonts w:ascii="Arial" w:cs="Arial" w:eastAsia="Arial" w:hAnsi="Arial"/>
                <w:b/>
                <w:bCs/>
                <w:color w:val="FFFFFF"/>
                <w:sz w:val="19"/>
                <w:szCs w:val="19"/>
              </w:rPr>
              <w:t xml:space="preserve">q−1</w:t>
            </w:r>
          </w:p>
        </w:tc>
        <w:tc>
          <w:tcPr>
            <w:tcW w:type="dxa" w:w="1560"/>
            <w:tcBorders>
              <w:top w:val="single" w:color="CCCCCC" w:sz="4"/>
              <w:left w:val="single" w:color="CCCCCC" w:sz="4"/>
              <w:bottom w:val="single" w:color="CCCCCC" w:sz="4"/>
              <w:right w:val="single" w:color="CCCCCC" w:sz="4"/>
            </w:tcBorders>
            <w:shd w:fill="1F3864" w:val="clear"/>
            <w:tcMar>
              <w:top w:type="dxa" w:w="80"/>
              <w:left w:type="dxa" w:w="120"/>
              <w:bottom w:type="dxa" w:w="80"/>
              <w:right w:type="dxa" w:w="120"/>
            </w:tcMar>
          </w:tcPr>
          <w:p>
            <w:pPr>
              <w:jc w:val="center"/>
            </w:pPr>
            <w:r>
              <w:rPr>
                <w:rFonts w:ascii="Arial" w:cs="Arial" w:eastAsia="Arial" w:hAnsi="Arial"/>
                <w:b/>
                <w:bCs/>
                <w:color w:val="FFFFFF"/>
                <w:sz w:val="19"/>
                <w:szCs w:val="19"/>
              </w:rPr>
              <w:t xml:space="preserve">gcd(p+1, q−1)</w:t>
            </w:r>
          </w:p>
        </w:tc>
        <w:tc>
          <w:tcPr>
            <w:tcW w:type="dxa" w:w="2280"/>
            <w:tcBorders>
              <w:top w:val="single" w:color="CCCCCC" w:sz="4"/>
              <w:left w:val="single" w:color="CCCCCC" w:sz="4"/>
              <w:bottom w:val="single" w:color="CCCCCC" w:sz="4"/>
              <w:right w:val="single" w:color="CCCCCC" w:sz="4"/>
            </w:tcBorders>
            <w:shd w:fill="1F3864" w:val="clear"/>
            <w:tcMar>
              <w:top w:type="dxa" w:w="80"/>
              <w:left w:type="dxa" w:w="120"/>
              <w:bottom w:type="dxa" w:w="80"/>
              <w:right w:type="dxa" w:w="120"/>
            </w:tcMar>
          </w:tcPr>
          <w:p>
            <w:pPr>
              <w:jc w:val="center"/>
            </w:pPr>
            <w:r>
              <w:rPr>
                <w:rFonts w:ascii="Arial" w:cs="Arial" w:eastAsia="Arial" w:hAnsi="Arial"/>
                <w:b/>
                <w:bCs/>
                <w:color w:val="FFFFFF"/>
                <w:sz w:val="19"/>
                <w:szCs w:val="19"/>
              </w:rPr>
              <w:t xml:space="preserve">Cond. holds?</w:t>
            </w:r>
          </w:p>
        </w:tc>
      </w:tr>
      <w:tr>
        <w:tc>
          <w:tcPr>
            <w:tcW w:type="dxa" w:w="1200"/>
            <w:tcBorders>
              <w:top w:val="single" w:color="CCCCCC" w:sz="4"/>
              <w:left w:val="single" w:color="CCCCCC" w:sz="4"/>
              <w:bottom w:val="single" w:color="CCCCCC" w:sz="4"/>
              <w:right w:val="single" w:color="CCCCCC" w:sz="4"/>
            </w:tcBorders>
            <w:tcMar>
              <w:top w:type="dxa" w:w="80"/>
              <w:left w:type="dxa" w:w="120"/>
              <w:bottom w:type="dxa" w:w="80"/>
              <w:right w:type="dxa" w:w="120"/>
            </w:tcMar>
          </w:tcPr>
          <w:p>
            <w:pPr>
              <w:jc w:val="left"/>
            </w:pPr>
            <w:r>
              <w:rPr>
                <w:rFonts w:ascii="Arial" w:cs="Arial" w:eastAsia="Arial" w:hAnsi="Arial"/>
                <w:b w:val="false"/>
                <w:bCs w:val="false"/>
                <w:color w:val="000000"/>
                <w:sz w:val="19"/>
                <w:szCs w:val="19"/>
              </w:rPr>
              <w:t xml:space="preserve">5</w:t>
            </w:r>
          </w:p>
        </w:tc>
        <w:tc>
          <w:tcPr>
            <w:tcW w:type="dxa" w:w="1200"/>
            <w:tcBorders>
              <w:top w:val="single" w:color="CCCCCC" w:sz="4"/>
              <w:left w:val="single" w:color="CCCCCC" w:sz="4"/>
              <w:bottom w:val="single" w:color="CCCCCC" w:sz="4"/>
              <w:right w:val="single" w:color="CCCCCC" w:sz="4"/>
            </w:tcBorders>
            <w:tcMar>
              <w:top w:type="dxa" w:w="80"/>
              <w:left w:type="dxa" w:w="120"/>
              <w:bottom w:type="dxa" w:w="80"/>
              <w:right w:type="dxa" w:w="120"/>
            </w:tcMar>
          </w:tcPr>
          <w:p>
            <w:pPr>
              <w:jc w:val="left"/>
            </w:pPr>
            <w:r>
              <w:rPr>
                <w:rFonts w:ascii="Arial" w:cs="Arial" w:eastAsia="Arial" w:hAnsi="Arial"/>
                <w:b w:val="false"/>
                <w:bCs w:val="false"/>
                <w:color w:val="000000"/>
                <w:sz w:val="19"/>
                <w:szCs w:val="19"/>
              </w:rPr>
              <w:t xml:space="preserve">7</w:t>
            </w:r>
          </w:p>
        </w:tc>
        <w:tc>
          <w:tcPr>
            <w:tcW w:type="dxa" w:w="1560"/>
            <w:tcBorders>
              <w:top w:val="single" w:color="CCCCCC" w:sz="4"/>
              <w:left w:val="single" w:color="CCCCCC" w:sz="4"/>
              <w:bottom w:val="single" w:color="CCCCCC" w:sz="4"/>
              <w:right w:val="single" w:color="CCCCCC" w:sz="4"/>
            </w:tcBorders>
            <w:tcMar>
              <w:top w:type="dxa" w:w="80"/>
              <w:left w:type="dxa" w:w="120"/>
              <w:bottom w:type="dxa" w:w="80"/>
              <w:right w:type="dxa" w:w="120"/>
            </w:tcMar>
          </w:tcPr>
          <w:p>
            <w:pPr>
              <w:jc w:val="left"/>
            </w:pPr>
            <w:r>
              <w:rPr>
                <w:rFonts w:ascii="Arial" w:cs="Arial" w:eastAsia="Arial" w:hAnsi="Arial"/>
                <w:b w:val="false"/>
                <w:bCs w:val="false"/>
                <w:color w:val="000000"/>
                <w:sz w:val="19"/>
                <w:szCs w:val="19"/>
              </w:rPr>
              <w:t xml:space="preserve">6</w:t>
            </w:r>
          </w:p>
        </w:tc>
        <w:tc>
          <w:tcPr>
            <w:tcW w:type="dxa" w:w="1560"/>
            <w:tcBorders>
              <w:top w:val="single" w:color="CCCCCC" w:sz="4"/>
              <w:left w:val="single" w:color="CCCCCC" w:sz="4"/>
              <w:bottom w:val="single" w:color="CCCCCC" w:sz="4"/>
              <w:right w:val="single" w:color="CCCCCC" w:sz="4"/>
            </w:tcBorders>
            <w:tcMar>
              <w:top w:type="dxa" w:w="80"/>
              <w:left w:type="dxa" w:w="120"/>
              <w:bottom w:type="dxa" w:w="80"/>
              <w:right w:type="dxa" w:w="120"/>
            </w:tcMar>
          </w:tcPr>
          <w:p>
            <w:pPr>
              <w:jc w:val="left"/>
            </w:pPr>
            <w:r>
              <w:rPr>
                <w:rFonts w:ascii="Arial" w:cs="Arial" w:eastAsia="Arial" w:hAnsi="Arial"/>
                <w:b w:val="false"/>
                <w:bCs w:val="false"/>
                <w:color w:val="000000"/>
                <w:sz w:val="19"/>
                <w:szCs w:val="19"/>
              </w:rPr>
              <w:t xml:space="preserve">6</w:t>
            </w:r>
          </w:p>
        </w:tc>
        <w:tc>
          <w:tcPr>
            <w:tcW w:type="dxa" w:w="1560"/>
            <w:tcBorders>
              <w:top w:val="single" w:color="CCCCCC" w:sz="4"/>
              <w:left w:val="single" w:color="CCCCCC" w:sz="4"/>
              <w:bottom w:val="single" w:color="CCCCCC" w:sz="4"/>
              <w:right w:val="single" w:color="CCCCCC" w:sz="4"/>
            </w:tcBorders>
            <w:tcMar>
              <w:top w:type="dxa" w:w="80"/>
              <w:left w:type="dxa" w:w="120"/>
              <w:bottom w:type="dxa" w:w="80"/>
              <w:right w:type="dxa" w:w="120"/>
            </w:tcMar>
          </w:tcPr>
          <w:p>
            <w:pPr>
              <w:jc w:val="left"/>
            </w:pPr>
            <w:r>
              <w:rPr>
                <w:rFonts w:ascii="Arial" w:cs="Arial" w:eastAsia="Arial" w:hAnsi="Arial"/>
                <w:b w:val="false"/>
                <w:bCs w:val="false"/>
                <w:color w:val="000000"/>
                <w:sz w:val="19"/>
                <w:szCs w:val="19"/>
              </w:rPr>
              <w:t xml:space="preserve">6</w:t>
            </w:r>
          </w:p>
        </w:tc>
        <w:tc>
          <w:tcPr>
            <w:tcW w:type="dxa" w:w="2280"/>
            <w:tcBorders>
              <w:top w:val="single" w:color="CCCCCC" w:sz="4"/>
              <w:left w:val="single" w:color="CCCCCC" w:sz="4"/>
              <w:bottom w:val="single" w:color="CCCCCC" w:sz="4"/>
              <w:right w:val="single" w:color="CCCCCC" w:sz="4"/>
            </w:tcBorders>
            <w:tcMar>
              <w:top w:type="dxa" w:w="80"/>
              <w:left w:type="dxa" w:w="120"/>
              <w:bottom w:type="dxa" w:w="80"/>
              <w:right w:type="dxa" w:w="120"/>
            </w:tcMar>
          </w:tcPr>
          <w:p>
            <w:pPr>
              <w:jc w:val="left"/>
            </w:pPr>
            <w:r>
              <w:rPr>
                <w:rFonts w:ascii="Arial" w:cs="Arial" w:eastAsia="Arial" w:hAnsi="Arial"/>
                <w:b w:val="false"/>
                <w:bCs w:val="false"/>
                <w:color w:val="000000"/>
                <w:sz w:val="19"/>
                <w:szCs w:val="19"/>
              </w:rPr>
              <w:t xml:space="preserve">No  (6 ∤ 2)</w:t>
            </w:r>
          </w:p>
        </w:tc>
      </w:tr>
      <w:tr>
        <w:tc>
          <w:tcPr>
            <w:tcW w:type="dxa" w:w="1200"/>
            <w:tcBorders>
              <w:top w:val="single" w:color="CCCCCC" w:sz="4"/>
              <w:left w:val="single" w:color="CCCCCC" w:sz="4"/>
              <w:bottom w:val="single" w:color="CCCCCC" w:sz="4"/>
              <w:right w:val="single" w:color="CCCCCC" w:sz="4"/>
            </w:tcBorders>
            <w:shd w:fill="F2F4F7" w:val="clear"/>
            <w:tcMar>
              <w:top w:type="dxa" w:w="80"/>
              <w:left w:type="dxa" w:w="120"/>
              <w:bottom w:type="dxa" w:w="80"/>
              <w:right w:type="dxa" w:w="120"/>
            </w:tcMar>
          </w:tcPr>
          <w:p>
            <w:pPr>
              <w:jc w:val="left"/>
            </w:pPr>
            <w:r>
              <w:rPr>
                <w:rFonts w:ascii="Arial" w:cs="Arial" w:eastAsia="Arial" w:hAnsi="Arial"/>
                <w:b w:val="false"/>
                <w:bCs w:val="false"/>
                <w:color w:val="000000"/>
                <w:sz w:val="19"/>
                <w:szCs w:val="19"/>
              </w:rPr>
              <w:t xml:space="preserve">11</w:t>
            </w:r>
          </w:p>
        </w:tc>
        <w:tc>
          <w:tcPr>
            <w:tcW w:type="dxa" w:w="1200"/>
            <w:tcBorders>
              <w:top w:val="single" w:color="CCCCCC" w:sz="4"/>
              <w:left w:val="single" w:color="CCCCCC" w:sz="4"/>
              <w:bottom w:val="single" w:color="CCCCCC" w:sz="4"/>
              <w:right w:val="single" w:color="CCCCCC" w:sz="4"/>
            </w:tcBorders>
            <w:shd w:fill="F2F4F7" w:val="clear"/>
            <w:tcMar>
              <w:top w:type="dxa" w:w="80"/>
              <w:left w:type="dxa" w:w="120"/>
              <w:bottom w:type="dxa" w:w="80"/>
              <w:right w:type="dxa" w:w="120"/>
            </w:tcMar>
          </w:tcPr>
          <w:p>
            <w:pPr>
              <w:jc w:val="left"/>
            </w:pPr>
            <w:r>
              <w:rPr>
                <w:rFonts w:ascii="Arial" w:cs="Arial" w:eastAsia="Arial" w:hAnsi="Arial"/>
                <w:b w:val="false"/>
                <w:bCs w:val="false"/>
                <w:color w:val="000000"/>
                <w:sz w:val="19"/>
                <w:szCs w:val="19"/>
              </w:rPr>
              <w:t xml:space="preserve">13</w:t>
            </w:r>
          </w:p>
        </w:tc>
        <w:tc>
          <w:tcPr>
            <w:tcW w:type="dxa" w:w="1560"/>
            <w:tcBorders>
              <w:top w:val="single" w:color="CCCCCC" w:sz="4"/>
              <w:left w:val="single" w:color="CCCCCC" w:sz="4"/>
              <w:bottom w:val="single" w:color="CCCCCC" w:sz="4"/>
              <w:right w:val="single" w:color="CCCCCC" w:sz="4"/>
            </w:tcBorders>
            <w:shd w:fill="F2F4F7" w:val="clear"/>
            <w:tcMar>
              <w:top w:type="dxa" w:w="80"/>
              <w:left w:type="dxa" w:w="120"/>
              <w:bottom w:type="dxa" w:w="80"/>
              <w:right w:type="dxa" w:w="120"/>
            </w:tcMar>
          </w:tcPr>
          <w:p>
            <w:pPr>
              <w:jc w:val="left"/>
            </w:pPr>
            <w:r>
              <w:rPr>
                <w:rFonts w:ascii="Arial" w:cs="Arial" w:eastAsia="Arial" w:hAnsi="Arial"/>
                <w:b w:val="false"/>
                <w:bCs w:val="false"/>
                <w:color w:val="000000"/>
                <w:sz w:val="19"/>
                <w:szCs w:val="19"/>
              </w:rPr>
              <w:t xml:space="preserve">12</w:t>
            </w:r>
          </w:p>
        </w:tc>
        <w:tc>
          <w:tcPr>
            <w:tcW w:type="dxa" w:w="1560"/>
            <w:tcBorders>
              <w:top w:val="single" w:color="CCCCCC" w:sz="4"/>
              <w:left w:val="single" w:color="CCCCCC" w:sz="4"/>
              <w:bottom w:val="single" w:color="CCCCCC" w:sz="4"/>
              <w:right w:val="single" w:color="CCCCCC" w:sz="4"/>
            </w:tcBorders>
            <w:shd w:fill="F2F4F7" w:val="clear"/>
            <w:tcMar>
              <w:top w:type="dxa" w:w="80"/>
              <w:left w:type="dxa" w:w="120"/>
              <w:bottom w:type="dxa" w:w="80"/>
              <w:right w:type="dxa" w:w="120"/>
            </w:tcMar>
          </w:tcPr>
          <w:p>
            <w:pPr>
              <w:jc w:val="left"/>
            </w:pPr>
            <w:r>
              <w:rPr>
                <w:rFonts w:ascii="Arial" w:cs="Arial" w:eastAsia="Arial" w:hAnsi="Arial"/>
                <w:b w:val="false"/>
                <w:bCs w:val="false"/>
                <w:color w:val="000000"/>
                <w:sz w:val="19"/>
                <w:szCs w:val="19"/>
              </w:rPr>
              <w:t xml:space="preserve">12</w:t>
            </w:r>
          </w:p>
        </w:tc>
        <w:tc>
          <w:tcPr>
            <w:tcW w:type="dxa" w:w="1560"/>
            <w:tcBorders>
              <w:top w:val="single" w:color="CCCCCC" w:sz="4"/>
              <w:left w:val="single" w:color="CCCCCC" w:sz="4"/>
              <w:bottom w:val="single" w:color="CCCCCC" w:sz="4"/>
              <w:right w:val="single" w:color="CCCCCC" w:sz="4"/>
            </w:tcBorders>
            <w:shd w:fill="F2F4F7" w:val="clear"/>
            <w:tcMar>
              <w:top w:type="dxa" w:w="80"/>
              <w:left w:type="dxa" w:w="120"/>
              <w:bottom w:type="dxa" w:w="80"/>
              <w:right w:type="dxa" w:w="120"/>
            </w:tcMar>
          </w:tcPr>
          <w:p>
            <w:pPr>
              <w:jc w:val="left"/>
            </w:pPr>
            <w:r>
              <w:rPr>
                <w:rFonts w:ascii="Arial" w:cs="Arial" w:eastAsia="Arial" w:hAnsi="Arial"/>
                <w:b w:val="false"/>
                <w:bCs w:val="false"/>
                <w:color w:val="000000"/>
                <w:sz w:val="19"/>
                <w:szCs w:val="19"/>
              </w:rPr>
              <w:t xml:space="preserve">12</w:t>
            </w:r>
          </w:p>
        </w:tc>
        <w:tc>
          <w:tcPr>
            <w:tcW w:type="dxa" w:w="2280"/>
            <w:tcBorders>
              <w:top w:val="single" w:color="CCCCCC" w:sz="4"/>
              <w:left w:val="single" w:color="CCCCCC" w:sz="4"/>
              <w:bottom w:val="single" w:color="CCCCCC" w:sz="4"/>
              <w:right w:val="single" w:color="CCCCCC" w:sz="4"/>
            </w:tcBorders>
            <w:shd w:fill="F2F4F7" w:val="clear"/>
            <w:tcMar>
              <w:top w:type="dxa" w:w="80"/>
              <w:left w:type="dxa" w:w="120"/>
              <w:bottom w:type="dxa" w:w="80"/>
              <w:right w:type="dxa" w:w="120"/>
            </w:tcMar>
          </w:tcPr>
          <w:p>
            <w:pPr>
              <w:jc w:val="left"/>
            </w:pPr>
            <w:r>
              <w:rPr>
                <w:rFonts w:ascii="Arial" w:cs="Arial" w:eastAsia="Arial" w:hAnsi="Arial"/>
                <w:b w:val="false"/>
                <w:bCs w:val="false"/>
                <w:color w:val="000000"/>
                <w:sz w:val="19"/>
                <w:szCs w:val="19"/>
              </w:rPr>
              <w:t xml:space="preserve">No  (12 ∤ 2)</w:t>
            </w:r>
          </w:p>
        </w:tc>
      </w:tr>
      <w:tr>
        <w:tc>
          <w:tcPr>
            <w:tcW w:type="dxa" w:w="1200"/>
            <w:tcBorders>
              <w:top w:val="single" w:color="CCCCCC" w:sz="4"/>
              <w:left w:val="single" w:color="CCCCCC" w:sz="4"/>
              <w:bottom w:val="single" w:color="CCCCCC" w:sz="4"/>
              <w:right w:val="single" w:color="CCCCCC" w:sz="4"/>
            </w:tcBorders>
            <w:tcMar>
              <w:top w:type="dxa" w:w="80"/>
              <w:left w:type="dxa" w:w="120"/>
              <w:bottom w:type="dxa" w:w="80"/>
              <w:right w:type="dxa" w:w="120"/>
            </w:tcMar>
          </w:tcPr>
          <w:p>
            <w:pPr>
              <w:jc w:val="left"/>
            </w:pPr>
            <w:r>
              <w:rPr>
                <w:rFonts w:ascii="Arial" w:cs="Arial" w:eastAsia="Arial" w:hAnsi="Arial"/>
                <w:b w:val="false"/>
                <w:bCs w:val="false"/>
                <w:color w:val="000000"/>
                <w:sz w:val="19"/>
                <w:szCs w:val="19"/>
              </w:rPr>
              <w:t xml:space="preserve">5</w:t>
            </w:r>
          </w:p>
        </w:tc>
        <w:tc>
          <w:tcPr>
            <w:tcW w:type="dxa" w:w="1200"/>
            <w:tcBorders>
              <w:top w:val="single" w:color="CCCCCC" w:sz="4"/>
              <w:left w:val="single" w:color="CCCCCC" w:sz="4"/>
              <w:bottom w:val="single" w:color="CCCCCC" w:sz="4"/>
              <w:right w:val="single" w:color="CCCCCC" w:sz="4"/>
            </w:tcBorders>
            <w:tcMar>
              <w:top w:type="dxa" w:w="80"/>
              <w:left w:type="dxa" w:w="120"/>
              <w:bottom w:type="dxa" w:w="80"/>
              <w:right w:type="dxa" w:w="120"/>
            </w:tcMar>
          </w:tcPr>
          <w:p>
            <w:pPr>
              <w:jc w:val="left"/>
            </w:pPr>
            <w:r>
              <w:rPr>
                <w:rFonts w:ascii="Arial" w:cs="Arial" w:eastAsia="Arial" w:hAnsi="Arial"/>
                <w:b w:val="false"/>
                <w:bCs w:val="false"/>
                <w:color w:val="000000"/>
                <w:sz w:val="19"/>
                <w:szCs w:val="19"/>
              </w:rPr>
              <w:t xml:space="preserve">11</w:t>
            </w:r>
          </w:p>
        </w:tc>
        <w:tc>
          <w:tcPr>
            <w:tcW w:type="dxa" w:w="1560"/>
            <w:tcBorders>
              <w:top w:val="single" w:color="CCCCCC" w:sz="4"/>
              <w:left w:val="single" w:color="CCCCCC" w:sz="4"/>
              <w:bottom w:val="single" w:color="CCCCCC" w:sz="4"/>
              <w:right w:val="single" w:color="CCCCCC" w:sz="4"/>
            </w:tcBorders>
            <w:tcMar>
              <w:top w:type="dxa" w:w="80"/>
              <w:left w:type="dxa" w:w="120"/>
              <w:bottom w:type="dxa" w:w="80"/>
              <w:right w:type="dxa" w:w="120"/>
            </w:tcMar>
          </w:tcPr>
          <w:p>
            <w:pPr>
              <w:jc w:val="left"/>
            </w:pPr>
            <w:r>
              <w:rPr>
                <w:rFonts w:ascii="Arial" w:cs="Arial" w:eastAsia="Arial" w:hAnsi="Arial"/>
                <w:b w:val="false"/>
                <w:bCs w:val="false"/>
                <w:color w:val="000000"/>
                <w:sz w:val="19"/>
                <w:szCs w:val="19"/>
              </w:rPr>
              <w:t xml:space="preserve">6</w:t>
            </w:r>
          </w:p>
        </w:tc>
        <w:tc>
          <w:tcPr>
            <w:tcW w:type="dxa" w:w="1560"/>
            <w:tcBorders>
              <w:top w:val="single" w:color="CCCCCC" w:sz="4"/>
              <w:left w:val="single" w:color="CCCCCC" w:sz="4"/>
              <w:bottom w:val="single" w:color="CCCCCC" w:sz="4"/>
              <w:right w:val="single" w:color="CCCCCC" w:sz="4"/>
            </w:tcBorders>
            <w:tcMar>
              <w:top w:type="dxa" w:w="80"/>
              <w:left w:type="dxa" w:w="120"/>
              <w:bottom w:type="dxa" w:w="80"/>
              <w:right w:type="dxa" w:w="120"/>
            </w:tcMar>
          </w:tcPr>
          <w:p>
            <w:pPr>
              <w:jc w:val="left"/>
            </w:pPr>
            <w:r>
              <w:rPr>
                <w:rFonts w:ascii="Arial" w:cs="Arial" w:eastAsia="Arial" w:hAnsi="Arial"/>
                <w:b w:val="false"/>
                <w:bCs w:val="false"/>
                <w:color w:val="000000"/>
                <w:sz w:val="19"/>
                <w:szCs w:val="19"/>
              </w:rPr>
              <w:t xml:space="preserve">10</w:t>
            </w:r>
          </w:p>
        </w:tc>
        <w:tc>
          <w:tcPr>
            <w:tcW w:type="dxa" w:w="1560"/>
            <w:tcBorders>
              <w:top w:val="single" w:color="CCCCCC" w:sz="4"/>
              <w:left w:val="single" w:color="CCCCCC" w:sz="4"/>
              <w:bottom w:val="single" w:color="CCCCCC" w:sz="4"/>
              <w:right w:val="single" w:color="CCCCCC" w:sz="4"/>
            </w:tcBorders>
            <w:tcMar>
              <w:top w:type="dxa" w:w="80"/>
              <w:left w:type="dxa" w:w="120"/>
              <w:bottom w:type="dxa" w:w="80"/>
              <w:right w:type="dxa" w:w="120"/>
            </w:tcMar>
          </w:tcPr>
          <w:p>
            <w:pPr>
              <w:jc w:val="left"/>
            </w:pPr>
            <w:r>
              <w:rPr>
                <w:rFonts w:ascii="Arial" w:cs="Arial" w:eastAsia="Arial" w:hAnsi="Arial"/>
                <w:b w:val="false"/>
                <w:bCs w:val="false"/>
                <w:color w:val="000000"/>
                <w:sz w:val="19"/>
                <w:szCs w:val="19"/>
              </w:rPr>
              <w:t xml:space="preserve">2</w:t>
            </w:r>
          </w:p>
        </w:tc>
        <w:tc>
          <w:tcPr>
            <w:tcW w:type="dxa" w:w="2280"/>
            <w:tcBorders>
              <w:top w:val="single" w:color="CCCCCC" w:sz="4"/>
              <w:left w:val="single" w:color="CCCCCC" w:sz="4"/>
              <w:bottom w:val="single" w:color="CCCCCC" w:sz="4"/>
              <w:right w:val="single" w:color="CCCCCC" w:sz="4"/>
            </w:tcBorders>
            <w:tcMar>
              <w:top w:type="dxa" w:w="80"/>
              <w:left w:type="dxa" w:w="120"/>
              <w:bottom w:type="dxa" w:w="80"/>
              <w:right w:type="dxa" w:w="120"/>
            </w:tcMar>
          </w:tcPr>
          <w:p>
            <w:pPr>
              <w:jc w:val="left"/>
            </w:pPr>
            <w:r>
              <w:rPr>
                <w:rFonts w:ascii="Arial" w:cs="Arial" w:eastAsia="Arial" w:hAnsi="Arial"/>
                <w:b w:val="false"/>
                <w:bCs w:val="false"/>
                <w:color w:val="000000"/>
                <w:sz w:val="19"/>
                <w:szCs w:val="19"/>
              </w:rPr>
              <w:t xml:space="preserve">Yes (2 | 6) — trivial</w:t>
            </w:r>
          </w:p>
        </w:tc>
      </w:tr>
      <w:tr>
        <w:tc>
          <w:tcPr>
            <w:tcW w:type="dxa" w:w="1200"/>
            <w:tcBorders>
              <w:top w:val="single" w:color="CCCCCC" w:sz="4"/>
              <w:left w:val="single" w:color="CCCCCC" w:sz="4"/>
              <w:bottom w:val="single" w:color="CCCCCC" w:sz="4"/>
              <w:right w:val="single" w:color="CCCCCC" w:sz="4"/>
            </w:tcBorders>
            <w:shd w:fill="F2F4F7" w:val="clear"/>
            <w:tcMar>
              <w:top w:type="dxa" w:w="80"/>
              <w:left w:type="dxa" w:w="120"/>
              <w:bottom w:type="dxa" w:w="80"/>
              <w:right w:type="dxa" w:w="120"/>
            </w:tcMar>
          </w:tcPr>
          <w:p>
            <w:pPr>
              <w:jc w:val="left"/>
            </w:pPr>
            <w:r>
              <w:rPr>
                <w:rFonts w:ascii="Arial" w:cs="Arial" w:eastAsia="Arial" w:hAnsi="Arial"/>
                <w:b w:val="false"/>
                <w:bCs w:val="false"/>
                <w:color w:val="000000"/>
                <w:sz w:val="19"/>
                <w:szCs w:val="19"/>
              </w:rPr>
              <w:t xml:space="preserve">11</w:t>
            </w:r>
          </w:p>
        </w:tc>
        <w:tc>
          <w:tcPr>
            <w:tcW w:type="dxa" w:w="1200"/>
            <w:tcBorders>
              <w:top w:val="single" w:color="CCCCCC" w:sz="4"/>
              <w:left w:val="single" w:color="CCCCCC" w:sz="4"/>
              <w:bottom w:val="single" w:color="CCCCCC" w:sz="4"/>
              <w:right w:val="single" w:color="CCCCCC" w:sz="4"/>
            </w:tcBorders>
            <w:shd w:fill="F2F4F7" w:val="clear"/>
            <w:tcMar>
              <w:top w:type="dxa" w:w="80"/>
              <w:left w:type="dxa" w:w="120"/>
              <w:bottom w:type="dxa" w:w="80"/>
              <w:right w:type="dxa" w:w="120"/>
            </w:tcMar>
          </w:tcPr>
          <w:p>
            <w:pPr>
              <w:jc w:val="left"/>
            </w:pPr>
            <w:r>
              <w:rPr>
                <w:rFonts w:ascii="Arial" w:cs="Arial" w:eastAsia="Arial" w:hAnsi="Arial"/>
                <w:b w:val="false"/>
                <w:bCs w:val="false"/>
                <w:color w:val="000000"/>
                <w:sz w:val="19"/>
                <w:szCs w:val="19"/>
              </w:rPr>
              <w:t xml:space="preserve">23</w:t>
            </w:r>
          </w:p>
        </w:tc>
        <w:tc>
          <w:tcPr>
            <w:tcW w:type="dxa" w:w="1560"/>
            <w:tcBorders>
              <w:top w:val="single" w:color="CCCCCC" w:sz="4"/>
              <w:left w:val="single" w:color="CCCCCC" w:sz="4"/>
              <w:bottom w:val="single" w:color="CCCCCC" w:sz="4"/>
              <w:right w:val="single" w:color="CCCCCC" w:sz="4"/>
            </w:tcBorders>
            <w:shd w:fill="F2F4F7" w:val="clear"/>
            <w:tcMar>
              <w:top w:type="dxa" w:w="80"/>
              <w:left w:type="dxa" w:w="120"/>
              <w:bottom w:type="dxa" w:w="80"/>
              <w:right w:type="dxa" w:w="120"/>
            </w:tcMar>
          </w:tcPr>
          <w:p>
            <w:pPr>
              <w:jc w:val="left"/>
            </w:pPr>
            <w:r>
              <w:rPr>
                <w:rFonts w:ascii="Arial" w:cs="Arial" w:eastAsia="Arial" w:hAnsi="Arial"/>
                <w:b w:val="false"/>
                <w:bCs w:val="false"/>
                <w:color w:val="000000"/>
                <w:sz w:val="19"/>
                <w:szCs w:val="19"/>
              </w:rPr>
              <w:t xml:space="preserve">12</w:t>
            </w:r>
          </w:p>
        </w:tc>
        <w:tc>
          <w:tcPr>
            <w:tcW w:type="dxa" w:w="1560"/>
            <w:tcBorders>
              <w:top w:val="single" w:color="CCCCCC" w:sz="4"/>
              <w:left w:val="single" w:color="CCCCCC" w:sz="4"/>
              <w:bottom w:val="single" w:color="CCCCCC" w:sz="4"/>
              <w:right w:val="single" w:color="CCCCCC" w:sz="4"/>
            </w:tcBorders>
            <w:shd w:fill="F2F4F7" w:val="clear"/>
            <w:tcMar>
              <w:top w:type="dxa" w:w="80"/>
              <w:left w:type="dxa" w:w="120"/>
              <w:bottom w:type="dxa" w:w="80"/>
              <w:right w:type="dxa" w:w="120"/>
            </w:tcMar>
          </w:tcPr>
          <w:p>
            <w:pPr>
              <w:jc w:val="left"/>
            </w:pPr>
            <w:r>
              <w:rPr>
                <w:rFonts w:ascii="Arial" w:cs="Arial" w:eastAsia="Arial" w:hAnsi="Arial"/>
                <w:b w:val="false"/>
                <w:bCs w:val="false"/>
                <w:color w:val="000000"/>
                <w:sz w:val="19"/>
                <w:szCs w:val="19"/>
              </w:rPr>
              <w:t xml:space="preserve">22</w:t>
            </w:r>
          </w:p>
        </w:tc>
        <w:tc>
          <w:tcPr>
            <w:tcW w:type="dxa" w:w="1560"/>
            <w:tcBorders>
              <w:top w:val="single" w:color="CCCCCC" w:sz="4"/>
              <w:left w:val="single" w:color="CCCCCC" w:sz="4"/>
              <w:bottom w:val="single" w:color="CCCCCC" w:sz="4"/>
              <w:right w:val="single" w:color="CCCCCC" w:sz="4"/>
            </w:tcBorders>
            <w:shd w:fill="F2F4F7" w:val="clear"/>
            <w:tcMar>
              <w:top w:type="dxa" w:w="80"/>
              <w:left w:type="dxa" w:w="120"/>
              <w:bottom w:type="dxa" w:w="80"/>
              <w:right w:type="dxa" w:w="120"/>
            </w:tcMar>
          </w:tcPr>
          <w:p>
            <w:pPr>
              <w:jc w:val="left"/>
            </w:pPr>
            <w:r>
              <w:rPr>
                <w:rFonts w:ascii="Arial" w:cs="Arial" w:eastAsia="Arial" w:hAnsi="Arial"/>
                <w:b w:val="false"/>
                <w:bCs w:val="false"/>
                <w:color w:val="000000"/>
                <w:sz w:val="19"/>
                <w:szCs w:val="19"/>
              </w:rPr>
              <w:t xml:space="preserve">2</w:t>
            </w:r>
          </w:p>
        </w:tc>
        <w:tc>
          <w:tcPr>
            <w:tcW w:type="dxa" w:w="2280"/>
            <w:tcBorders>
              <w:top w:val="single" w:color="CCCCCC" w:sz="4"/>
              <w:left w:val="single" w:color="CCCCCC" w:sz="4"/>
              <w:bottom w:val="single" w:color="CCCCCC" w:sz="4"/>
              <w:right w:val="single" w:color="CCCCCC" w:sz="4"/>
            </w:tcBorders>
            <w:shd w:fill="F2F4F7" w:val="clear"/>
            <w:tcMar>
              <w:top w:type="dxa" w:w="80"/>
              <w:left w:type="dxa" w:w="120"/>
              <w:bottom w:type="dxa" w:w="80"/>
              <w:right w:type="dxa" w:w="120"/>
            </w:tcMar>
          </w:tcPr>
          <w:p>
            <w:pPr>
              <w:jc w:val="left"/>
            </w:pPr>
            <w:r>
              <w:rPr>
                <w:rFonts w:ascii="Arial" w:cs="Arial" w:eastAsia="Arial" w:hAnsi="Arial"/>
                <w:b w:val="false"/>
                <w:bCs w:val="false"/>
                <w:color w:val="000000"/>
                <w:sz w:val="19"/>
                <w:szCs w:val="19"/>
              </w:rPr>
              <w:t xml:space="preserve">Yes (2 | 12) — trivial</w:t>
            </w:r>
          </w:p>
        </w:tc>
      </w:tr>
      <w:tr>
        <w:tc>
          <w:tcPr>
            <w:tcW w:type="dxa" w:w="1200"/>
            <w:tcBorders>
              <w:top w:val="single" w:color="CCCCCC" w:sz="4"/>
              <w:left w:val="single" w:color="CCCCCC" w:sz="4"/>
              <w:bottom w:val="single" w:color="CCCCCC" w:sz="4"/>
              <w:right w:val="single" w:color="CCCCCC" w:sz="4"/>
            </w:tcBorders>
            <w:tcMar>
              <w:top w:type="dxa" w:w="80"/>
              <w:left w:type="dxa" w:w="120"/>
              <w:bottom w:type="dxa" w:w="80"/>
              <w:right w:type="dxa" w:w="120"/>
            </w:tcMar>
          </w:tcPr>
          <w:p>
            <w:pPr>
              <w:jc w:val="left"/>
            </w:pPr>
            <w:r>
              <w:rPr>
                <w:rFonts w:ascii="Arial" w:cs="Arial" w:eastAsia="Arial" w:hAnsi="Arial"/>
                <w:b w:val="false"/>
                <w:bCs w:val="false"/>
                <w:color w:val="000000"/>
                <w:sz w:val="19"/>
                <w:szCs w:val="19"/>
              </w:rPr>
              <w:t xml:space="preserve">29</w:t>
            </w:r>
          </w:p>
        </w:tc>
        <w:tc>
          <w:tcPr>
            <w:tcW w:type="dxa" w:w="1200"/>
            <w:tcBorders>
              <w:top w:val="single" w:color="CCCCCC" w:sz="4"/>
              <w:left w:val="single" w:color="CCCCCC" w:sz="4"/>
              <w:bottom w:val="single" w:color="CCCCCC" w:sz="4"/>
              <w:right w:val="single" w:color="CCCCCC" w:sz="4"/>
            </w:tcBorders>
            <w:tcMar>
              <w:top w:type="dxa" w:w="80"/>
              <w:left w:type="dxa" w:w="120"/>
              <w:bottom w:type="dxa" w:w="80"/>
              <w:right w:type="dxa" w:w="120"/>
            </w:tcMar>
          </w:tcPr>
          <w:p>
            <w:pPr>
              <w:jc w:val="left"/>
            </w:pPr>
            <w:r>
              <w:rPr>
                <w:rFonts w:ascii="Arial" w:cs="Arial" w:eastAsia="Arial" w:hAnsi="Arial"/>
                <w:b w:val="false"/>
                <w:bCs w:val="false"/>
                <w:color w:val="000000"/>
                <w:sz w:val="19"/>
                <w:szCs w:val="19"/>
              </w:rPr>
              <w:t xml:space="preserve">31</w:t>
            </w:r>
          </w:p>
        </w:tc>
        <w:tc>
          <w:tcPr>
            <w:tcW w:type="dxa" w:w="1560"/>
            <w:tcBorders>
              <w:top w:val="single" w:color="CCCCCC" w:sz="4"/>
              <w:left w:val="single" w:color="CCCCCC" w:sz="4"/>
              <w:bottom w:val="single" w:color="CCCCCC" w:sz="4"/>
              <w:right w:val="single" w:color="CCCCCC" w:sz="4"/>
            </w:tcBorders>
            <w:tcMar>
              <w:top w:type="dxa" w:w="80"/>
              <w:left w:type="dxa" w:w="120"/>
              <w:bottom w:type="dxa" w:w="80"/>
              <w:right w:type="dxa" w:w="120"/>
            </w:tcMar>
          </w:tcPr>
          <w:p>
            <w:pPr>
              <w:jc w:val="left"/>
            </w:pPr>
            <w:r>
              <w:rPr>
                <w:rFonts w:ascii="Arial" w:cs="Arial" w:eastAsia="Arial" w:hAnsi="Arial"/>
                <w:b w:val="false"/>
                <w:bCs w:val="false"/>
                <w:color w:val="000000"/>
                <w:sz w:val="19"/>
                <w:szCs w:val="19"/>
              </w:rPr>
              <w:t xml:space="preserve">30</w:t>
            </w:r>
          </w:p>
        </w:tc>
        <w:tc>
          <w:tcPr>
            <w:tcW w:type="dxa" w:w="1560"/>
            <w:tcBorders>
              <w:top w:val="single" w:color="CCCCCC" w:sz="4"/>
              <w:left w:val="single" w:color="CCCCCC" w:sz="4"/>
              <w:bottom w:val="single" w:color="CCCCCC" w:sz="4"/>
              <w:right w:val="single" w:color="CCCCCC" w:sz="4"/>
            </w:tcBorders>
            <w:tcMar>
              <w:top w:type="dxa" w:w="80"/>
              <w:left w:type="dxa" w:w="120"/>
              <w:bottom w:type="dxa" w:w="80"/>
              <w:right w:type="dxa" w:w="120"/>
            </w:tcMar>
          </w:tcPr>
          <w:p>
            <w:pPr>
              <w:jc w:val="left"/>
            </w:pPr>
            <w:r>
              <w:rPr>
                <w:rFonts w:ascii="Arial" w:cs="Arial" w:eastAsia="Arial" w:hAnsi="Arial"/>
                <w:b w:val="false"/>
                <w:bCs w:val="false"/>
                <w:color w:val="000000"/>
                <w:sz w:val="19"/>
                <w:szCs w:val="19"/>
              </w:rPr>
              <w:t xml:space="preserve">30</w:t>
            </w:r>
          </w:p>
        </w:tc>
        <w:tc>
          <w:tcPr>
            <w:tcW w:type="dxa" w:w="1560"/>
            <w:tcBorders>
              <w:top w:val="single" w:color="CCCCCC" w:sz="4"/>
              <w:left w:val="single" w:color="CCCCCC" w:sz="4"/>
              <w:bottom w:val="single" w:color="CCCCCC" w:sz="4"/>
              <w:right w:val="single" w:color="CCCCCC" w:sz="4"/>
            </w:tcBorders>
            <w:tcMar>
              <w:top w:type="dxa" w:w="80"/>
              <w:left w:type="dxa" w:w="120"/>
              <w:bottom w:type="dxa" w:w="80"/>
              <w:right w:type="dxa" w:w="120"/>
            </w:tcMar>
          </w:tcPr>
          <w:p>
            <w:pPr>
              <w:jc w:val="left"/>
            </w:pPr>
            <w:r>
              <w:rPr>
                <w:rFonts w:ascii="Arial" w:cs="Arial" w:eastAsia="Arial" w:hAnsi="Arial"/>
                <w:b w:val="false"/>
                <w:bCs w:val="false"/>
                <w:color w:val="000000"/>
                <w:sz w:val="19"/>
                <w:szCs w:val="19"/>
              </w:rPr>
              <w:t xml:space="preserve">30</w:t>
            </w:r>
          </w:p>
        </w:tc>
        <w:tc>
          <w:tcPr>
            <w:tcW w:type="dxa" w:w="2280"/>
            <w:tcBorders>
              <w:top w:val="single" w:color="CCCCCC" w:sz="4"/>
              <w:left w:val="single" w:color="CCCCCC" w:sz="4"/>
              <w:bottom w:val="single" w:color="CCCCCC" w:sz="4"/>
              <w:right w:val="single" w:color="CCCCCC" w:sz="4"/>
            </w:tcBorders>
            <w:tcMar>
              <w:top w:type="dxa" w:w="80"/>
              <w:left w:type="dxa" w:w="120"/>
              <w:bottom w:type="dxa" w:w="80"/>
              <w:right w:type="dxa" w:w="120"/>
            </w:tcMar>
          </w:tcPr>
          <w:p>
            <w:pPr>
              <w:jc w:val="left"/>
            </w:pPr>
            <w:r>
              <w:rPr>
                <w:rFonts w:ascii="Arial" w:cs="Arial" w:eastAsia="Arial" w:hAnsi="Arial"/>
                <w:b w:val="false"/>
                <w:bCs w:val="false"/>
                <w:color w:val="000000"/>
                <w:sz w:val="19"/>
                <w:szCs w:val="19"/>
              </w:rPr>
              <w:t xml:space="preserve">No  (30 ∤ 2)</w:t>
            </w:r>
          </w:p>
        </w:tc>
      </w:tr>
    </w:tbl>
    <w:p>
      <w:pPr>
        <w:spacing w:before="80" w:after="240"/>
        <w:jc w:val="center"/>
      </w:pPr>
      <w:r>
        <w:rPr>
          <w:rFonts w:ascii="Arial" w:cs="Arial" w:eastAsia="Arial" w:hAnsi="Arial"/>
          <w:color w:val="595959"/>
          <w:sz w:val="18"/>
          <w:szCs w:val="18"/>
        </w:rPr>
        <w:t xml:space="preserve">Table 1. Verification of the necessary pseudoprime condition for representative prime pairs.</w:t>
      </w:r>
    </w:p>
    <w:p>
      <w:pPr>
        <w:spacing w:before="120" w:after="120"/>
        <w:jc w:val="both"/>
      </w:pPr>
      <w:r>
        <w:rPr>
          <w:rFonts w:ascii="Arial" w:cs="Arial" w:eastAsia="Arial" w:hAnsi="Arial"/>
          <w:b w:val="false"/>
          <w:bCs w:val="false"/>
          <w:color w:val="000000"/>
          <w:sz w:val="20"/>
          <w:szCs w:val="20"/>
        </w:rPr>
        <w:t xml:space="preserve">For near-twin primes (p ≈ q), gcd(p+1, q−1) is large relative to p−q, and the condition fails systematically. The only cases where gcd = 2 (the trivial case) arise for pairs where p and q are separated by a multiple of 4, and these are addressed by the involution argument below.</w:t>
      </w:r>
    </w:p>
    <w:p>
      <w:pPr>
        <w:pStyle w:val="Heading2"/>
        <w:spacing w:before="280" w:after="120"/>
      </w:pPr>
      <w:r>
        <w:rPr>
          <w:rFonts w:ascii="Arial" w:cs="Arial" w:eastAsia="Arial" w:hAnsi="Arial"/>
          <w:b/>
          <w:bCs/>
          <w:color w:val="2E5FA3"/>
          <w:sz w:val="24"/>
          <w:szCs w:val="24"/>
        </w:rPr>
        <w:t xml:space="preserve">3.4 The Involution Barrier</w:t>
      </w:r>
    </w:p>
    <w:p>
      <w:pPr>
        <w:spacing w:before="120" w:after="120"/>
        <w:jc w:val="both"/>
      </w:pPr>
      <w:r>
        <w:rPr>
          <w:rFonts w:ascii="Arial" w:cs="Arial" w:eastAsia="Arial" w:hAnsi="Arial"/>
          <w:b w:val="false"/>
          <w:bCs w:val="false"/>
          <w:color w:val="000000"/>
          <w:sz w:val="20"/>
          <w:szCs w:val="20"/>
        </w:rPr>
        <w:t xml:space="preserve">Define the involution φ : C(ℤₙ) → C(ℤₙ) by φ(x, y) = (x, −y). This is a group automorphism of order 2, satisfying:</w:t>
      </w:r>
    </w:p>
    <w:p>
      <w:pPr>
        <w:spacing w:before="0" w:after="0"/>
      </w:pPr>
      <w:r>
        <w:rPr>
          <w:rFonts w:ascii="Arial" w:cs="Arial" w:eastAsia="Arial" w:hAnsi="Arial"/>
          <w:sz w:val="20"/>
          <w:szCs w:val="20"/>
        </w:rPr>
        <w:t xml:space="preserve"/>
      </w:r>
    </w:p>
    <w:p>
      <w:pPr>
        <w:spacing w:before="60" w:after="60"/>
        <w:jc w:val="center"/>
      </w:pPr>
      <w:r>
        <w:rPr>
          <w:rFonts w:ascii="Arial" w:cs="Arial" w:eastAsia="Arial" w:hAnsi="Arial"/>
          <w:b w:val="false"/>
          <w:bCs w:val="false"/>
          <w:color w:val="000000"/>
          <w:sz w:val="20"/>
          <w:szCs w:val="20"/>
        </w:rPr>
        <w:t xml:space="preserve">(x, y) ⊗ φ(x, y) = (x² − Dy², 0) = (1, 0)</w:t>
      </w:r>
    </w:p>
    <w:p>
      <w:pPr>
        <w:spacing w:before="0" w:after="0"/>
      </w:pPr>
      <w:r>
        <w:rPr>
          <w:rFonts w:ascii="Arial" w:cs="Arial" w:eastAsia="Arial" w:hAnsi="Arial"/>
          <w:sz w:val="20"/>
          <w:szCs w:val="20"/>
        </w:rPr>
        <w:t xml:space="preserve"/>
      </w:r>
    </w:p>
    <w:p>
      <w:pPr>
        <w:spacing w:before="120" w:after="120"/>
        <w:jc w:val="both"/>
      </w:pPr>
      <w:r>
        <w:rPr>
          <w:rFonts w:ascii="Arial" w:cs="Arial" w:eastAsia="Arial" w:hAnsi="Arial"/>
          <w:b w:val="false"/>
          <w:bCs w:val="false"/>
          <w:color w:val="000000"/>
          <w:sz w:val="20"/>
          <w:szCs w:val="20"/>
        </w:rPr>
        <w:t xml:space="preserve">When gcd(p+1, q−1) = 2 (the borderline case), a pseudoprime candidate must satisfy ωₚ | 2 and ωⁱ | 2, forcing B² ≡ (1,0) in both C(ℤₚ) and C(ℤⁱ). This means B is an involution point of the form (x, 0) satisfying x² ≡ 1 (mod n). The non-trivial solutions to x² ≡ 1 (mod n) reveal a non-trivial factorization of n, contradicting the assumption that n is a hard composite. Therefore, no genuine pseudoprime arises in the borderline case.</w:t>
      </w:r>
    </w:p>
    <w:p>
      <w:pPr>
        <w:pStyle w:val="Heading1"/>
        <w:spacing w:before="360" w:after="160"/>
      </w:pPr>
      <w:r>
        <w:rPr>
          <w:rFonts w:ascii="Arial" w:cs="Arial" w:eastAsia="Arial" w:hAnsi="Arial"/>
          <w:b/>
          <w:bCs/>
          <w:color w:val="1F3864"/>
          <w:sz w:val="28"/>
          <w:szCs w:val="28"/>
        </w:rPr>
        <w:t xml:space="preserve">4. Murru’s Implementation</w:t>
      </w:r>
    </w:p>
    <w:p>
      <w:pPr>
        <w:spacing w:before="120" w:after="120"/>
        <w:jc w:val="both"/>
      </w:pPr>
      <w:r>
        <w:rPr>
          <w:rFonts w:ascii="Arial" w:cs="Arial" w:eastAsia="Arial" w:hAnsi="Arial"/>
          <w:b w:val="false"/>
          <w:bCs w:val="false"/>
          <w:color w:val="000000"/>
          <w:sz w:val="20"/>
          <w:szCs w:val="20"/>
        </w:rPr>
        <w:t xml:space="preserve">Murru et al. (2022) did not publish the source code for their verification to 2</w:t>
      </w:r>
      <w:r>
        <w:rPr>
          <w:rFonts w:ascii="Arial" w:cs="Arial" w:eastAsia="Arial" w:hAnsi="Arial"/>
          <w:b w:val="false"/>
          <w:bCs w:val="false"/>
          <w:color w:val="000000"/>
          <w:sz w:val="20"/>
          <w:szCs w:val="20"/>
          <w:vertAlign w:val="superscript"/>
        </w:rPr>
        <w:t xml:space="preserve">64</w:t>
      </w:r>
      <w:r>
        <w:rPr>
          <w:rFonts w:ascii="Arial" w:cs="Arial" w:eastAsia="Arial" w:hAnsi="Arial"/>
          <w:b w:val="false"/>
          <w:bCs w:val="false"/>
          <w:color w:val="000000"/>
          <w:sz w:val="20"/>
          <w:szCs w:val="20"/>
        </w:rPr>
        <w:t>. Based on the standard approach for Lucas sequence primality tests, the expected implementation uses the binary Lucas fast-doubling algorithm, which computes (Uₙ, Vₙ, Qⁿ) from the binary representation of the exponent n. The algorithm is as follows.</w:t>
      </w:r>
    </w:p>
    <w:p>
      <w:pPr>
        <w:spacing w:before="120" w:after="120"/>
        <w:jc w:val="both"/>
      </w:pPr>
      <w:r>
        <w:rPr>
          <w:rFonts w:ascii="Arial" w:cs="Arial" w:eastAsia="Arial" w:hAnsi="Arial"/>
          <w:b w:val="false"/>
          <w:bCs w:val="false"/>
          <w:color w:val="000000"/>
          <w:sz w:val="20"/>
          <w:szCs w:val="20"/>
        </w:rPr>
        <w:t>Starting from the most significant bit of k = n+1, initialize (U, V, Qₖ) = (1, P, Q). For each subsequent bit, perform a doubling step:</w:t>
      </w:r>
    </w:p>
    <w:p>
      <w:pPr>
        <w:spacing w:before="0" w:after="0"/>
      </w:pPr>
      <w:r>
        <w:rPr>
          <w:rFonts w:ascii="Arial" w:cs="Arial" w:eastAsia="Arial" w:hAnsi="Arial"/>
          <w:sz w:val="20"/>
          <w:szCs w:val="20"/>
        </w:rPr>
        <w:t xml:space="preserve"/>
      </w:r>
    </w:p>
    <w:p>
      <w:pPr>
        <w:spacing w:before="80" w:after="80"/>
        <w:ind w:left="720"/>
        <w:jc w:val="left"/>
      </w:pPr>
      <w:r>
        <w:rPr>
          <w:rFonts w:ascii="Courier New" w:cs="Courier New" w:eastAsia="Courier New" w:hAnsi="Courier New"/>
          <w:color w:val="1F3864"/>
          <w:sz w:val="18"/>
          <w:szCs w:val="18"/>
        </w:rPr>
        <w:t xml:space="preserve">U_{2m}  = U_m * V_m  (mod n)</w:t>
      </w:r>
    </w:p>
    <w:p>
      <w:pPr>
        <w:spacing w:before="80" w:after="80"/>
        <w:ind w:left="720"/>
        <w:jc w:val="left"/>
      </w:pPr>
      <w:r>
        <w:rPr>
          <w:rFonts w:ascii="Courier New" w:cs="Courier New" w:eastAsia="Courier New" w:hAnsi="Courier New"/>
          <w:color w:val="1F3864"/>
          <w:sz w:val="18"/>
          <w:szCs w:val="18"/>
        </w:rPr>
        <w:t xml:space="preserve">V_{2m}  = V_m^2 - 2*Q^m  (mod n)</w:t>
      </w:r>
    </w:p>
    <w:p>
      <w:pPr>
        <w:spacing w:before="80" w:after="80"/>
        <w:ind w:left="720"/>
        <w:jc w:val="left"/>
      </w:pPr>
      <w:r>
        <w:rPr>
          <w:rFonts w:ascii="Courier New" w:cs="Courier New" w:eastAsia="Courier New" w:hAnsi="Courier New"/>
          <w:color w:val="1F3864"/>
          <w:sz w:val="18"/>
          <w:szCs w:val="18"/>
        </w:rPr>
        <w:t xml:space="preserve">Q^{2m}  = (Q^m)^2  (mod n)</w:t>
      </w:r>
    </w:p>
    <w:p>
      <w:pPr>
        <w:spacing w:before="0" w:after="0"/>
      </w:pPr>
      <w:r>
        <w:rPr>
          <w:rFonts w:ascii="Arial" w:cs="Arial" w:eastAsia="Arial" w:hAnsi="Arial"/>
          <w:sz w:val="20"/>
          <w:szCs w:val="20"/>
        </w:rPr>
        <w:t xml:space="preserve"/>
      </w:r>
    </w:p>
    <w:p>
      <w:pPr>
        <w:spacing w:before="120" w:after="120"/>
        <w:jc w:val="both"/>
      </w:pPr>
      <w:r>
        <w:rPr>
          <w:rFonts w:ascii="Arial" w:cs="Arial" w:eastAsia="Arial" w:hAnsi="Arial"/>
          <w:color w:val="000000"/>
          <w:sz w:val="20"/>
          <w:szCs w:val="20"/>
        </w:rPr>
        <w:t xml:space="preserve">If the current bit is 1, additionally perform a step-up:</w:t>
      </w:r>
    </w:p>
    <w:p>
      <w:pPr>
        <w:spacing w:before="0" w:after="0"/>
      </w:pPr>
      <w:r>
        <w:rPr>
          <w:rFonts w:ascii="Arial" w:cs="Arial" w:eastAsia="Arial" w:hAnsi="Arial"/>
          <w:sz w:val="20"/>
          <w:szCs w:val="20"/>
        </w:rPr>
        <w:t xml:space="preserve"/>
      </w:r>
    </w:p>
    <w:p>
      <w:pPr>
        <w:spacing w:before="80" w:after="80"/>
        <w:ind w:left="720"/>
        <w:jc w:val="left"/>
      </w:pPr>
      <w:r>
        <w:rPr>
          <w:rFonts w:ascii="Courier New" w:cs="Courier New" w:eastAsia="Courier New" w:hAnsi="Courier New"/>
          <w:color w:val="1F3864"/>
          <w:sz w:val="18"/>
          <w:szCs w:val="18"/>
        </w:rPr>
        <w:t xml:space="preserve">U_{2m+1} = (P * U_{2m} + V_{2m}) / 2  (mod n)</w:t>
      </w:r>
    </w:p>
    <w:p>
      <w:pPr>
        <w:spacing w:before="80" w:after="80"/>
        <w:ind w:left="720"/>
        <w:jc w:val="left"/>
      </w:pPr>
      <w:r>
        <w:rPr>
          <w:rFonts w:ascii="Courier New" w:cs="Courier New" w:eastAsia="Courier New" w:hAnsi="Courier New"/>
          <w:color w:val="1F3864"/>
          <w:sz w:val="18"/>
          <w:szCs w:val="18"/>
        </w:rPr>
        <w:t xml:space="preserve">V_{2m+1} = (D * U_{2m} + P * V_{2m}) / 2  (mod n)</w:t>
      </w:r>
    </w:p>
    <w:p>
      <w:pPr>
        <w:spacing w:before="80" w:after="80"/>
        <w:ind w:left="720"/>
        <w:jc w:val="left"/>
      </w:pPr>
      <w:r>
        <w:rPr>
          <w:rFonts w:ascii="Courier New" w:cs="Courier New" w:eastAsia="Courier New" w:hAnsi="Courier New"/>
          <w:color w:val="1F3864"/>
          <w:sz w:val="18"/>
          <w:szCs w:val="18"/>
        </w:rPr>
        <w:t xml:space="preserve">Q^{2m+1} = Q^{2m} * Q  (mod n)</w:t>
      </w:r>
    </w:p>
    <w:p>
      <w:pPr>
        <w:spacing w:before="0" w:after="0"/>
      </w:pPr>
      <w:r>
        <w:rPr>
          <w:rFonts w:ascii="Arial" w:cs="Arial" w:eastAsia="Arial" w:hAnsi="Arial"/>
          <w:sz w:val="20"/>
          <w:szCs w:val="20"/>
        </w:rPr>
        <w:t xml:space="preserve"/>
      </w:r>
    </w:p>
    <w:p>
      <w:pPr>
        <w:spacing w:before="120" w:after="120"/>
        <w:jc w:val="both"/>
      </w:pPr>
      <w:r>
        <w:rPr>
          <w:rFonts w:ascii="Arial" w:cs="Arial" w:eastAsia="Arial" w:hAnsi="Arial"/>
          <w:b w:val="false"/>
          <w:bCs w:val="false"/>
          <w:color w:val="000000"/>
          <w:sz w:val="20"/>
          <w:szCs w:val="20"/>
        </w:rPr>
        <w:t xml:space="preserve">The doubling step requires 3 modular multiplications (U·V, V·V, Q·Q). The step-up requires an additional 4 multiplications (P·U, D·U, P·V, Q·Q·Q). For an exponent k with L bits and w ones, the total multiplication count is:</w:t>
      </w:r>
    </w:p>
    <w:p>
      <w:pPr>
        <w:spacing w:before="0" w:after="0"/>
      </w:pPr>
      <w:r>
        <w:rPr>
          <w:rFonts w:ascii="Arial" w:cs="Arial" w:eastAsia="Arial" w:hAnsi="Arial"/>
          <w:sz w:val="20"/>
          <w:szCs w:val="20"/>
        </w:rPr>
        <w:t xml:space="preserve"/>
      </w:r>
    </w:p>
    <w:p>
      <w:pPr>
        <w:spacing w:before="60" w:after="60"/>
        <w:jc w:val="center"/>
      </w:pPr>
      <w:r>
        <w:rPr>
          <w:rFonts w:ascii="Arial" w:cs="Arial" w:eastAsia="Arial" w:hAnsi="Arial"/>
          <w:b/>
          <w:bCs/>
          <w:color w:val="000000"/>
          <w:sz w:val="20"/>
          <w:szCs w:val="20"/>
        </w:rPr>
        <w:t xml:space="preserve">Mₒᵣᵏ = 3(L−1) + 4w</w:t>
      </w:r>
    </w:p>
    <w:p>
      <w:pPr>
        <w:spacing w:before="0" w:after="0"/>
      </w:pPr>
      <w:r>
        <w:rPr>
          <w:rFonts w:ascii="Arial" w:cs="Arial" w:eastAsia="Arial" w:hAnsi="Arial"/>
          <w:sz w:val="20"/>
          <w:szCs w:val="20"/>
        </w:rPr>
        <w:t xml:space="preserve"/>
      </w:r>
    </w:p>
    <w:p>
      <w:pPr>
        <w:spacing w:before="120" w:after="120"/>
        <w:jc w:val="both"/>
      </w:pPr>
      <w:r>
        <w:rPr>
          <w:rFonts w:ascii="Arial" w:cs="Arial" w:eastAsia="Arial" w:hAnsi="Arial"/>
          <w:b w:val="false"/>
          <w:bCs w:val="false"/>
          <w:color w:val="000000"/>
          <w:sz w:val="20"/>
          <w:szCs w:val="20"/>
        </w:rPr>
        <w:t xml:space="preserve">For k ≈ n of size λ bits with average density 1/2, this gives approximately Mₒᵣᵏ ≈ 3λ + 2λ = 5λ multiplications. The Fermat check pow(2, n−1, n) is computed separately using Python’s native modular exponentiation.</w:t>
      </w:r>
    </w:p>
    <w:p>
      <w:pPr>
        <w:pStyle w:val="Heading1"/>
        <w:spacing w:before="360" w:after="160"/>
      </w:pPr>
      <w:r>
        <w:rPr>
          <w:rFonts w:ascii="Arial" w:cs="Arial" w:eastAsia="Arial" w:hAnsi="Arial"/>
          <w:b/>
          <w:bCs/>
          <w:color w:val="1F3864"/>
          <w:sz w:val="28"/>
          <w:szCs w:val="28"/>
        </w:rPr>
        <w:t xml:space="preserve">5. The Optimized Implementation</w:t>
      </w:r>
    </w:p>
    <w:p>
      <w:pPr>
        <w:pStyle w:val="Heading2"/>
        <w:spacing w:before="280" w:after="120"/>
      </w:pPr>
      <w:r>
        <w:rPr>
          <w:rFonts w:ascii="Arial" w:cs="Arial" w:eastAsia="Arial" w:hAnsi="Arial"/>
          <w:b/>
          <w:bCs/>
          <w:color w:val="2E5FA3"/>
          <w:sz w:val="24"/>
          <w:szCs w:val="24"/>
        </w:rPr>
        <w:t xml:space="preserve">5.1 Non-Adjacent Form (NAF) Representation</w:t>
      </w:r>
    </w:p>
    <w:p>
      <w:pPr>
        <w:spacing w:before="120" w:after="120"/>
        <w:jc w:val="both"/>
      </w:pPr>
      <w:r>
        <w:rPr>
          <w:rFonts w:ascii="Arial" w:cs="Arial" w:eastAsia="Arial" w:hAnsi="Arial"/>
          <w:b w:val="false"/>
          <w:bCs w:val="false"/>
          <w:color w:val="000000"/>
          <w:sz w:val="20"/>
          <w:szCs w:val="20"/>
        </w:rPr>
        <w:t xml:space="preserve">The Non-Adjacent Form of an integer k is the unique signed binary representation using digits in {−1, 0, +1} with no two consecutive non-zero digits. The NAF of k has the property that its Hamming weight (number of non-zero digits) is at most ⌈L/3⌉, compared to approximately L/2 for the standard binary representation. The NAF of k is computed by the recurrence:</w:t>
      </w:r>
    </w:p>
    <w:p>
      <w:pPr>
        <w:spacing w:before="0" w:after="0"/>
      </w:pPr>
      <w:r>
        <w:rPr>
          <w:rFonts w:ascii="Arial" w:cs="Arial" w:eastAsia="Arial" w:hAnsi="Arial"/>
          <w:sz w:val="20"/>
          <w:szCs w:val="20"/>
        </w:rPr>
        <w:t xml:space="preserve"/>
      </w:r>
    </w:p>
    <w:p>
      <w:pPr>
        <w:spacing w:before="80" w:after="80"/>
        <w:ind w:left="720"/>
        <w:jc w:val="left"/>
      </w:pPr>
      <w:r>
        <w:rPr>
          <w:rFonts w:ascii="Courier New" w:cs="Courier New" w:eastAsia="Courier New" w:hAnsi="Courier New"/>
          <w:color w:val="1F3864"/>
          <w:sz w:val="18"/>
          <w:szCs w:val="18"/>
        </w:rPr>
        <w:t xml:space="preserve">while k &gt; 0:</w:t>
      </w:r>
    </w:p>
    <w:p>
      <w:pPr>
        <w:spacing w:before="80" w:after="80"/>
        <w:ind w:left="720"/>
        <w:jc w:val="left"/>
      </w:pPr>
      <w:r>
        <w:rPr>
          <w:rFonts w:ascii="Courier New" w:cs="Courier New" w:eastAsia="Courier New" w:hAnsi="Courier New"/>
          <w:color w:val="1F3864"/>
          <w:sz w:val="18"/>
          <w:szCs w:val="18"/>
        </w:rPr>
        <w:t xml:space="preserve">    if k is odd:  d = 2 - (k mod 4)  # d in {-1, +1}</w:t>
      </w:r>
    </w:p>
    <w:p>
      <w:pPr>
        <w:spacing w:before="80" w:after="80"/>
        <w:ind w:left="720"/>
        <w:jc w:val="left"/>
      </w:pPr>
      <w:r>
        <w:rPr>
          <w:rFonts w:ascii="Courier New" w:cs="Courier New" w:eastAsia="Courier New" w:hAnsi="Courier New"/>
          <w:color w:val="1F3864"/>
          <w:sz w:val="18"/>
          <w:szCs w:val="18"/>
        </w:rPr>
        <w:t xml:space="preserve">                  k = k - d</w:t>
      </w:r>
    </w:p>
    <w:p>
      <w:pPr>
        <w:spacing w:before="80" w:after="80"/>
        <w:ind w:left="720"/>
        <w:jc w:val="left"/>
      </w:pPr>
      <w:r>
        <w:rPr>
          <w:rFonts w:ascii="Courier New" w:cs="Courier New" w:eastAsia="Courier New" w:hAnsi="Courier New"/>
          <w:color w:val="1F3864"/>
          <w:sz w:val="18"/>
          <w:szCs w:val="18"/>
        </w:rPr>
        <w:t xml:space="preserve">    else:         d = 0</w:t>
      </w:r>
    </w:p>
    <w:p>
      <w:pPr>
        <w:spacing w:before="80" w:after="80"/>
        <w:ind w:left="720"/>
        <w:jc w:val="left"/>
      </w:pPr>
      <w:r>
        <w:rPr>
          <w:rFonts w:ascii="Courier New" w:cs="Courier New" w:eastAsia="Courier New" w:hAnsi="Courier New"/>
          <w:color w:val="1F3864"/>
          <w:sz w:val="18"/>
          <w:szCs w:val="18"/>
        </w:rPr>
        <w:t xml:space="preserve">    NAF.append(d);  k = k &gt;&gt; 1</w:t>
      </w:r>
    </w:p>
    <w:p>
      <w:pPr>
        <w:spacing w:before="0" w:after="0"/>
      </w:pPr>
      <w:r>
        <w:rPr>
          <w:rFonts w:ascii="Arial" w:cs="Arial" w:eastAsia="Arial" w:hAnsi="Arial"/>
          <w:sz w:val="20"/>
          <w:szCs w:val="20"/>
        </w:rPr>
        <w:t xml:space="preserve"/>
      </w:r>
    </w:p>
    <w:p>
      <w:pPr>
        <w:spacing w:before="120" w:after="120"/>
        <w:jc w:val="both"/>
      </w:pPr>
      <w:r>
        <w:rPr>
          <w:rFonts w:ascii="Arial" w:cs="Arial" w:eastAsia="Arial" w:hAnsi="Arial"/>
          <w:b w:val="false"/>
          <w:bCs w:val="false"/>
          <w:color w:val="000000"/>
          <w:sz w:val="20"/>
          <w:szCs w:val="20"/>
        </w:rPr>
        <w:t xml:space="preserve">The reduction in non-zero digits from ≈1/2 to ≈1/3 is the key advantage. In binary square-and-multiply, every non-zero bit incurs a step-up (4 additional multiplications). In NAF, each non-zero digit incurs either a step-up (+1) or a step-back (−1), both costing 4 multiplications — but there are ≈33% fewer of them.</w:t>
      </w:r>
    </w:p>
    <w:p>
      <w:pPr>
        <w:pStyle w:val="Heading2"/>
        <w:spacing w:before="280" w:after="120"/>
      </w:pPr>
      <w:r>
        <w:rPr>
          <w:rFonts w:ascii="Arial" w:cs="Arial" w:eastAsia="Arial" w:hAnsi="Arial"/>
          <w:b/>
          <w:bCs/>
          <w:color w:val="2E5FA3"/>
          <w:sz w:val="24"/>
          <w:szCs w:val="24"/>
        </w:rPr>
        <w:t xml:space="preserve">5.2 The Step-Back Formula</w:t>
      </w:r>
    </w:p>
    <w:p>
      <w:pPr>
        <w:spacing w:before="120" w:after="120"/>
        <w:jc w:val="both"/>
      </w:pPr>
      <w:r>
        <w:rPr>
          <w:rFonts w:ascii="Arial" w:cs="Arial" w:eastAsia="Arial" w:hAnsi="Arial"/>
          <w:b w:val="false"/>
          <w:bCs w:val="false"/>
          <w:color w:val="000000"/>
          <w:sz w:val="20"/>
          <w:szCs w:val="20"/>
        </w:rPr>
        <w:t>The classical binary algorithm only ever steps forward (2m → 2m+1). To exploit NAF digits of −1, we require formulas for stepping backward (2m → 2m−1). These are derived directly from the Lucas recurrence relations:</w:t>
      </w:r>
    </w:p>
    <w:p>
      <w:pPr>
        <w:spacing w:before="0" w:after="0"/>
      </w:pPr>
      <w:r>
        <w:rPr>
          <w:rFonts w:ascii="Arial" w:cs="Arial" w:eastAsia="Arial" w:hAnsi="Arial"/>
          <w:sz w:val="20"/>
          <w:szCs w:val="20"/>
        </w:rPr>
        <w:t xml:space="preserve"/>
      </w:r>
    </w:p>
    <w:p>
      <w:pPr>
        <w:spacing w:before="60" w:after="40"/>
        <w:jc w:val="center"/>
      </w:pPr>
      <w:r>
        <w:rPr>
          <w:rFonts w:ascii="Arial" w:cs="Arial" w:eastAsia="Arial" w:hAnsi="Arial"/>
          <w:b/>
          <w:bCs/>
          <w:color w:val="000000"/>
          <w:sz w:val="20"/>
          <w:szCs w:val="20"/>
        </w:rPr>
        <w:t xml:space="preserve">U_{2m−1} = (P·U_{2m} − V_{2m}) / (2Q)</w:t>
      </w:r>
    </w:p>
    <w:p>
      <w:pPr>
        <w:spacing w:before="40" w:after="60"/>
        <w:jc w:val="center"/>
      </w:pPr>
      <w:r>
        <w:rPr>
          <w:rFonts w:ascii="Arial" w:cs="Arial" w:eastAsia="Arial" w:hAnsi="Arial"/>
          <w:b/>
          <w:bCs/>
          <w:color w:val="000000"/>
          <w:sz w:val="20"/>
          <w:szCs w:val="20"/>
        </w:rPr>
        <w:t xml:space="preserve">V_{2m−1} = (P·V_{2m} − D·U_{2m}) / (2Q)</w:t>
      </w:r>
    </w:p>
    <w:p>
      <w:pPr>
        <w:spacing w:before="0" w:after="0"/>
      </w:pPr>
      <w:r>
        <w:rPr>
          <w:rFonts w:ascii="Arial" w:cs="Arial" w:eastAsia="Arial" w:hAnsi="Arial"/>
          <w:sz w:val="20"/>
          <w:szCs w:val="20"/>
        </w:rPr>
        <w:t xml:space="preserve"/>
      </w:r>
    </w:p>
    <w:p>
      <w:pPr>
        <w:spacing w:before="120" w:after="120"/>
        <w:jc w:val="both"/>
      </w:pPr>
      <w:r>
        <w:rPr>
          <w:rFonts w:ascii="Arial" w:cs="Arial" w:eastAsia="Arial" w:hAnsi="Arial"/>
          <w:b w:val="false"/>
          <w:bCs w:val="false"/>
          <w:color w:val="000000"/>
          <w:sz w:val="20"/>
          <w:szCs w:val="20"/>
        </w:rPr>
        <w:t xml:space="preserve">These formulas are valid whenever Q is coprime to n. If Q ≡ 0 (mod n), then gcd(Q, n) &gt; 1, which immediately certifies n as composite. The division by 2Q is computed as multiplication by (2Q)</w:t>
      </w:r>
      <w:r>
        <w:rPr>
          <w:rFonts w:ascii="Arial" w:cs="Arial" w:eastAsia="Arial" w:hAnsi="Arial"/>
          <w:b w:val="false"/>
          <w:bCs w:val="false"/>
          <w:color w:val="000000"/>
          <w:sz w:val="20"/>
          <w:szCs w:val="20"/>
          <w:vertAlign w:val="superscript"/>
        </w:rPr>
        <w:t xml:space="preserve">−1</w:t>
      </w:r>
      <w:r>
        <w:rPr>
          <w:rFonts w:ascii="Arial" w:cs="Arial" w:eastAsia="Arial" w:hAnsi="Arial"/>
          <w:b w:val="false"/>
          <w:bCs w:val="false"/>
          <w:color w:val="000000"/>
          <w:sz w:val="20"/>
          <w:szCs w:val="20"/>
        </w:rPr>
        <w:t xml:space="preserve"> (mod n), precomputed once. The step-back requires the same 4 multiplications as the step-up.</w:t>
      </w:r>
    </w:p>
    <w:p>
      <w:pPr>
        <w:pStyle w:val="Heading2"/>
        <w:spacing w:before="280" w:after="120"/>
      </w:pPr>
      <w:r>
        <w:rPr>
          <w:rFonts w:ascii="Arial" w:cs="Arial" w:eastAsia="Arial" w:hAnsi="Arial"/>
          <w:b/>
          <w:bCs/>
          <w:color w:val="2E5FA3"/>
          <w:sz w:val="24"/>
          <w:szCs w:val="24"/>
        </w:rPr>
        <w:t xml:space="preserve">5.3 Multiplication Count Comparison</w:t>
      </w:r>
    </w:p>
    <w:p>
      <w:pPr>
        <w:spacing w:before="120" w:after="120"/>
        <w:jc w:val="both"/>
      </w:pPr>
      <w:r>
        <w:rPr>
          <w:rFonts w:ascii="Arial" w:cs="Arial" w:eastAsia="Arial" w:hAnsi="Arial"/>
          <w:b w:val="false"/>
          <w:bCs w:val="false"/>
          <w:color w:val="000000"/>
          <w:sz w:val="20"/>
          <w:szCs w:val="20"/>
        </w:rPr>
        <w:t xml:space="preserve">Let k have L digits in NAF with w non-zero digits. The total multiplication count is:</w:t>
      </w:r>
    </w:p>
    <w:p>
      <w:pPr>
        <w:spacing w:before="0" w:after="0"/>
      </w:pPr>
      <w:r>
        <w:rPr>
          <w:rFonts w:ascii="Arial" w:cs="Arial" w:eastAsia="Arial" w:hAnsi="Arial"/>
          <w:sz w:val="20"/>
          <w:szCs w:val="20"/>
        </w:rPr>
        <w:t xml:space="preserve"/>
      </w:r>
    </w:p>
    <w:p>
      <w:pPr>
        <w:spacing w:before="60" w:after="60"/>
        <w:jc w:val="center"/>
      </w:pPr>
      <w:r>
        <w:rPr>
          <w:rFonts w:ascii="Arial" w:cs="Arial" w:eastAsia="Arial" w:hAnsi="Arial"/>
          <w:b/>
          <w:bCs/>
          <w:color w:val="000000"/>
          <w:sz w:val="20"/>
          <w:szCs w:val="20"/>
        </w:rPr>
        <w:t xml:space="preserve">Mₙₐḟ = 3(L−1) + 4wₙₐḟ,  where wₙₐḟ ≈ L/3  vs. wₒᵣᵏ ≈ L/2</w:t>
      </w:r>
    </w:p>
    <w:p>
      <w:pPr>
        <w:spacing w:before="0" w:after="0"/>
      </w:pPr>
      <w:r>
        <w:rPr>
          <w:rFonts w:ascii="Arial" w:cs="Arial" w:eastAsia="Arial" w:hAnsi="Arial"/>
          <w:sz w:val="20"/>
          <w:szCs w:val="20"/>
        </w:rPr>
        <w:t xml:space="preserve"/>
      </w:r>
    </w:p>
    <w:p>
      <w:pPr>
        <w:spacing w:before="120" w:after="120"/>
        <w:jc w:val="both"/>
      </w:pPr>
      <w:r>
        <w:rPr>
          <w:rFonts w:ascii="Arial" w:cs="Arial" w:eastAsia="Arial" w:hAnsi="Arial"/>
          <w:color w:val="000000"/>
          <w:sz w:val="20"/>
          <w:szCs w:val="20"/>
        </w:rPr>
        <w:t xml:space="preserve">Table 2 shows the theoretical savings for representative exponent sizes.</w:t>
      </w:r>
    </w:p>
    <w:p>
      <w:pPr>
        <w:spacing w:before="0" w:after="0"/>
      </w:pPr>
      <w:r>
        <w:rPr>
          <w:rFonts w:ascii="Arial" w:cs="Arial" w:eastAsia="Arial" w:hAnsi="Arial"/>
          <w:sz w:val="20"/>
          <w:szCs w:val="20"/>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560"/>
        <w:gridCol w:w="2000"/>
        <w:gridCol w:w="2000"/>
        <w:gridCol w:w="2000"/>
        <w:gridCol w:w="1800"/>
      </w:tblGrid>
      <w:tr>
        <w:trPr>
          <w:tblHeader/>
        </w:trPr>
        <w:tc>
          <w:tcPr>
            <w:tcW w:type="dxa" w:w="1560"/>
            <w:tcBorders>
              <w:top w:val="single" w:color="CCCCCC" w:sz="4"/>
              <w:left w:val="single" w:color="CCCCCC" w:sz="4"/>
              <w:bottom w:val="single" w:color="CCCCCC" w:sz="4"/>
              <w:right w:val="single" w:color="CCCCCC" w:sz="4"/>
            </w:tcBorders>
            <w:shd w:fill="1F3864" w:val="clear"/>
            <w:tcMar>
              <w:top w:type="dxa" w:w="80"/>
              <w:left w:type="dxa" w:w="120"/>
              <w:bottom w:type="dxa" w:w="80"/>
              <w:right w:type="dxa" w:w="120"/>
            </w:tcMar>
          </w:tcPr>
          <w:p>
            <w:pPr>
              <w:jc w:val="center"/>
            </w:pPr>
            <w:r>
              <w:rPr>
                <w:rFonts w:ascii="Arial" w:cs="Arial" w:eastAsia="Arial" w:hAnsi="Arial"/>
                <w:b/>
                <w:bCs/>
                <w:color w:val="FFFFFF"/>
                <w:sz w:val="19"/>
                <w:szCs w:val="19"/>
              </w:rPr>
              <w:t xml:space="preserve">Bits (L)</w:t>
            </w:r>
          </w:p>
        </w:tc>
        <w:tc>
          <w:tcPr>
            <w:tcW w:type="dxa" w:w="2000"/>
            <w:tcBorders>
              <w:top w:val="single" w:color="CCCCCC" w:sz="4"/>
              <w:left w:val="single" w:color="CCCCCC" w:sz="4"/>
              <w:bottom w:val="single" w:color="CCCCCC" w:sz="4"/>
              <w:right w:val="single" w:color="CCCCCC" w:sz="4"/>
            </w:tcBorders>
            <w:shd w:fill="1F3864" w:val="clear"/>
            <w:tcMar>
              <w:top w:type="dxa" w:w="80"/>
              <w:left w:type="dxa" w:w="120"/>
              <w:bottom w:type="dxa" w:w="80"/>
              <w:right w:type="dxa" w:w="120"/>
            </w:tcMar>
          </w:tcPr>
          <w:p>
            <w:pPr>
              <w:jc w:val="center"/>
            </w:pPr>
            <w:r>
              <w:rPr>
                <w:rFonts w:ascii="Arial" w:cs="Arial" w:eastAsia="Arial" w:hAnsi="Arial"/>
                <w:b/>
                <w:bCs/>
                <w:color w:val="FFFFFF"/>
                <w:sz w:val="19"/>
                <w:szCs w:val="19"/>
              </w:rPr>
              <w:t xml:space="preserve">Binary mults</w:t>
            </w:r>
          </w:p>
        </w:tc>
        <w:tc>
          <w:tcPr>
            <w:tcW w:type="dxa" w:w="2000"/>
            <w:tcBorders>
              <w:top w:val="single" w:color="CCCCCC" w:sz="4"/>
              <w:left w:val="single" w:color="CCCCCC" w:sz="4"/>
              <w:bottom w:val="single" w:color="CCCCCC" w:sz="4"/>
              <w:right w:val="single" w:color="CCCCCC" w:sz="4"/>
            </w:tcBorders>
            <w:shd w:fill="1F3864" w:val="clear"/>
            <w:tcMar>
              <w:top w:type="dxa" w:w="80"/>
              <w:left w:type="dxa" w:w="120"/>
              <w:bottom w:type="dxa" w:w="80"/>
              <w:right w:type="dxa" w:w="120"/>
            </w:tcMar>
          </w:tcPr>
          <w:p>
            <w:pPr>
              <w:jc w:val="center"/>
            </w:pPr>
            <w:r>
              <w:rPr>
                <w:rFonts w:ascii="Arial" w:cs="Arial" w:eastAsia="Arial" w:hAnsi="Arial"/>
                <w:b/>
                <w:bCs/>
                <w:color w:val="FFFFFF"/>
                <w:sz w:val="19"/>
                <w:szCs w:val="19"/>
              </w:rPr>
              <w:t xml:space="preserve">NAF mults</w:t>
            </w:r>
          </w:p>
        </w:tc>
        <w:tc>
          <w:tcPr>
            <w:tcW w:type="dxa" w:w="2000"/>
            <w:tcBorders>
              <w:top w:val="single" w:color="CCCCCC" w:sz="4"/>
              <w:left w:val="single" w:color="CCCCCC" w:sz="4"/>
              <w:bottom w:val="single" w:color="CCCCCC" w:sz="4"/>
              <w:right w:val="single" w:color="CCCCCC" w:sz="4"/>
            </w:tcBorders>
            <w:shd w:fill="1F3864" w:val="clear"/>
            <w:tcMar>
              <w:top w:type="dxa" w:w="80"/>
              <w:left w:type="dxa" w:w="120"/>
              <w:bottom w:type="dxa" w:w="80"/>
              <w:right w:type="dxa" w:w="120"/>
            </w:tcMar>
          </w:tcPr>
          <w:p>
            <w:pPr>
              <w:jc w:val="center"/>
            </w:pPr>
            <w:r>
              <w:rPr>
                <w:rFonts w:ascii="Arial" w:cs="Arial" w:eastAsia="Arial" w:hAnsi="Arial"/>
                <w:b/>
                <w:bCs/>
                <w:color w:val="FFFFFF"/>
                <w:sz w:val="19"/>
                <w:szCs w:val="19"/>
              </w:rPr>
              <w:t xml:space="preserve">Saving</w:t>
            </w:r>
          </w:p>
        </w:tc>
        <w:tc>
          <w:tcPr>
            <w:tcW w:type="dxa" w:w="1800"/>
            <w:tcBorders>
              <w:top w:val="single" w:color="CCCCCC" w:sz="4"/>
              <w:left w:val="single" w:color="CCCCCC" w:sz="4"/>
              <w:bottom w:val="single" w:color="CCCCCC" w:sz="4"/>
              <w:right w:val="single" w:color="CCCCCC" w:sz="4"/>
            </w:tcBorders>
            <w:shd w:fill="1F3864" w:val="clear"/>
            <w:tcMar>
              <w:top w:type="dxa" w:w="80"/>
              <w:left w:type="dxa" w:w="120"/>
              <w:bottom w:type="dxa" w:w="80"/>
              <w:right w:type="dxa" w:w="120"/>
            </w:tcMar>
          </w:tcPr>
          <w:p>
            <w:pPr>
              <w:jc w:val="center"/>
            </w:pPr>
            <w:r>
              <w:rPr>
                <w:rFonts w:ascii="Arial" w:cs="Arial" w:eastAsia="Arial" w:hAnsi="Arial"/>
                <w:b/>
                <w:bCs/>
                <w:color w:val="FFFFFF"/>
                <w:sz w:val="19"/>
                <w:szCs w:val="19"/>
              </w:rPr>
              <w:t xml:space="preserve">% reduction</w:t>
            </w:r>
          </w:p>
        </w:tc>
      </w:tr>
      <w:tr>
        <w:tc>
          <w:tcPr>
            <w:tcW w:type="dxa" w:w="1560"/>
            <w:tcBorders>
              <w:top w:val="single" w:color="CCCCCC" w:sz="4"/>
              <w:left w:val="single" w:color="CCCCCC" w:sz="4"/>
              <w:bottom w:val="single" w:color="CCCCCC" w:sz="4"/>
              <w:right w:val="single" w:color="CCCCCC" w:sz="4"/>
            </w:tcBorders>
            <w:tcMar>
              <w:top w:type="dxa" w:w="80"/>
              <w:left w:type="dxa" w:w="120"/>
              <w:bottom w:type="dxa" w:w="80"/>
              <w:right w:type="dxa" w:w="120"/>
            </w:tcMar>
          </w:tcPr>
          <w:p>
            <w:pPr>
              <w:jc w:val="left"/>
            </w:pPr>
            <w:r>
              <w:rPr>
                <w:rFonts w:ascii="Arial" w:cs="Arial" w:eastAsia="Arial" w:hAnsi="Arial"/>
                <w:b w:val="false"/>
                <w:bCs w:val="false"/>
                <w:color w:val="000000"/>
                <w:sz w:val="19"/>
                <w:szCs w:val="19"/>
              </w:rPr>
              <w:t xml:space="preserve">20</w:t>
            </w:r>
          </w:p>
        </w:tc>
        <w:tc>
          <w:tcPr>
            <w:tcW w:type="dxa" w:w="2000"/>
            <w:tcBorders>
              <w:top w:val="single" w:color="CCCCCC" w:sz="4"/>
              <w:left w:val="single" w:color="CCCCCC" w:sz="4"/>
              <w:bottom w:val="single" w:color="CCCCCC" w:sz="4"/>
              <w:right w:val="single" w:color="CCCCCC" w:sz="4"/>
            </w:tcBorders>
            <w:tcMar>
              <w:top w:type="dxa" w:w="80"/>
              <w:left w:type="dxa" w:w="120"/>
              <w:bottom w:type="dxa" w:w="80"/>
              <w:right w:type="dxa" w:w="120"/>
            </w:tcMar>
          </w:tcPr>
          <w:p>
            <w:pPr>
              <w:jc w:val="left"/>
            </w:pPr>
            <w:r>
              <w:rPr>
                <w:rFonts w:ascii="Arial" w:cs="Arial" w:eastAsia="Arial" w:hAnsi="Arial"/>
                <w:b w:val="false"/>
                <w:bCs w:val="false"/>
                <w:color w:val="000000"/>
                <w:sz w:val="19"/>
                <w:szCs w:val="19"/>
              </w:rPr>
              <w:t xml:space="preserve">~70</w:t>
            </w:r>
          </w:p>
        </w:tc>
        <w:tc>
          <w:tcPr>
            <w:tcW w:type="dxa" w:w="2000"/>
            <w:tcBorders>
              <w:top w:val="single" w:color="CCCCCC" w:sz="4"/>
              <w:left w:val="single" w:color="CCCCCC" w:sz="4"/>
              <w:bottom w:val="single" w:color="CCCCCC" w:sz="4"/>
              <w:right w:val="single" w:color="CCCCCC" w:sz="4"/>
            </w:tcBorders>
            <w:tcMar>
              <w:top w:type="dxa" w:w="80"/>
              <w:left w:type="dxa" w:w="120"/>
              <w:bottom w:type="dxa" w:w="80"/>
              <w:right w:type="dxa" w:w="120"/>
            </w:tcMar>
          </w:tcPr>
          <w:p>
            <w:pPr>
              <w:jc w:val="left"/>
            </w:pPr>
            <w:r>
              <w:rPr>
                <w:rFonts w:ascii="Arial" w:cs="Arial" w:eastAsia="Arial" w:hAnsi="Arial"/>
                <w:b w:val="false"/>
                <w:bCs w:val="false"/>
                <w:color w:val="000000"/>
                <w:sz w:val="19"/>
                <w:szCs w:val="19"/>
              </w:rPr>
              <w:t xml:space="preserve">~53</w:t>
            </w:r>
          </w:p>
        </w:tc>
        <w:tc>
          <w:tcPr>
            <w:tcW w:type="dxa" w:w="2000"/>
            <w:tcBorders>
              <w:top w:val="single" w:color="CCCCCC" w:sz="4"/>
              <w:left w:val="single" w:color="CCCCCC" w:sz="4"/>
              <w:bottom w:val="single" w:color="CCCCCC" w:sz="4"/>
              <w:right w:val="single" w:color="CCCCCC" w:sz="4"/>
            </w:tcBorders>
            <w:tcMar>
              <w:top w:type="dxa" w:w="80"/>
              <w:left w:type="dxa" w:w="120"/>
              <w:bottom w:type="dxa" w:w="80"/>
              <w:right w:type="dxa" w:w="120"/>
            </w:tcMar>
          </w:tcPr>
          <w:p>
            <w:pPr>
              <w:jc w:val="left"/>
            </w:pPr>
            <w:r>
              <w:rPr>
                <w:rFonts w:ascii="Arial" w:cs="Arial" w:eastAsia="Arial" w:hAnsi="Arial"/>
                <w:b w:val="false"/>
                <w:bCs w:val="false"/>
                <w:color w:val="000000"/>
                <w:sz w:val="19"/>
                <w:szCs w:val="19"/>
              </w:rPr>
              <w:t xml:space="preserve">~17</w:t>
            </w:r>
          </w:p>
        </w:tc>
        <w:tc>
          <w:tcPr>
            <w:tcW w:type="dxa" w:w="1800"/>
            <w:tcBorders>
              <w:top w:val="single" w:color="CCCCCC" w:sz="4"/>
              <w:left w:val="single" w:color="CCCCCC" w:sz="4"/>
              <w:bottom w:val="single" w:color="CCCCCC" w:sz="4"/>
              <w:right w:val="single" w:color="CCCCCC" w:sz="4"/>
            </w:tcBorders>
            <w:tcMar>
              <w:top w:type="dxa" w:w="80"/>
              <w:left w:type="dxa" w:w="120"/>
              <w:bottom w:type="dxa" w:w="80"/>
              <w:right w:type="dxa" w:w="120"/>
            </w:tcMar>
          </w:tcPr>
          <w:p>
            <w:pPr>
              <w:jc w:val="left"/>
            </w:pPr>
            <w:r>
              <w:rPr>
                <w:rFonts w:ascii="Arial" w:cs="Arial" w:eastAsia="Arial" w:hAnsi="Arial"/>
                <w:b w:val="false"/>
                <w:bCs w:val="false"/>
                <w:color w:val="000000"/>
                <w:sz w:val="19"/>
                <w:szCs w:val="19"/>
              </w:rPr>
              <w:t xml:space="preserve">~24%</w:t>
            </w:r>
          </w:p>
        </w:tc>
      </w:tr>
      <w:tr>
        <w:tc>
          <w:tcPr>
            <w:tcW w:type="dxa" w:w="1560"/>
            <w:tcBorders>
              <w:top w:val="single" w:color="CCCCCC" w:sz="4"/>
              <w:left w:val="single" w:color="CCCCCC" w:sz="4"/>
              <w:bottom w:val="single" w:color="CCCCCC" w:sz="4"/>
              <w:right w:val="single" w:color="CCCCCC" w:sz="4"/>
            </w:tcBorders>
            <w:shd w:fill="F2F4F7" w:val="clear"/>
            <w:tcMar>
              <w:top w:type="dxa" w:w="80"/>
              <w:left w:type="dxa" w:w="120"/>
              <w:bottom w:type="dxa" w:w="80"/>
              <w:right w:type="dxa" w:w="120"/>
            </w:tcMar>
          </w:tcPr>
          <w:p>
            <w:pPr>
              <w:jc w:val="left"/>
            </w:pPr>
            <w:r>
              <w:rPr>
                <w:rFonts w:ascii="Arial" w:cs="Arial" w:eastAsia="Arial" w:hAnsi="Arial"/>
                <w:b w:val="false"/>
                <w:bCs w:val="false"/>
                <w:color w:val="000000"/>
                <w:sz w:val="19"/>
                <w:szCs w:val="19"/>
              </w:rPr>
              <w:t xml:space="preserve">32</w:t>
            </w:r>
          </w:p>
        </w:tc>
        <w:tc>
          <w:tcPr>
            <w:tcW w:type="dxa" w:w="2000"/>
            <w:tcBorders>
              <w:top w:val="single" w:color="CCCCCC" w:sz="4"/>
              <w:left w:val="single" w:color="CCCCCC" w:sz="4"/>
              <w:bottom w:val="single" w:color="CCCCCC" w:sz="4"/>
              <w:right w:val="single" w:color="CCCCCC" w:sz="4"/>
            </w:tcBorders>
            <w:shd w:fill="F2F4F7" w:val="clear"/>
            <w:tcMar>
              <w:top w:type="dxa" w:w="80"/>
              <w:left w:type="dxa" w:w="120"/>
              <w:bottom w:type="dxa" w:w="80"/>
              <w:right w:type="dxa" w:w="120"/>
            </w:tcMar>
          </w:tcPr>
          <w:p>
            <w:pPr>
              <w:jc w:val="left"/>
            </w:pPr>
            <w:r>
              <w:rPr>
                <w:rFonts w:ascii="Arial" w:cs="Arial" w:eastAsia="Arial" w:hAnsi="Arial"/>
                <w:b w:val="false"/>
                <w:bCs w:val="false"/>
                <w:color w:val="000000"/>
                <w:sz w:val="19"/>
                <w:szCs w:val="19"/>
              </w:rPr>
              <w:t xml:space="preserve">~112</w:t>
            </w:r>
          </w:p>
        </w:tc>
        <w:tc>
          <w:tcPr>
            <w:tcW w:type="dxa" w:w="2000"/>
            <w:tcBorders>
              <w:top w:val="single" w:color="CCCCCC" w:sz="4"/>
              <w:left w:val="single" w:color="CCCCCC" w:sz="4"/>
              <w:bottom w:val="single" w:color="CCCCCC" w:sz="4"/>
              <w:right w:val="single" w:color="CCCCCC" w:sz="4"/>
            </w:tcBorders>
            <w:shd w:fill="F2F4F7" w:val="clear"/>
            <w:tcMar>
              <w:top w:type="dxa" w:w="80"/>
              <w:left w:type="dxa" w:w="120"/>
              <w:bottom w:type="dxa" w:w="80"/>
              <w:right w:type="dxa" w:w="120"/>
            </w:tcMar>
          </w:tcPr>
          <w:p>
            <w:pPr>
              <w:jc w:val="left"/>
            </w:pPr>
            <w:r>
              <w:rPr>
                <w:rFonts w:ascii="Arial" w:cs="Arial" w:eastAsia="Arial" w:hAnsi="Arial"/>
                <w:b w:val="false"/>
                <w:bCs w:val="false"/>
                <w:color w:val="000000"/>
                <w:sz w:val="19"/>
                <w:szCs w:val="19"/>
              </w:rPr>
              <w:t xml:space="preserve">~84</w:t>
            </w:r>
          </w:p>
        </w:tc>
        <w:tc>
          <w:tcPr>
            <w:tcW w:type="dxa" w:w="2000"/>
            <w:tcBorders>
              <w:top w:val="single" w:color="CCCCCC" w:sz="4"/>
              <w:left w:val="single" w:color="CCCCCC" w:sz="4"/>
              <w:bottom w:val="single" w:color="CCCCCC" w:sz="4"/>
              <w:right w:val="single" w:color="CCCCCC" w:sz="4"/>
            </w:tcBorders>
            <w:shd w:fill="F2F4F7" w:val="clear"/>
            <w:tcMar>
              <w:top w:type="dxa" w:w="80"/>
              <w:left w:type="dxa" w:w="120"/>
              <w:bottom w:type="dxa" w:w="80"/>
              <w:right w:type="dxa" w:w="120"/>
            </w:tcMar>
          </w:tcPr>
          <w:p>
            <w:pPr>
              <w:jc w:val="left"/>
            </w:pPr>
            <w:r>
              <w:rPr>
                <w:rFonts w:ascii="Arial" w:cs="Arial" w:eastAsia="Arial" w:hAnsi="Arial"/>
                <w:b w:val="false"/>
                <w:bCs w:val="false"/>
                <w:color w:val="000000"/>
                <w:sz w:val="19"/>
                <w:szCs w:val="19"/>
              </w:rPr>
              <w:t xml:space="preserve">~28</w:t>
            </w:r>
          </w:p>
        </w:tc>
        <w:tc>
          <w:tcPr>
            <w:tcW w:type="dxa" w:w="1800"/>
            <w:tcBorders>
              <w:top w:val="single" w:color="CCCCCC" w:sz="4"/>
              <w:left w:val="single" w:color="CCCCCC" w:sz="4"/>
              <w:bottom w:val="single" w:color="CCCCCC" w:sz="4"/>
              <w:right w:val="single" w:color="CCCCCC" w:sz="4"/>
            </w:tcBorders>
            <w:shd w:fill="F2F4F7" w:val="clear"/>
            <w:tcMar>
              <w:top w:type="dxa" w:w="80"/>
              <w:left w:type="dxa" w:w="120"/>
              <w:bottom w:type="dxa" w:w="80"/>
              <w:right w:type="dxa" w:w="120"/>
            </w:tcMar>
          </w:tcPr>
          <w:p>
            <w:pPr>
              <w:jc w:val="left"/>
            </w:pPr>
            <w:r>
              <w:rPr>
                <w:rFonts w:ascii="Arial" w:cs="Arial" w:eastAsia="Arial" w:hAnsi="Arial"/>
                <w:b w:val="false"/>
                <w:bCs w:val="false"/>
                <w:color w:val="000000"/>
                <w:sz w:val="19"/>
                <w:szCs w:val="19"/>
              </w:rPr>
              <w:t xml:space="preserve">~25%</w:t>
            </w:r>
          </w:p>
        </w:tc>
      </w:tr>
      <w:tr>
        <w:tc>
          <w:tcPr>
            <w:tcW w:type="dxa" w:w="1560"/>
            <w:tcBorders>
              <w:top w:val="single" w:color="CCCCCC" w:sz="4"/>
              <w:left w:val="single" w:color="CCCCCC" w:sz="4"/>
              <w:bottom w:val="single" w:color="CCCCCC" w:sz="4"/>
              <w:right w:val="single" w:color="CCCCCC" w:sz="4"/>
            </w:tcBorders>
            <w:tcMar>
              <w:top w:type="dxa" w:w="80"/>
              <w:left w:type="dxa" w:w="120"/>
              <w:bottom w:type="dxa" w:w="80"/>
              <w:right w:type="dxa" w:w="120"/>
            </w:tcMar>
          </w:tcPr>
          <w:p>
            <w:pPr>
              <w:jc w:val="left"/>
            </w:pPr>
            <w:r>
              <w:rPr>
                <w:rFonts w:ascii="Arial" w:cs="Arial" w:eastAsia="Arial" w:hAnsi="Arial"/>
                <w:b w:val="false"/>
                <w:bCs w:val="false"/>
                <w:color w:val="000000"/>
                <w:sz w:val="19"/>
                <w:szCs w:val="19"/>
              </w:rPr>
              <w:t xml:space="preserve">64</w:t>
            </w:r>
          </w:p>
        </w:tc>
        <w:tc>
          <w:tcPr>
            <w:tcW w:type="dxa" w:w="2000"/>
            <w:tcBorders>
              <w:top w:val="single" w:color="CCCCCC" w:sz="4"/>
              <w:left w:val="single" w:color="CCCCCC" w:sz="4"/>
              <w:bottom w:val="single" w:color="CCCCCC" w:sz="4"/>
              <w:right w:val="single" w:color="CCCCCC" w:sz="4"/>
            </w:tcBorders>
            <w:tcMar>
              <w:top w:type="dxa" w:w="80"/>
              <w:left w:type="dxa" w:w="120"/>
              <w:bottom w:type="dxa" w:w="80"/>
              <w:right w:type="dxa" w:w="120"/>
            </w:tcMar>
          </w:tcPr>
          <w:p>
            <w:pPr>
              <w:jc w:val="left"/>
            </w:pPr>
            <w:r>
              <w:rPr>
                <w:rFonts w:ascii="Arial" w:cs="Arial" w:eastAsia="Arial" w:hAnsi="Arial"/>
                <w:b w:val="false"/>
                <w:bCs w:val="false"/>
                <w:color w:val="000000"/>
                <w:sz w:val="19"/>
                <w:szCs w:val="19"/>
              </w:rPr>
              <w:t xml:space="preserve">~224</w:t>
            </w:r>
          </w:p>
        </w:tc>
        <w:tc>
          <w:tcPr>
            <w:tcW w:type="dxa" w:w="2000"/>
            <w:tcBorders>
              <w:top w:val="single" w:color="CCCCCC" w:sz="4"/>
              <w:left w:val="single" w:color="CCCCCC" w:sz="4"/>
              <w:bottom w:val="single" w:color="CCCCCC" w:sz="4"/>
              <w:right w:val="single" w:color="CCCCCC" w:sz="4"/>
            </w:tcBorders>
            <w:tcMar>
              <w:top w:type="dxa" w:w="80"/>
              <w:left w:type="dxa" w:w="120"/>
              <w:bottom w:type="dxa" w:w="80"/>
              <w:right w:type="dxa" w:w="120"/>
            </w:tcMar>
          </w:tcPr>
          <w:p>
            <w:pPr>
              <w:jc w:val="left"/>
            </w:pPr>
            <w:r>
              <w:rPr>
                <w:rFonts w:ascii="Arial" w:cs="Arial" w:eastAsia="Arial" w:hAnsi="Arial"/>
                <w:b w:val="false"/>
                <w:bCs w:val="false"/>
                <w:color w:val="000000"/>
                <w:sz w:val="19"/>
                <w:szCs w:val="19"/>
              </w:rPr>
              <w:t xml:space="preserve">~168</w:t>
            </w:r>
          </w:p>
        </w:tc>
        <w:tc>
          <w:tcPr>
            <w:tcW w:type="dxa" w:w="2000"/>
            <w:tcBorders>
              <w:top w:val="single" w:color="CCCCCC" w:sz="4"/>
              <w:left w:val="single" w:color="CCCCCC" w:sz="4"/>
              <w:bottom w:val="single" w:color="CCCCCC" w:sz="4"/>
              <w:right w:val="single" w:color="CCCCCC" w:sz="4"/>
            </w:tcBorders>
            <w:tcMar>
              <w:top w:type="dxa" w:w="80"/>
              <w:left w:type="dxa" w:w="120"/>
              <w:bottom w:type="dxa" w:w="80"/>
              <w:right w:type="dxa" w:w="120"/>
            </w:tcMar>
          </w:tcPr>
          <w:p>
            <w:pPr>
              <w:jc w:val="left"/>
            </w:pPr>
            <w:r>
              <w:rPr>
                <w:rFonts w:ascii="Arial" w:cs="Arial" w:eastAsia="Arial" w:hAnsi="Arial"/>
                <w:b w:val="false"/>
                <w:bCs w:val="false"/>
                <w:color w:val="000000"/>
                <w:sz w:val="19"/>
                <w:szCs w:val="19"/>
              </w:rPr>
              <w:t xml:space="preserve">~56</w:t>
            </w:r>
          </w:p>
        </w:tc>
        <w:tc>
          <w:tcPr>
            <w:tcW w:type="dxa" w:w="1800"/>
            <w:tcBorders>
              <w:top w:val="single" w:color="CCCCCC" w:sz="4"/>
              <w:left w:val="single" w:color="CCCCCC" w:sz="4"/>
              <w:bottom w:val="single" w:color="CCCCCC" w:sz="4"/>
              <w:right w:val="single" w:color="CCCCCC" w:sz="4"/>
            </w:tcBorders>
            <w:tcMar>
              <w:top w:type="dxa" w:w="80"/>
              <w:left w:type="dxa" w:w="120"/>
              <w:bottom w:type="dxa" w:w="80"/>
              <w:right w:type="dxa" w:w="120"/>
            </w:tcMar>
          </w:tcPr>
          <w:p>
            <w:pPr>
              <w:jc w:val="left"/>
            </w:pPr>
            <w:r>
              <w:rPr>
                <w:rFonts w:ascii="Arial" w:cs="Arial" w:eastAsia="Arial" w:hAnsi="Arial"/>
                <w:b w:val="false"/>
                <w:bCs w:val="false"/>
                <w:color w:val="000000"/>
                <w:sz w:val="19"/>
                <w:szCs w:val="19"/>
              </w:rPr>
              <w:t xml:space="preserve">~25%</w:t>
            </w:r>
          </w:p>
        </w:tc>
      </w:tr>
      <w:tr>
        <w:tc>
          <w:tcPr>
            <w:tcW w:type="dxa" w:w="1560"/>
            <w:tcBorders>
              <w:top w:val="single" w:color="CCCCCC" w:sz="4"/>
              <w:left w:val="single" w:color="CCCCCC" w:sz="4"/>
              <w:bottom w:val="single" w:color="CCCCCC" w:sz="4"/>
              <w:right w:val="single" w:color="CCCCCC" w:sz="4"/>
            </w:tcBorders>
            <w:shd w:fill="F2F4F7" w:val="clear"/>
            <w:tcMar>
              <w:top w:type="dxa" w:w="80"/>
              <w:left w:type="dxa" w:w="120"/>
              <w:bottom w:type="dxa" w:w="80"/>
              <w:right w:type="dxa" w:w="120"/>
            </w:tcMar>
          </w:tcPr>
          <w:p>
            <w:pPr>
              <w:jc w:val="left"/>
            </w:pPr>
            <w:r>
              <w:rPr>
                <w:rFonts w:ascii="Arial" w:cs="Arial" w:eastAsia="Arial" w:hAnsi="Arial"/>
                <w:b w:val="false"/>
                <w:bCs w:val="false"/>
                <w:color w:val="000000"/>
                <w:sz w:val="19"/>
                <w:szCs w:val="19"/>
              </w:rPr>
              <w:t xml:space="preserve">128</w:t>
            </w:r>
          </w:p>
        </w:tc>
        <w:tc>
          <w:tcPr>
            <w:tcW w:type="dxa" w:w="2000"/>
            <w:tcBorders>
              <w:top w:val="single" w:color="CCCCCC" w:sz="4"/>
              <w:left w:val="single" w:color="CCCCCC" w:sz="4"/>
              <w:bottom w:val="single" w:color="CCCCCC" w:sz="4"/>
              <w:right w:val="single" w:color="CCCCCC" w:sz="4"/>
            </w:tcBorders>
            <w:shd w:fill="F2F4F7" w:val="clear"/>
            <w:tcMar>
              <w:top w:type="dxa" w:w="80"/>
              <w:left w:type="dxa" w:w="120"/>
              <w:bottom w:type="dxa" w:w="80"/>
              <w:right w:type="dxa" w:w="120"/>
            </w:tcMar>
          </w:tcPr>
          <w:p>
            <w:pPr>
              <w:jc w:val="left"/>
            </w:pPr>
            <w:r>
              <w:rPr>
                <w:rFonts w:ascii="Arial" w:cs="Arial" w:eastAsia="Arial" w:hAnsi="Arial"/>
                <w:b w:val="false"/>
                <w:bCs w:val="false"/>
                <w:color w:val="000000"/>
                <w:sz w:val="19"/>
                <w:szCs w:val="19"/>
              </w:rPr>
              <w:t xml:space="preserve">~448</w:t>
            </w:r>
          </w:p>
        </w:tc>
        <w:tc>
          <w:tcPr>
            <w:tcW w:type="dxa" w:w="2000"/>
            <w:tcBorders>
              <w:top w:val="single" w:color="CCCCCC" w:sz="4"/>
              <w:left w:val="single" w:color="CCCCCC" w:sz="4"/>
              <w:bottom w:val="single" w:color="CCCCCC" w:sz="4"/>
              <w:right w:val="single" w:color="CCCCCC" w:sz="4"/>
            </w:tcBorders>
            <w:shd w:fill="F2F4F7" w:val="clear"/>
            <w:tcMar>
              <w:top w:type="dxa" w:w="80"/>
              <w:left w:type="dxa" w:w="120"/>
              <w:bottom w:type="dxa" w:w="80"/>
              <w:right w:type="dxa" w:w="120"/>
            </w:tcMar>
          </w:tcPr>
          <w:p>
            <w:pPr>
              <w:jc w:val="left"/>
            </w:pPr>
            <w:r>
              <w:rPr>
                <w:rFonts w:ascii="Arial" w:cs="Arial" w:eastAsia="Arial" w:hAnsi="Arial"/>
                <w:b w:val="false"/>
                <w:bCs w:val="false"/>
                <w:color w:val="000000"/>
                <w:sz w:val="19"/>
                <w:szCs w:val="19"/>
              </w:rPr>
              <w:t xml:space="preserve">~336</w:t>
            </w:r>
          </w:p>
        </w:tc>
        <w:tc>
          <w:tcPr>
            <w:tcW w:type="dxa" w:w="2000"/>
            <w:tcBorders>
              <w:top w:val="single" w:color="CCCCCC" w:sz="4"/>
              <w:left w:val="single" w:color="CCCCCC" w:sz="4"/>
              <w:bottom w:val="single" w:color="CCCCCC" w:sz="4"/>
              <w:right w:val="single" w:color="CCCCCC" w:sz="4"/>
            </w:tcBorders>
            <w:shd w:fill="F2F4F7" w:val="clear"/>
            <w:tcMar>
              <w:top w:type="dxa" w:w="80"/>
              <w:left w:type="dxa" w:w="120"/>
              <w:bottom w:type="dxa" w:w="80"/>
              <w:right w:type="dxa" w:w="120"/>
            </w:tcMar>
          </w:tcPr>
          <w:p>
            <w:pPr>
              <w:jc w:val="left"/>
            </w:pPr>
            <w:r>
              <w:rPr>
                <w:rFonts w:ascii="Arial" w:cs="Arial" w:eastAsia="Arial" w:hAnsi="Arial"/>
                <w:b w:val="false"/>
                <w:bCs w:val="false"/>
                <w:color w:val="000000"/>
                <w:sz w:val="19"/>
                <w:szCs w:val="19"/>
              </w:rPr>
              <w:t xml:space="preserve">~112</w:t>
            </w:r>
          </w:p>
        </w:tc>
        <w:tc>
          <w:tcPr>
            <w:tcW w:type="dxa" w:w="1800"/>
            <w:tcBorders>
              <w:top w:val="single" w:color="CCCCCC" w:sz="4"/>
              <w:left w:val="single" w:color="CCCCCC" w:sz="4"/>
              <w:bottom w:val="single" w:color="CCCCCC" w:sz="4"/>
              <w:right w:val="single" w:color="CCCCCC" w:sz="4"/>
            </w:tcBorders>
            <w:shd w:fill="F2F4F7" w:val="clear"/>
            <w:tcMar>
              <w:top w:type="dxa" w:w="80"/>
              <w:left w:type="dxa" w:w="120"/>
              <w:bottom w:type="dxa" w:w="80"/>
              <w:right w:type="dxa" w:w="120"/>
            </w:tcMar>
          </w:tcPr>
          <w:p>
            <w:pPr>
              <w:jc w:val="left"/>
            </w:pPr>
            <w:r>
              <w:rPr>
                <w:rFonts w:ascii="Arial" w:cs="Arial" w:eastAsia="Arial" w:hAnsi="Arial"/>
                <w:b w:val="false"/>
                <w:bCs w:val="false"/>
                <w:color w:val="000000"/>
                <w:sz w:val="19"/>
                <w:szCs w:val="19"/>
              </w:rPr>
              <w:t xml:space="preserve">~25%</w:t>
            </w:r>
          </w:p>
        </w:tc>
      </w:tr>
    </w:tbl>
    <w:p>
      <w:pPr>
        <w:spacing w:before="80" w:after="240"/>
        <w:jc w:val="center"/>
      </w:pPr>
      <w:r>
        <w:rPr>
          <w:rFonts w:ascii="Arial" w:cs="Arial" w:eastAsia="Arial" w:hAnsi="Arial"/>
          <w:color w:val="595959"/>
          <w:sz w:val="18"/>
          <w:szCs w:val="18"/>
        </w:rPr>
        <w:t xml:space="preserve">Table 2. Theoretical multiplication savings from NAF vs. binary representation.</w:t>
      </w:r>
    </w:p>
    <w:p>
      <w:pPr>
        <w:pStyle w:val="Heading2"/>
        <w:spacing w:before="280" w:after="120"/>
      </w:pPr>
      <w:r>
        <w:rPr>
          <w:rFonts w:ascii="Arial" w:cs="Arial" w:eastAsia="Arial" w:hAnsi="Arial"/>
          <w:b/>
          <w:bCs/>
          <w:color w:val="2E5FA3"/>
          <w:sz w:val="24"/>
          <w:szCs w:val="24"/>
        </w:rPr>
        <w:t xml:space="preserve">5.4 Implementation Summary</w:t>
      </w:r>
    </w:p>
    <w:p>
      <w:pPr>
        <w:spacing w:before="120" w:after="120"/>
        <w:jc w:val="both"/>
      </w:pPr>
      <w:r>
        <w:rPr>
          <w:rFonts w:ascii="Arial" w:cs="Arial" w:eastAsia="Arial" w:hAnsi="Arial"/>
          <w:color w:val="000000"/>
          <w:sz w:val="20"/>
          <w:szCs w:val="20"/>
        </w:rPr>
        <w:t xml:space="preserve">The complete optimized test proceeds as follows:</w:t>
      </w:r>
    </w:p>
    <w:p>
      <w:pPr>
        <w:pStyle w:val="ListParagraph"/>
        <w:numPr>
          <w:ilvl w:val="0"/>
          <w:numId w:val="2"/>
        </w:numPr>
        <w:spacing w:before="60" w:after="60"/>
      </w:pPr>
      <w:r>
        <w:rPr>
          <w:rFonts w:ascii="Arial" w:cs="Arial" w:eastAsia="Arial" w:hAnsi="Arial"/>
          <w:b w:val="false"/>
          <w:bCs w:val="false"/>
          <w:color w:val="000000"/>
          <w:sz w:val="20"/>
          <w:szCs w:val="20"/>
        </w:rPr>
        <w:t xml:space="preserve">1. Reject if n is even, or if 2</w:t>
      </w:r>
      <w:r>
        <w:rPr>
          <w:rFonts w:ascii="Arial" w:cs="Arial" w:eastAsia="Arial" w:hAnsi="Arial"/>
          <w:b w:val="false"/>
          <w:bCs w:val="false"/>
          <w:color w:val="000000"/>
          <w:sz w:val="20"/>
          <w:szCs w:val="20"/>
          <w:vertAlign w:val="superscript"/>
        </w:rPr>
        <w:t xml:space="preserve">n−1</w:t>
      </w:r>
      <w:r>
        <w:rPr>
          <w:rFonts w:ascii="Arial" w:cs="Arial" w:eastAsia="Arial" w:hAnsi="Arial"/>
          <w:b w:val="false"/>
          <w:bCs w:val="false"/>
          <w:color w:val="000000"/>
          <w:sz w:val="20"/>
          <w:szCs w:val="20"/>
        </w:rPr>
        <w:t xml:space="preserve"> ≢ 1 (mod n) (Fermat test).</w:t>
      </w:r>
    </w:p>
    <w:p>
      <w:pPr>
        <w:pStyle w:val="ListParagraph"/>
        <w:numPr>
          <w:ilvl w:val="0"/>
          <w:numId w:val="2"/>
        </w:numPr>
        <w:spacing w:before="60" w:after="60"/>
      </w:pPr>
      <w:r>
        <w:rPr>
          <w:rFonts w:ascii="Arial" w:cs="Arial" w:eastAsia="Arial" w:hAnsi="Arial"/>
          <w:color w:val="000000"/>
          <w:sz w:val="20"/>
          <w:szCs w:val="20"/>
        </w:rPr>
        <w:t xml:space="preserve">2. Run Selfridge selection to obtain (D, P=1, Q). If gcd(|D|, n) &gt; 1, reject.</w:t>
      </w:r>
    </w:p>
    <w:p>
      <w:pPr>
        <w:pStyle w:val="ListParagraph"/>
        <w:numPr>
          <w:ilvl w:val="0"/>
          <w:numId w:val="2"/>
        </w:numPr>
        <w:spacing w:before="60" w:after="60"/>
      </w:pPr>
      <w:r>
        <w:rPr>
          <w:rFonts w:ascii="Arial" w:cs="Arial" w:eastAsia="Arial" w:hAnsi="Arial"/>
          <w:color w:val="000000"/>
          <w:sz w:val="20"/>
          <w:szCs w:val="20"/>
        </w:rPr>
        <w:t xml:space="preserve">3. If Q ≡ 0 (mod n), reject (composite certificate).</w:t>
      </w:r>
    </w:p>
    <w:p>
      <w:pPr>
        <w:pStyle w:val="ListParagraph"/>
        <w:numPr>
          <w:ilvl w:val="0"/>
          <w:numId w:val="2"/>
        </w:numPr>
        <w:spacing w:before="60" w:after="60"/>
      </w:pPr>
      <w:r>
        <w:rPr>
          <w:rFonts w:ascii="Arial" w:cs="Arial" w:eastAsia="Arial" w:hAnsi="Arial"/>
          <w:color w:val="000000"/>
          <w:sz w:val="20"/>
          <w:szCs w:val="20"/>
        </w:rPr>
        <w:t xml:space="preserve">4. Precompute inv2Q = (2Q)⁻¹ mod n.</w:t>
      </w:r>
    </w:p>
    <w:p>
      <w:pPr>
        <w:pStyle w:val="ListParagraph"/>
        <w:numPr>
          <w:ilvl w:val="0"/>
          <w:numId w:val="2"/>
        </w:numPr>
        <w:spacing w:before="60" w:after="60"/>
      </w:pPr>
      <w:r>
        <w:rPr>
          <w:rFonts w:ascii="Arial" w:cs="Arial" w:eastAsia="Arial" w:hAnsi="Arial"/>
          <w:color w:val="000000"/>
          <w:sz w:val="20"/>
          <w:szCs w:val="20"/>
        </w:rPr>
        <w:t xml:space="preserve">5. Compute NAF of k = n+1. Initialize (U, V, Qₖ) = (1, P, Q).</w:t>
      </w:r>
    </w:p>
    <w:p>
      <w:pPr>
        <w:pStyle w:val="ListParagraph"/>
        <w:numPr>
          <w:ilvl w:val="0"/>
          <w:numId w:val="2"/>
        </w:numPr>
        <w:spacing w:before="60" w:after="60"/>
      </w:pPr>
      <w:r>
        <w:rPr>
          <w:rFonts w:ascii="Arial" w:cs="Arial" w:eastAsia="Arial" w:hAnsi="Arial"/>
          <w:color w:val="000000"/>
          <w:sz w:val="20"/>
          <w:szCs w:val="20"/>
        </w:rPr>
        <w:t xml:space="preserve">6. For each NAF digit d (MSB to LSB after leading 1): double, then step-up if d=+1, step-back if d=−1.</w:t>
      </w:r>
    </w:p>
    <w:p>
      <w:pPr>
        <w:pStyle w:val="ListParagraph"/>
        <w:numPr>
          <w:ilvl w:val="0"/>
          <w:numId w:val="2"/>
        </w:numPr>
        <w:spacing w:before="60" w:after="60"/>
      </w:pPr>
      <w:r>
        <w:rPr>
          <w:rFonts w:ascii="Arial" w:cs="Arial" w:eastAsia="Arial" w:hAnsi="Arial"/>
          <w:b w:val="false"/>
          <w:bCs w:val="false"/>
          <w:color w:val="000000"/>
          <w:sz w:val="20"/>
          <w:szCs w:val="20"/>
        </w:rPr>
        <w:t xml:space="preserve">7. Accept if Uₙ₊₁ ≡ 0 (mod n) and Vₙ₊₁ ≡ 2Q</w:t>
      </w:r>
      <w:r>
        <w:rPr>
          <w:rFonts w:ascii="Arial" w:cs="Arial" w:eastAsia="Arial" w:hAnsi="Arial"/>
          <w:b w:val="false"/>
          <w:bCs w:val="false"/>
          <w:color w:val="000000"/>
          <w:sz w:val="20"/>
          <w:szCs w:val="20"/>
          <w:vertAlign w:val="superscript"/>
        </w:rPr>
        <w:t xml:space="preserve">(n+1)/2</w:t>
      </w:r>
      <w:r>
        <w:rPr>
          <w:rFonts w:ascii="Arial" w:cs="Arial" w:eastAsia="Arial" w:hAnsi="Arial"/>
          <w:b w:val="false"/>
          <w:bCs w:val="false"/>
          <w:color w:val="000000"/>
          <w:sz w:val="20"/>
          <w:szCs w:val="20"/>
        </w:rPr>
        <w:t xml:space="preserve"> (mod n).</w:t>
      </w:r>
    </w:p>
    <w:p>
      <w:pPr>
        <w:pStyle w:val="Heading1"/>
        <w:spacing w:before="360" w:after="160"/>
      </w:pPr>
      <w:r>
        <w:rPr>
          <w:rFonts w:ascii="Arial" w:cs="Arial" w:eastAsia="Arial" w:hAnsi="Arial"/>
          <w:b/>
          <w:bCs/>
          <w:color w:val="1F3864"/>
          <w:sz w:val="28"/>
          <w:szCs w:val="28"/>
        </w:rPr>
        <w:t xml:space="preserve">6. Computational Verification</w:t>
      </w:r>
    </w:p>
    <w:p>
      <w:pPr>
        <w:pStyle w:val="Heading2"/>
        <w:spacing w:before="280" w:after="120"/>
      </w:pPr>
      <w:r>
        <w:rPr>
          <w:rFonts w:ascii="Arial" w:cs="Arial" w:eastAsia="Arial" w:hAnsi="Arial"/>
          <w:b/>
          <w:bCs/>
          <w:color w:val="2E5FA3"/>
          <w:sz w:val="24"/>
          <w:szCs w:val="24"/>
        </w:rPr>
        <w:t xml:space="preserve">6.1 Methodology</w:t>
      </w:r>
    </w:p>
    <w:p>
      <w:pPr>
        <w:spacing w:before="120" w:after="120"/>
        <w:jc w:val="both"/>
      </w:pPr>
      <w:r>
        <w:rPr>
          <w:rFonts w:ascii="Arial" w:cs="Arial" w:eastAsia="Arial" w:hAnsi="Arial"/>
          <w:b w:val="false"/>
          <w:bCs w:val="false"/>
          <w:color w:val="000000"/>
          <w:sz w:val="20"/>
          <w:szCs w:val="20"/>
        </w:rPr>
        <w:t xml:space="preserve">We implemented both the original binary Lucas algorithm (following the approach expected of Murru et al.) and the optimized NAF algorithm in Python 3. For each odd composite n in the search range, both implementations are executed, their results compared for agreement, and multiplication counts recorded. The search uses a segmented Sieve of Eratosthenes to enumerate odd composites efficiently, supporting ranges beyond 2</w:t>
      </w:r>
      <w:r>
        <w:rPr>
          <w:rFonts w:ascii="Arial" w:cs="Arial" w:eastAsia="Arial" w:hAnsi="Arial"/>
          <w:b w:val="false"/>
          <w:bCs w:val="false"/>
          <w:color w:val="000000"/>
          <w:sz w:val="20"/>
          <w:szCs w:val="20"/>
          <w:vertAlign w:val="superscript"/>
        </w:rPr>
        <w:t xml:space="preserve">28</w:t>
      </w:r>
      <w:r>
        <w:rPr>
          <w:rFonts w:ascii="Arial" w:cs="Arial" w:eastAsia="Arial" w:hAnsi="Arial"/>
          <w:b w:val="false"/>
          <w:bCs w:val="false"/>
          <w:color w:val="000000"/>
          <w:sz w:val="20"/>
          <w:szCs w:val="20"/>
        </w:rPr>
        <w:t xml:space="preserve"> without memory overflow.</w:t>
      </w:r>
    </w:p>
    <w:p>
      <w:pPr>
        <w:spacing w:before="120" w:after="120"/>
        <w:jc w:val="both"/>
      </w:pPr>
      <w:r>
        <w:rPr>
          <w:rFonts w:ascii="Arial" w:cs="Arial" w:eastAsia="Arial" w:hAnsi="Arial"/>
          <w:color w:val="000000"/>
          <w:sz w:val="20"/>
          <w:szCs w:val="20"/>
        </w:rPr>
        <w:t xml:space="preserve">For ranges within 2²⁸, a simple sieve is used directly. For larger ranges, small primes are precomputed once and a sliding window sieve is applied to enumerate composites in blocks of 2¹⁸ candidates.</w:t>
      </w:r>
    </w:p>
    <w:p>
      <w:pPr>
        <w:pStyle w:val="Heading2"/>
        <w:spacing w:before="280" w:after="120"/>
      </w:pPr>
      <w:r>
        <w:rPr>
          <w:rFonts w:ascii="Arial" w:cs="Arial" w:eastAsia="Arial" w:hAnsi="Arial"/>
          <w:b/>
          <w:bCs/>
          <w:color w:val="2E5FA3"/>
          <w:sz w:val="24"/>
          <w:szCs w:val="24"/>
        </w:rPr>
        <w:t xml:space="preserve">6.2 Results</w:t>
      </w:r>
    </w:p>
    <w:p>
      <w:pPr>
        <w:spacing w:before="0" w:after="0"/>
      </w:pPr>
      <w:r>
        <w:rPr>
          <w:rFonts w:ascii="Arial" w:cs="Arial" w:eastAsia="Arial" w:hAnsi="Arial"/>
          <w:sz w:val="20"/>
          <w:szCs w:val="20"/>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800"/>
        <w:gridCol w:w="1880"/>
        <w:gridCol w:w="1880"/>
        <w:gridCol w:w="1400"/>
        <w:gridCol w:w="1400"/>
      </w:tblGrid>
      <w:tr>
        <w:trPr>
          <w:tblHeader/>
        </w:trPr>
        <w:tc>
          <w:tcPr>
            <w:tcW w:type="dxa" w:w="2800"/>
            <w:tcBorders>
              <w:top w:val="single" w:color="CCCCCC" w:sz="4"/>
              <w:left w:val="single" w:color="CCCCCC" w:sz="4"/>
              <w:bottom w:val="single" w:color="CCCCCC" w:sz="4"/>
              <w:right w:val="single" w:color="CCCCCC" w:sz="4"/>
            </w:tcBorders>
            <w:shd w:fill="1F3864" w:val="clear"/>
            <w:tcMar>
              <w:top w:type="dxa" w:w="80"/>
              <w:left w:type="dxa" w:w="120"/>
              <w:bottom w:type="dxa" w:w="80"/>
              <w:right w:type="dxa" w:w="120"/>
            </w:tcMar>
          </w:tcPr>
          <w:p>
            <w:pPr>
              <w:jc w:val="center"/>
            </w:pPr>
            <w:r>
              <w:rPr>
                <w:rFonts w:ascii="Arial" w:cs="Arial" w:eastAsia="Arial" w:hAnsi="Arial"/>
                <w:b/>
                <w:bCs/>
                <w:color w:val="FFFFFF"/>
                <w:sz w:val="19"/>
                <w:szCs w:val="19"/>
              </w:rPr>
              <w:t xml:space="preserve">Metric</w:t>
            </w:r>
          </w:p>
        </w:tc>
        <w:tc>
          <w:tcPr>
            <w:tcW w:type="dxa" w:w="1880"/>
            <w:tcBorders>
              <w:top w:val="single" w:color="CCCCCC" w:sz="4"/>
              <w:left w:val="single" w:color="CCCCCC" w:sz="4"/>
              <w:bottom w:val="single" w:color="CCCCCC" w:sz="4"/>
              <w:right w:val="single" w:color="CCCCCC" w:sz="4"/>
            </w:tcBorders>
            <w:shd w:fill="1F3864" w:val="clear"/>
            <w:tcMar>
              <w:top w:type="dxa" w:w="80"/>
              <w:left w:type="dxa" w:w="120"/>
              <w:bottom w:type="dxa" w:w="80"/>
              <w:right w:type="dxa" w:w="120"/>
            </w:tcMar>
          </w:tcPr>
          <w:p>
            <w:pPr>
              <w:jc w:val="center"/>
            </w:pPr>
            <w:r>
              <w:rPr>
                <w:rFonts w:ascii="Arial" w:cs="Arial" w:eastAsia="Arial" w:hAnsi="Arial"/>
                <w:b/>
                <w:bCs/>
                <w:color w:val="FFFFFF"/>
                <w:sz w:val="19"/>
                <w:szCs w:val="19"/>
              </w:rPr>
              <w:t xml:space="preserve">Original</w:t>
            </w:r>
          </w:p>
        </w:tc>
        <w:tc>
          <w:tcPr>
            <w:tcW w:type="dxa" w:w="1880"/>
            <w:tcBorders>
              <w:top w:val="single" w:color="CCCCCC" w:sz="4"/>
              <w:left w:val="single" w:color="CCCCCC" w:sz="4"/>
              <w:bottom w:val="single" w:color="CCCCCC" w:sz="4"/>
              <w:right w:val="single" w:color="CCCCCC" w:sz="4"/>
            </w:tcBorders>
            <w:shd w:fill="1F3864" w:val="clear"/>
            <w:tcMar>
              <w:top w:type="dxa" w:w="80"/>
              <w:left w:type="dxa" w:w="120"/>
              <w:bottom w:type="dxa" w:w="80"/>
              <w:right w:type="dxa" w:w="120"/>
            </w:tcMar>
          </w:tcPr>
          <w:p>
            <w:pPr>
              <w:jc w:val="center"/>
            </w:pPr>
            <w:r>
              <w:rPr>
                <w:rFonts w:ascii="Arial" w:cs="Arial" w:eastAsia="Arial" w:hAnsi="Arial"/>
                <w:b/>
                <w:bCs/>
                <w:color w:val="FFFFFF"/>
                <w:sz w:val="19"/>
                <w:szCs w:val="19"/>
              </w:rPr>
              <w:t xml:space="preserve">Optimized</w:t>
            </w:r>
          </w:p>
        </w:tc>
        <w:tc>
          <w:tcPr>
            <w:tcW w:type="dxa" w:w="1400"/>
            <w:tcBorders>
              <w:top w:val="single" w:color="CCCCCC" w:sz="4"/>
              <w:left w:val="single" w:color="CCCCCC" w:sz="4"/>
              <w:bottom w:val="single" w:color="CCCCCC" w:sz="4"/>
              <w:right w:val="single" w:color="CCCCCC" w:sz="4"/>
            </w:tcBorders>
            <w:shd w:fill="1F3864" w:val="clear"/>
            <w:tcMar>
              <w:top w:type="dxa" w:w="80"/>
              <w:left w:type="dxa" w:w="120"/>
              <w:bottom w:type="dxa" w:w="80"/>
              <w:right w:type="dxa" w:w="120"/>
            </w:tcMar>
          </w:tcPr>
          <w:p>
            <w:pPr>
              <w:jc w:val="center"/>
            </w:pPr>
            <w:r>
              <w:rPr>
                <w:rFonts w:ascii="Arial" w:cs="Arial" w:eastAsia="Arial" w:hAnsi="Arial"/>
                <w:b/>
                <w:bCs/>
                <w:color w:val="FFFFFF"/>
                <w:sz w:val="19"/>
                <w:szCs w:val="19"/>
              </w:rPr>
              <w:t xml:space="preserve">Reduction</w:t>
            </w:r>
          </w:p>
        </w:tc>
        <w:tc>
          <w:tcPr>
            <w:tcW w:type="dxa" w:w="1400"/>
            <w:tcBorders>
              <w:top w:val="single" w:color="CCCCCC" w:sz="4"/>
              <w:left w:val="single" w:color="CCCCCC" w:sz="4"/>
              <w:bottom w:val="single" w:color="CCCCCC" w:sz="4"/>
              <w:right w:val="single" w:color="CCCCCC" w:sz="4"/>
            </w:tcBorders>
            <w:shd w:fill="1F3864" w:val="clear"/>
            <w:tcMar>
              <w:top w:type="dxa" w:w="80"/>
              <w:left w:type="dxa" w:w="120"/>
              <w:bottom w:type="dxa" w:w="80"/>
              <w:right w:type="dxa" w:w="120"/>
            </w:tcMar>
          </w:tcPr>
          <w:p>
            <w:pPr>
              <w:jc w:val="center"/>
            </w:pPr>
            <w:r>
              <w:rPr>
                <w:rFonts w:ascii="Arial" w:cs="Arial" w:eastAsia="Arial" w:hAnsi="Arial"/>
                <w:b/>
                <w:bCs/>
                <w:color w:val="FFFFFF"/>
                <w:sz w:val="19"/>
                <w:szCs w:val="19"/>
              </w:rPr>
              <w:t xml:space="preserve"/>
            </w:r>
          </w:p>
        </w:tc>
      </w:tr>
      <w:tr>
        <w:tc>
          <w:tcPr>
            <w:tcW w:type="dxa" w:w="2800"/>
            <w:tcBorders>
              <w:top w:val="single" w:color="CCCCCC" w:sz="4"/>
              <w:left w:val="single" w:color="CCCCCC" w:sz="4"/>
              <w:bottom w:val="single" w:color="CCCCCC" w:sz="4"/>
              <w:right w:val="single" w:color="CCCCCC" w:sz="4"/>
            </w:tcBorders>
            <w:tcMar>
              <w:top w:type="dxa" w:w="80"/>
              <w:left w:type="dxa" w:w="120"/>
              <w:bottom w:type="dxa" w:w="80"/>
              <w:right w:type="dxa" w:w="120"/>
            </w:tcMar>
          </w:tcPr>
          <w:p>
            <w:pPr>
              <w:jc w:val="left"/>
            </w:pPr>
            <w:r>
              <w:rPr>
                <w:rFonts w:ascii="Arial" w:cs="Arial" w:eastAsia="Arial" w:hAnsi="Arial"/>
                <w:b w:val="false"/>
                <w:bCs w:val="false"/>
                <w:color w:val="000000"/>
                <w:sz w:val="19"/>
                <w:szCs w:val="19"/>
              </w:rPr>
              <w:t xml:space="preserve">Range tested</w:t>
            </w:r>
          </w:p>
        </w:tc>
        <w:tc>
          <w:tcPr>
            <w:tcW w:type="dxa" w:w="1880"/>
            <w:tcBorders>
              <w:top w:val="single" w:color="CCCCCC" w:sz="4"/>
              <w:left w:val="single" w:color="CCCCCC" w:sz="4"/>
              <w:bottom w:val="single" w:color="CCCCCC" w:sz="4"/>
              <w:right w:val="single" w:color="CCCCCC" w:sz="4"/>
            </w:tcBorders>
            <w:tcMar>
              <w:top w:type="dxa" w:w="80"/>
              <w:left w:type="dxa" w:w="120"/>
              <w:bottom w:type="dxa" w:w="80"/>
              <w:right w:type="dxa" w:w="120"/>
            </w:tcMar>
          </w:tcPr>
          <w:p>
            <w:pPr>
              <w:jc w:val="left"/>
            </w:pPr>
            <w:r>
              <w:rPr>
                <w:rFonts w:ascii="Arial" w:cs="Arial" w:eastAsia="Arial" w:hAnsi="Arial"/>
                <w:b w:val="false"/>
                <w:bCs w:val="false"/>
                <w:color w:val="000000"/>
                <w:sz w:val="19"/>
                <w:szCs w:val="19"/>
              </w:rPr>
              <w:t xml:space="preserve">3 – 10⁶</w:t>
            </w:r>
          </w:p>
        </w:tc>
        <w:tc>
          <w:tcPr>
            <w:tcW w:type="dxa" w:w="1880"/>
            <w:tcBorders>
              <w:top w:val="single" w:color="CCCCCC" w:sz="4"/>
              <w:left w:val="single" w:color="CCCCCC" w:sz="4"/>
              <w:bottom w:val="single" w:color="CCCCCC" w:sz="4"/>
              <w:right w:val="single" w:color="CCCCCC" w:sz="4"/>
            </w:tcBorders>
            <w:tcMar>
              <w:top w:type="dxa" w:w="80"/>
              <w:left w:type="dxa" w:w="120"/>
              <w:bottom w:type="dxa" w:w="80"/>
              <w:right w:type="dxa" w:w="120"/>
            </w:tcMar>
          </w:tcPr>
          <w:p>
            <w:pPr>
              <w:jc w:val="left"/>
            </w:pPr>
            <w:r>
              <w:rPr>
                <w:rFonts w:ascii="Arial" w:cs="Arial" w:eastAsia="Arial" w:hAnsi="Arial"/>
                <w:b w:val="false"/>
                <w:bCs w:val="false"/>
                <w:color w:val="000000"/>
                <w:sz w:val="19"/>
                <w:szCs w:val="19"/>
              </w:rPr>
              <w:t xml:space="preserve">3 – 10⁶</w:t>
            </w:r>
          </w:p>
        </w:tc>
        <w:tc>
          <w:tcPr>
            <w:tcW w:type="dxa" w:w="1400"/>
            <w:tcBorders>
              <w:top w:val="single" w:color="CCCCCC" w:sz="4"/>
              <w:left w:val="single" w:color="CCCCCC" w:sz="4"/>
              <w:bottom w:val="single" w:color="CCCCCC" w:sz="4"/>
              <w:right w:val="single" w:color="CCCCCC" w:sz="4"/>
            </w:tcBorders>
            <w:tcMar>
              <w:top w:type="dxa" w:w="80"/>
              <w:left w:type="dxa" w:w="120"/>
              <w:bottom w:type="dxa" w:w="80"/>
              <w:right w:type="dxa" w:w="120"/>
            </w:tcMar>
          </w:tcPr>
          <w:p>
            <w:pPr>
              <w:jc w:val="left"/>
            </w:pPr>
            <w:r>
              <w:rPr>
                <w:rFonts w:ascii="Arial" w:cs="Arial" w:eastAsia="Arial" w:hAnsi="Arial"/>
                <w:b w:val="false"/>
                <w:bCs w:val="false"/>
                <w:color w:val="000000"/>
                <w:sz w:val="19"/>
                <w:szCs w:val="19"/>
              </w:rPr>
              <w:t xml:space="preserve">—</w:t>
            </w:r>
          </w:p>
        </w:tc>
        <w:tc>
          <w:tcPr>
            <w:tcW w:type="dxa" w:w="1400"/>
            <w:tcBorders>
              <w:top w:val="single" w:color="CCCCCC" w:sz="4"/>
              <w:left w:val="single" w:color="CCCCCC" w:sz="4"/>
              <w:bottom w:val="single" w:color="CCCCCC" w:sz="4"/>
              <w:right w:val="single" w:color="CCCCCC" w:sz="4"/>
            </w:tcBorders>
            <w:tcMar>
              <w:top w:type="dxa" w:w="80"/>
              <w:left w:type="dxa" w:w="120"/>
              <w:bottom w:type="dxa" w:w="80"/>
              <w:right w:type="dxa" w:w="120"/>
            </w:tcMar>
          </w:tcPr>
          <w:p>
            <w:pPr>
              <w:jc w:val="left"/>
            </w:pPr>
            <w:r>
              <w:rPr>
                <w:rFonts w:ascii="Arial" w:cs="Arial" w:eastAsia="Arial" w:hAnsi="Arial"/>
                <w:b w:val="false"/>
                <w:bCs w:val="false"/>
                <w:color w:val="000000"/>
                <w:sz w:val="19"/>
                <w:szCs w:val="19"/>
              </w:rPr>
              <w:t xml:space="preserve"/>
            </w:r>
          </w:p>
        </w:tc>
      </w:tr>
      <w:tr>
        <w:tc>
          <w:tcPr>
            <w:tcW w:type="dxa" w:w="2800"/>
            <w:tcBorders>
              <w:top w:val="single" w:color="CCCCCC" w:sz="4"/>
              <w:left w:val="single" w:color="CCCCCC" w:sz="4"/>
              <w:bottom w:val="single" w:color="CCCCCC" w:sz="4"/>
              <w:right w:val="single" w:color="CCCCCC" w:sz="4"/>
            </w:tcBorders>
            <w:shd w:fill="F2F4F7" w:val="clear"/>
            <w:tcMar>
              <w:top w:type="dxa" w:w="80"/>
              <w:left w:type="dxa" w:w="120"/>
              <w:bottom w:type="dxa" w:w="80"/>
              <w:right w:type="dxa" w:w="120"/>
            </w:tcMar>
          </w:tcPr>
          <w:p>
            <w:pPr>
              <w:jc w:val="left"/>
            </w:pPr>
            <w:r>
              <w:rPr>
                <w:rFonts w:ascii="Arial" w:cs="Arial" w:eastAsia="Arial" w:hAnsi="Arial"/>
                <w:b w:val="false"/>
                <w:bCs w:val="false"/>
                <w:color w:val="000000"/>
                <w:sz w:val="19"/>
                <w:szCs w:val="19"/>
              </w:rPr>
              <w:t xml:space="preserve">Odd composites tested</w:t>
            </w:r>
          </w:p>
        </w:tc>
        <w:tc>
          <w:tcPr>
            <w:tcW w:type="dxa" w:w="1880"/>
            <w:tcBorders>
              <w:top w:val="single" w:color="CCCCCC" w:sz="4"/>
              <w:left w:val="single" w:color="CCCCCC" w:sz="4"/>
              <w:bottom w:val="single" w:color="CCCCCC" w:sz="4"/>
              <w:right w:val="single" w:color="CCCCCC" w:sz="4"/>
            </w:tcBorders>
            <w:shd w:fill="F2F4F7" w:val="clear"/>
            <w:tcMar>
              <w:top w:type="dxa" w:w="80"/>
              <w:left w:type="dxa" w:w="120"/>
              <w:bottom w:type="dxa" w:w="80"/>
              <w:right w:type="dxa" w:w="120"/>
            </w:tcMar>
          </w:tcPr>
          <w:p>
            <w:pPr>
              <w:jc w:val="left"/>
            </w:pPr>
            <w:r>
              <w:rPr>
                <w:rFonts w:ascii="Arial" w:cs="Arial" w:eastAsia="Arial" w:hAnsi="Arial"/>
                <w:b w:val="false"/>
                <w:bCs w:val="false"/>
                <w:color w:val="000000"/>
                <w:sz w:val="19"/>
                <w:szCs w:val="19"/>
              </w:rPr>
              <w:t xml:space="preserve">421,502</w:t>
            </w:r>
          </w:p>
        </w:tc>
        <w:tc>
          <w:tcPr>
            <w:tcW w:type="dxa" w:w="1880"/>
            <w:tcBorders>
              <w:top w:val="single" w:color="CCCCCC" w:sz="4"/>
              <w:left w:val="single" w:color="CCCCCC" w:sz="4"/>
              <w:bottom w:val="single" w:color="CCCCCC" w:sz="4"/>
              <w:right w:val="single" w:color="CCCCCC" w:sz="4"/>
            </w:tcBorders>
            <w:shd w:fill="F2F4F7" w:val="clear"/>
            <w:tcMar>
              <w:top w:type="dxa" w:w="80"/>
              <w:left w:type="dxa" w:w="120"/>
              <w:bottom w:type="dxa" w:w="80"/>
              <w:right w:type="dxa" w:w="120"/>
            </w:tcMar>
          </w:tcPr>
          <w:p>
            <w:pPr>
              <w:jc w:val="left"/>
            </w:pPr>
            <w:r>
              <w:rPr>
                <w:rFonts w:ascii="Arial" w:cs="Arial" w:eastAsia="Arial" w:hAnsi="Arial"/>
                <w:b w:val="false"/>
                <w:bCs w:val="false"/>
                <w:color w:val="000000"/>
                <w:sz w:val="19"/>
                <w:szCs w:val="19"/>
              </w:rPr>
              <w:t xml:space="preserve">421,502</w:t>
            </w:r>
          </w:p>
        </w:tc>
        <w:tc>
          <w:tcPr>
            <w:tcW w:type="dxa" w:w="1400"/>
            <w:tcBorders>
              <w:top w:val="single" w:color="CCCCCC" w:sz="4"/>
              <w:left w:val="single" w:color="CCCCCC" w:sz="4"/>
              <w:bottom w:val="single" w:color="CCCCCC" w:sz="4"/>
              <w:right w:val="single" w:color="CCCCCC" w:sz="4"/>
            </w:tcBorders>
            <w:shd w:fill="F2F4F7" w:val="clear"/>
            <w:tcMar>
              <w:top w:type="dxa" w:w="80"/>
              <w:left w:type="dxa" w:w="120"/>
              <w:bottom w:type="dxa" w:w="80"/>
              <w:right w:type="dxa" w:w="120"/>
            </w:tcMar>
          </w:tcPr>
          <w:p>
            <w:pPr>
              <w:jc w:val="left"/>
            </w:pPr>
            <w:r>
              <w:rPr>
                <w:rFonts w:ascii="Arial" w:cs="Arial" w:eastAsia="Arial" w:hAnsi="Arial"/>
                <w:b w:val="false"/>
                <w:bCs w:val="false"/>
                <w:color w:val="000000"/>
                <w:sz w:val="19"/>
                <w:szCs w:val="19"/>
              </w:rPr>
              <w:t xml:space="preserve">—</w:t>
            </w:r>
          </w:p>
        </w:tc>
        <w:tc>
          <w:tcPr>
            <w:tcW w:type="dxa" w:w="1400"/>
            <w:tcBorders>
              <w:top w:val="single" w:color="CCCCCC" w:sz="4"/>
              <w:left w:val="single" w:color="CCCCCC" w:sz="4"/>
              <w:bottom w:val="single" w:color="CCCCCC" w:sz="4"/>
              <w:right w:val="single" w:color="CCCCCC" w:sz="4"/>
            </w:tcBorders>
            <w:shd w:fill="F2F4F7" w:val="clear"/>
            <w:tcMar>
              <w:top w:type="dxa" w:w="80"/>
              <w:left w:type="dxa" w:w="120"/>
              <w:bottom w:type="dxa" w:w="80"/>
              <w:right w:type="dxa" w:w="120"/>
            </w:tcMar>
          </w:tcPr>
          <w:p>
            <w:pPr>
              <w:jc w:val="left"/>
            </w:pPr>
            <w:r>
              <w:rPr>
                <w:rFonts w:ascii="Arial" w:cs="Arial" w:eastAsia="Arial" w:hAnsi="Arial"/>
                <w:b w:val="false"/>
                <w:bCs w:val="false"/>
                <w:color w:val="000000"/>
                <w:sz w:val="19"/>
                <w:szCs w:val="19"/>
              </w:rPr>
              <w:t xml:space="preserve"/>
            </w:r>
          </w:p>
        </w:tc>
      </w:tr>
      <w:tr>
        <w:tc>
          <w:tcPr>
            <w:tcW w:type="dxa" w:w="2800"/>
            <w:tcBorders>
              <w:top w:val="single" w:color="CCCCCC" w:sz="4"/>
              <w:left w:val="single" w:color="CCCCCC" w:sz="4"/>
              <w:bottom w:val="single" w:color="CCCCCC" w:sz="4"/>
              <w:right w:val="single" w:color="CCCCCC" w:sz="4"/>
            </w:tcBorders>
            <w:tcMar>
              <w:top w:type="dxa" w:w="80"/>
              <w:left w:type="dxa" w:w="120"/>
              <w:bottom w:type="dxa" w:w="80"/>
              <w:right w:type="dxa" w:w="120"/>
            </w:tcMar>
          </w:tcPr>
          <w:p>
            <w:pPr>
              <w:jc w:val="left"/>
            </w:pPr>
            <w:r>
              <w:rPr>
                <w:rFonts w:ascii="Arial" w:cs="Arial" w:eastAsia="Arial" w:hAnsi="Arial"/>
                <w:b w:val="false"/>
                <w:bCs w:val="false"/>
                <w:color w:val="000000"/>
                <w:sz w:val="19"/>
                <w:szCs w:val="19"/>
              </w:rPr>
              <w:t xml:space="preserve">Pseudoprimes found</w:t>
            </w:r>
          </w:p>
        </w:tc>
        <w:tc>
          <w:tcPr>
            <w:tcW w:type="dxa" w:w="1880"/>
            <w:tcBorders>
              <w:top w:val="single" w:color="CCCCCC" w:sz="4"/>
              <w:left w:val="single" w:color="CCCCCC" w:sz="4"/>
              <w:bottom w:val="single" w:color="CCCCCC" w:sz="4"/>
              <w:right w:val="single" w:color="CCCCCC" w:sz="4"/>
            </w:tcBorders>
            <w:tcMar>
              <w:top w:type="dxa" w:w="80"/>
              <w:left w:type="dxa" w:w="120"/>
              <w:bottom w:type="dxa" w:w="80"/>
              <w:right w:type="dxa" w:w="120"/>
            </w:tcMar>
          </w:tcPr>
          <w:p>
            <w:pPr>
              <w:jc w:val="left"/>
            </w:pPr>
            <w:r>
              <w:rPr>
                <w:rFonts w:ascii="Arial" w:cs="Arial" w:eastAsia="Arial" w:hAnsi="Arial"/>
                <w:b w:val="false"/>
                <w:bCs w:val="false"/>
                <w:color w:val="000000"/>
                <w:sz w:val="19"/>
                <w:szCs w:val="19"/>
              </w:rPr>
              <w:t xml:space="preserve">0</w:t>
            </w:r>
          </w:p>
        </w:tc>
        <w:tc>
          <w:tcPr>
            <w:tcW w:type="dxa" w:w="1880"/>
            <w:tcBorders>
              <w:top w:val="single" w:color="CCCCCC" w:sz="4"/>
              <w:left w:val="single" w:color="CCCCCC" w:sz="4"/>
              <w:bottom w:val="single" w:color="CCCCCC" w:sz="4"/>
              <w:right w:val="single" w:color="CCCCCC" w:sz="4"/>
            </w:tcBorders>
            <w:tcMar>
              <w:top w:type="dxa" w:w="80"/>
              <w:left w:type="dxa" w:w="120"/>
              <w:bottom w:type="dxa" w:w="80"/>
              <w:right w:type="dxa" w:w="120"/>
            </w:tcMar>
          </w:tcPr>
          <w:p>
            <w:pPr>
              <w:jc w:val="left"/>
            </w:pPr>
            <w:r>
              <w:rPr>
                <w:rFonts w:ascii="Arial" w:cs="Arial" w:eastAsia="Arial" w:hAnsi="Arial"/>
                <w:b w:val="false"/>
                <w:bCs w:val="false"/>
                <w:color w:val="000000"/>
                <w:sz w:val="19"/>
                <w:szCs w:val="19"/>
              </w:rPr>
              <w:t xml:space="preserve">0</w:t>
            </w:r>
          </w:p>
        </w:tc>
        <w:tc>
          <w:tcPr>
            <w:tcW w:type="dxa" w:w="1400"/>
            <w:tcBorders>
              <w:top w:val="single" w:color="CCCCCC" w:sz="4"/>
              <w:left w:val="single" w:color="CCCCCC" w:sz="4"/>
              <w:bottom w:val="single" w:color="CCCCCC" w:sz="4"/>
              <w:right w:val="single" w:color="CCCCCC" w:sz="4"/>
            </w:tcBorders>
            <w:tcMar>
              <w:top w:type="dxa" w:w="80"/>
              <w:left w:type="dxa" w:w="120"/>
              <w:bottom w:type="dxa" w:w="80"/>
              <w:right w:type="dxa" w:w="120"/>
            </w:tcMar>
          </w:tcPr>
          <w:p>
            <w:pPr>
              <w:jc w:val="left"/>
            </w:pPr>
            <w:r>
              <w:rPr>
                <w:rFonts w:ascii="Arial" w:cs="Arial" w:eastAsia="Arial" w:hAnsi="Arial"/>
                <w:b w:val="false"/>
                <w:bCs w:val="false"/>
                <w:color w:val="000000"/>
                <w:sz w:val="19"/>
                <w:szCs w:val="19"/>
              </w:rPr>
              <w:t xml:space="preserve">—</w:t>
            </w:r>
          </w:p>
        </w:tc>
        <w:tc>
          <w:tcPr>
            <w:tcW w:type="dxa" w:w="1400"/>
            <w:tcBorders>
              <w:top w:val="single" w:color="CCCCCC" w:sz="4"/>
              <w:left w:val="single" w:color="CCCCCC" w:sz="4"/>
              <w:bottom w:val="single" w:color="CCCCCC" w:sz="4"/>
              <w:right w:val="single" w:color="CCCCCC" w:sz="4"/>
            </w:tcBorders>
            <w:tcMar>
              <w:top w:type="dxa" w:w="80"/>
              <w:left w:type="dxa" w:w="120"/>
              <w:bottom w:type="dxa" w:w="80"/>
              <w:right w:type="dxa" w:w="120"/>
            </w:tcMar>
          </w:tcPr>
          <w:p>
            <w:pPr>
              <w:jc w:val="left"/>
            </w:pPr>
            <w:r>
              <w:rPr>
                <w:rFonts w:ascii="Arial" w:cs="Arial" w:eastAsia="Arial" w:hAnsi="Arial"/>
                <w:b w:val="false"/>
                <w:bCs w:val="false"/>
                <w:color w:val="000000"/>
                <w:sz w:val="19"/>
                <w:szCs w:val="19"/>
              </w:rPr>
              <w:t xml:space="preserve"/>
            </w:r>
          </w:p>
        </w:tc>
      </w:tr>
      <w:tr>
        <w:tc>
          <w:tcPr>
            <w:tcW w:type="dxa" w:w="2800"/>
            <w:tcBorders>
              <w:top w:val="single" w:color="CCCCCC" w:sz="4"/>
              <w:left w:val="single" w:color="CCCCCC" w:sz="4"/>
              <w:bottom w:val="single" w:color="CCCCCC" w:sz="4"/>
              <w:right w:val="single" w:color="CCCCCC" w:sz="4"/>
            </w:tcBorders>
            <w:shd w:fill="F2F4F7" w:val="clear"/>
            <w:tcMar>
              <w:top w:type="dxa" w:w="80"/>
              <w:left w:type="dxa" w:w="120"/>
              <w:bottom w:type="dxa" w:w="80"/>
              <w:right w:type="dxa" w:w="120"/>
            </w:tcMar>
          </w:tcPr>
          <w:p>
            <w:pPr>
              <w:jc w:val="left"/>
            </w:pPr>
            <w:r>
              <w:rPr>
                <w:rFonts w:ascii="Arial" w:cs="Arial" w:eastAsia="Arial" w:hAnsi="Arial"/>
                <w:b w:val="false"/>
                <w:bCs w:val="false"/>
                <w:color w:val="000000"/>
                <w:sz w:val="19"/>
                <w:szCs w:val="19"/>
              </w:rPr>
              <w:t xml:space="preserve">Total multiplications</w:t>
            </w:r>
          </w:p>
        </w:tc>
        <w:tc>
          <w:tcPr>
            <w:tcW w:type="dxa" w:w="1880"/>
            <w:tcBorders>
              <w:top w:val="single" w:color="CCCCCC" w:sz="4"/>
              <w:left w:val="single" w:color="CCCCCC" w:sz="4"/>
              <w:bottom w:val="single" w:color="CCCCCC" w:sz="4"/>
              <w:right w:val="single" w:color="CCCCCC" w:sz="4"/>
            </w:tcBorders>
            <w:shd w:fill="F2F4F7" w:val="clear"/>
            <w:tcMar>
              <w:top w:type="dxa" w:w="80"/>
              <w:left w:type="dxa" w:w="120"/>
              <w:bottom w:type="dxa" w:w="80"/>
              <w:right w:type="dxa" w:w="120"/>
            </w:tcMar>
          </w:tcPr>
          <w:p>
            <w:pPr>
              <w:jc w:val="left"/>
            </w:pPr>
            <w:r>
              <w:rPr>
                <w:rFonts w:ascii="Arial" w:cs="Arial" w:eastAsia="Arial" w:hAnsi="Arial"/>
                <w:b w:val="false"/>
                <w:bCs w:val="false"/>
                <w:color w:val="000000"/>
                <w:sz w:val="19"/>
                <w:szCs w:val="19"/>
              </w:rPr>
              <w:t xml:space="preserve">13,558</w:t>
            </w:r>
          </w:p>
        </w:tc>
        <w:tc>
          <w:tcPr>
            <w:tcW w:type="dxa" w:w="1880"/>
            <w:tcBorders>
              <w:top w:val="single" w:color="CCCCCC" w:sz="4"/>
              <w:left w:val="single" w:color="CCCCCC" w:sz="4"/>
              <w:bottom w:val="single" w:color="CCCCCC" w:sz="4"/>
              <w:right w:val="single" w:color="CCCCCC" w:sz="4"/>
            </w:tcBorders>
            <w:shd w:fill="F2F4F7" w:val="clear"/>
            <w:tcMar>
              <w:top w:type="dxa" w:w="80"/>
              <w:left w:type="dxa" w:w="120"/>
              <w:bottom w:type="dxa" w:w="80"/>
              <w:right w:type="dxa" w:w="120"/>
            </w:tcMar>
          </w:tcPr>
          <w:p>
            <w:pPr>
              <w:jc w:val="left"/>
            </w:pPr>
            <w:r>
              <w:rPr>
                <w:rFonts w:ascii="Arial" w:cs="Arial" w:eastAsia="Arial" w:hAnsi="Arial"/>
                <w:b w:val="false"/>
                <w:bCs w:val="false"/>
                <w:color w:val="000000"/>
                <w:sz w:val="19"/>
                <w:szCs w:val="19"/>
              </w:rPr>
              <w:t xml:space="preserve">12,804</w:t>
            </w:r>
          </w:p>
        </w:tc>
        <w:tc>
          <w:tcPr>
            <w:tcW w:type="dxa" w:w="1400"/>
            <w:tcBorders>
              <w:top w:val="single" w:color="CCCCCC" w:sz="4"/>
              <w:left w:val="single" w:color="CCCCCC" w:sz="4"/>
              <w:bottom w:val="single" w:color="CCCCCC" w:sz="4"/>
              <w:right w:val="single" w:color="CCCCCC" w:sz="4"/>
            </w:tcBorders>
            <w:shd w:fill="F2F4F7" w:val="clear"/>
            <w:tcMar>
              <w:top w:type="dxa" w:w="80"/>
              <w:left w:type="dxa" w:w="120"/>
              <w:bottom w:type="dxa" w:w="80"/>
              <w:right w:type="dxa" w:w="120"/>
            </w:tcMar>
          </w:tcPr>
          <w:p>
            <w:pPr>
              <w:jc w:val="left"/>
            </w:pPr>
            <w:r>
              <w:rPr>
                <w:rFonts w:ascii="Arial" w:cs="Arial" w:eastAsia="Arial" w:hAnsi="Arial"/>
                <w:b w:val="false"/>
                <w:bCs w:val="false"/>
                <w:color w:val="000000"/>
                <w:sz w:val="19"/>
                <w:szCs w:val="19"/>
              </w:rPr>
              <w:t xml:space="preserve">5.6%</w:t>
            </w:r>
          </w:p>
        </w:tc>
        <w:tc>
          <w:tcPr>
            <w:tcW w:type="dxa" w:w="1400"/>
            <w:tcBorders>
              <w:top w:val="single" w:color="CCCCCC" w:sz="4"/>
              <w:left w:val="single" w:color="CCCCCC" w:sz="4"/>
              <w:bottom w:val="single" w:color="CCCCCC" w:sz="4"/>
              <w:right w:val="single" w:color="CCCCCC" w:sz="4"/>
            </w:tcBorders>
            <w:shd w:fill="F2F4F7" w:val="clear"/>
            <w:tcMar>
              <w:top w:type="dxa" w:w="80"/>
              <w:left w:type="dxa" w:w="120"/>
              <w:bottom w:type="dxa" w:w="80"/>
              <w:right w:type="dxa" w:w="120"/>
            </w:tcMar>
          </w:tcPr>
          <w:p>
            <w:pPr>
              <w:jc w:val="left"/>
            </w:pPr>
            <w:r>
              <w:rPr>
                <w:rFonts w:ascii="Arial" w:cs="Arial" w:eastAsia="Arial" w:hAnsi="Arial"/>
                <w:b w:val="false"/>
                <w:bCs w:val="false"/>
                <w:color w:val="000000"/>
                <w:sz w:val="19"/>
                <w:szCs w:val="19"/>
              </w:rPr>
              <w:t xml:space="preserve"/>
            </w:r>
          </w:p>
        </w:tc>
      </w:tr>
      <w:tr>
        <w:tc>
          <w:tcPr>
            <w:tcW w:type="dxa" w:w="2800"/>
            <w:tcBorders>
              <w:top w:val="single" w:color="CCCCCC" w:sz="4"/>
              <w:left w:val="single" w:color="CCCCCC" w:sz="4"/>
              <w:bottom w:val="single" w:color="CCCCCC" w:sz="4"/>
              <w:right w:val="single" w:color="CCCCCC" w:sz="4"/>
            </w:tcBorders>
            <w:tcMar>
              <w:top w:type="dxa" w:w="80"/>
              <w:left w:type="dxa" w:w="120"/>
              <w:bottom w:type="dxa" w:w="80"/>
              <w:right w:type="dxa" w:w="120"/>
            </w:tcMar>
          </w:tcPr>
          <w:p>
            <w:pPr>
              <w:jc w:val="left"/>
            </w:pPr>
            <w:r>
              <w:rPr>
                <w:rFonts w:ascii="Arial" w:cs="Arial" w:eastAsia="Arial" w:hAnsi="Arial"/>
                <w:b w:val="false"/>
                <w:bCs w:val="false"/>
                <w:color w:val="000000"/>
                <w:sz w:val="19"/>
                <w:szCs w:val="19"/>
              </w:rPr>
              <w:t xml:space="preserve">Wall-clock time (s)</w:t>
            </w:r>
          </w:p>
        </w:tc>
        <w:tc>
          <w:tcPr>
            <w:tcW w:type="dxa" w:w="1880"/>
            <w:tcBorders>
              <w:top w:val="single" w:color="CCCCCC" w:sz="4"/>
              <w:left w:val="single" w:color="CCCCCC" w:sz="4"/>
              <w:bottom w:val="single" w:color="CCCCCC" w:sz="4"/>
              <w:right w:val="single" w:color="CCCCCC" w:sz="4"/>
            </w:tcBorders>
            <w:tcMar>
              <w:top w:type="dxa" w:w="80"/>
              <w:left w:type="dxa" w:w="120"/>
              <w:bottom w:type="dxa" w:w="80"/>
              <w:right w:type="dxa" w:w="120"/>
            </w:tcMar>
          </w:tcPr>
          <w:p>
            <w:pPr>
              <w:jc w:val="left"/>
            </w:pPr>
            <w:r>
              <w:rPr>
                <w:rFonts w:ascii="Arial" w:cs="Arial" w:eastAsia="Arial" w:hAnsi="Arial"/>
                <w:b w:val="false"/>
                <w:bCs w:val="false"/>
                <w:color w:val="000000"/>
                <w:sz w:val="19"/>
                <w:szCs w:val="19"/>
              </w:rPr>
              <w:t xml:space="preserve">0.485</w:t>
            </w:r>
          </w:p>
        </w:tc>
        <w:tc>
          <w:tcPr>
            <w:tcW w:type="dxa" w:w="1880"/>
            <w:tcBorders>
              <w:top w:val="single" w:color="CCCCCC" w:sz="4"/>
              <w:left w:val="single" w:color="CCCCCC" w:sz="4"/>
              <w:bottom w:val="single" w:color="CCCCCC" w:sz="4"/>
              <w:right w:val="single" w:color="CCCCCC" w:sz="4"/>
            </w:tcBorders>
            <w:tcMar>
              <w:top w:type="dxa" w:w="80"/>
              <w:left w:type="dxa" w:w="120"/>
              <w:bottom w:type="dxa" w:w="80"/>
              <w:right w:type="dxa" w:w="120"/>
            </w:tcMar>
          </w:tcPr>
          <w:p>
            <w:pPr>
              <w:jc w:val="left"/>
            </w:pPr>
            <w:r>
              <w:rPr>
                <w:rFonts w:ascii="Arial" w:cs="Arial" w:eastAsia="Arial" w:hAnsi="Arial"/>
                <w:b w:val="false"/>
                <w:bCs w:val="false"/>
                <w:color w:val="000000"/>
                <w:sz w:val="19"/>
                <w:szCs w:val="19"/>
              </w:rPr>
              <w:t xml:space="preserve">0.452</w:t>
            </w:r>
          </w:p>
        </w:tc>
        <w:tc>
          <w:tcPr>
            <w:tcW w:type="dxa" w:w="1400"/>
            <w:tcBorders>
              <w:top w:val="single" w:color="CCCCCC" w:sz="4"/>
              <w:left w:val="single" w:color="CCCCCC" w:sz="4"/>
              <w:bottom w:val="single" w:color="CCCCCC" w:sz="4"/>
              <w:right w:val="single" w:color="CCCCCC" w:sz="4"/>
            </w:tcBorders>
            <w:tcMar>
              <w:top w:type="dxa" w:w="80"/>
              <w:left w:type="dxa" w:w="120"/>
              <w:bottom w:type="dxa" w:w="80"/>
              <w:right w:type="dxa" w:w="120"/>
            </w:tcMar>
          </w:tcPr>
          <w:p>
            <w:pPr>
              <w:jc w:val="left"/>
            </w:pPr>
            <w:r>
              <w:rPr>
                <w:rFonts w:ascii="Arial" w:cs="Arial" w:eastAsia="Arial" w:hAnsi="Arial"/>
                <w:b w:val="false"/>
                <w:bCs w:val="false"/>
                <w:color w:val="000000"/>
                <w:sz w:val="19"/>
                <w:szCs w:val="19"/>
              </w:rPr>
              <w:t xml:space="preserve">6.8%</w:t>
            </w:r>
          </w:p>
        </w:tc>
        <w:tc>
          <w:tcPr>
            <w:tcW w:type="dxa" w:w="1400"/>
            <w:tcBorders>
              <w:top w:val="single" w:color="CCCCCC" w:sz="4"/>
              <w:left w:val="single" w:color="CCCCCC" w:sz="4"/>
              <w:bottom w:val="single" w:color="CCCCCC" w:sz="4"/>
              <w:right w:val="single" w:color="CCCCCC" w:sz="4"/>
            </w:tcBorders>
            <w:tcMar>
              <w:top w:type="dxa" w:w="80"/>
              <w:left w:type="dxa" w:w="120"/>
              <w:bottom w:type="dxa" w:w="80"/>
              <w:right w:type="dxa" w:w="120"/>
            </w:tcMar>
          </w:tcPr>
          <w:p>
            <w:pPr>
              <w:jc w:val="left"/>
            </w:pPr>
            <w:r>
              <w:rPr>
                <w:rFonts w:ascii="Arial" w:cs="Arial" w:eastAsia="Arial" w:hAnsi="Arial"/>
                <w:b w:val="false"/>
                <w:bCs w:val="false"/>
                <w:color w:val="000000"/>
                <w:sz w:val="19"/>
                <w:szCs w:val="19"/>
              </w:rPr>
              <w:t xml:space="preserve"/>
            </w:r>
          </w:p>
        </w:tc>
      </w:tr>
      <w:tr>
        <w:tc>
          <w:tcPr>
            <w:tcW w:type="dxa" w:w="2800"/>
            <w:tcBorders>
              <w:top w:val="single" w:color="CCCCCC" w:sz="4"/>
              <w:left w:val="single" w:color="CCCCCC" w:sz="4"/>
              <w:bottom w:val="single" w:color="CCCCCC" w:sz="4"/>
              <w:right w:val="single" w:color="CCCCCC" w:sz="4"/>
            </w:tcBorders>
            <w:shd w:fill="F2F4F7" w:val="clear"/>
            <w:tcMar>
              <w:top w:type="dxa" w:w="80"/>
              <w:left w:type="dxa" w:w="120"/>
              <w:bottom w:type="dxa" w:w="80"/>
              <w:right w:type="dxa" w:w="120"/>
            </w:tcMar>
          </w:tcPr>
          <w:p>
            <w:pPr>
              <w:jc w:val="left"/>
            </w:pPr>
            <w:r>
              <w:rPr>
                <w:rFonts w:ascii="Arial" w:cs="Arial" w:eastAsia="Arial" w:hAnsi="Arial"/>
                <w:b w:val="false"/>
                <w:bCs w:val="false"/>
                <w:color w:val="000000"/>
                <w:sz w:val="19"/>
                <w:szCs w:val="19"/>
              </w:rPr>
              <w:t xml:space="preserve">Speedup factor</w:t>
            </w:r>
          </w:p>
        </w:tc>
        <w:tc>
          <w:tcPr>
            <w:tcW w:type="dxa" w:w="1880"/>
            <w:tcBorders>
              <w:top w:val="single" w:color="CCCCCC" w:sz="4"/>
              <w:left w:val="single" w:color="CCCCCC" w:sz="4"/>
              <w:bottom w:val="single" w:color="CCCCCC" w:sz="4"/>
              <w:right w:val="single" w:color="CCCCCC" w:sz="4"/>
            </w:tcBorders>
            <w:shd w:fill="F2F4F7" w:val="clear"/>
            <w:tcMar>
              <w:top w:type="dxa" w:w="80"/>
              <w:left w:type="dxa" w:w="120"/>
              <w:bottom w:type="dxa" w:w="80"/>
              <w:right w:type="dxa" w:w="120"/>
            </w:tcMar>
          </w:tcPr>
          <w:p>
            <w:pPr>
              <w:jc w:val="left"/>
            </w:pPr>
            <w:r>
              <w:rPr>
                <w:rFonts w:ascii="Arial" w:cs="Arial" w:eastAsia="Arial" w:hAnsi="Arial"/>
                <w:b w:val="false"/>
                <w:bCs w:val="false"/>
                <w:color w:val="000000"/>
                <w:sz w:val="19"/>
                <w:szCs w:val="19"/>
              </w:rPr>
              <w:t xml:space="preserve">—</w:t>
            </w:r>
          </w:p>
        </w:tc>
        <w:tc>
          <w:tcPr>
            <w:tcW w:type="dxa" w:w="1880"/>
            <w:tcBorders>
              <w:top w:val="single" w:color="CCCCCC" w:sz="4"/>
              <w:left w:val="single" w:color="CCCCCC" w:sz="4"/>
              <w:bottom w:val="single" w:color="CCCCCC" w:sz="4"/>
              <w:right w:val="single" w:color="CCCCCC" w:sz="4"/>
            </w:tcBorders>
            <w:shd w:fill="F2F4F7" w:val="clear"/>
            <w:tcMar>
              <w:top w:type="dxa" w:w="80"/>
              <w:left w:type="dxa" w:w="120"/>
              <w:bottom w:type="dxa" w:w="80"/>
              <w:right w:type="dxa" w:w="120"/>
            </w:tcMar>
          </w:tcPr>
          <w:p>
            <w:pPr>
              <w:jc w:val="left"/>
            </w:pPr>
            <w:r>
              <w:rPr>
                <w:rFonts w:ascii="Arial" w:cs="Arial" w:eastAsia="Arial" w:hAnsi="Arial"/>
                <w:b w:val="false"/>
                <w:bCs w:val="false"/>
                <w:color w:val="000000"/>
                <w:sz w:val="19"/>
                <w:szCs w:val="19"/>
              </w:rPr>
              <w:t xml:space="preserve">1.07×</w:t>
            </w:r>
          </w:p>
        </w:tc>
        <w:tc>
          <w:tcPr>
            <w:tcW w:type="dxa" w:w="1400"/>
            <w:tcBorders>
              <w:top w:val="single" w:color="CCCCCC" w:sz="4"/>
              <w:left w:val="single" w:color="CCCCCC" w:sz="4"/>
              <w:bottom w:val="single" w:color="CCCCCC" w:sz="4"/>
              <w:right w:val="single" w:color="CCCCCC" w:sz="4"/>
            </w:tcBorders>
            <w:shd w:fill="F2F4F7" w:val="clear"/>
            <w:tcMar>
              <w:top w:type="dxa" w:w="80"/>
              <w:left w:type="dxa" w:w="120"/>
              <w:bottom w:type="dxa" w:w="80"/>
              <w:right w:type="dxa" w:w="120"/>
            </w:tcMar>
          </w:tcPr>
          <w:p>
            <w:pPr>
              <w:jc w:val="left"/>
            </w:pPr>
            <w:r>
              <w:rPr>
                <w:rFonts w:ascii="Arial" w:cs="Arial" w:eastAsia="Arial" w:hAnsi="Arial"/>
                <w:b w:val="false"/>
                <w:bCs w:val="false"/>
                <w:color w:val="000000"/>
                <w:sz w:val="19"/>
                <w:szCs w:val="19"/>
              </w:rPr>
              <w:t xml:space="preserve">—</w:t>
            </w:r>
          </w:p>
        </w:tc>
        <w:tc>
          <w:tcPr>
            <w:tcW w:type="dxa" w:w="1400"/>
            <w:tcBorders>
              <w:top w:val="single" w:color="CCCCCC" w:sz="4"/>
              <w:left w:val="single" w:color="CCCCCC" w:sz="4"/>
              <w:bottom w:val="single" w:color="CCCCCC" w:sz="4"/>
              <w:right w:val="single" w:color="CCCCCC" w:sz="4"/>
            </w:tcBorders>
            <w:shd w:fill="F2F4F7" w:val="clear"/>
            <w:tcMar>
              <w:top w:type="dxa" w:w="80"/>
              <w:left w:type="dxa" w:w="120"/>
              <w:bottom w:type="dxa" w:w="80"/>
              <w:right w:type="dxa" w:w="120"/>
            </w:tcMar>
          </w:tcPr>
          <w:p>
            <w:pPr>
              <w:jc w:val="left"/>
            </w:pPr>
            <w:r>
              <w:rPr>
                <w:rFonts w:ascii="Arial" w:cs="Arial" w:eastAsia="Arial" w:hAnsi="Arial"/>
                <w:b w:val="false"/>
                <w:bCs w:val="false"/>
                <w:color w:val="000000"/>
                <w:sz w:val="19"/>
                <w:szCs w:val="19"/>
              </w:rPr>
              <w:t xml:space="preserve"/>
            </w:r>
          </w:p>
        </w:tc>
      </w:tr>
      <w:tr>
        <w:tc>
          <w:tcPr>
            <w:tcW w:type="dxa" w:w="2800"/>
            <w:tcBorders>
              <w:top w:val="single" w:color="CCCCCC" w:sz="4"/>
              <w:left w:val="single" w:color="CCCCCC" w:sz="4"/>
              <w:bottom w:val="single" w:color="CCCCCC" w:sz="4"/>
              <w:right w:val="single" w:color="CCCCCC" w:sz="4"/>
            </w:tcBorders>
            <w:tcMar>
              <w:top w:type="dxa" w:w="80"/>
              <w:left w:type="dxa" w:w="120"/>
              <w:bottom w:type="dxa" w:w="80"/>
              <w:right w:type="dxa" w:w="120"/>
            </w:tcMar>
          </w:tcPr>
          <w:p>
            <w:pPr>
              <w:jc w:val="left"/>
            </w:pPr>
            <w:r>
              <w:rPr>
                <w:rFonts w:ascii="Arial" w:cs="Arial" w:eastAsia="Arial" w:hAnsi="Arial"/>
                <w:b w:val="false"/>
                <w:bCs w:val="false"/>
                <w:color w:val="000000"/>
                <w:sz w:val="19"/>
                <w:szCs w:val="19"/>
              </w:rPr>
              <w:t xml:space="preserve">Disagreements</w:t>
            </w:r>
          </w:p>
        </w:tc>
        <w:tc>
          <w:tcPr>
            <w:tcW w:type="dxa" w:w="1880"/>
            <w:tcBorders>
              <w:top w:val="single" w:color="CCCCCC" w:sz="4"/>
              <w:left w:val="single" w:color="CCCCCC" w:sz="4"/>
              <w:bottom w:val="single" w:color="CCCCCC" w:sz="4"/>
              <w:right w:val="single" w:color="CCCCCC" w:sz="4"/>
            </w:tcBorders>
            <w:tcMar>
              <w:top w:type="dxa" w:w="80"/>
              <w:left w:type="dxa" w:w="120"/>
              <w:bottom w:type="dxa" w:w="80"/>
              <w:right w:type="dxa" w:w="120"/>
            </w:tcMar>
          </w:tcPr>
          <w:p>
            <w:pPr>
              <w:jc w:val="left"/>
            </w:pPr>
            <w:r>
              <w:rPr>
                <w:rFonts w:ascii="Arial" w:cs="Arial" w:eastAsia="Arial" w:hAnsi="Arial"/>
                <w:b w:val="false"/>
                <w:bCs w:val="false"/>
                <w:color w:val="000000"/>
                <w:sz w:val="19"/>
                <w:szCs w:val="19"/>
              </w:rPr>
              <w:t xml:space="preserve">0</w:t>
            </w:r>
          </w:p>
        </w:tc>
        <w:tc>
          <w:tcPr>
            <w:tcW w:type="dxa" w:w="1880"/>
            <w:tcBorders>
              <w:top w:val="single" w:color="CCCCCC" w:sz="4"/>
              <w:left w:val="single" w:color="CCCCCC" w:sz="4"/>
              <w:bottom w:val="single" w:color="CCCCCC" w:sz="4"/>
              <w:right w:val="single" w:color="CCCCCC" w:sz="4"/>
            </w:tcBorders>
            <w:tcMar>
              <w:top w:type="dxa" w:w="80"/>
              <w:left w:type="dxa" w:w="120"/>
              <w:bottom w:type="dxa" w:w="80"/>
              <w:right w:type="dxa" w:w="120"/>
            </w:tcMar>
          </w:tcPr>
          <w:p>
            <w:pPr>
              <w:jc w:val="left"/>
            </w:pPr>
            <w:r>
              <w:rPr>
                <w:rFonts w:ascii="Arial" w:cs="Arial" w:eastAsia="Arial" w:hAnsi="Arial"/>
                <w:b w:val="false"/>
                <w:bCs w:val="false"/>
                <w:color w:val="000000"/>
                <w:sz w:val="19"/>
                <w:szCs w:val="19"/>
              </w:rPr>
              <w:t xml:space="preserve">0</w:t>
            </w:r>
          </w:p>
        </w:tc>
        <w:tc>
          <w:tcPr>
            <w:tcW w:type="dxa" w:w="1400"/>
            <w:tcBorders>
              <w:top w:val="single" w:color="CCCCCC" w:sz="4"/>
              <w:left w:val="single" w:color="CCCCCC" w:sz="4"/>
              <w:bottom w:val="single" w:color="CCCCCC" w:sz="4"/>
              <w:right w:val="single" w:color="CCCCCC" w:sz="4"/>
            </w:tcBorders>
            <w:tcMar>
              <w:top w:type="dxa" w:w="80"/>
              <w:left w:type="dxa" w:w="120"/>
              <w:bottom w:type="dxa" w:w="80"/>
              <w:right w:type="dxa" w:w="120"/>
            </w:tcMar>
          </w:tcPr>
          <w:p>
            <w:pPr>
              <w:jc w:val="left"/>
            </w:pPr>
            <w:r>
              <w:rPr>
                <w:rFonts w:ascii="Arial" w:cs="Arial" w:eastAsia="Arial" w:hAnsi="Arial"/>
                <w:b w:val="false"/>
                <w:bCs w:val="false"/>
                <w:color w:val="000000"/>
                <w:sz w:val="19"/>
                <w:szCs w:val="19"/>
              </w:rPr>
              <w:t xml:space="preserve">—</w:t>
            </w:r>
          </w:p>
        </w:tc>
        <w:tc>
          <w:tcPr>
            <w:tcW w:type="dxa" w:w="1400"/>
            <w:tcBorders>
              <w:top w:val="single" w:color="CCCCCC" w:sz="4"/>
              <w:left w:val="single" w:color="CCCCCC" w:sz="4"/>
              <w:bottom w:val="single" w:color="CCCCCC" w:sz="4"/>
              <w:right w:val="single" w:color="CCCCCC" w:sz="4"/>
            </w:tcBorders>
            <w:tcMar>
              <w:top w:type="dxa" w:w="80"/>
              <w:left w:type="dxa" w:w="120"/>
              <w:bottom w:type="dxa" w:w="80"/>
              <w:right w:type="dxa" w:w="120"/>
            </w:tcMar>
          </w:tcPr>
          <w:p>
            <w:pPr>
              <w:jc w:val="left"/>
            </w:pPr>
            <w:r>
              <w:rPr>
                <w:rFonts w:ascii="Arial" w:cs="Arial" w:eastAsia="Arial" w:hAnsi="Arial"/>
                <w:b w:val="false"/>
                <w:bCs w:val="false"/>
                <w:color w:val="000000"/>
                <w:sz w:val="19"/>
                <w:szCs w:val="19"/>
              </w:rPr>
              <w:t xml:space="preserve"/>
            </w:r>
          </w:p>
        </w:tc>
      </w:tr>
    </w:tbl>
    <w:p>
      <w:pPr>
        <w:spacing w:before="80" w:after="240"/>
        <w:jc w:val="center"/>
      </w:pPr>
      <w:r>
        <w:rPr>
          <w:rFonts w:ascii="Arial" w:cs="Arial" w:eastAsia="Arial" w:hAnsi="Arial"/>
          <w:color w:val="595959"/>
          <w:sz w:val="18"/>
          <w:szCs w:val="18"/>
        </w:rPr>
        <w:t xml:space="preserve">Table 3. Side-by-side comparison: original vs. optimized implementation up to 10⁶.</w:t>
      </w:r>
    </w:p>
    <w:p>
      <w:pPr>
        <w:spacing w:before="120" w:after="120"/>
        <w:jc w:val="both"/>
      </w:pPr>
      <w:r>
        <w:rPr>
          <w:rFonts w:ascii="Arial" w:cs="Arial" w:eastAsia="Arial" w:hAnsi="Arial"/>
          <w:b w:val="false"/>
          <w:bCs w:val="false"/>
          <w:color w:val="000000"/>
          <w:sz w:val="20"/>
          <w:szCs w:val="20"/>
        </w:rPr>
        <w:t>The measured multiplication saving (5.6%) is lower than the theoretical prediction (~25%) because the count is taken over all composites that survive the Fermat filter — only those reach the Lucas step. Composites rejected by the Fermat test incur no Lucas multiplications in either implementation, reducing the visible impact. The saving on the Lucas step itself, taken in isolation, is consistent with theory.</w:t>
      </w:r>
    </w:p>
    <w:p>
      <w:pPr>
        <w:spacing w:before="120" w:after="120"/>
        <w:jc w:val="both"/>
      </w:pPr>
      <w:r>
        <w:rPr>
          <w:rFonts w:ascii="Arial" w:cs="Arial" w:eastAsia="Arial" w:hAnsi="Arial"/>
          <w:b w:val="false"/>
          <w:bCs w:val="false"/>
          <w:color w:val="000000"/>
          <w:sz w:val="20"/>
          <w:szCs w:val="20"/>
        </w:rPr>
        <w:t xml:space="preserve">Zero pseudoprimes were found in [3, 10</w:t>
      </w:r>
      <w:r>
        <w:rPr>
          <w:rFonts w:ascii="Arial" w:cs="Arial" w:eastAsia="Arial" w:hAnsi="Arial"/>
          <w:b w:val="false"/>
          <w:bCs w:val="false"/>
          <w:color w:val="000000"/>
          <w:sz w:val="20"/>
          <w:szCs w:val="20"/>
          <w:vertAlign w:val="superscript"/>
        </w:rPr>
        <w:t xml:space="preserve">6</w:t>
      </w:r>
      <w:r>
        <w:rPr>
          <w:rFonts w:ascii="Arial" w:cs="Arial" w:eastAsia="Arial" w:hAnsi="Arial"/>
          <w:b w:val="false"/>
          <w:bCs w:val="false"/>
          <w:color w:val="000000"/>
          <w:sz w:val="20"/>
          <w:szCs w:val="20"/>
        </w:rPr>
        <w:t xml:space="preserve">] for both implementations. The two implementations produced identical Boolean outputs for every tested composite (disagreements = 0), confirming correctness of the optimized algorithm.</w:t>
      </w:r>
    </w:p>
    <w:p>
      <w:pPr>
        <w:pStyle w:val="Heading2"/>
        <w:spacing w:before="280" w:after="120"/>
      </w:pPr>
      <w:r>
        <w:rPr>
          <w:rFonts w:ascii="Arial" w:cs="Arial" w:eastAsia="Arial" w:hAnsi="Arial"/>
          <w:b/>
          <w:bCs/>
          <w:color w:val="2E5FA3"/>
          <w:sz w:val="24"/>
          <w:szCs w:val="24"/>
        </w:rPr>
        <w:t xml:space="preserve">6.3 Reproducibility</w:t>
      </w:r>
    </w:p>
    <w:p>
      <w:pPr>
        <w:spacing w:before="120" w:after="120"/>
        <w:jc w:val="both"/>
      </w:pPr>
      <w:r>
        <w:rPr>
          <w:rFonts w:ascii="Arial" w:cs="Arial" w:eastAsia="Arial" w:hAnsi="Arial"/>
          <w:color w:val="000000"/>
          <w:sz w:val="20"/>
          <w:szCs w:val="20"/>
        </w:rPr>
        <w:t xml:space="preserve">The complete source code, including both implementations, the segmented sieve, side-by-side progress display, and CSV output, is provided as a companion to this paper. The script is self-contained and requires only Python 3.8 or later.</w:t>
      </w:r>
    </w:p>
    <w:p>
      <w:pPr>
        <w:spacing w:before="120" w:after="120"/>
        <w:jc w:val="both"/>
      </w:pPr>
      <w:r>
        <w:rPr>
          <w:rFonts w:ascii="Arial" w:cs="Arial" w:eastAsia="Arial" w:hAnsi="Arial"/>
          <w:color w:val="000000"/>
          <w:sz w:val="20"/>
          <w:szCs w:val="20"/>
        </w:rPr>
        <w:t xml:space="preserve">To run:</w:t>
      </w:r>
    </w:p>
    <w:p>
      <w:pPr>
        <w:spacing w:before="0" w:after="0"/>
      </w:pPr>
      <w:r>
        <w:rPr>
          <w:rFonts w:ascii="Arial" w:cs="Arial" w:eastAsia="Arial" w:hAnsi="Arial"/>
          <w:sz w:val="20"/>
          <w:szCs w:val="20"/>
        </w:rPr>
        <w:t xml:space="preserve"/>
      </w:r>
    </w:p>
    <w:p>
      <w:pPr>
        <w:spacing w:before="80" w:after="80"/>
        <w:ind w:left="720"/>
        <w:jc w:val="left"/>
      </w:pPr>
      <w:r>
        <w:rPr>
          <w:rFonts w:ascii="Courier New" w:cs="Courier New" w:eastAsia="Courier New" w:hAnsi="Courier New"/>
          <w:color w:val="1F3864"/>
          <w:sz w:val="18"/>
          <w:szCs w:val="18"/>
        </w:rPr>
        <w:t xml:space="preserve">python pell_comparison.py 1000000      # up to 10^6  (~1 second)</w:t>
      </w:r>
    </w:p>
    <w:p>
      <w:pPr>
        <w:spacing w:before="80" w:after="80"/>
        <w:ind w:left="720"/>
        <w:jc w:val="left"/>
      </w:pPr>
      <w:r>
        <w:rPr>
          <w:rFonts w:ascii="Courier New" w:cs="Courier New" w:eastAsia="Courier New" w:hAnsi="Courier New"/>
          <w:color w:val="1F3864"/>
          <w:sz w:val="18"/>
          <w:szCs w:val="18"/>
        </w:rPr>
        <w:t xml:space="preserve">python pell_comparison.py 2**32        # up to ~4.3B (~1 hour)</w:t>
      </w:r>
    </w:p>
    <w:p>
      <w:pPr>
        <w:spacing w:before="80" w:after="80"/>
        <w:ind w:left="720"/>
        <w:jc w:val="left"/>
      </w:pPr>
      <w:r>
        <w:rPr>
          <w:rFonts w:ascii="Courier New" w:cs="Courier New" w:eastAsia="Courier New" w:hAnsi="Courier New"/>
          <w:color w:val="1F3864"/>
          <w:sz w:val="18"/>
          <w:szCs w:val="18"/>
        </w:rPr>
        <w:t xml:space="preserve">python pell_comparison.py 2**38        # Murru bound (~days)</w:t>
      </w:r>
    </w:p>
    <w:p>
      <w:pPr>
        <w:spacing w:before="0" w:after="0"/>
      </w:pPr>
      <w:r>
        <w:rPr>
          <w:rFonts w:ascii="Arial" w:cs="Arial" w:eastAsia="Arial" w:hAnsi="Arial"/>
          <w:sz w:val="20"/>
          <w:szCs w:val="20"/>
        </w:rPr>
        <w:t xml:space="preserve"/>
      </w:r>
    </w:p>
    <w:p>
      <w:pPr>
        <w:pStyle w:val="Heading1"/>
        <w:spacing w:before="360" w:after="160"/>
      </w:pPr>
      <w:r>
        <w:rPr>
          <w:rFonts w:ascii="Arial" w:cs="Arial" w:eastAsia="Arial" w:hAnsi="Arial"/>
          <w:b/>
          <w:bCs/>
          <w:color w:val="1F3864"/>
          <w:sz w:val="28"/>
          <w:szCs w:val="28"/>
        </w:rPr>
        <w:t xml:space="preserve">7. Conclusions and Open Problems</w:t>
      </w:r>
    </w:p>
    <w:p>
      <w:pPr>
        <w:spacing w:before="120" w:after="120"/>
        <w:jc w:val="both"/>
      </w:pPr>
      <w:r>
        <w:rPr>
          <w:rFonts w:ascii="Arial" w:cs="Arial" w:eastAsia="Arial" w:hAnsi="Arial"/>
          <w:b w:val="false"/>
          <w:bCs w:val="false"/>
          <w:color w:val="000000"/>
          <w:sz w:val="20"/>
          <w:szCs w:val="20"/>
        </w:rPr>
        <w:t xml:space="preserve">We have provided the first structural characterization of the absence of pseudoprimes in the Generalized Pell Primality Test. The main result — that the necessary condition gcd(p+1, q−1) | (p−q) fails for the overwhelming majority of semiprimes under Selfridge selection — explains the empirical observation of Murru et al. at a structural level. The involution barrier argument closes the residual borderline case gcd = 2.</w:t>
      </w:r>
    </w:p>
    <w:p>
      <w:pPr>
        <w:spacing w:before="120" w:after="120"/>
        <w:jc w:val="both"/>
      </w:pPr>
      <w:r>
        <w:rPr>
          <w:rFonts w:ascii="Arial" w:cs="Arial" w:eastAsia="Arial" w:hAnsi="Arial"/>
          <w:color w:val="000000"/>
          <w:sz w:val="20"/>
          <w:szCs w:val="20"/>
        </w:rPr>
        <w:t xml:space="preserve">The algorithmic optimization via NAF exponentiation with the step-back formula achieves a verified 5.6% reduction in multiplications and 6.8% reduction in wall-clock time over the tested range, with exact agreement with the original for all 421,502 tested composites.</w:t>
      </w:r>
    </w:p>
    <w:p>
      <w:pPr>
        <w:spacing w:before="120" w:after="120"/>
        <w:jc w:val="both"/>
      </w:pPr>
      <w:r>
        <w:rPr>
          <w:rFonts w:ascii="Arial" w:cs="Arial" w:eastAsia="Arial" w:hAnsi="Arial"/>
          <w:color w:val="000000"/>
          <w:sz w:val="20"/>
          <w:szCs w:val="20"/>
        </w:rPr>
        <w:t xml:space="preserve">The following questions remain open:</w:t>
      </w:r>
    </w:p>
    <w:p>
      <w:pPr>
        <w:pStyle w:val="ListParagraph"/>
        <w:numPr>
          <w:ilvl w:val="0"/>
          <w:numId w:val="2"/>
        </w:numPr>
        <w:spacing w:before="60" w:after="60"/>
      </w:pPr>
      <w:r>
        <w:rPr>
          <w:rFonts w:ascii="Arial" w:cs="Arial" w:eastAsia="Arial" w:hAnsi="Arial"/>
          <w:b w:val="false"/>
          <w:bCs w:val="false"/>
          <w:color w:val="000000"/>
          <w:sz w:val="20"/>
          <w:szCs w:val="20"/>
        </w:rPr>
        <w:t>Complete proof. The argument presented is a reduction, not a complete proof. A full proof would require showing that the involution constraint implies n has a detectable non-trivial factor. This appears accessible via the structure of the Pell conic group.</w:t>
      </w:r>
    </w:p>
    <w:p>
      <w:pPr>
        <w:pStyle w:val="ListParagraph"/>
        <w:numPr>
          <w:ilvl w:val="0"/>
          <w:numId w:val="2"/>
        </w:numPr>
        <w:spacing w:before="60" w:after="60"/>
      </w:pPr>
      <w:r>
        <w:rPr>
          <w:rFonts w:ascii="Arial" w:cs="Arial" w:eastAsia="Arial" w:hAnsi="Arial"/>
          <w:b w:val="false"/>
          <w:bCs w:val="false"/>
          <w:color w:val="000000"/>
          <w:sz w:val="20"/>
          <w:szCs w:val="20"/>
        </w:rPr>
        <w:t>Density estimate. How many semiprimes n = pq satisfy gcd(p+1, q−1) | (p−q) with gcd &gt; 2? A precise density estimate would strengthen the characterization from qualitative to quantitative.</w:t>
      </w:r>
    </w:p>
    <w:p>
      <w:pPr>
        <w:pStyle w:val="ListParagraph"/>
        <w:numPr>
          <w:ilvl w:val="0"/>
          <w:numId w:val="2"/>
        </w:numPr>
        <w:spacing w:before="60" w:after="60"/>
      </w:pPr>
      <w:r>
        <w:rPr>
          <w:rFonts w:ascii="Arial" w:cs="Arial" w:eastAsia="Arial" w:hAnsi="Arial"/>
          <w:b w:val="false"/>
          <w:bCs w:val="false"/>
          <w:color w:val="000000"/>
          <w:sz w:val="20"/>
          <w:szCs w:val="20"/>
        </w:rPr>
        <w:t>Extension to n = pⁱ·qʲ. The analysis here covers squarefree semiprimes. Extension to higher prime powers requires additional group-theoretic machinery.</w:t>
      </w:r>
    </w:p>
    <w:p>
      <w:pPr>
        <w:pStyle w:val="ListParagraph"/>
        <w:numPr>
          <w:ilvl w:val="0"/>
          <w:numId w:val="2"/>
        </w:numPr>
        <w:spacing w:before="60" w:after="60"/>
      </w:pPr>
      <w:r>
        <w:rPr>
          <w:rFonts w:ascii="Arial" w:cs="Arial" w:eastAsia="Arial" w:hAnsi="Arial"/>
          <w:b w:val="false"/>
          <w:bCs w:val="false"/>
          <w:color w:val="000000"/>
          <w:sz w:val="20"/>
          <w:szCs w:val="20"/>
        </w:rPr>
        <w:t>Optimization at large scales. The NAF saving is most significant for large n (large bit-length), where each multiplication is costly. Extending computational verification beyond 2</w:t>
      </w:r>
      <w:r>
        <w:rPr>
          <w:rFonts w:ascii="Arial" w:cs="Arial" w:eastAsia="Arial" w:hAnsi="Arial"/>
          <w:b w:val="false"/>
          <w:bCs w:val="false"/>
          <w:color w:val="000000"/>
          <w:sz w:val="20"/>
          <w:szCs w:val="20"/>
          <w:vertAlign w:val="superscript"/>
        </w:rPr>
        <w:t xml:space="preserve">64</w:t>
      </w:r>
      <w:r>
        <w:rPr>
          <w:rFonts w:ascii="Arial" w:cs="Arial" w:eastAsia="Arial" w:hAnsi="Arial"/>
          <w:b w:val="false"/>
          <w:bCs w:val="false"/>
          <w:color w:val="000000"/>
          <w:sz w:val="20"/>
          <w:szCs w:val="20"/>
        </w:rPr>
        <w:t xml:space="preserve"> using the optimized implementation is a natural next step.</w:t>
      </w:r>
    </w:p>
    <w:p>
      <w:pPr>
        <w:spacing w:before="0" w:after="0"/>
      </w:pPr>
      <w:r>
        <w:rPr>
          <w:rFonts w:ascii="Arial" w:cs="Arial" w:eastAsia="Arial" w:hAnsi="Arial"/>
          <w:sz w:val="20"/>
          <w:szCs w:val="20"/>
        </w:rPr>
        <w:t xml:space="preserve"/>
      </w:r>
    </w:p>
    <w:p>
      <w:pPr>
        <w:spacing w:before="0" w:after="0"/>
      </w:pPr>
      <w:r>
        <w:rPr>
          <w:rFonts w:ascii="Arial" w:cs="Arial" w:eastAsia="Arial" w:hAnsi="Arial"/>
          <w:sz w:val="20"/>
          <w:szCs w:val="20"/>
        </w:rPr>
        <w:t xml:space="preserve"/>
      </w:r>
    </w:p>
    <w:p>
      <w:pPr>
        <w:pStyle w:val="Heading1"/>
        <w:spacing w:before="360" w:after="160"/>
      </w:pPr>
      <w:r>
        <w:rPr>
          <w:rFonts w:ascii="Arial" w:cs="Arial" w:eastAsia="Arial" w:hAnsi="Arial"/>
          <w:b/>
          <w:bCs/>
          <w:color w:val="1F3864"/>
          <w:sz w:val="28"/>
          <w:szCs w:val="28"/>
        </w:rPr>
        <w:t xml:space="preserve">References</w:t>
      </w:r>
    </w:p>
    <w:p>
      <w:pPr>
        <w:spacing w:before="80" w:after="80"/>
        <w:jc w:val="both"/>
      </w:pPr>
      <w:r>
        <w:rPr>
          <w:rFonts w:ascii="Arial" w:cs="Arial" w:eastAsia="Arial" w:hAnsi="Arial"/>
          <w:b w:val="false"/>
          <w:bCs w:val="false"/>
          <w:color w:val="000000"/>
          <w:sz w:val="20"/>
          <w:szCs w:val="20"/>
        </w:rPr>
        <w:t>[1] Bazzanella, D., Di Scala, A. J., Dutto, S., &amp; Murru, N. (2022). Primality tests, linear recurrent sequences and the Pell equation. The Ramanujan Journal, 57, 755–768. https://doi.org/10.1007/s11139-020-00373-9</w:t>
      </w:r>
    </w:p>
    <w:p>
      <w:pPr>
        <w:spacing w:before="80" w:after="80"/>
        <w:jc w:val="both"/>
      </w:pPr>
      <w:r>
        <w:rPr>
          <w:rFonts w:ascii="Arial" w:cs="Arial" w:eastAsia="Arial" w:hAnsi="Arial"/>
          <w:b w:val="false"/>
          <w:bCs w:val="false"/>
          <w:color w:val="000000"/>
          <w:sz w:val="20"/>
          <w:szCs w:val="20"/>
        </w:rPr>
        <w:t>[2] Lucas, E. (1878). Théorie des fonctions numériques simplement périodiques. American Journal of Mathematics, 1(2), 184–196.</w:t>
      </w:r>
    </w:p>
    <w:p>
      <w:pPr>
        <w:spacing w:before="80" w:after="80"/>
        <w:jc w:val="both"/>
      </w:pPr>
      <w:r>
        <w:rPr>
          <w:rFonts w:ascii="Arial" w:cs="Arial" w:eastAsia="Arial" w:hAnsi="Arial"/>
          <w:b w:val="false"/>
          <w:bCs w:val="false"/>
          <w:color w:val="000000"/>
          <w:sz w:val="20"/>
          <w:szCs w:val="20"/>
        </w:rPr>
        <w:t>[3] Baillie, R., &amp; Wagstaff, S. S. (1980). Lucas pseudoprimes. Mathematics of Computation, 35(152), 1391–1417.</w:t>
      </w:r>
    </w:p>
    <w:p>
      <w:pPr>
        <w:spacing w:before="80" w:after="80"/>
        <w:jc w:val="both"/>
      </w:pPr>
      <w:r>
        <w:rPr>
          <w:rFonts w:ascii="Arial" w:cs="Arial" w:eastAsia="Arial" w:hAnsi="Arial"/>
          <w:b w:val="false"/>
          <w:bCs w:val="false"/>
          <w:color w:val="000000"/>
          <w:sz w:val="20"/>
          <w:szCs w:val="20"/>
        </w:rPr>
        <w:t xml:space="preserve">[4] Morain, F. (1988). Implémentation et usages de la théorie des courbes elliptiques. PhD thesis, INRIA.</w:t>
      </w:r>
    </w:p>
    <w:p>
      <w:pPr>
        <w:spacing w:before="80" w:after="80"/>
        <w:jc w:val="both"/>
      </w:pPr>
      <w:r>
        <w:rPr>
          <w:rFonts w:ascii="Arial" w:cs="Arial" w:eastAsia="Arial" w:hAnsi="Arial"/>
          <w:b w:val="false"/>
          <w:bCs w:val="false"/>
          <w:color w:val="000000"/>
          <w:sz w:val="20"/>
          <w:szCs w:val="20"/>
        </w:rPr>
        <w:t>[5] Hankerson, D., Menezes, A., &amp; Vanstone, S. (2004). Guide to Elliptic Curve Cryptography. Springer. [NAF representation, Chapter 3]</w:t>
      </w:r>
    </w:p>
    <w:p>
      <w:pPr>
        <w:spacing w:before="80" w:after="80"/>
        <w:jc w:val="both"/>
      </w:pPr>
      <w:r>
        <w:rPr>
          <w:rFonts w:ascii="Arial" w:cs="Arial" w:eastAsia="Arial" w:hAnsi="Arial"/>
          <w:b w:val="false"/>
          <w:bCs w:val="false"/>
          <w:color w:val="000000"/>
          <w:sz w:val="20"/>
          <w:szCs w:val="20"/>
        </w:rPr>
        <w:t>[6] Di Scala, A. J., Dutto, S., &amp; Murru, N. (2021). Primality tests on commutative rings. Applicable Algebra in Engineering, Communication and Computing.</w:t>
      </w:r>
    </w:p>
    <w:p>
      <w:pPr>
        <w:spacing w:before="80" w:after="120"/>
        <w:jc w:val="both"/>
      </w:pPr>
      <w:r>
        <w:rPr>
          <w:rFonts w:ascii="Arial" w:cs="Arial" w:eastAsia="Arial" w:hAnsi="Arial"/>
          <w:b w:val="false"/>
          <w:bCs w:val="false"/>
          <w:color w:val="000000"/>
          <w:sz w:val="20"/>
          <w:szCs w:val="20"/>
        </w:rPr>
        <w:t>[7] Brillhart, J., Lehmer, D. H., &amp; Selfridge, J. L. (1975). New primality criteria and factorizations of 2ᵐ ± 1. Mathematics of Computation, 29(130), 620–647. [Selfridge parameter selection]</w:t>
      </w:r>
    </w:p>
    <w:p>
      <w:pPr>
        <w:pBdr>
          <w:bottom w:val="single" w:color="CCCCCC" w:sz="4" w:space="1"/>
        </w:pBdr>
        <w:spacing w:before="120" w:after="120"/>
      </w:pPr>
      <w:r>
        <w:rPr>
          <w:rFonts w:ascii="Arial" w:cs="Arial" w:eastAsia="Arial" w:hAnsi="Arial"/>
          <w:sz w:val="4"/>
          <w:szCs w:val="4"/>
        </w:rPr>
        <w:t xml:space="preserve"/>
      </w:r>
    </w:p>
    <w:p>
      <w:pPr>
        <w:spacing w:before="120" w:after="0"/>
      </w:pPr>
      <w:r>
        <w:rPr>
          <w:rFonts w:ascii="Arial" w:cs="Arial" w:eastAsia="Arial" w:hAnsi="Arial"/>
          <w:i/>
          <w:iCs/>
          <w:color w:val="595959"/>
          <w:sz w:val="17"/>
          <w:szCs w:val="17"/>
        </w:rPr>
        <w:t xml:space="preserve">Author: Crescente Furnaguera  |  ABC Institute for Independent Research  |  Lauderhill, Florida  |  furnaguera@gmail.com  |  ORCID: 0009-0008-6800-4485</w:t>
      </w:r>
    </w:p>
    <w:p>
      <w:pPr>
        <w:spacing w:before="40" w:after="0"/>
      </w:pPr>
      <w:r>
        <w:rPr>
          <w:rFonts w:ascii="Arial" w:cs="Arial" w:eastAsia="Arial" w:hAnsi="Arial"/>
          <w:i/>
          <w:iCs/>
          <w:color w:val="595959"/>
          <w:sz w:val="17"/>
          <w:szCs w:val="17"/>
        </w:rPr>
        <w:t xml:space="preserve">This preprint has not undergone formal peer review. Comments and corrections are welcome.</w:t>
      </w:r>
    </w:p>
    <w:sectPr>
      <w:headerReference w:type="default" r:id="rId6"/>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CCCCCC" w:sz="4" w:space="6"/>
      </w:pBdr>
      <w:tabs>
        <w:tab w:val="right" w:pos="9360"/>
      </w:tabs>
      <w:spacing w:before="120" w:after="0"/>
    </w:pPr>
    <w:r>
      <w:rPr>
        <w:rFonts w:ascii="Arial" w:cs="Arial" w:eastAsia="Arial" w:hAnsi="Arial"/>
        <w:i/>
        <w:iCs/>
        <w:color w:val="595959"/>
        <w:sz w:val="16"/>
        <w:szCs w:val="16"/>
      </w:rPr>
      <w:t xml:space="preserve">Furnaguera (2026) — On the Absence of Pseudoprimes in the Generalized Pell Test</w:t>
    </w:r>
    <w:r>
      <w:rPr>
        <w:rFonts w:ascii="Arial" w:cs="Arial" w:eastAsia="Arial" w:hAnsi="Arial"/>
        <w:sz w:val="16"/>
        <w:szCs w:val="16"/>
      </w:rPr>
      <w:t xml:space="preserve">	</w:t>
    </w:r>
    <w:r>
      <w:rPr>
        <w:rFonts w:ascii="Arial" w:cs="Arial" w:eastAsia="Arial" w:hAnsi="Arial"/>
        <w:color w:val="595959"/>
        <w:sz w:val="16"/>
        <w:szCs w:val="16"/>
      </w:rPr>
      <w:t xml:space="preserve">Page </w:t>
    </w:r>
    <w:r>
      <w:rPr>
        <w:rFonts w:ascii="Arial" w:cs="Arial" w:eastAsia="Arial" w:hAnsi="Arial"/>
        <w:color w:val="595959"/>
        <w:sz w:val="16"/>
        <w:szCs w:val="16"/>
      </w:rPr>
      <w:t xml:space="preserve">Preprint — March 2026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CCCCCC" w:sz="4" w:space="6"/>
      </w:pBdr>
      <w:spacing w:before="0" w:after="160"/>
    </w:pPr>
    <w:r>
      <w:rPr>
        <w:rFonts w:ascii="Arial" w:cs="Arial" w:eastAsia="Arial" w:hAnsi="Arial"/>
        <w:i/>
        <w:iCs/>
        <w:color w:val="595959"/>
        <w:sz w:val="18"/>
        <w:szCs w:val="18"/>
      </w:rPr>
      <w:t xml:space="preserve">ABC Institute for Independent Research  |  Preprint — March 2026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abstractNum w:abstractNumId="3" w15:restartNumberingAfterBreak="0">
    <w:multiLevelType w:val="hybridMultilevel"/>
    <w:lvl w:ilvl="0" w15:tentative="1">
      <w:start w:val="1"/>
      <w:numFmt w:val="decimal"/>
      <w:lvlText w:val="%1."/>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0"/>
        <w:szCs w:val="20"/>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paragraph" w:styleId="Heading1">
    <w:name w:val="Heading 1"/>
    <w:basedOn w:val="Normal"/>
    <w:next w:val="Normal"/>
    <w:qFormat/>
    <w:pPr>
      <w:spacing w:before="360" w:after="160"/>
      <w:outlineLvl w:val="0"/>
    </w:pPr>
    <w:rPr>
      <w:rFonts w:ascii="Arial" w:cs="Arial" w:eastAsia="Arial" w:hAnsi="Arial"/>
      <w:b/>
      <w:bCs/>
      <w:color w:val="1F3864"/>
      <w:sz w:val="28"/>
      <w:szCs w:val="28"/>
    </w:rPr>
  </w:style>
  <w:style w:type="paragraph" w:styleId="Heading2">
    <w:name w:val="Heading 2"/>
    <w:basedOn w:val="Normal"/>
    <w:next w:val="Normal"/>
    <w:qFormat/>
    <w:pPr>
      <w:spacing w:before="280" w:after="120"/>
      <w:outlineLvl w:val="1"/>
    </w:pPr>
    <w:rPr>
      <w:rFonts w:ascii="Arial" w:cs="Arial" w:eastAsia="Arial" w:hAnsi="Arial"/>
      <w:b/>
      <w:bCs/>
      <w:color w:val="2E5FA3"/>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ntTable" Target="fontTable.xml"/></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2026-03-13T20:12:43.162Z</dcterms:created>
  <dcterms:modified xsi:type="dcterms:W3CDTF">2026-03-13T20:12:43.163Z</dcterms:modified>
</cp:coreProperties>
</file>

<file path=docProps/custom.xml><?xml version="1.0" encoding="utf-8"?>
<Properties xmlns="http://schemas.openxmlformats.org/officeDocument/2006/custom-properties" xmlns:vt="http://schemas.openxmlformats.org/officeDocument/2006/docPropsVTypes"/>
</file>