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89ADBCA" w14:textId="77777777" w:rsidR="0084162C" w:rsidRDefault="0084162C" w:rsidP="0013516B">
      <w:pPr>
        <w:suppressAutoHyphens/>
      </w:pPr>
    </w:p>
    <w:p w14:paraId="1873CB57" w14:textId="77777777" w:rsidR="0084162C" w:rsidRDefault="0084162C" w:rsidP="0013516B">
      <w:pPr>
        <w:suppressAutoHyphens/>
      </w:pPr>
    </w:p>
    <w:p w14:paraId="7C72566B" w14:textId="54D4DCF5" w:rsidR="00E72F4D" w:rsidRDefault="00E72F4D" w:rsidP="00E72F4D">
      <w:pPr>
        <w:rPr>
          <w:b/>
          <w:bCs/>
          <w:lang w:val="en-GB"/>
        </w:rPr>
      </w:pPr>
      <w:r>
        <w:rPr>
          <w:b/>
          <w:bCs/>
          <w:lang w:val="en-GB"/>
        </w:rPr>
        <w:t xml:space="preserve">Wood products manufacturing in Slovenia: overview of the data to support green transition of the </w:t>
      </w:r>
      <w:proofErr w:type="gramStart"/>
      <w:r>
        <w:rPr>
          <w:b/>
          <w:bCs/>
          <w:lang w:val="en-GB"/>
        </w:rPr>
        <w:t>forest based</w:t>
      </w:r>
      <w:proofErr w:type="gramEnd"/>
      <w:r>
        <w:rPr>
          <w:b/>
          <w:bCs/>
          <w:lang w:val="en-GB"/>
        </w:rPr>
        <w:t xml:space="preserve"> value-chain</w:t>
      </w:r>
    </w:p>
    <w:p w14:paraId="39041DED" w14:textId="77777777" w:rsidR="00B57FD3" w:rsidRPr="0013516B" w:rsidRDefault="00B57FD3" w:rsidP="0013516B">
      <w:pPr>
        <w:suppressAutoHyphens/>
      </w:pPr>
    </w:p>
    <w:p w14:paraId="5F200F5E" w14:textId="4EFDD49F" w:rsidR="00E72F4D" w:rsidRPr="0013516B" w:rsidRDefault="00E72F4D" w:rsidP="00E72F4D">
      <w:pPr>
        <w:suppressAutoHyphens/>
        <w:rPr>
          <w:vertAlign w:val="superscript"/>
        </w:rPr>
      </w:pPr>
      <w:r>
        <w:t>Daša Majcen</w:t>
      </w:r>
      <w:r w:rsidR="00314CCD">
        <w:t>,</w:t>
      </w:r>
      <w:r>
        <w:t xml:space="preserve"> PhD</w:t>
      </w:r>
      <w:r>
        <w:rPr>
          <w:vertAlign w:val="superscript"/>
        </w:rPr>
        <w:t>1*</w:t>
      </w:r>
      <w:r>
        <w:t xml:space="preserve">, </w:t>
      </w:r>
      <w:r w:rsidR="00314CCD">
        <w:rPr>
          <w:rFonts w:eastAsia="Times New Roman"/>
          <w:color w:val="000000"/>
        </w:rPr>
        <w:t>P</w:t>
      </w:r>
      <w:r>
        <w:rPr>
          <w:rFonts w:eastAsia="Times New Roman"/>
          <w:color w:val="000000"/>
        </w:rPr>
        <w:t>rof. Andreja Kutnar</w:t>
      </w:r>
      <w:r w:rsidR="00314CCD">
        <w:rPr>
          <w:rFonts w:eastAsia="Times New Roman"/>
          <w:color w:val="000000"/>
        </w:rPr>
        <w:t>,</w:t>
      </w:r>
      <w:r>
        <w:rPr>
          <w:rFonts w:eastAsia="Times New Roman"/>
          <w:color w:val="000000"/>
        </w:rPr>
        <w:t xml:space="preserve"> PhD</w:t>
      </w:r>
      <w:r>
        <w:rPr>
          <w:vertAlign w:val="superscript"/>
        </w:rPr>
        <w:t>2</w:t>
      </w:r>
    </w:p>
    <w:p w14:paraId="6BFA8587" w14:textId="77777777" w:rsidR="00E72F4D" w:rsidRPr="0013516B" w:rsidRDefault="00E72F4D" w:rsidP="00E72F4D">
      <w:pPr>
        <w:suppressAutoHyphens/>
      </w:pPr>
    </w:p>
    <w:p w14:paraId="04E179F7" w14:textId="77777777" w:rsidR="00E72F4D" w:rsidRPr="00D469E4" w:rsidRDefault="00E72F4D" w:rsidP="00E72F4D">
      <w:pPr>
        <w:suppressAutoHyphens/>
      </w:pPr>
      <w:r w:rsidRPr="00D469E4">
        <w:rPr>
          <w:vertAlign w:val="superscript"/>
        </w:rPr>
        <w:t>1</w:t>
      </w:r>
      <w:r w:rsidRPr="00D469E4">
        <w:t xml:space="preserve"> InnoRenew CoE, </w:t>
      </w:r>
      <w:proofErr w:type="spellStart"/>
      <w:r w:rsidRPr="00D469E4">
        <w:t>Livade</w:t>
      </w:r>
      <w:proofErr w:type="spellEnd"/>
      <w:r w:rsidRPr="00D469E4">
        <w:t xml:space="preserve"> 6a, 6310 Izola, Slovenia, dasa.majcen@innorenew.eu</w:t>
      </w:r>
    </w:p>
    <w:p w14:paraId="5910BE30" w14:textId="7AD2B4F8" w:rsidR="00E72F4D" w:rsidRPr="0013516B" w:rsidRDefault="00E72F4D" w:rsidP="00E72F4D">
      <w:pPr>
        <w:suppressAutoHyphens/>
      </w:pPr>
      <w:r w:rsidRPr="0013516B">
        <w:rPr>
          <w:vertAlign w:val="superscript"/>
        </w:rPr>
        <w:t>2</w:t>
      </w:r>
      <w:r w:rsidRPr="0013516B">
        <w:t xml:space="preserve"> </w:t>
      </w:r>
      <w:r>
        <w:rPr>
          <w:rFonts w:eastAsia="Times New Roman"/>
          <w:color w:val="000000"/>
        </w:rPr>
        <w:t xml:space="preserve">University of </w:t>
      </w:r>
      <w:proofErr w:type="spellStart"/>
      <w:r>
        <w:rPr>
          <w:rFonts w:eastAsia="Times New Roman"/>
          <w:color w:val="000000"/>
        </w:rPr>
        <w:t>Primorska</w:t>
      </w:r>
      <w:proofErr w:type="spellEnd"/>
      <w:r>
        <w:rPr>
          <w:rFonts w:eastAsia="Times New Roman"/>
          <w:color w:val="000000"/>
        </w:rPr>
        <w:t xml:space="preserve">, Titov </w:t>
      </w:r>
      <w:proofErr w:type="spellStart"/>
      <w:r>
        <w:rPr>
          <w:rFonts w:eastAsia="Times New Roman"/>
          <w:color w:val="000000"/>
        </w:rPr>
        <w:t>trg</w:t>
      </w:r>
      <w:proofErr w:type="spellEnd"/>
      <w:r>
        <w:rPr>
          <w:rFonts w:eastAsia="Times New Roman"/>
          <w:color w:val="000000"/>
        </w:rPr>
        <w:t xml:space="preserve"> </w:t>
      </w:r>
      <w:r w:rsidR="00314CCD">
        <w:rPr>
          <w:rFonts w:eastAsia="Times New Roman"/>
          <w:color w:val="000000"/>
        </w:rPr>
        <w:t>4</w:t>
      </w:r>
      <w:r>
        <w:rPr>
          <w:rFonts w:eastAsia="Times New Roman"/>
          <w:color w:val="000000"/>
        </w:rPr>
        <w:t xml:space="preserve">, 6000 Koper, Slovenia and </w:t>
      </w:r>
      <w:r>
        <w:t xml:space="preserve">InnoRenew CoE, </w:t>
      </w:r>
      <w:proofErr w:type="spellStart"/>
      <w:r>
        <w:t>Livade</w:t>
      </w:r>
      <w:proofErr w:type="spellEnd"/>
      <w:r>
        <w:t xml:space="preserve"> 6a, 6310 Izola, Slovenia, andreja.kutnar@innorenew.eu</w:t>
      </w:r>
    </w:p>
    <w:p w14:paraId="6D6B868A" w14:textId="1068BD87" w:rsidR="00E72F4D" w:rsidRDefault="00F17B89" w:rsidP="00E72F4D">
      <w:pPr>
        <w:jc w:val="both"/>
        <w:rPr>
          <w:lang w:val="en-GB"/>
        </w:rPr>
      </w:pPr>
      <w:r w:rsidRPr="0013516B">
        <w:br/>
      </w:r>
      <w:r w:rsidR="00E72F4D">
        <w:rPr>
          <w:lang w:val="en-GB"/>
        </w:rPr>
        <w:t xml:space="preserve">Wood products manufacturing is an important industrial sector worldwide, as well as in Slovenia. It represents a significant share of Slovenia’s GDP, accounting for </w:t>
      </w:r>
      <w:r w:rsidR="00E72F4D" w:rsidRPr="00282245">
        <w:rPr>
          <w:lang w:val="en-GB"/>
        </w:rPr>
        <w:t>2.5</w:t>
      </w:r>
      <w:r w:rsidR="00E72F4D">
        <w:rPr>
          <w:lang w:val="en-GB"/>
        </w:rPr>
        <w:t xml:space="preserve"> billion</w:t>
      </w:r>
      <w:r w:rsidR="00E72F4D" w:rsidRPr="00282245">
        <w:rPr>
          <w:lang w:val="en-GB"/>
        </w:rPr>
        <w:t xml:space="preserve"> EUR</w:t>
      </w:r>
      <w:r w:rsidR="00E72F4D">
        <w:rPr>
          <w:lang w:val="en-GB"/>
        </w:rPr>
        <w:t xml:space="preserve"> income in 2022 (SURS, 2024), which is over 8</w:t>
      </w:r>
      <w:r w:rsidR="00314CCD">
        <w:rPr>
          <w:lang w:val="en-GB"/>
        </w:rPr>
        <w:t xml:space="preserve"> </w:t>
      </w:r>
      <w:r w:rsidR="00E72F4D">
        <w:rPr>
          <w:lang w:val="en-GB"/>
        </w:rPr>
        <w:t>% of the total income generated by manufacturing activities. Besides its economic importance, the sector plays a crucial role in climate change mitigation as wood-based carbon storage can offset CO</w:t>
      </w:r>
      <w:r w:rsidR="00E72F4D" w:rsidRPr="00E72F4D">
        <w:rPr>
          <w:vertAlign w:val="subscript"/>
          <w:lang w:val="en-GB"/>
        </w:rPr>
        <w:t>2</w:t>
      </w:r>
      <w:r w:rsidR="00E72F4D">
        <w:rPr>
          <w:lang w:val="en-GB"/>
        </w:rPr>
        <w:t xml:space="preserve"> emissions in the mid-term (</w:t>
      </w:r>
      <w:r w:rsidR="00E72F4D">
        <w:t xml:space="preserve">United Nations, 2012; </w:t>
      </w:r>
      <w:r w:rsidR="00E72F4D" w:rsidRPr="00E11987">
        <w:t>Johnston</w:t>
      </w:r>
      <w:r w:rsidR="00E72F4D">
        <w:t xml:space="preserve"> et al, </w:t>
      </w:r>
      <w:r w:rsidR="00E72F4D" w:rsidRPr="00E11987">
        <w:t>2019</w:t>
      </w:r>
      <w:r w:rsidR="00E72F4D">
        <w:t xml:space="preserve">; </w:t>
      </w:r>
      <w:r w:rsidR="00E72F4D" w:rsidRPr="00E11987">
        <w:t>Cordier</w:t>
      </w:r>
      <w:r w:rsidR="00E72F4D">
        <w:t xml:space="preserve"> et al, 2022</w:t>
      </w:r>
      <w:r w:rsidR="00E72F4D">
        <w:rPr>
          <w:lang w:val="en-GB"/>
        </w:rPr>
        <w:t>)</w:t>
      </w:r>
      <w:r w:rsidR="008175DE">
        <w:rPr>
          <w:lang w:val="en-GB"/>
        </w:rPr>
        <w:t xml:space="preserve">, </w:t>
      </w:r>
      <w:proofErr w:type="gramStart"/>
      <w:r w:rsidR="008175DE">
        <w:rPr>
          <w:lang w:val="en-GB"/>
        </w:rPr>
        <w:t>in particular</w:t>
      </w:r>
      <w:r w:rsidR="00E72F4D">
        <w:rPr>
          <w:lang w:val="en-GB"/>
        </w:rPr>
        <w:t xml:space="preserve"> if</w:t>
      </w:r>
      <w:proofErr w:type="gramEnd"/>
      <w:r w:rsidR="00E72F4D">
        <w:rPr>
          <w:lang w:val="en-GB"/>
        </w:rPr>
        <w:t xml:space="preserve"> the </w:t>
      </w:r>
      <w:r w:rsidR="008175DE">
        <w:rPr>
          <w:lang w:val="en-GB"/>
        </w:rPr>
        <w:t>government</w:t>
      </w:r>
      <w:r w:rsidR="00E72F4D">
        <w:rPr>
          <w:lang w:val="en-GB"/>
        </w:rPr>
        <w:t xml:space="preserve"> </w:t>
      </w:r>
      <w:r w:rsidR="008175DE">
        <w:rPr>
          <w:lang w:val="en-GB"/>
        </w:rPr>
        <w:t>encourages</w:t>
      </w:r>
      <w:r w:rsidR="00E72F4D">
        <w:rPr>
          <w:lang w:val="en-GB"/>
        </w:rPr>
        <w:t xml:space="preserve"> the production of long-lasting products (</w:t>
      </w:r>
      <w:r w:rsidR="008175DE">
        <w:rPr>
          <w:lang w:val="en-GB"/>
        </w:rPr>
        <w:t>such as construction wood</w:t>
      </w:r>
      <w:r w:rsidR="00E72F4D">
        <w:rPr>
          <w:lang w:val="en-GB"/>
        </w:rPr>
        <w:t>) as opposed to using wood for short-lived products (fuel, paper). In Slovenia, the available studies examining this potential are currently limited to the reporting obligations within the UNFCCC</w:t>
      </w:r>
      <w:r w:rsidR="008175DE">
        <w:rPr>
          <w:lang w:val="en-GB"/>
        </w:rPr>
        <w:t>. The</w:t>
      </w:r>
      <w:r w:rsidR="00E72F4D">
        <w:rPr>
          <w:lang w:val="en-GB"/>
        </w:rPr>
        <w:t xml:space="preserve"> carbon pool of Harvested Wood Products</w:t>
      </w:r>
      <w:r w:rsidR="008175DE">
        <w:rPr>
          <w:lang w:val="en-GB"/>
        </w:rPr>
        <w:t xml:space="preserve"> (HWPs)</w:t>
      </w:r>
      <w:r w:rsidR="00E72F4D">
        <w:rPr>
          <w:lang w:val="en-GB"/>
        </w:rPr>
        <w:t xml:space="preserve"> is calculated according to the IPCC methodology, using the so-called Tier 2 method, which shows carbon stored in three categories of wood products (sawn wood, wood for boards and wood for cellulose/pulp)</w:t>
      </w:r>
      <w:r w:rsidR="008175DE">
        <w:rPr>
          <w:lang w:val="en-GB"/>
        </w:rPr>
        <w:t xml:space="preserve">, which are all intermediate categories. Such a calculation does not enable an accurate prediction of </w:t>
      </w:r>
      <w:proofErr w:type="gramStart"/>
      <w:r w:rsidR="008175DE">
        <w:rPr>
          <w:lang w:val="en-GB"/>
        </w:rPr>
        <w:t>long term</w:t>
      </w:r>
      <w:proofErr w:type="gramEnd"/>
      <w:r w:rsidR="008175DE">
        <w:rPr>
          <w:lang w:val="en-GB"/>
        </w:rPr>
        <w:t xml:space="preserve"> carbon storage.</w:t>
      </w:r>
    </w:p>
    <w:p w14:paraId="5587FAA1" w14:textId="77777777" w:rsidR="00E72F4D" w:rsidRDefault="00E72F4D" w:rsidP="00E72F4D">
      <w:pPr>
        <w:jc w:val="both"/>
        <w:rPr>
          <w:lang w:val="en-GB"/>
        </w:rPr>
      </w:pPr>
    </w:p>
    <w:p w14:paraId="69DFF7EE" w14:textId="0565FC9C" w:rsidR="00DE749B" w:rsidRPr="00E72F4D" w:rsidRDefault="00E72F4D" w:rsidP="00E72F4D">
      <w:pPr>
        <w:jc w:val="both"/>
        <w:rPr>
          <w:lang w:val="en-GB"/>
        </w:rPr>
      </w:pPr>
      <w:proofErr w:type="gramStart"/>
      <w:r>
        <w:rPr>
          <w:lang w:val="en-GB"/>
        </w:rPr>
        <w:t>In order to</w:t>
      </w:r>
      <w:proofErr w:type="gramEnd"/>
      <w:r>
        <w:rPr>
          <w:lang w:val="en-GB"/>
        </w:rPr>
        <w:t xml:space="preserve"> detail </w:t>
      </w:r>
      <w:r w:rsidR="008175DE">
        <w:rPr>
          <w:lang w:val="en-GB"/>
        </w:rPr>
        <w:t>the existing</w:t>
      </w:r>
      <w:r>
        <w:rPr>
          <w:lang w:val="en-GB"/>
        </w:rPr>
        <w:t xml:space="preserve"> calculation further (possibly as a Tier 3 calculation under the </w:t>
      </w:r>
      <w:r w:rsidR="008175DE">
        <w:rPr>
          <w:lang w:val="en-GB"/>
        </w:rPr>
        <w:t>IPCC guidelines</w:t>
      </w:r>
      <w:r>
        <w:rPr>
          <w:lang w:val="en-GB"/>
        </w:rPr>
        <w:t xml:space="preserve">) and use it as a basis for policy measures, robust historical wood production data is needed for primary and secondary wood products. By acquiring reliable data of the current market situation, flows of wood and their evolution through time can be well understood and implementation of effective sectoral measures becomes feasible.  This study </w:t>
      </w:r>
      <w:r w:rsidR="005B3C8C">
        <w:rPr>
          <w:lang w:val="en-GB"/>
        </w:rPr>
        <w:t xml:space="preserve">presents how </w:t>
      </w:r>
      <w:r>
        <w:rPr>
          <w:lang w:val="en-GB"/>
        </w:rPr>
        <w:t xml:space="preserve">this knowledge gap in data </w:t>
      </w:r>
      <w:r w:rsidR="005B3C8C">
        <w:rPr>
          <w:lang w:val="en-GB"/>
        </w:rPr>
        <w:t>can</w:t>
      </w:r>
      <w:r>
        <w:rPr>
          <w:lang w:val="en-GB"/>
        </w:rPr>
        <w:t xml:space="preserve"> serve as a basis for reviewing carbon flows within wood products manufacturing in Slovenia, </w:t>
      </w:r>
      <w:proofErr w:type="gramStart"/>
      <w:r>
        <w:rPr>
          <w:lang w:val="en-GB"/>
        </w:rPr>
        <w:t>similar to</w:t>
      </w:r>
      <w:proofErr w:type="gramEnd"/>
      <w:r>
        <w:rPr>
          <w:lang w:val="en-GB"/>
        </w:rPr>
        <w:t xml:space="preserve"> the </w:t>
      </w:r>
      <w:r w:rsidR="008175DE">
        <w:rPr>
          <w:lang w:val="en-GB"/>
        </w:rPr>
        <w:t>state-of-the-art</w:t>
      </w:r>
      <w:r>
        <w:rPr>
          <w:lang w:val="en-GB"/>
        </w:rPr>
        <w:t xml:space="preserve"> studies worldwide (</w:t>
      </w:r>
      <w:proofErr w:type="spellStart"/>
      <w:r w:rsidRPr="00E11987">
        <w:t>Paluš</w:t>
      </w:r>
      <w:proofErr w:type="spellEnd"/>
      <w:r w:rsidRPr="00E11987">
        <w:t xml:space="preserve"> </w:t>
      </w:r>
      <w:r>
        <w:t xml:space="preserve">et al, 2020; </w:t>
      </w:r>
      <w:proofErr w:type="spellStart"/>
      <w:r w:rsidRPr="00E11987">
        <w:t>Jasinevičius</w:t>
      </w:r>
      <w:proofErr w:type="spellEnd"/>
      <w:r w:rsidRPr="00E11987">
        <w:t xml:space="preserve"> </w:t>
      </w:r>
      <w:r>
        <w:t>et al.,</w:t>
      </w:r>
      <w:r w:rsidRPr="00E11987">
        <w:t>2018</w:t>
      </w:r>
      <w:r>
        <w:rPr>
          <w:lang w:val="en-GB"/>
        </w:rPr>
        <w:t>).</w:t>
      </w:r>
    </w:p>
    <w:p w14:paraId="76BD0E04" w14:textId="77777777" w:rsidR="00DE749B" w:rsidRDefault="00DE749B" w:rsidP="0013516B">
      <w:pPr>
        <w:suppressAutoHyphens/>
      </w:pPr>
    </w:p>
    <w:p w14:paraId="0ACCCA01" w14:textId="6AA0FCF7" w:rsidR="00DE749B" w:rsidRDefault="00E72F4D" w:rsidP="00E72F4D">
      <w:pPr>
        <w:suppressAutoHyphens/>
        <w:jc w:val="both"/>
      </w:pPr>
      <w:r w:rsidRPr="0026373A">
        <w:rPr>
          <w:u w:val="single"/>
        </w:rPr>
        <w:t>Keywords:</w:t>
      </w:r>
      <w:r w:rsidRPr="004B04FB">
        <w:t xml:space="preserve"> harvested wood products, forest-based value chain, carbon </w:t>
      </w:r>
      <w:r>
        <w:t>flow</w:t>
      </w:r>
    </w:p>
    <w:p w14:paraId="7A434EEA" w14:textId="77777777" w:rsidR="00E72F4D" w:rsidRDefault="00E72F4D" w:rsidP="00E72F4D">
      <w:pPr>
        <w:suppressAutoHyphens/>
        <w:jc w:val="both"/>
      </w:pPr>
    </w:p>
    <w:p w14:paraId="5C85477F" w14:textId="77777777" w:rsidR="00E72F4D" w:rsidRPr="0013516B" w:rsidRDefault="00E72F4D" w:rsidP="00E72F4D">
      <w:pPr>
        <w:suppressAutoHyphens/>
        <w:jc w:val="both"/>
      </w:pPr>
      <w:r w:rsidRPr="0026373A">
        <w:rPr>
          <w:u w:val="single"/>
        </w:rPr>
        <w:t>Acknowledgment:</w:t>
      </w:r>
      <w:r w:rsidRPr="0013516B">
        <w:t xml:space="preserve"> </w:t>
      </w:r>
      <w:r>
        <w:t>The</w:t>
      </w:r>
      <w:r w:rsidRPr="0013516B">
        <w:t xml:space="preserve"> </w:t>
      </w:r>
      <w:r>
        <w:t>a</w:t>
      </w:r>
      <w:r w:rsidRPr="0013516B">
        <w:t xml:space="preserve">uthor gratefully acknowledges receiving funding from </w:t>
      </w:r>
      <w:r>
        <w:t xml:space="preserve">European Commission under the H2020-MSCA-IF-2020 program, Grant Agreement #101024687 and </w:t>
      </w:r>
      <w:r w:rsidRPr="007F1BAF">
        <w:t>the European Commission for funding the InnoRenew project (Grant Agreement #739574) under the Horizon 2020 Widespread-Teaming program and the Republic of Slovenia (investment funding of the Republic of Slovenia and the European Regional Development Fund)</w:t>
      </w:r>
      <w:r>
        <w:t>.</w:t>
      </w:r>
    </w:p>
    <w:p w14:paraId="71EC661B" w14:textId="77777777" w:rsidR="0084162C" w:rsidRDefault="0084162C" w:rsidP="0013516B">
      <w:pPr>
        <w:suppressAutoHyphens/>
      </w:pPr>
    </w:p>
    <w:p w14:paraId="2FB56B48" w14:textId="77777777" w:rsidR="0084162C" w:rsidRDefault="0084162C" w:rsidP="0013516B">
      <w:pPr>
        <w:suppressAutoHyphens/>
      </w:pPr>
    </w:p>
    <w:p w14:paraId="2F0986B5" w14:textId="77777777" w:rsidR="0084162C" w:rsidRDefault="0084162C" w:rsidP="0013516B">
      <w:pPr>
        <w:suppressAutoHyphens/>
      </w:pPr>
    </w:p>
    <w:p w14:paraId="2C5E409E" w14:textId="77777777" w:rsidR="00E72F4D" w:rsidRDefault="00E72F4D" w:rsidP="0013516B">
      <w:pPr>
        <w:suppressAutoHyphens/>
      </w:pPr>
    </w:p>
    <w:p w14:paraId="0E7FE284" w14:textId="77777777" w:rsidR="00E72F4D" w:rsidRDefault="00E72F4D" w:rsidP="0013516B">
      <w:pPr>
        <w:suppressAutoHyphens/>
      </w:pPr>
    </w:p>
    <w:p w14:paraId="34A4B528" w14:textId="77777777" w:rsidR="00E72F4D" w:rsidRDefault="00E72F4D" w:rsidP="0013516B">
      <w:pPr>
        <w:suppressAutoHyphens/>
      </w:pPr>
    </w:p>
    <w:p w14:paraId="35F6CEB2" w14:textId="77777777" w:rsidR="00E72F4D" w:rsidRDefault="00E72F4D" w:rsidP="0013516B">
      <w:pPr>
        <w:suppressAutoHyphens/>
      </w:pPr>
    </w:p>
    <w:p w14:paraId="1AA59069" w14:textId="77777777" w:rsidR="00E72F4D" w:rsidRDefault="00E72F4D" w:rsidP="0013516B">
      <w:pPr>
        <w:suppressAutoHyphens/>
      </w:pPr>
    </w:p>
    <w:p w14:paraId="48DE7348" w14:textId="77777777" w:rsidR="00E72F4D" w:rsidRDefault="00E72F4D" w:rsidP="0013516B">
      <w:pPr>
        <w:suppressAutoHyphens/>
      </w:pPr>
    </w:p>
    <w:p w14:paraId="329BF50B" w14:textId="77777777" w:rsidR="00E72F4D" w:rsidRDefault="00E72F4D" w:rsidP="0013516B">
      <w:pPr>
        <w:suppressAutoHyphens/>
      </w:pPr>
    </w:p>
    <w:p w14:paraId="7769E30F" w14:textId="18F964C7" w:rsidR="00B57FD3" w:rsidRPr="0013516B" w:rsidRDefault="00F17B89" w:rsidP="0013516B">
      <w:pPr>
        <w:suppressAutoHyphens/>
      </w:pPr>
      <w:r w:rsidRPr="0013516B">
        <w:t xml:space="preserve">REFERENCES </w:t>
      </w:r>
    </w:p>
    <w:p w14:paraId="2FA14999" w14:textId="77777777" w:rsidR="008175DE" w:rsidRDefault="0084162C" w:rsidP="0084162C">
      <w:pPr>
        <w:pStyle w:val="Reference"/>
        <w:rPr>
          <w:noProof/>
          <w:lang w:val="en-GB"/>
        </w:rPr>
      </w:pPr>
      <w:r w:rsidRPr="00CA258B">
        <w:rPr>
          <w:lang w:val="en-GB"/>
        </w:rPr>
        <w:fldChar w:fldCharType="begin" w:fldLock="1"/>
      </w:r>
      <w:r w:rsidRPr="00CA258B">
        <w:rPr>
          <w:lang w:val="en-GB"/>
        </w:rPr>
        <w:instrText xml:space="preserve">ADDIN Mendeley Bibliography CSL_BIBLIOGRAPHY </w:instrText>
      </w:r>
      <w:r w:rsidRPr="00CA258B">
        <w:rPr>
          <w:lang w:val="en-GB"/>
        </w:rPr>
        <w:fldChar w:fldCharType="separate"/>
      </w:r>
    </w:p>
    <w:p w14:paraId="14B597B5" w14:textId="3A955667" w:rsidR="0084162C" w:rsidRPr="00E93DD2" w:rsidRDefault="008175DE" w:rsidP="008175DE">
      <w:pPr>
        <w:pStyle w:val="Reference"/>
        <w:rPr>
          <w:noProof/>
          <w:lang w:val="en-GB"/>
        </w:rPr>
      </w:pPr>
      <w:r w:rsidRPr="008175DE">
        <w:rPr>
          <w:noProof/>
          <w:lang w:val="en-GB"/>
        </w:rPr>
        <w:t>Cordier, S., Blanchet, P., Robichaud, F., Amor, B. 2022. Dynamic LCA of the increased use of wood in buildings and its consequences: Integration of CO2 sequestration and material substitutions,</w:t>
      </w:r>
      <w:r>
        <w:rPr>
          <w:noProof/>
          <w:lang w:val="en-GB"/>
        </w:rPr>
        <w:t xml:space="preserve"> </w:t>
      </w:r>
      <w:r w:rsidRPr="008175DE">
        <w:rPr>
          <w:noProof/>
          <w:lang w:val="en-GB"/>
        </w:rPr>
        <w:t>Building and Environment, Volume 226, https://doi.org/10.1016/j.buildenv.2022.109695.</w:t>
      </w:r>
    </w:p>
    <w:p w14:paraId="2E76C1AE" w14:textId="77777777" w:rsidR="008175DE" w:rsidRPr="00E93DD2" w:rsidRDefault="008175DE" w:rsidP="008175DE">
      <w:pPr>
        <w:pStyle w:val="Reference"/>
        <w:rPr>
          <w:noProof/>
          <w:lang w:val="en-GB"/>
        </w:rPr>
      </w:pPr>
      <w:r w:rsidRPr="008175DE">
        <w:rPr>
          <w:noProof/>
          <w:lang w:val="en-GB"/>
        </w:rPr>
        <w:t>Jasinevičius, G., Lindner, M., Cienciala, E. and Tykkyläinen, M. 2018. Carbon Accounting in Harvested Wood Products: Assessment Using Material Flow Analysis Resulting in Larger Pools Compared to the IPCC Default Method. Journal of Industrial Ecology, 22: 121-131. https://doi.org/10.1111/jiec.12538</w:t>
      </w:r>
    </w:p>
    <w:p w14:paraId="05AC856B" w14:textId="0F4573EC" w:rsidR="008175DE" w:rsidRDefault="008175DE" w:rsidP="008175DE">
      <w:pPr>
        <w:pStyle w:val="Reference"/>
        <w:rPr>
          <w:noProof/>
          <w:lang w:val="en-GB"/>
        </w:rPr>
      </w:pPr>
      <w:r w:rsidRPr="008175DE">
        <w:rPr>
          <w:noProof/>
          <w:lang w:val="en-GB"/>
        </w:rPr>
        <w:t xml:space="preserve">Johnston, C. M. T., Radeloff, V. C., 2019. Global mitigation potential of carbon stored in harvested wood products, PNAS 116 (29), 14526-14531. </w:t>
      </w:r>
      <w:r w:rsidR="0084162C" w:rsidRPr="00CA258B">
        <w:rPr>
          <w:lang w:val="en-GB"/>
        </w:rPr>
        <w:fldChar w:fldCharType="end"/>
      </w:r>
      <w:r w:rsidRPr="00CA258B">
        <w:rPr>
          <w:lang w:val="en-GB"/>
        </w:rPr>
        <w:fldChar w:fldCharType="begin" w:fldLock="1"/>
      </w:r>
      <w:r w:rsidRPr="00CA258B">
        <w:rPr>
          <w:lang w:val="en-GB"/>
        </w:rPr>
        <w:instrText xml:space="preserve">ADDIN Mendeley Bibliography CSL_BIBLIOGRAPHY </w:instrText>
      </w:r>
      <w:r w:rsidRPr="00CA258B">
        <w:rPr>
          <w:lang w:val="en-GB"/>
        </w:rPr>
        <w:fldChar w:fldCharType="separate"/>
      </w:r>
    </w:p>
    <w:p w14:paraId="45A2064E" w14:textId="77777777" w:rsidR="008175DE" w:rsidRPr="00CA258B" w:rsidRDefault="008175DE" w:rsidP="008175DE">
      <w:pPr>
        <w:pStyle w:val="Reference"/>
        <w:rPr>
          <w:noProof/>
          <w:lang w:val="en-GB"/>
        </w:rPr>
      </w:pPr>
      <w:r w:rsidRPr="008175DE">
        <w:rPr>
          <w:noProof/>
          <w:lang w:val="en-GB"/>
        </w:rPr>
        <w:t>Paluš, H., Parobek, J., Moravčík, M., Kovalčík, M., Dzian, M., Murgaš, V. 2020. Projecting Climate Change Potential of Harvested Wood Products under Different Scenarios of Wood Production and Utilization: Study of Slovakia. Sustainability, 12, 2510. https://doi.org/10.3390/su12062510</w:t>
      </w:r>
    </w:p>
    <w:p w14:paraId="13E615C4" w14:textId="248C7FB8" w:rsidR="008175DE" w:rsidRDefault="008175DE" w:rsidP="0026373A">
      <w:pPr>
        <w:pStyle w:val="Reference"/>
        <w:ind w:left="0" w:firstLine="0"/>
        <w:rPr>
          <w:noProof/>
          <w:lang w:val="en-GB"/>
        </w:rPr>
      </w:pPr>
      <w:r w:rsidRPr="00CA258B">
        <w:rPr>
          <w:lang w:val="en-GB"/>
        </w:rPr>
        <w:fldChar w:fldCharType="end"/>
      </w:r>
      <w:r w:rsidRPr="008175DE">
        <w:rPr>
          <w:noProof/>
          <w:lang w:val="en-GB"/>
        </w:rPr>
        <w:t xml:space="preserve">SURS, 2024. Sales of industrial products and services by area and 2-digit CPA activity code in 2022. Accessed on 20th of June 2024 at </w:t>
      </w:r>
      <w:hyperlink r:id="rId11" w:history="1">
        <w:r w:rsidRPr="00B53D72">
          <w:rPr>
            <w:rStyle w:val="Hyperlink"/>
            <w:noProof/>
            <w:lang w:val="en-GB"/>
          </w:rPr>
          <w:t>https://pxweb.stat.si/SiStatData/pxweb/sl/Data/-/H252S.px</w:t>
        </w:r>
      </w:hyperlink>
      <w:r>
        <w:rPr>
          <w:noProof/>
          <w:lang w:val="en-GB"/>
        </w:rPr>
        <w:t xml:space="preserve"> </w:t>
      </w:r>
    </w:p>
    <w:p w14:paraId="7CDDCDAE" w14:textId="2CD862D5" w:rsidR="008175DE" w:rsidRPr="00E72F4D" w:rsidRDefault="008175DE" w:rsidP="008175DE">
      <w:pPr>
        <w:pStyle w:val="Reference"/>
        <w:rPr>
          <w:noProof/>
          <w:lang w:val="en-GB"/>
        </w:rPr>
      </w:pPr>
      <w:r w:rsidRPr="008175DE">
        <w:rPr>
          <w:noProof/>
          <w:lang w:val="en-GB"/>
        </w:rPr>
        <w:t xml:space="preserve">United Nations, 2012. Land use, land-use change and forestry. In: Report of the Conference of the Parties Serving as the Meeting of the Parties to the Kyoto Protocol on its Seventh Session, held in Durban from 28 November to 11 December 2011, 11–21. Available at </w:t>
      </w:r>
      <w:hyperlink r:id="rId12" w:history="1">
        <w:r w:rsidRPr="00B53D72">
          <w:rPr>
            <w:rStyle w:val="Hyperlink"/>
            <w:noProof/>
            <w:lang w:val="en-GB"/>
          </w:rPr>
          <w:t>https://unfccc.int/resource/docs/2011/cmp7/eng/10a01.pdf . Retrieved June 2024</w:t>
        </w:r>
      </w:hyperlink>
      <w:r w:rsidRPr="008175DE">
        <w:rPr>
          <w:noProof/>
          <w:lang w:val="en-GB"/>
        </w:rPr>
        <w:t>.</w:t>
      </w:r>
      <w:r>
        <w:rPr>
          <w:noProof/>
          <w:lang w:val="en-GB"/>
        </w:rPr>
        <w:t xml:space="preserve"> </w:t>
      </w:r>
    </w:p>
    <w:p w14:paraId="3A4D859A" w14:textId="2B8D1394" w:rsidR="00E72F4D" w:rsidRPr="00E72F4D" w:rsidRDefault="00E72F4D" w:rsidP="00E72F4D">
      <w:pPr>
        <w:suppressAutoHyphens/>
        <w:rPr>
          <w:noProof/>
          <w:sz w:val="22"/>
          <w:lang w:val="en-GB"/>
        </w:rPr>
      </w:pPr>
    </w:p>
    <w:sectPr w:rsidR="00E72F4D" w:rsidRPr="00E72F4D" w:rsidSect="0013516B">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7A272C" w14:textId="77777777" w:rsidR="00C73C8C" w:rsidRDefault="00C73C8C">
      <w:r>
        <w:separator/>
      </w:r>
    </w:p>
  </w:endnote>
  <w:endnote w:type="continuationSeparator" w:id="0">
    <w:p w14:paraId="6E3F9396" w14:textId="77777777" w:rsidR="00C73C8C" w:rsidRDefault="00C73C8C">
      <w:r>
        <w:continuationSeparator/>
      </w:r>
    </w:p>
  </w:endnote>
  <w:endnote w:type="continuationNotice" w:id="1">
    <w:p w14:paraId="62B5D397" w14:textId="77777777" w:rsidR="00C73C8C" w:rsidRDefault="00C73C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JAVU SANS">
    <w:altName w:val="Sylfaen"/>
    <w:charset w:val="EE"/>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Droid Sans Fallback">
    <w:charset w:val="01"/>
    <w:family w:val="auto"/>
    <w:pitch w:val="variable"/>
  </w:font>
  <w:font w:name="FreeSans">
    <w:altName w:val="Times New Roman"/>
    <w:charset w:val="01"/>
    <w:family w:val="auto"/>
    <w:pitch w:val="variable"/>
  </w:font>
  <w:font w:name="Raleway Medium">
    <w:charset w:val="00"/>
    <w:family w:val="auto"/>
    <w:pitch w:val="variable"/>
    <w:sig w:usb0="A00002FF" w:usb1="5000205B" w:usb2="00000000" w:usb3="00000000" w:csb0="00000197" w:csb1="00000000"/>
  </w:font>
  <w:font w:name="Raleway Light">
    <w:charset w:val="00"/>
    <w:family w:val="auto"/>
    <w:pitch w:val="variable"/>
    <w:sig w:usb0="A00002FF" w:usb1="5000205B" w:usb2="00000000" w:usb3="00000000" w:csb0="00000197"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904F0" w14:textId="77777777" w:rsidR="00E45D91" w:rsidRDefault="00E45D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DD450" w14:textId="77777777" w:rsidR="00E45D91" w:rsidRDefault="00E45D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5CEE4" w14:textId="1BE3637F" w:rsidR="00E310B3" w:rsidRDefault="00E310B3" w:rsidP="00D736F7">
    <w:pPr>
      <w:pStyle w:val="Footer"/>
      <w:spacing w:after="80"/>
      <w:jc w:val="center"/>
      <w:rPr>
        <w:rFonts w:ascii="Raleway Light" w:hAnsi="Raleway Light"/>
      </w:rPr>
    </w:pPr>
    <w:r>
      <w:rPr>
        <w:rFonts w:ascii="Raleway Light" w:hAnsi="Raleway Light"/>
      </w:rPr>
      <w:t>1</w:t>
    </w:r>
    <w:r w:rsidR="001B4AA7">
      <w:rPr>
        <w:rFonts w:ascii="Raleway Light" w:hAnsi="Raleway Light"/>
      </w:rPr>
      <w:t>1</w:t>
    </w:r>
    <w:r w:rsidR="00DE749B">
      <w:rPr>
        <w:rFonts w:ascii="Raleway Light" w:hAnsi="Raleway Light"/>
      </w:rPr>
      <w:t>–</w:t>
    </w:r>
    <w:r>
      <w:rPr>
        <w:rFonts w:ascii="Raleway Light" w:hAnsi="Raleway Light"/>
      </w:rPr>
      <w:t>1</w:t>
    </w:r>
    <w:r w:rsidR="001B4AA7">
      <w:rPr>
        <w:rFonts w:ascii="Raleway Light" w:hAnsi="Raleway Light"/>
      </w:rPr>
      <w:t>2</w:t>
    </w:r>
    <w:r>
      <w:rPr>
        <w:rFonts w:ascii="Raleway Light" w:hAnsi="Raleway Light"/>
      </w:rPr>
      <w:t xml:space="preserve"> </w:t>
    </w:r>
    <w:r w:rsidR="00060AC1">
      <w:rPr>
        <w:rFonts w:ascii="Raleway Light" w:hAnsi="Raleway Light"/>
      </w:rPr>
      <w:t>September</w:t>
    </w:r>
    <w:r>
      <w:rPr>
        <w:rFonts w:ascii="Raleway Light" w:hAnsi="Raleway Light"/>
      </w:rPr>
      <w:t xml:space="preserve"> 202</w:t>
    </w:r>
    <w:r w:rsidR="001B4AA7">
      <w:rPr>
        <w:rFonts w:ascii="Raleway Light" w:hAnsi="Raleway Light"/>
      </w:rPr>
      <w:t>4</w:t>
    </w:r>
    <w:r>
      <w:rPr>
        <w:rFonts w:ascii="Raleway Light" w:hAnsi="Raleway Light"/>
      </w:rPr>
      <w:t xml:space="preserve"> | </w:t>
    </w:r>
    <w:r w:rsidR="00452039">
      <w:rPr>
        <w:rFonts w:ascii="Raleway Light" w:hAnsi="Raleway Light"/>
      </w:rPr>
      <w:t xml:space="preserve">Izola, </w:t>
    </w:r>
    <w:r>
      <w:rPr>
        <w:rFonts w:ascii="Raleway Light" w:hAnsi="Raleway Light"/>
      </w:rPr>
      <w:t>Slovenia</w:t>
    </w:r>
  </w:p>
  <w:p w14:paraId="3439B3FB" w14:textId="4EC21A8F" w:rsidR="00E310B3" w:rsidRPr="00E310B3" w:rsidRDefault="00D736F7" w:rsidP="00D736F7">
    <w:pPr>
      <w:pStyle w:val="Footer"/>
      <w:spacing w:after="80"/>
      <w:jc w:val="center"/>
      <w:rPr>
        <w:rFonts w:ascii="Raleway Light" w:hAnsi="Raleway Light"/>
        <w:i/>
        <w:iCs/>
        <w:sz w:val="20"/>
        <w:szCs w:val="20"/>
      </w:rPr>
    </w:pPr>
    <w:r w:rsidRPr="00D736F7">
      <w:rPr>
        <w:rFonts w:ascii="Raleway Light" w:hAnsi="Raleway Light"/>
        <w:i/>
        <w:iCs/>
        <w:sz w:val="20"/>
        <w:szCs w:val="20"/>
      </w:rPr>
      <w:t>https://innorenew.eu/iric202</w:t>
    </w:r>
    <w:r w:rsidR="001B4AA7">
      <w:rPr>
        <w:rFonts w:ascii="Raleway Light" w:hAnsi="Raleway Light"/>
        <w:i/>
        <w:iCs/>
        <w:sz w:val="20"/>
        <w:szCs w:val="2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AC5DA0" w14:textId="77777777" w:rsidR="00C73C8C" w:rsidRDefault="00C73C8C">
      <w:r>
        <w:separator/>
      </w:r>
    </w:p>
  </w:footnote>
  <w:footnote w:type="continuationSeparator" w:id="0">
    <w:p w14:paraId="1524F573" w14:textId="77777777" w:rsidR="00C73C8C" w:rsidRDefault="00C73C8C">
      <w:r>
        <w:continuationSeparator/>
      </w:r>
    </w:p>
  </w:footnote>
  <w:footnote w:type="continuationNotice" w:id="1">
    <w:p w14:paraId="1801B500" w14:textId="77777777" w:rsidR="00C73C8C" w:rsidRDefault="00C73C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18E4" w14:textId="77777777" w:rsidR="00045DD5" w:rsidRDefault="00045DD5">
    <w:pPr>
      <w:pStyle w:val="Header"/>
    </w:pPr>
  </w:p>
  <w:p w14:paraId="4865C848" w14:textId="77777777" w:rsidR="008846B7" w:rsidRDefault="00A46E8D">
    <w:r>
      <w:rPr>
        <w:noProof/>
      </w:rPr>
      <mc:AlternateContent>
        <mc:Choice Requires="wps">
          <w:drawing>
            <wp:anchor distT="0" distB="0" distL="114300" distR="114300" simplePos="0" relativeHeight="251658241" behindDoc="1" locked="0" layoutInCell="1" allowOverlap="1" wp14:anchorId="03647DD2" wp14:editId="413B86D4">
              <wp:simplePos x="0" y="0"/>
              <wp:positionH relativeFrom="page">
                <wp:posOffset>0</wp:posOffset>
              </wp:positionH>
              <wp:positionV relativeFrom="page">
                <wp:posOffset>0</wp:posOffset>
              </wp:positionV>
              <wp:extent cx="0" cy="0"/>
              <wp:effectExtent l="0" t="0" r="0" b="0"/>
              <wp:wrapNone/>
              <wp:docPr id="9" name="Rectangle 1">
                <a:extLst xmlns:a="http://schemas.openxmlformats.org/drawingml/2006/main">
                  <a:ext uri="{A998136B-4AC2-44c3-8CCF-79AB77ABDD1D}">
                    <a15:backgroundPr xmlns:a15="http://schemas.microsoft.com/office/drawing/2012/main" bwMode="white" bwPure="auto" bwNormal="auto" targetScreenSize="1024x768"/>
                  </a:ext>
                </a:extLst>
              </wp:docPr>
              <wp:cNvGraphicFramePr>
                <a:graphicFrameLocks xmlns:a="http://schemas.openxmlformats.org/drawingml/2006/main" noGrp="1" noDrilldown="1" noSelect="1" noChangeAspect="1" noResize="1"/>
              </wp:cNvGraphicFramePr>
              <a:graphic xmlns:a="http://schemas.openxmlformats.org/drawingml/2006/main">
                <a:graphicData uri="http://schemas.microsoft.com/office/word/2010/wordprocessingShape">
                  <wps:wsp>
                    <wps:cNvSpPr>
                      <a:spLocks noGrp="1" noSelect="1" noRot="1" noChangeAspect="1" noResize="1" noEditPoints="1" noAdjustHandles="1" noChangeArrowheads="1" noChangeShapeType="1" noTextEdit="1"/>
                    </wps:cNvSpPr>
                    <wps:spPr bwMode="white">
                      <a:xfrm>
                        <a:off x="0" y="0"/>
                        <a:ext cx="0" cy="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bodyPr/>
                  </wps:wsp>
                </a:graphicData>
              </a:graphic>
              <wp14:sizeRelH relativeFrom="page">
                <wp14:pctWidth>100000</wp14:pctWidth>
              </wp14:sizeRelH>
              <wp14:sizeRelV relativeFrom="page">
                <wp14:pctHeight>100000</wp14:pctHeight>
              </wp14:sizeRelV>
            </wp:anchor>
          </w:drawing>
        </mc:Choice>
        <mc:Fallback>
          <w:pict>
            <v:rect w14:anchorId="49BED5CD" id="Rectangle 1" o:spid="_x0000_s1026" style="position:absolute;margin-left:0;margin-top:0;width:0;height:0;z-index:-251658239;visibility:visible;mso-wrap-style:square;mso-width-percent:1000;mso-height-percent:1000;mso-wrap-distance-left:9pt;mso-wrap-distance-top:0;mso-wrap-distance-right:9pt;mso-wrap-distance-bottom:0;mso-position-horizontal:absolute;mso-position-horizontal-relative:page;mso-position-vertical:absolute;mso-position-vertical-relative:page;mso-width-percent:1000;mso-height-percent:1000;mso-width-relative:page;mso-height-relative:page;v-text-anchor:top" o:bwmode="whit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" stroked="f" strokeweight="0">
              <o:lock v:ext="edit" rotation="t" aspectratio="t" selection="t" verticies="t" text="t" adjusthandles="t" grouping="t" shapetype="t"/>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70B31" w14:textId="77777777" w:rsidR="00B57FD3" w:rsidRDefault="00B57FD3">
    <w:pPr>
      <w:pStyle w:val="Header"/>
    </w:pPr>
  </w:p>
  <w:p w14:paraId="3FB5125E" w14:textId="77777777" w:rsidR="008846B7" w:rsidRDefault="00A46E8D">
    <w:r>
      <w:rPr>
        <w:noProof/>
      </w:rPr>
      <mc:AlternateContent>
        <mc:Choice Requires="wps">
          <w:drawing>
            <wp:anchor distT="0" distB="0" distL="114300" distR="114300" simplePos="0" relativeHeight="251658240" behindDoc="1" locked="0" layoutInCell="1" allowOverlap="1" wp14:anchorId="10A9FDB8" wp14:editId="64772414">
              <wp:simplePos x="0" y="0"/>
              <wp:positionH relativeFrom="page">
                <wp:posOffset>0</wp:posOffset>
              </wp:positionH>
              <wp:positionV relativeFrom="page">
                <wp:posOffset>0</wp:posOffset>
              </wp:positionV>
              <wp:extent cx="0" cy="0"/>
              <wp:effectExtent l="0" t="0" r="0" b="0"/>
              <wp:wrapNone/>
              <wp:docPr id="10" name="Rectangle 1">
                <a:extLst xmlns:a="http://schemas.openxmlformats.org/drawingml/2006/main">
                  <a:ext uri="{A998136B-4AC2-44c3-8CCF-79AB77ABDD1D}">
                    <a15:backgroundPr xmlns:a15="http://schemas.microsoft.com/office/drawing/2012/main" bwMode="white" bwPure="auto" bwNormal="auto" targetScreenSize="1024x768"/>
                  </a:ext>
                </a:extLst>
              </wp:docPr>
              <wp:cNvGraphicFramePr>
                <a:graphicFrameLocks xmlns:a="http://schemas.openxmlformats.org/drawingml/2006/main" noGrp="1" noDrilldown="1" noSelect="1" noChangeAspect="1" noResize="1"/>
              </wp:cNvGraphicFramePr>
              <a:graphic xmlns:a="http://schemas.openxmlformats.org/drawingml/2006/main">
                <a:graphicData uri="http://schemas.microsoft.com/office/word/2010/wordprocessingShape">
                  <wps:wsp>
                    <wps:cNvSpPr>
                      <a:spLocks noGrp="1" noSelect="1" noRot="1" noChangeAspect="1" noResize="1" noEditPoints="1" noAdjustHandles="1" noChangeArrowheads="1" noChangeShapeType="1" noTextEdit="1"/>
                    </wps:cNvSpPr>
                    <wps:spPr bwMode="white">
                      <a:xfrm>
                        <a:off x="0" y="0"/>
                        <a:ext cx="0" cy="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bodyPr/>
                  </wps:wsp>
                </a:graphicData>
              </a:graphic>
              <wp14:sizeRelH relativeFrom="page">
                <wp14:pctWidth>100000</wp14:pctWidth>
              </wp14:sizeRelH>
              <wp14:sizeRelV relativeFrom="page">
                <wp14:pctHeight>100000</wp14:pctHeight>
              </wp14:sizeRelV>
            </wp:anchor>
          </w:drawing>
        </mc:Choice>
        <mc:Fallback>
          <w:pict>
            <v:rect w14:anchorId="17B56AAA" id="Rectangle 1" o:spid="_x0000_s1026" style="position:absolute;margin-left:0;margin-top:0;width:0;height:0;z-index:-251658240;visibility:visible;mso-wrap-style:square;mso-width-percent:1000;mso-height-percent:1000;mso-wrap-distance-left:9pt;mso-wrap-distance-top:0;mso-wrap-distance-right:9pt;mso-wrap-distance-bottom:0;mso-position-horizontal:absolute;mso-position-horizontal-relative:page;mso-position-vertical:absolute;mso-position-vertical-relative:page;mso-width-percent:1000;mso-height-percent:1000;mso-width-relative:page;mso-height-relative:page;v-text-anchor:top" o:bwmode="whit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" stroked="f" strokeweight="0">
              <o:lock v:ext="edit" rotation="t" aspectratio="t" selection="t" verticies="t" text="t" adjusthandles="t" grouping="t" shapetype="t"/>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EC9DC" w14:textId="55587CB3" w:rsidR="00045DD5" w:rsidRPr="00E310B3" w:rsidRDefault="00B01496" w:rsidP="00751562">
    <w:pPr>
      <w:pStyle w:val="Header"/>
      <w:tabs>
        <w:tab w:val="left" w:pos="2268"/>
        <w:tab w:val="left" w:pos="3119"/>
        <w:tab w:val="right" w:pos="9072"/>
      </w:tabs>
      <w:ind w:firstLine="2268"/>
      <w:jc w:val="both"/>
      <w:rPr>
        <w:rFonts w:ascii="Raleway Medium" w:hAnsi="Raleway Medium"/>
        <w:sz w:val="28"/>
        <w:szCs w:val="28"/>
      </w:rPr>
    </w:pPr>
    <w:r w:rsidRPr="00E310B3">
      <w:rPr>
        <w:rFonts w:ascii="Raleway Medium" w:hAnsi="Raleway Medium"/>
        <w:noProof/>
        <w:sz w:val="28"/>
        <w:szCs w:val="28"/>
        <w:lang w:eastAsia="en-US"/>
      </w:rPr>
      <w:drawing>
        <wp:anchor distT="0" distB="0" distL="114935" distR="114935" simplePos="0" relativeHeight="251658243" behindDoc="0" locked="0" layoutInCell="1" allowOverlap="1" wp14:anchorId="535839C9" wp14:editId="7AADBD4B">
          <wp:simplePos x="0" y="0"/>
          <wp:positionH relativeFrom="column">
            <wp:posOffset>71795</wp:posOffset>
          </wp:positionH>
          <wp:positionV relativeFrom="paragraph">
            <wp:posOffset>-158026</wp:posOffset>
          </wp:positionV>
          <wp:extent cx="1089126" cy="591978"/>
          <wp:effectExtent l="0" t="0" r="0" b="508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9126" cy="591978"/>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045DD5" w:rsidRPr="00E310B3">
      <w:rPr>
        <w:rFonts w:ascii="Raleway Medium" w:hAnsi="Raleway Medium"/>
        <w:sz w:val="28"/>
        <w:szCs w:val="28"/>
      </w:rPr>
      <w:t>I</w:t>
    </w:r>
    <w:r w:rsidR="00E310B3" w:rsidRPr="00E310B3">
      <w:rPr>
        <w:rFonts w:ascii="Raleway Medium" w:hAnsi="Raleway Medium"/>
        <w:sz w:val="28"/>
        <w:szCs w:val="28"/>
      </w:rPr>
      <w:t>nnoRenew CoE International Conference 202</w:t>
    </w:r>
    <w:r w:rsidR="001B4AA7">
      <w:rPr>
        <w:rFonts w:ascii="Raleway Medium" w:hAnsi="Raleway Medium"/>
        <w:sz w:val="28"/>
        <w:szCs w:val="28"/>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lvlText w:val="%1"/>
      <w:lvlJc w:val="left"/>
      <w:pPr>
        <w:tabs>
          <w:tab w:val="num" w:pos="397"/>
        </w:tabs>
        <w:ind w:left="397" w:hanging="397"/>
      </w:pPr>
      <w:rPr>
        <w:rFonts w:ascii="Symbol" w:hAnsi="Symbol" w:cs="Symbol"/>
      </w:rPr>
    </w:lvl>
    <w:lvl w:ilvl="1">
      <w:start w:val="1"/>
      <w:numFmt w:val="decimal"/>
      <w:lvlText w:val="%1.%2"/>
      <w:lvlJc w:val="left"/>
      <w:pPr>
        <w:tabs>
          <w:tab w:val="num" w:pos="624"/>
        </w:tabs>
        <w:ind w:left="340" w:hanging="340"/>
      </w:pPr>
      <w:rPr>
        <w:sz w:val="24"/>
      </w:r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0000002"/>
    <w:multiLevelType w:val="multilevel"/>
    <w:tmpl w:val="00000002"/>
    <w:name w:val="WW8Num1"/>
    <w:lvl w:ilvl="0">
      <w:start w:val="1"/>
      <w:numFmt w:val="decimal"/>
      <w:pStyle w:val="MainHeading"/>
      <w:lvlText w:val="%1"/>
      <w:lvlJc w:val="left"/>
      <w:pPr>
        <w:tabs>
          <w:tab w:val="num" w:pos="397"/>
        </w:tabs>
        <w:ind w:left="397" w:hanging="397"/>
      </w:pPr>
      <w:rPr>
        <w:rFonts w:ascii="Symbol" w:hAnsi="Symbol" w:cs="Symbol"/>
      </w:rPr>
    </w:lvl>
    <w:lvl w:ilvl="1">
      <w:start w:val="1"/>
      <w:numFmt w:val="decimal"/>
      <w:pStyle w:val="SecondaryHeading"/>
      <w:lvlText w:val="%1.%2"/>
      <w:lvlJc w:val="left"/>
      <w:pPr>
        <w:tabs>
          <w:tab w:val="num" w:pos="624"/>
        </w:tabs>
        <w:ind w:left="340" w:hanging="340"/>
      </w:pPr>
      <w:rPr>
        <w:sz w:val="24"/>
      </w:rPr>
    </w:lvl>
    <w:lvl w:ilvl="2">
      <w:start w:val="1"/>
      <w:numFmt w:val="decimal"/>
      <w:suff w:val="space"/>
      <w:lvlText w:val="%1.%2.%3."/>
      <w:lvlJc w:val="left"/>
      <w:pPr>
        <w:tabs>
          <w:tab w:val="num" w:pos="0"/>
        </w:tabs>
        <w:ind w:left="1224" w:hanging="504"/>
      </w:pPr>
    </w:lvl>
    <w:lvl w:ilvl="3">
      <w:start w:val="1"/>
      <w:numFmt w:val="decimal"/>
      <w:pStyle w:val="Heading4"/>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0000003"/>
    <w:multiLevelType w:val="singleLevel"/>
    <w:tmpl w:val="00000003"/>
    <w:name w:val="WW8Num2"/>
    <w:lvl w:ilvl="0">
      <w:start w:val="1"/>
      <w:numFmt w:val="bullet"/>
      <w:pStyle w:val="List1"/>
      <w:lvlText w:val=""/>
      <w:lvlJc w:val="left"/>
      <w:pPr>
        <w:tabs>
          <w:tab w:val="num" w:pos="454"/>
        </w:tabs>
        <w:ind w:left="454" w:hanging="227"/>
      </w:pPr>
      <w:rPr>
        <w:rFonts w:ascii="Symbol" w:hAnsi="Symbol" w:cs="Symbol"/>
      </w:rPr>
    </w:lvl>
  </w:abstractNum>
  <w:abstractNum w:abstractNumId="3" w15:restartNumberingAfterBreak="0">
    <w:nsid w:val="00000004"/>
    <w:multiLevelType w:val="singleLevel"/>
    <w:tmpl w:val="00000004"/>
    <w:name w:val="WW8Num3"/>
    <w:lvl w:ilvl="0">
      <w:start w:val="1"/>
      <w:numFmt w:val="decimal"/>
      <w:lvlText w:val="[%1]"/>
      <w:lvlJc w:val="right"/>
      <w:pPr>
        <w:tabs>
          <w:tab w:val="num" w:pos="567"/>
        </w:tabs>
        <w:ind w:left="567" w:hanging="170"/>
      </w:pPr>
    </w:lvl>
  </w:abstractNum>
  <w:num w:numId="1" w16cid:durableId="587541095">
    <w:abstractNumId w:val="0"/>
  </w:num>
  <w:num w:numId="2" w16cid:durableId="233508854">
    <w:abstractNumId w:val="1"/>
  </w:num>
  <w:num w:numId="3" w16cid:durableId="459690395">
    <w:abstractNumId w:val="2"/>
  </w:num>
  <w:num w:numId="4" w16cid:durableId="20442887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496"/>
    <w:rsid w:val="00020874"/>
    <w:rsid w:val="00045DD5"/>
    <w:rsid w:val="00060AC1"/>
    <w:rsid w:val="000613EB"/>
    <w:rsid w:val="0008603D"/>
    <w:rsid w:val="000B0614"/>
    <w:rsid w:val="000E3EF9"/>
    <w:rsid w:val="00104D50"/>
    <w:rsid w:val="0013516B"/>
    <w:rsid w:val="00152FEF"/>
    <w:rsid w:val="001B10FA"/>
    <w:rsid w:val="001B4AA7"/>
    <w:rsid w:val="001D4AB7"/>
    <w:rsid w:val="00222686"/>
    <w:rsid w:val="0026373A"/>
    <w:rsid w:val="00283191"/>
    <w:rsid w:val="00314CCD"/>
    <w:rsid w:val="003A40CB"/>
    <w:rsid w:val="003B0EE9"/>
    <w:rsid w:val="00452039"/>
    <w:rsid w:val="00463F1B"/>
    <w:rsid w:val="00470C84"/>
    <w:rsid w:val="004D76A4"/>
    <w:rsid w:val="00546423"/>
    <w:rsid w:val="00574A27"/>
    <w:rsid w:val="005B3C8C"/>
    <w:rsid w:val="005F5F7F"/>
    <w:rsid w:val="00611342"/>
    <w:rsid w:val="006261EC"/>
    <w:rsid w:val="00631A80"/>
    <w:rsid w:val="00640719"/>
    <w:rsid w:val="0067627F"/>
    <w:rsid w:val="00682669"/>
    <w:rsid w:val="006922BB"/>
    <w:rsid w:val="006A2C85"/>
    <w:rsid w:val="006A48F1"/>
    <w:rsid w:val="00734F85"/>
    <w:rsid w:val="007502F1"/>
    <w:rsid w:val="00751562"/>
    <w:rsid w:val="007C7A61"/>
    <w:rsid w:val="008175DE"/>
    <w:rsid w:val="0084162C"/>
    <w:rsid w:val="008846B7"/>
    <w:rsid w:val="008E533C"/>
    <w:rsid w:val="009107F8"/>
    <w:rsid w:val="00973D56"/>
    <w:rsid w:val="009D7944"/>
    <w:rsid w:val="009F5A9F"/>
    <w:rsid w:val="00A46E8D"/>
    <w:rsid w:val="00A661D4"/>
    <w:rsid w:val="00AE280C"/>
    <w:rsid w:val="00B01496"/>
    <w:rsid w:val="00B57FD3"/>
    <w:rsid w:val="00B672C5"/>
    <w:rsid w:val="00BA1882"/>
    <w:rsid w:val="00C141DE"/>
    <w:rsid w:val="00C20F91"/>
    <w:rsid w:val="00C666DB"/>
    <w:rsid w:val="00C73C8C"/>
    <w:rsid w:val="00CA258B"/>
    <w:rsid w:val="00CC74C3"/>
    <w:rsid w:val="00CE0233"/>
    <w:rsid w:val="00D52212"/>
    <w:rsid w:val="00D736F7"/>
    <w:rsid w:val="00D77527"/>
    <w:rsid w:val="00DA008B"/>
    <w:rsid w:val="00DE749B"/>
    <w:rsid w:val="00E310B3"/>
    <w:rsid w:val="00E45D91"/>
    <w:rsid w:val="00E46E61"/>
    <w:rsid w:val="00E47876"/>
    <w:rsid w:val="00E72F4D"/>
    <w:rsid w:val="00E81E52"/>
    <w:rsid w:val="00E93DD2"/>
    <w:rsid w:val="00F00CCE"/>
    <w:rsid w:val="00F074B9"/>
    <w:rsid w:val="00F14F3F"/>
    <w:rsid w:val="00F17B89"/>
    <w:rsid w:val="00F650C5"/>
    <w:rsid w:val="00FF78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208E0CA"/>
  <w15:chartTrackingRefBased/>
  <w15:docId w15:val="{98E65076-6FC2-444C-93E1-A8D796D2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SimSun"/>
      <w:sz w:val="24"/>
      <w:szCs w:val="24"/>
      <w:lang w:eastAsia="zh-CN"/>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4">
    <w:name w:val="heading 4"/>
    <w:basedOn w:val="Nadpis"/>
    <w:next w:val="BodyText"/>
    <w:qFormat/>
    <w:pPr>
      <w:numPr>
        <w:ilvl w:val="3"/>
        <w:numId w:val="2"/>
      </w:numPr>
      <w:outlineLvl w:val="3"/>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rPr>
  </w:style>
  <w:style w:type="character" w:customStyle="1" w:styleId="WW8Num1z1">
    <w:name w:val="WW8Num1z1"/>
    <w:rPr>
      <w:sz w:val="24"/>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3z0">
    <w:name w:val="WW8Num3z0"/>
  </w:style>
  <w:style w:type="character" w:customStyle="1" w:styleId="Standardnpsmoodstavce">
    <w:name w:val="Standardní písmo odstavce"/>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7z0">
    <w:name w:val="WW8Num7z0"/>
    <w:rPr>
      <w:rFonts w:ascii="Times New Roman" w:eastAsia="MS Gothic" w:hAnsi="Times New Roman" w:cs="Times New Roman"/>
      <w:b w:val="0"/>
      <w:i w:val="0"/>
      <w:caps w:val="0"/>
      <w:smallCaps w:val="0"/>
      <w:strike w:val="0"/>
      <w:dstrike w:val="0"/>
      <w:vanish w:val="0"/>
      <w:color w:val="00000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z1">
    <w:name w:val="WW8Num7z1"/>
    <w:rPr>
      <w:sz w:val="24"/>
    </w:rPr>
  </w:style>
  <w:style w:type="character" w:customStyle="1" w:styleId="WW8Num8z0">
    <w:name w:val="WW8Num8z0"/>
    <w:rPr>
      <w:rFonts w:ascii="Times New Roman" w:eastAsia="MS Gothic" w:hAnsi="Times New Roman" w:cs="Times New Roman"/>
      <w:b w:val="0"/>
      <w:i w:val="0"/>
      <w:caps w:val="0"/>
      <w:smallCaps w:val="0"/>
      <w:strike w:val="0"/>
      <w:dstrike w:val="0"/>
      <w:vanish w:val="0"/>
      <w:color w:val="00000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1">
    <w:name w:val="WW8Num8z1"/>
    <w:rPr>
      <w:sz w:val="24"/>
    </w:rPr>
  </w:style>
  <w:style w:type="character" w:customStyle="1" w:styleId="WW8Num9z0">
    <w:name w:val="WW8Num9z0"/>
    <w:rPr>
      <w:rFonts w:ascii="Times New Roman" w:eastAsia="MS Gothic" w:hAnsi="Times New Roman" w:cs="Times New Roman"/>
      <w:b/>
      <w:i w:val="0"/>
      <w:caps w:val="0"/>
      <w:smallCaps w:val="0"/>
      <w:strike w:val="0"/>
      <w:dstrike w:val="0"/>
      <w:vanish w:val="0"/>
      <w:color w:val="00000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9z1">
    <w:name w:val="WW8Num9z1"/>
    <w:rPr>
      <w:sz w:val="24"/>
    </w:rPr>
  </w:style>
  <w:style w:type="character" w:customStyle="1" w:styleId="WW8Num10z0">
    <w:name w:val="WW8Num10z0"/>
    <w:rPr>
      <w:rFonts w:ascii="Times New Roman" w:eastAsia="MS Gothic" w:hAnsi="Times New Roman" w:cs="Times New Roman"/>
      <w:b w:val="0"/>
      <w:i w:val="0"/>
      <w:caps w:val="0"/>
      <w:smallCaps w:val="0"/>
      <w:strike w:val="0"/>
      <w:dstrike w:val="0"/>
      <w:vanish w:val="0"/>
      <w:color w:val="00000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0z1">
    <w:name w:val="WW8Num10z1"/>
    <w:rPr>
      <w:sz w:val="24"/>
    </w:rPr>
  </w:style>
  <w:style w:type="character" w:customStyle="1" w:styleId="WW8Num11z0">
    <w:name w:val="WW8Num11z0"/>
    <w:rPr>
      <w:rFonts w:ascii="Times New Roman" w:eastAsia="MS Gothic" w:hAnsi="Times New Roman" w:cs="Times New Roman"/>
      <w:b w:val="0"/>
      <w:i w:val="0"/>
      <w:caps w:val="0"/>
      <w:smallCaps w:val="0"/>
      <w:strike w:val="0"/>
      <w:dstrike w:val="0"/>
      <w:vanish w:val="0"/>
      <w:color w:val="00000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1z1">
    <w:name w:val="WW8Num11z1"/>
    <w:rPr>
      <w:sz w:val="24"/>
    </w:rPr>
  </w:style>
  <w:style w:type="character" w:customStyle="1" w:styleId="WW8Num12z0">
    <w:name w:val="WW8Num12z0"/>
    <w:rPr>
      <w:rFonts w:ascii="Times New Roman" w:eastAsia="MS Gothic" w:hAnsi="Times New Roman" w:cs="Times New Roman"/>
      <w:b/>
      <w:i w:val="0"/>
      <w:caps w:val="0"/>
      <w:smallCaps w:val="0"/>
      <w:strike w:val="0"/>
      <w:dstrike w:val="0"/>
      <w:vanish w:val="0"/>
      <w:color w:val="00000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z1">
    <w:name w:val="WW8Num12z1"/>
    <w:rPr>
      <w:sz w:val="24"/>
    </w:rPr>
  </w:style>
  <w:style w:type="character" w:customStyle="1" w:styleId="WW8Num13z0">
    <w:name w:val="WW8Num13z0"/>
    <w:rPr>
      <w:rFonts w:ascii="Times New Roman" w:eastAsia="MS Gothic" w:hAnsi="Times New Roman" w:cs="Times New Roman"/>
      <w:b/>
      <w:i w:val="0"/>
      <w:caps w:val="0"/>
      <w:smallCaps w:val="0"/>
      <w:strike w:val="0"/>
      <w:dstrike w:val="0"/>
      <w:vanish w:val="0"/>
      <w:color w:val="00000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3z1">
    <w:name w:val="WW8Num13z1"/>
    <w:rPr>
      <w:sz w:val="24"/>
    </w:rPr>
  </w:style>
  <w:style w:type="character" w:customStyle="1" w:styleId="WW8Num14z0">
    <w:name w:val="WW8Num14z0"/>
    <w:rPr>
      <w:rFonts w:ascii="Times New Roman" w:eastAsia="MS Gothic" w:hAnsi="Times New Roman" w:cs="Times New Roman"/>
      <w:b/>
      <w:i w:val="0"/>
      <w:caps w:val="0"/>
      <w:smallCaps w:val="0"/>
      <w:strike w:val="0"/>
      <w:dstrike w:val="0"/>
      <w:vanish w:val="0"/>
      <w:color w:val="00000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Pr>
      <w:sz w:val="24"/>
    </w:rPr>
  </w:style>
  <w:style w:type="character" w:customStyle="1" w:styleId="WW8Num15z0">
    <w:name w:val="WW8Num15z0"/>
    <w:rPr>
      <w:rFonts w:ascii="Times New Roman" w:eastAsia="MS Gothic" w:hAnsi="Times New Roman" w:cs="Times New Roman"/>
      <w:b/>
      <w:i w:val="0"/>
      <w:caps w:val="0"/>
      <w:smallCaps w:val="0"/>
      <w:strike w:val="0"/>
      <w:dstrike w:val="0"/>
      <w:vanish w:val="0"/>
      <w:color w:val="00000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1">
    <w:name w:val="WW8Num15z1"/>
    <w:rPr>
      <w:sz w:val="24"/>
    </w:rPr>
  </w:style>
  <w:style w:type="character" w:customStyle="1" w:styleId="WW8Num16z0">
    <w:name w:val="WW8Num16z0"/>
    <w:rPr>
      <w:rFonts w:ascii="Times New Roman" w:eastAsia="MS Gothic" w:hAnsi="Times New Roman" w:cs="Times New Roman"/>
      <w:b/>
      <w:i w:val="0"/>
      <w:caps w:val="0"/>
      <w:smallCaps w:val="0"/>
      <w:strike w:val="0"/>
      <w:dstrike w:val="0"/>
      <w:vanish w:val="0"/>
      <w:color w:val="00000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6z1">
    <w:name w:val="WW8Num16z1"/>
    <w:rPr>
      <w:sz w:val="24"/>
    </w:rPr>
  </w:style>
  <w:style w:type="character" w:customStyle="1" w:styleId="WW8Num18z0">
    <w:name w:val="WW8Num18z0"/>
    <w:rPr>
      <w:rFonts w:ascii="Times New Roman" w:eastAsia="MS Gothic" w:hAnsi="Times New Roman" w:cs="Times New Roman"/>
      <w:b w:val="0"/>
      <w:i w:val="0"/>
      <w:caps w:val="0"/>
      <w:smallCaps w:val="0"/>
      <w:strike w:val="0"/>
      <w:dstrike w:val="0"/>
      <w:vanish w:val="0"/>
      <w:color w:val="00000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8z1">
    <w:name w:val="WW8Num18z1"/>
    <w:rPr>
      <w:sz w:val="24"/>
    </w:rPr>
  </w:style>
  <w:style w:type="character" w:customStyle="1" w:styleId="WW8Num19z0">
    <w:name w:val="WW8Num19z0"/>
    <w:rPr>
      <w:rFonts w:ascii="Times New Roman" w:eastAsia="MS Gothic" w:hAnsi="Times New Roman" w:cs="Times New Roman"/>
      <w:b w:val="0"/>
      <w:i w:val="0"/>
      <w:caps w:val="0"/>
      <w:smallCaps w:val="0"/>
      <w:strike w:val="0"/>
      <w:dstrike w:val="0"/>
      <w:vanish w:val="0"/>
      <w:color w:val="00000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sz w:val="24"/>
    </w:rPr>
  </w:style>
  <w:style w:type="character" w:customStyle="1" w:styleId="WW8Num21z0">
    <w:name w:val="WW8Num21z0"/>
    <w:rPr>
      <w:rFonts w:ascii="Times New Roman" w:eastAsia="MS Gothic" w:hAnsi="Times New Roman" w:cs="Times New Roman"/>
      <w:b w:val="0"/>
      <w:i w:val="0"/>
      <w:caps w:val="0"/>
      <w:smallCaps w:val="0"/>
      <w:strike w:val="0"/>
      <w:dstrike w:val="0"/>
      <w:vanish w:val="0"/>
      <w:color w:val="00000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1z1">
    <w:name w:val="WW8Num21z1"/>
    <w:rPr>
      <w:sz w:val="24"/>
    </w:rPr>
  </w:style>
  <w:style w:type="character" w:customStyle="1" w:styleId="Fuentedeprrafopredeter">
    <w:name w:val="Fuente de párrafo predeter."/>
  </w:style>
  <w:style w:type="character" w:styleId="PageNumber">
    <w:name w:val="page number"/>
    <w:basedOn w:val="Fuentedeprrafopredeter"/>
  </w:style>
  <w:style w:type="character" w:styleId="Hyperlink">
    <w:name w:val="Hyperlink"/>
    <w:rPr>
      <w:color w:val="0000FF"/>
      <w:u w:val="single"/>
    </w:rPr>
  </w:style>
  <w:style w:type="character" w:customStyle="1" w:styleId="MTEquationSection">
    <w:name w:val="MTEquationSection"/>
    <w:rPr>
      <w:vanish/>
      <w:color w:val="FF0000"/>
    </w:rPr>
  </w:style>
  <w:style w:type="character" w:customStyle="1" w:styleId="Znakypropoznmkupodarou">
    <w:name w:val="Znaky pro poznámku pod čarou"/>
    <w:rPr>
      <w:vertAlign w:val="superscript"/>
    </w:rPr>
  </w:style>
  <w:style w:type="character" w:customStyle="1" w:styleId="TextodegloboCar">
    <w:name w:val="Texto de globo Car"/>
    <w:rPr>
      <w:rFonts w:ascii="Segoe UI" w:hAnsi="Segoe UI" w:cs="Segoe UI"/>
      <w:sz w:val="18"/>
      <w:szCs w:val="18"/>
      <w:lang w:val="en-US" w:eastAsia="zh-CN"/>
    </w:rPr>
  </w:style>
  <w:style w:type="character" w:customStyle="1" w:styleId="CaptiontitletableChar">
    <w:name w:val="Caption title table Char"/>
    <w:rPr>
      <w:rFonts w:ascii="Arial" w:eastAsia="Times New Roman" w:hAnsi="Arial" w:cs="Arial"/>
      <w:b/>
      <w:i/>
      <w:sz w:val="18"/>
      <w:szCs w:val="24"/>
      <w:lang w:val="en-GB"/>
    </w:rPr>
  </w:style>
  <w:style w:type="character" w:customStyle="1" w:styleId="ZhlavChar">
    <w:name w:val="Záhlaví Char"/>
    <w:rPr>
      <w:rFonts w:eastAsia="SimSun"/>
      <w:sz w:val="24"/>
      <w:szCs w:val="24"/>
      <w:lang w:val="en-US" w:eastAsia="zh-CN"/>
    </w:rPr>
  </w:style>
  <w:style w:type="character" w:customStyle="1" w:styleId="TextbublinyChar">
    <w:name w:val="Text bubliny Char"/>
    <w:rPr>
      <w:rFonts w:ascii="Tahoma" w:eastAsia="SimSun" w:hAnsi="Tahoma" w:cs="Tahoma"/>
      <w:sz w:val="16"/>
      <w:szCs w:val="16"/>
      <w:lang w:val="en-US" w:eastAsia="zh-CN"/>
    </w:rPr>
  </w:style>
  <w:style w:type="paragraph" w:customStyle="1" w:styleId="Heading">
    <w:name w:val="Heading"/>
    <w:basedOn w:val="Normal"/>
    <w:next w:val="BodyText"/>
    <w:pPr>
      <w:keepNext/>
      <w:spacing w:before="240" w:after="120"/>
    </w:pPr>
    <w:rPr>
      <w:rFonts w:ascii="Liberation Sans" w:eastAsia="Droid Sans Fallback" w:hAnsi="Liberation Sans" w:cs="FreeSans"/>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customStyle="1" w:styleId="Nadpis">
    <w:name w:val="Nadpis"/>
    <w:basedOn w:val="Normal"/>
    <w:next w:val="BodyText"/>
    <w:pPr>
      <w:keepNext/>
      <w:spacing w:before="240" w:after="120"/>
    </w:pPr>
    <w:rPr>
      <w:rFonts w:ascii="Arial" w:eastAsia="DEJAVU SANS" w:hAnsi="Arial" w:cs="DEJAVU SANS"/>
      <w:sz w:val="28"/>
      <w:szCs w:val="28"/>
    </w:rPr>
  </w:style>
  <w:style w:type="paragraph" w:customStyle="1" w:styleId="Titulek">
    <w:name w:val="Titulek"/>
    <w:basedOn w:val="Normal"/>
    <w:pPr>
      <w:suppressLineNumbers/>
      <w:spacing w:before="120" w:after="120"/>
    </w:pPr>
    <w:rPr>
      <w:i/>
      <w:iCs/>
    </w:rPr>
  </w:style>
  <w:style w:type="paragraph" w:customStyle="1" w:styleId="Rejstk">
    <w:name w:val="Rejstřík"/>
    <w:basedOn w:val="Normal"/>
    <w:pPr>
      <w:suppressLineNumbers/>
    </w:pPr>
  </w:style>
  <w:style w:type="paragraph" w:customStyle="1" w:styleId="AbstractTitle">
    <w:name w:val="Abstract Title"/>
    <w:basedOn w:val="Normal"/>
    <w:next w:val="Author"/>
    <w:rsid w:val="00470C84"/>
    <w:pPr>
      <w:spacing w:before="567"/>
      <w:jc w:val="center"/>
    </w:pPr>
    <w:rPr>
      <w:rFonts w:eastAsia="Times New Roman"/>
      <w:b/>
      <w:sz w:val="28"/>
    </w:rPr>
  </w:style>
  <w:style w:type="paragraph" w:customStyle="1" w:styleId="Author">
    <w:name w:val="Author"/>
    <w:basedOn w:val="Normal"/>
    <w:pPr>
      <w:spacing w:before="240"/>
      <w:jc w:val="center"/>
    </w:pPr>
    <w:rPr>
      <w:b/>
    </w:rPr>
  </w:style>
  <w:style w:type="paragraph" w:customStyle="1" w:styleId="Affiliation">
    <w:name w:val="Affiliation"/>
    <w:basedOn w:val="Normal"/>
    <w:pPr>
      <w:spacing w:before="240"/>
      <w:jc w:val="center"/>
    </w:pPr>
    <w:rPr>
      <w:sz w:val="22"/>
    </w:rPr>
  </w:style>
  <w:style w:type="paragraph" w:customStyle="1" w:styleId="EditorialHeading">
    <w:name w:val="EditorialHeading"/>
    <w:basedOn w:val="Normal"/>
    <w:pPr>
      <w:spacing w:before="60"/>
      <w:contextualSpacing/>
      <w:jc w:val="right"/>
    </w:pPr>
    <w:rPr>
      <w:sz w:val="16"/>
    </w:rPr>
  </w:style>
  <w:style w:type="paragraph" w:customStyle="1" w:styleId="Keywords">
    <w:name w:val="Keywords"/>
    <w:basedOn w:val="Normal"/>
    <w:pPr>
      <w:spacing w:before="227"/>
    </w:pPr>
    <w:rPr>
      <w:i/>
      <w:sz w:val="22"/>
    </w:rPr>
  </w:style>
  <w:style w:type="paragraph" w:customStyle="1" w:styleId="Abstract">
    <w:name w:val="Abstract"/>
    <w:basedOn w:val="Normal"/>
    <w:pPr>
      <w:spacing w:before="283"/>
      <w:jc w:val="both"/>
    </w:pPr>
    <w:rPr>
      <w:i/>
      <w:sz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AuthorHeading">
    <w:name w:val="AuthorHeading"/>
    <w:basedOn w:val="Normal"/>
    <w:pPr>
      <w:pBdr>
        <w:bottom w:val="single" w:sz="8" w:space="1" w:color="000000"/>
      </w:pBdr>
      <w:jc w:val="center"/>
    </w:pPr>
    <w:rPr>
      <w:sz w:val="20"/>
    </w:rPr>
  </w:style>
  <w:style w:type="paragraph" w:customStyle="1" w:styleId="MainHeading">
    <w:name w:val="MainHeading"/>
    <w:basedOn w:val="Heading1"/>
    <w:pPr>
      <w:numPr>
        <w:numId w:val="2"/>
      </w:numPr>
      <w:snapToGrid w:val="0"/>
      <w:spacing w:after="120"/>
      <w:ind w:left="0" w:firstLine="0"/>
    </w:pPr>
    <w:rPr>
      <w:rFonts w:ascii="Times New Roman" w:hAnsi="Times New Roman" w:cs="Times New Roman"/>
      <w:caps/>
      <w:sz w:val="24"/>
    </w:rPr>
  </w:style>
  <w:style w:type="paragraph" w:customStyle="1" w:styleId="SecondaryHeading">
    <w:name w:val="SecondaryHeading"/>
    <w:basedOn w:val="Heading2"/>
    <w:pPr>
      <w:numPr>
        <w:ilvl w:val="1"/>
        <w:numId w:val="2"/>
      </w:numPr>
      <w:spacing w:after="120"/>
    </w:pPr>
    <w:rPr>
      <w:rFonts w:ascii="Times New Roman" w:hAnsi="Times New Roman" w:cs="Times New Roman"/>
      <w:i w:val="0"/>
      <w:sz w:val="24"/>
    </w:rPr>
  </w:style>
  <w:style w:type="paragraph" w:customStyle="1" w:styleId="AbstractBodyText">
    <w:name w:val="Abstract Body Text"/>
    <w:basedOn w:val="Normal"/>
    <w:rsid w:val="00A46E8D"/>
    <w:pPr>
      <w:suppressAutoHyphens/>
      <w:spacing w:before="360"/>
      <w:jc w:val="both"/>
    </w:pPr>
  </w:style>
  <w:style w:type="paragraph" w:customStyle="1" w:styleId="FigureCaption">
    <w:name w:val="FigureCaption"/>
    <w:basedOn w:val="Normal"/>
    <w:next w:val="AbstractBodyText"/>
    <w:pPr>
      <w:snapToGrid w:val="0"/>
      <w:spacing w:before="120" w:after="240"/>
      <w:jc w:val="center"/>
    </w:pPr>
    <w:rPr>
      <w:sz w:val="20"/>
    </w:rPr>
  </w:style>
  <w:style w:type="paragraph" w:customStyle="1" w:styleId="Figure">
    <w:name w:val="Figure"/>
    <w:basedOn w:val="Normal"/>
    <w:next w:val="FigureCaption"/>
    <w:pPr>
      <w:spacing w:before="240" w:after="120"/>
      <w:jc w:val="center"/>
    </w:pPr>
  </w:style>
  <w:style w:type="paragraph" w:customStyle="1" w:styleId="Equation">
    <w:name w:val="Equation"/>
    <w:basedOn w:val="Normal"/>
    <w:next w:val="AbstractBodyText"/>
    <w:pPr>
      <w:spacing w:before="120" w:after="120"/>
      <w:jc w:val="center"/>
    </w:pPr>
  </w:style>
  <w:style w:type="paragraph" w:customStyle="1" w:styleId="Epgrafe">
    <w:name w:val="Epígrafe"/>
    <w:basedOn w:val="Normal"/>
    <w:next w:val="Normal"/>
    <w:rPr>
      <w:b/>
      <w:bCs/>
      <w:sz w:val="20"/>
      <w:szCs w:val="20"/>
    </w:rPr>
  </w:style>
  <w:style w:type="paragraph" w:customStyle="1" w:styleId="TableCaption">
    <w:name w:val="TableCaption"/>
    <w:basedOn w:val="FigureCaption"/>
  </w:style>
  <w:style w:type="paragraph" w:styleId="FootnoteText">
    <w:name w:val="footnote text"/>
    <w:basedOn w:val="Normal"/>
    <w:rPr>
      <w:sz w:val="20"/>
      <w:szCs w:val="20"/>
    </w:rPr>
  </w:style>
  <w:style w:type="paragraph" w:customStyle="1" w:styleId="Listaconvietas">
    <w:name w:val="Lista con viñetas"/>
    <w:basedOn w:val="Normal"/>
  </w:style>
  <w:style w:type="paragraph" w:customStyle="1" w:styleId="List1">
    <w:name w:val="List1"/>
    <w:basedOn w:val="Listaconvietas"/>
    <w:pPr>
      <w:numPr>
        <w:numId w:val="3"/>
      </w:numPr>
      <w:spacing w:after="120"/>
      <w:jc w:val="both"/>
    </w:pPr>
  </w:style>
  <w:style w:type="paragraph" w:customStyle="1" w:styleId="ReferencesTitle">
    <w:name w:val="References Title"/>
    <w:basedOn w:val="Normal"/>
    <w:rsid w:val="00470C84"/>
    <w:pPr>
      <w:spacing w:before="360" w:after="120"/>
    </w:pPr>
    <w:rPr>
      <w:b/>
      <w:caps/>
    </w:rPr>
  </w:style>
  <w:style w:type="paragraph" w:customStyle="1" w:styleId="Reference">
    <w:name w:val="Reference"/>
    <w:basedOn w:val="Normal"/>
    <w:rsid w:val="00470C84"/>
    <w:pPr>
      <w:spacing w:after="120"/>
      <w:ind w:left="425" w:hanging="425"/>
    </w:pPr>
    <w:rPr>
      <w:sz w:val="22"/>
    </w:rPr>
  </w:style>
  <w:style w:type="paragraph" w:customStyle="1" w:styleId="MTDisplayEquation">
    <w:name w:val="MTDisplayEquation"/>
    <w:basedOn w:val="Equation"/>
    <w:next w:val="Normal"/>
    <w:pPr>
      <w:tabs>
        <w:tab w:val="center" w:pos="4540"/>
        <w:tab w:val="right" w:pos="9080"/>
      </w:tabs>
    </w:pPr>
  </w:style>
  <w:style w:type="paragraph" w:customStyle="1" w:styleId="MainHeadingFirst">
    <w:name w:val="MainHeadingFirst"/>
    <w:basedOn w:val="MainHeading"/>
    <w:next w:val="AbstractBodyText"/>
    <w:pPr>
      <w:numPr>
        <w:numId w:val="0"/>
      </w:numPr>
      <w:spacing w:before="0"/>
    </w:pPr>
  </w:style>
  <w:style w:type="paragraph" w:customStyle="1" w:styleId="Textodeglobo">
    <w:name w:val="Texto de globo"/>
    <w:basedOn w:val="Normal"/>
    <w:rPr>
      <w:rFonts w:ascii="Segoe UI" w:hAnsi="Segoe UI" w:cs="Segoe UI"/>
      <w:sz w:val="18"/>
      <w:szCs w:val="18"/>
    </w:rPr>
  </w:style>
  <w:style w:type="paragraph" w:customStyle="1" w:styleId="Captiontitletable">
    <w:name w:val="Caption title table"/>
    <w:basedOn w:val="Normal"/>
    <w:pPr>
      <w:spacing w:before="120" w:after="400"/>
    </w:pPr>
    <w:rPr>
      <w:rFonts w:ascii="Arial" w:eastAsia="Times New Roman" w:hAnsi="Arial" w:cs="Arial"/>
      <w:b/>
      <w:i/>
      <w:sz w:val="18"/>
      <w:lang w:val="en-GB"/>
    </w:rPr>
  </w:style>
  <w:style w:type="paragraph" w:customStyle="1" w:styleId="Obsahtabulky">
    <w:name w:val="Obsah tabulky"/>
    <w:basedOn w:val="Normal"/>
    <w:pPr>
      <w:suppressLineNumbers/>
    </w:pPr>
  </w:style>
  <w:style w:type="paragraph" w:customStyle="1" w:styleId="Nadpistabulky">
    <w:name w:val="Nadpis tabulky"/>
    <w:basedOn w:val="Obsahtabulky"/>
    <w:pPr>
      <w:jc w:val="center"/>
    </w:pPr>
    <w:rPr>
      <w:b/>
      <w:bCs/>
    </w:rPr>
  </w:style>
  <w:style w:type="paragraph" w:customStyle="1" w:styleId="Obsahrmce">
    <w:name w:val="Obsah rámce"/>
    <w:basedOn w:val="BodyText"/>
  </w:style>
  <w:style w:type="paragraph" w:customStyle="1" w:styleId="Textbubliny">
    <w:name w:val="Text bubliny"/>
    <w:basedOn w:val="Normal"/>
    <w:rPr>
      <w:rFonts w:ascii="Tahoma" w:hAnsi="Tahoma" w:cs="Tahoma"/>
      <w:sz w:val="16"/>
      <w:szCs w:val="16"/>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BalloonText">
    <w:name w:val="Balloon Text"/>
    <w:basedOn w:val="Normal"/>
    <w:link w:val="BalloonTextChar"/>
    <w:uiPriority w:val="99"/>
    <w:semiHidden/>
    <w:unhideWhenUsed/>
    <w:rsid w:val="00611342"/>
    <w:rPr>
      <w:sz w:val="18"/>
      <w:szCs w:val="18"/>
    </w:rPr>
  </w:style>
  <w:style w:type="character" w:customStyle="1" w:styleId="BalloonTextChar">
    <w:name w:val="Balloon Text Char"/>
    <w:basedOn w:val="DefaultParagraphFont"/>
    <w:link w:val="BalloonText"/>
    <w:uiPriority w:val="99"/>
    <w:semiHidden/>
    <w:rsid w:val="00611342"/>
    <w:rPr>
      <w:rFonts w:eastAsia="SimSun"/>
      <w:sz w:val="18"/>
      <w:szCs w:val="18"/>
      <w:lang w:eastAsia="zh-CN"/>
    </w:rPr>
  </w:style>
  <w:style w:type="character" w:styleId="CommentReference">
    <w:name w:val="annotation reference"/>
    <w:basedOn w:val="DefaultParagraphFont"/>
    <w:uiPriority w:val="99"/>
    <w:semiHidden/>
    <w:unhideWhenUsed/>
    <w:rsid w:val="00734F85"/>
    <w:rPr>
      <w:sz w:val="16"/>
      <w:szCs w:val="16"/>
    </w:rPr>
  </w:style>
  <w:style w:type="paragraph" w:styleId="CommentText">
    <w:name w:val="annotation text"/>
    <w:basedOn w:val="Normal"/>
    <w:link w:val="CommentTextChar"/>
    <w:uiPriority w:val="99"/>
    <w:semiHidden/>
    <w:unhideWhenUsed/>
    <w:rsid w:val="00734F85"/>
    <w:rPr>
      <w:sz w:val="20"/>
      <w:szCs w:val="20"/>
    </w:rPr>
  </w:style>
  <w:style w:type="character" w:customStyle="1" w:styleId="CommentTextChar">
    <w:name w:val="Comment Text Char"/>
    <w:basedOn w:val="DefaultParagraphFont"/>
    <w:link w:val="CommentText"/>
    <w:uiPriority w:val="99"/>
    <w:semiHidden/>
    <w:rsid w:val="00734F85"/>
    <w:rPr>
      <w:rFonts w:eastAsia="SimSun"/>
      <w:lang w:eastAsia="zh-CN"/>
    </w:rPr>
  </w:style>
  <w:style w:type="paragraph" w:styleId="CommentSubject">
    <w:name w:val="annotation subject"/>
    <w:basedOn w:val="CommentText"/>
    <w:next w:val="CommentText"/>
    <w:link w:val="CommentSubjectChar"/>
    <w:uiPriority w:val="99"/>
    <w:semiHidden/>
    <w:unhideWhenUsed/>
    <w:rsid w:val="00734F85"/>
    <w:rPr>
      <w:b/>
      <w:bCs/>
    </w:rPr>
  </w:style>
  <w:style w:type="character" w:customStyle="1" w:styleId="CommentSubjectChar">
    <w:name w:val="Comment Subject Char"/>
    <w:basedOn w:val="CommentTextChar"/>
    <w:link w:val="CommentSubject"/>
    <w:uiPriority w:val="99"/>
    <w:semiHidden/>
    <w:rsid w:val="00734F85"/>
    <w:rPr>
      <w:rFonts w:eastAsia="SimSun"/>
      <w:b/>
      <w:bCs/>
      <w:lang w:eastAsia="zh-CN"/>
    </w:rPr>
  </w:style>
  <w:style w:type="character" w:styleId="UnresolvedMention">
    <w:name w:val="Unresolved Mention"/>
    <w:basedOn w:val="DefaultParagraphFont"/>
    <w:uiPriority w:val="99"/>
    <w:semiHidden/>
    <w:unhideWhenUsed/>
    <w:rsid w:val="00E72F4D"/>
    <w:rPr>
      <w:color w:val="605E5C"/>
      <w:shd w:val="clear" w:color="auto" w:fill="E1DFDD"/>
    </w:rPr>
  </w:style>
  <w:style w:type="paragraph" w:styleId="Revision">
    <w:name w:val="Revision"/>
    <w:hidden/>
    <w:uiPriority w:val="99"/>
    <w:semiHidden/>
    <w:rsid w:val="00314CCD"/>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392484">
      <w:bodyDiv w:val="1"/>
      <w:marLeft w:val="0"/>
      <w:marRight w:val="0"/>
      <w:marTop w:val="0"/>
      <w:marBottom w:val="0"/>
      <w:divBdr>
        <w:top w:val="none" w:sz="0" w:space="0" w:color="auto"/>
        <w:left w:val="none" w:sz="0" w:space="0" w:color="auto"/>
        <w:bottom w:val="none" w:sz="0" w:space="0" w:color="auto"/>
        <w:right w:val="none" w:sz="0" w:space="0" w:color="auto"/>
      </w:divBdr>
    </w:div>
    <w:div w:id="565073747">
      <w:bodyDiv w:val="1"/>
      <w:marLeft w:val="0"/>
      <w:marRight w:val="0"/>
      <w:marTop w:val="0"/>
      <w:marBottom w:val="0"/>
      <w:divBdr>
        <w:top w:val="none" w:sz="0" w:space="0" w:color="auto"/>
        <w:left w:val="none" w:sz="0" w:space="0" w:color="auto"/>
        <w:bottom w:val="none" w:sz="0" w:space="0" w:color="auto"/>
        <w:right w:val="none" w:sz="0" w:space="0" w:color="auto"/>
      </w:divBdr>
    </w:div>
    <w:div w:id="1166630849">
      <w:bodyDiv w:val="1"/>
      <w:marLeft w:val="0"/>
      <w:marRight w:val="0"/>
      <w:marTop w:val="0"/>
      <w:marBottom w:val="0"/>
      <w:divBdr>
        <w:top w:val="none" w:sz="0" w:space="0" w:color="auto"/>
        <w:left w:val="none" w:sz="0" w:space="0" w:color="auto"/>
        <w:bottom w:val="none" w:sz="0" w:space="0" w:color="auto"/>
        <w:right w:val="none" w:sz="0" w:space="0" w:color="auto"/>
      </w:divBdr>
    </w:div>
    <w:div w:id="1191649918">
      <w:bodyDiv w:val="1"/>
      <w:marLeft w:val="0"/>
      <w:marRight w:val="0"/>
      <w:marTop w:val="0"/>
      <w:marBottom w:val="0"/>
      <w:divBdr>
        <w:top w:val="none" w:sz="0" w:space="0" w:color="auto"/>
        <w:left w:val="none" w:sz="0" w:space="0" w:color="auto"/>
        <w:bottom w:val="none" w:sz="0" w:space="0" w:color="auto"/>
        <w:right w:val="none" w:sz="0" w:space="0" w:color="auto"/>
      </w:divBdr>
    </w:div>
    <w:div w:id="1959412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nfccc.int/resource/docs/2011/cmp7/eng/10a01.pdf%20.%20Retrieved%20June%202024"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xweb.stat.si/SiStatData/pxweb/sl/Data/-/H252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6D57B13-7EA2-844A-87E6-8C92D1443383}">
  <we:reference id="wa200001011" version="1.2.0.0" store="en-GB"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10C43B9F624F46AC92EBAC60C63EAC" ma:contentTypeVersion="11" ma:contentTypeDescription="Create a new document." ma:contentTypeScope="" ma:versionID="c74690096718bbee6300a96c2fee039e">
  <xsd:schema xmlns:xsd="http://www.w3.org/2001/XMLSchema" xmlns:xs="http://www.w3.org/2001/XMLSchema" xmlns:p="http://schemas.microsoft.com/office/2006/metadata/properties" xmlns:ns2="5e2f5b1d-8d81-4269-86fe-d536e340831f" xmlns:ns3="0de65b19-34f8-4caa-a83a-446151b1bc07" targetNamespace="http://schemas.microsoft.com/office/2006/metadata/properties" ma:root="true" ma:fieldsID="566c1d8693dd892cf8f002509b0c7b34" ns2:_="" ns3:_="">
    <xsd:import namespace="5e2f5b1d-8d81-4269-86fe-d536e340831f"/>
    <xsd:import namespace="0de65b19-34f8-4caa-a83a-446151b1bc0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2f5b1d-8d81-4269-86fe-d536e34083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e65b19-34f8-4caa-a83a-446151b1bc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589D83-EF9E-4F7F-9E97-2A8D7E474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2f5b1d-8d81-4269-86fe-d536e340831f"/>
    <ds:schemaRef ds:uri="0de65b19-34f8-4caa-a83a-446151b1b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9148E-1FB4-454D-9786-D2724EE9E0B5}">
  <ds:schemaRefs>
    <ds:schemaRef ds:uri="http://schemas.openxmlformats.org/officeDocument/2006/bibliography"/>
  </ds:schemaRefs>
</ds:datastoreItem>
</file>

<file path=customXml/itemProps3.xml><?xml version="1.0" encoding="utf-8"?>
<ds:datastoreItem xmlns:ds="http://schemas.openxmlformats.org/officeDocument/2006/customXml" ds:itemID="{6BC192EC-CCC0-4A39-B0F7-9DFF76BBA85B}">
  <ds:schemaRefs>
    <ds:schemaRef ds:uri="http://schemas.microsoft.com/sharepoint/v3/contenttype/forms"/>
  </ds:schemaRefs>
</ds:datastoreItem>
</file>

<file path=customXml/itemProps4.xml><?xml version="1.0" encoding="utf-8"?>
<ds:datastoreItem xmlns:ds="http://schemas.openxmlformats.org/officeDocument/2006/customXml" ds:itemID="{88595863-651B-4A15-9F88-7F4472FEDA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689</Words>
  <Characters>3931</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SAHC2014</vt:lpstr>
    </vt:vector>
  </TitlesOfParts>
  <Company>Oregon State University</Company>
  <LinksUpToDate>false</LinksUpToDate>
  <CharactersWithSpaces>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SAHC2014</dc:title>
  <dc:subject/>
  <dc:creator>user;Sahc2014</dc:creator>
  <cp:keywords>Paper Proceedings</cp:keywords>
  <dc:description/>
  <cp:lastModifiedBy>Daša Majcen</cp:lastModifiedBy>
  <cp:revision>2</cp:revision>
  <cp:lastPrinted>2020-10-01T13:29:00Z</cp:lastPrinted>
  <dcterms:created xsi:type="dcterms:W3CDTF">2024-06-25T08:42:00Z</dcterms:created>
  <dcterms:modified xsi:type="dcterms:W3CDTF">2024-06-25T08:42:00Z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(#E1)</vt:lpwstr>
  </property>
  <property fmtid="{D5CDD505-2E9C-101B-9397-08002B2CF9AE}" pid="3" name="MTEquationSection">
    <vt:lpwstr>1</vt:lpwstr>
  </property>
  <property fmtid="{D5CDD505-2E9C-101B-9397-08002B2CF9AE}" pid="4" name="MTWinEqns">
    <vt:bool>true</vt:bool>
  </property>
  <property fmtid="{D5CDD505-2E9C-101B-9397-08002B2CF9AE}" pid="5" name="Mendeley Document_1">
    <vt:lpwstr>True</vt:lpwstr>
  </property>
  <property fmtid="{D5CDD505-2E9C-101B-9397-08002B2CF9AE}" pid="6" name="Mendeley Unique User Id_1">
    <vt:lpwstr>429af077-32e8-30fe-8c27-70e6a8f9b171</vt:lpwstr>
  </property>
  <property fmtid="{D5CDD505-2E9C-101B-9397-08002B2CF9AE}" pid="7" name="Mendeley Citation Style_1">
    <vt:lpwstr>http://www.zotero.org/styles/elsevier-harvard</vt:lpwstr>
  </property>
  <property fmtid="{D5CDD505-2E9C-101B-9397-08002B2CF9AE}" pid="8" name="Mendeley Recent Style Id 0_1">
    <vt:lpwstr>http://www.zotero.org/styles/apa</vt:lpwstr>
  </property>
  <property fmtid="{D5CDD505-2E9C-101B-9397-08002B2CF9AE}" pid="9" name="Mendeley Recent Style Name 0_1">
    <vt:lpwstr>American Psychological Association 6th edition</vt:lpwstr>
  </property>
  <property fmtid="{D5CDD505-2E9C-101B-9397-08002B2CF9AE}" pid="10" name="Mendeley Recent Style Id 1_1">
    <vt:lpwstr>http://www.zotero.org/styles/american-sociological-association</vt:lpwstr>
  </property>
  <property fmtid="{D5CDD505-2E9C-101B-9397-08002B2CF9AE}" pid="11" name="Mendeley Recent Style Name 1_1">
    <vt:lpwstr>American Sociological Association</vt:lpwstr>
  </property>
  <property fmtid="{D5CDD505-2E9C-101B-9397-08002B2CF9AE}" pid="12" name="Mendeley Recent Style Id 2_1">
    <vt:lpwstr>http://www.zotero.org/styles/building-and-environment</vt:lpwstr>
  </property>
  <property fmtid="{D5CDD505-2E9C-101B-9397-08002B2CF9AE}" pid="13" name="Mendeley Recent Style Name 2_1">
    <vt:lpwstr>Building and Environment</vt:lpwstr>
  </property>
  <property fmtid="{D5CDD505-2E9C-101B-9397-08002B2CF9AE}" pid="14" name="Mendeley Recent Style Id 3_1">
    <vt:lpwstr>http://www.zotero.org/styles/harvard-cite-them-right</vt:lpwstr>
  </property>
  <property fmtid="{D5CDD505-2E9C-101B-9397-08002B2CF9AE}" pid="15" name="Mendeley Recent Style Name 3_1">
    <vt:lpwstr>Cite Them Right 10th edition - Harvard</vt:lpwstr>
  </property>
  <property fmtid="{D5CDD505-2E9C-101B-9397-08002B2CF9AE}" pid="16" name="Mendeley Recent Style Id 4_1">
    <vt:lpwstr>http://www.zotero.org/styles/elsevier-harvard</vt:lpwstr>
  </property>
  <property fmtid="{D5CDD505-2E9C-101B-9397-08002B2CF9AE}" pid="17" name="Mendeley Recent Style Name 4_1">
    <vt:lpwstr>Elsevier - Harvard (with titles)</vt:lpwstr>
  </property>
  <property fmtid="{D5CDD505-2E9C-101B-9397-08002B2CF9AE}" pid="18" name="Mendeley Recent Style Id 5_1">
    <vt:lpwstr>http://www.zotero.org/styles/ieee</vt:lpwstr>
  </property>
  <property fmtid="{D5CDD505-2E9C-101B-9397-08002B2CF9AE}" pid="19" name="Mendeley Recent Style Name 5_1">
    <vt:lpwstr>IEEE</vt:lpwstr>
  </property>
  <property fmtid="{D5CDD505-2E9C-101B-9397-08002B2CF9AE}" pid="20" name="Mendeley Recent Style Id 6_1">
    <vt:lpwstr>http://www.zotero.org/styles/modern-language-association</vt:lpwstr>
  </property>
  <property fmtid="{D5CDD505-2E9C-101B-9397-08002B2CF9AE}" pid="21" name="Mendeley Recent Style Name 6_1">
    <vt:lpwstr>Modern Language Association 8th edition</vt:lpwstr>
  </property>
  <property fmtid="{D5CDD505-2E9C-101B-9397-08002B2CF9AE}" pid="22" name="Mendeley Recent Style Id 7_1">
    <vt:lpwstr>http://www.zotero.org/styles/nature</vt:lpwstr>
  </property>
  <property fmtid="{D5CDD505-2E9C-101B-9397-08002B2CF9AE}" pid="23" name="Mendeley Recent Style Name 7_1">
    <vt:lpwstr>Nature</vt:lpwstr>
  </property>
  <property fmtid="{D5CDD505-2E9C-101B-9397-08002B2CF9AE}" pid="24" name="Mendeley Recent Style Id 8_1">
    <vt:lpwstr>http://www.zotero.org/styles/springer-basic-author-date-no-et-al</vt:lpwstr>
  </property>
  <property fmtid="{D5CDD505-2E9C-101B-9397-08002B2CF9AE}" pid="25" name="Mendeley Recent Style Name 8_1">
    <vt:lpwstr>Springer - Basic (author-date, no "et al.")</vt:lpwstr>
  </property>
  <property fmtid="{D5CDD505-2E9C-101B-9397-08002B2CF9AE}" pid="26" name="Mendeley Recent Style Id 9_1">
    <vt:lpwstr>http://www.zotero.org/styles/vancouver</vt:lpwstr>
  </property>
  <property fmtid="{D5CDD505-2E9C-101B-9397-08002B2CF9AE}" pid="27" name="Mendeley Recent Style Name 9_1">
    <vt:lpwstr>Vancouver</vt:lpwstr>
  </property>
  <property fmtid="{D5CDD505-2E9C-101B-9397-08002B2CF9AE}" pid="28" name="ContentTypeId">
    <vt:lpwstr>0x010100AB10C43B9F624F46AC92EBAC60C63EAC</vt:lpwstr>
  </property>
  <property fmtid="{D5CDD505-2E9C-101B-9397-08002B2CF9AE}" pid="29" name="grammarly_documentId">
    <vt:lpwstr>documentId_1476</vt:lpwstr>
  </property>
  <property fmtid="{D5CDD505-2E9C-101B-9397-08002B2CF9AE}" pid="30" name="grammarly_documentContext">
    <vt:lpwstr>{"goals":[],"domain":"general","emotions":[],"dialect":"american"}</vt:lpwstr>
  </property>
</Properties>
</file>