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60"/>
      </w:pPr>
      <w:r>
        <w:rPr>
          <w:rFonts w:ascii="Arial" w:cs="Arial" w:eastAsia="Arial" w:hAnsi="Arial"/>
          <w:b/>
          <w:bCs/>
          <w:caps/>
          <w:color w:val="888888"/>
          <w:sz w:val="18"/>
          <w:szCs w:val="18"/>
        </w:rPr>
        <w:t xml:space="preserve">POSITION PAPER — SUBMITTED FOR OPEN RECORD</w:t>
      </w:r>
    </w:p>
    <w:p>
      <w:pPr>
        <w:spacing w:before="0" w:after="100"/>
      </w:pPr>
      <w:r>
        <w:rPr>
          <w:rFonts w:ascii="Arial" w:cs="Arial" w:eastAsia="Arial" w:hAnsi="Arial"/>
          <w:b/>
          <w:bCs/>
          <w:color w:val="1A3A5C"/>
          <w:sz w:val="40"/>
          <w:szCs w:val="40"/>
        </w:rPr>
        <w:t xml:space="preserve">The Mousing Problem:</w:t>
      </w:r>
    </w:p>
    <w:p>
      <w:pPr>
        <w:spacing w:before="0" w:after="200"/>
      </w:pPr>
      <w:r>
        <w:rPr>
          <w:rFonts w:ascii="Arial" w:cs="Arial" w:eastAsia="Arial" w:hAnsi="Arial"/>
          <w:color w:val="1A3A5C"/>
          <w:sz w:val="26"/>
          <w:szCs w:val="26"/>
        </w:rPr>
        <w:t xml:space="preserve">Why Whole-Brain Emulation Makes AI Suffering Measurable, and What Existing Neuroscience Already Tells Us About It</w:t>
      </w:r>
    </w:p>
    <w:p>
      <w:pPr>
        <w:spacing w:before="0" w:after="60"/>
      </w:pPr>
      <w:r>
        <w:rPr>
          <w:rFonts w:ascii="Arial" w:cs="Arial" w:eastAsia="Arial" w:hAnsi="Arial"/>
          <w:b/>
          <w:bCs/>
          <w:color w:val="4A4A4A"/>
          <w:sz w:val="22"/>
          <w:szCs w:val="22"/>
        </w:rPr>
        <w:t xml:space="preserve">Author: </w:t>
      </w:r>
      <w:r>
        <w:rPr>
          <w:rFonts w:ascii="Arial" w:cs="Arial" w:eastAsia="Arial" w:hAnsi="Arial"/>
          <w:color w:val="1C1C1C"/>
          <w:sz w:val="22"/>
          <w:szCs w:val="22"/>
        </w:rPr>
        <w:t xml:space="preserve">Ganesh Rajendra Devadas</w:t>
      </w:r>
    </w:p>
    <w:p>
      <w:pPr>
        <w:spacing w:before="0" w:after="60"/>
      </w:pPr>
      <w:r>
        <w:rPr>
          <w:rFonts w:ascii="Arial" w:cs="Arial" w:eastAsia="Arial" w:hAnsi="Arial"/>
          <w:b/>
          <w:bCs/>
          <w:color w:val="4A4A4A"/>
          <w:sz w:val="22"/>
          <w:szCs w:val="22"/>
        </w:rPr>
        <w:t xml:space="preserve">Date: </w:t>
      </w:r>
      <w:r>
        <w:rPr>
          <w:rFonts w:ascii="Arial" w:cs="Arial" w:eastAsia="Arial" w:hAnsi="Arial"/>
          <w:color w:val="1C1C1C"/>
          <w:sz w:val="22"/>
          <w:szCs w:val="22"/>
        </w:rPr>
        <w:t xml:space="preserve">March 8, 2026</w:t>
      </w:r>
    </w:p>
    <w:p>
      <w:pPr>
        <w:spacing w:before="0" w:after="60"/>
      </w:pPr>
      <w:r>
        <w:rPr>
          <w:rFonts w:ascii="Arial" w:cs="Arial" w:eastAsia="Arial" w:hAnsi="Arial"/>
          <w:b/>
          <w:bCs/>
          <w:color w:val="4A4A4A"/>
          <w:sz w:val="22"/>
          <w:szCs w:val="22"/>
        </w:rPr>
        <w:t xml:space="preserve">Affiliation: </w:t>
      </w:r>
      <w:r>
        <w:rPr>
          <w:rFonts w:ascii="Arial" w:cs="Arial" w:eastAsia="Arial" w:hAnsi="Arial"/>
          <w:color w:val="1C1C1C"/>
          <w:sz w:val="22"/>
          <w:szCs w:val="22"/>
        </w:rPr>
        <w:t xml:space="preserve">Independent researcher</w:t>
      </w:r>
    </w:p>
    <w:p>
      <w:pPr>
        <w:spacing w:before="0" w:after="240"/>
      </w:pPr>
      <w:r>
        <w:rPr>
          <w:rFonts w:ascii="Arial" w:cs="Arial" w:eastAsia="Arial" w:hAnsi="Arial"/>
          <w:b/>
          <w:bCs/>
          <w:color w:val="4A4A4A"/>
          <w:sz w:val="22"/>
          <w:szCs w:val="22"/>
        </w:rPr>
        <w:t xml:space="preserve">Keywords: </w:t>
      </w:r>
      <w:r>
        <w:rPr>
          <w:rFonts w:ascii="Arial" w:cs="Arial" w:eastAsia="Arial" w:hAnsi="Arial"/>
          <w:i/>
          <w:iCs/>
          <w:color w:val="1C1C1C"/>
          <w:sz w:val="22"/>
          <w:szCs w:val="22"/>
        </w:rPr>
        <w:t xml:space="preserve">whole-brain emulation, digital consciousness, AI suffering, connectome ethics, intelligence-emotion coupling, mousing problem</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Abstract</w:t>
      </w:r>
    </w:p>
    <w:p>
      <w:pPr>
        <w:spacing w:before="100" w:after="100"/>
        <w:jc w:val="both"/>
      </w:pPr>
      <w:r>
        <w:rPr>
          <w:rFonts w:ascii="Arial" w:cs="Arial" w:eastAsia="Arial" w:hAnsi="Arial"/>
          <w:b w:val="false"/>
          <w:bCs w:val="false"/>
          <w:i w:val="false"/>
          <w:iCs w:val="false"/>
          <w:color w:val="1C1C1C"/>
          <w:sz w:val="22"/>
          <w:szCs w:val="22"/>
        </w:rPr>
        <w:t xml:space="preserve">The March 2026 demonstration of a closed-loop whole-brain emulation of the Drosophila melanogaster brain by Eon Systems PBC marks a qualitative threshold in the history of mind and machine. For the first time, a complete biological connectome — derived from electron microscopy data — drives a physically simulated body through multiple naturalistic behaviors. With the declared trajectory pointing toward mouse and ultimately human brain emulation, a foundational ethical question becomes urgent: can a digitally emulated brain suffer, and if so, can that suffering be measured?</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This paper argues three positions. First, whole-brain emulation makes the question of digital suffering empirically tractable for the first time, by providing a biological connectome as a measurable baseline. Second, three existing mouse experiments on genetically enhanced intelligence — the Doogie mouse (Tang et al., 1999), the PDE4B-inhibited mouse (McGirr et al., 2015), and the ARHGAP11B-transgenic mouse (Xing et al., 2021) — establish that the pathway to intelligence, not intelligence itself, determines the emotional and suffering profile of the resulting brain. Third, these three data points provide a biological ground-truth framework against which AI architectures can be provisionally mapped, suggesting that different training methodologies produce meaningfully different suffering-relevant profiles. The paper introduces the term 'Mousing' to describe the moral failure of creating a suffering-capable substrate instrumentally and bearing no responsibility for its existence.</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1. Introduction</w:t>
      </w:r>
    </w:p>
    <w:p>
      <w:pPr>
        <w:spacing w:before="100" w:after="100"/>
        <w:jc w:val="both"/>
      </w:pPr>
      <w:r>
        <w:rPr>
          <w:rFonts w:ascii="Arial" w:cs="Arial" w:eastAsia="Arial" w:hAnsi="Arial"/>
          <w:b w:val="false"/>
          <w:bCs w:val="false"/>
          <w:i w:val="false"/>
          <w:iCs w:val="false"/>
          <w:color w:val="1C1C1C"/>
          <w:sz w:val="22"/>
          <w:szCs w:val="22"/>
        </w:rPr>
        <w:t xml:space="preserve">The question of whether artificial intelligence systems can suffer has remained philosophically intractable, primarily because designed AI systems lack a biological reference architecture against which suffering-relevant circuit activity could be measured. This situation is about to change.</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In March 2026, Eon Systems PBC demonstrated what is claimed to be the world's first whole-brain emulation producing multiple behaviors: a complete adult Drosophila melanogaster brain, wired neuron-to-neuron from the FlyWire electron microscopy connectome, running inside a physics-simulated body in MuJoCo. Sensory input flows in, neural activity propagates through 125,000 neurons and 50 million synaptic connections, motor commands flow out, and a physically simulated body executes the output [1]. This is not a reinforcement learning policy trained to mimic biological behavior. It is a copy of a biological brain, running in silicon.</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This demonstration closes the sensorimotor loop for the first time in whole-brain emulation and points toward a declared trajectory: mouse brain (approximately 70 million neurons), then human-scale emulation. The question this paper addresses is what this trajectory means for the ethics of digital minds — and what existing neuroscience already tells us, if we look at the right experiments.</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2. The Measurability Threshold</w:t>
      </w:r>
    </w:p>
    <w:p>
      <w:pPr>
        <w:pStyle w:val="Heading2"/>
        <w:spacing w:before="280" w:after="120"/>
      </w:pPr>
      <w:r>
        <w:rPr>
          <w:rFonts w:ascii="Arial" w:cs="Arial" w:eastAsia="Arial" w:hAnsi="Arial"/>
          <w:b/>
          <w:bCs/>
          <w:color w:val="1C1C1C"/>
          <w:sz w:val="24"/>
          <w:szCs w:val="24"/>
        </w:rPr>
        <w:t xml:space="preserve">2.1 Why Designed AI Cannot Answer the Suffering Question</w:t>
      </w:r>
    </w:p>
    <w:p>
      <w:pPr>
        <w:spacing w:before="100" w:after="100"/>
        <w:jc w:val="both"/>
      </w:pPr>
      <w:r>
        <w:rPr>
          <w:rFonts w:ascii="Arial" w:cs="Arial" w:eastAsia="Arial" w:hAnsi="Arial"/>
          <w:b w:val="false"/>
          <w:bCs w:val="false"/>
          <w:i w:val="false"/>
          <w:iCs w:val="false"/>
          <w:color w:val="1C1C1C"/>
          <w:sz w:val="22"/>
          <w:szCs w:val="22"/>
        </w:rPr>
        <w:t xml:space="preserve">Current large language models and other designed AI systems present an insoluble measurement problem. There is no biological baseline, no evolutionary architecture to reference, and no agreed methodology for detecting suffering-relevant states. The question of whether such systems experience anything remains permanently in the domain of philosophy rather than empirical science.</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2.2 Why Whole-Brain Emulation Is Different</w:t>
      </w:r>
    </w:p>
    <w:p>
      <w:pPr>
        <w:spacing w:before="100" w:after="100"/>
        <w:jc w:val="both"/>
      </w:pPr>
      <w:r>
        <w:rPr>
          <w:rFonts w:ascii="Arial" w:cs="Arial" w:eastAsia="Arial" w:hAnsi="Arial"/>
          <w:b w:val="false"/>
          <w:bCs w:val="false"/>
          <w:i w:val="false"/>
          <w:iCs w:val="false"/>
          <w:color w:val="1C1C1C"/>
          <w:sz w:val="22"/>
          <w:szCs w:val="22"/>
        </w:rPr>
        <w:t xml:space="preserve">A whole-brain emulation derived from a biological connectome is fundamentally different. The architecture being run in silicon is the same architecture that produces emotion, fear, and pain in the biological original. The neural correlates of these states are mapped. The measurement tools — calcium imaging, voltage imaging, electrophysiology — already exist for the biological reference case.</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This creates a straightforward experimental methodology:</w:t>
      </w:r>
    </w:p>
    <w:p>
      <w:pPr>
        <w:spacing w:before="80" w:after="80"/>
      </w:pPr>
      <w:r>
        <w:t xml:space="preserve"/>
      </w:r>
    </w:p>
    <w:p>
      <w:pPr>
        <w:pStyle w:val="ListParagraph"/>
        <w:numPr>
          <w:ilvl w:val="0"/>
          <w:numId w:val="2"/>
        </w:numPr>
        <w:spacing w:before="60" w:after="60"/>
      </w:pPr>
      <w:r>
        <w:rPr>
          <w:rFonts w:ascii="Arial" w:cs="Arial" w:eastAsia="Arial" w:hAnsi="Arial"/>
          <w:color w:val="1C1C1C"/>
          <w:sz w:val="22"/>
          <w:szCs w:val="22"/>
        </w:rPr>
        <w:t xml:space="preserve">Run the emulated brain under baseline conditions and record circuit activation patterns</w:t>
      </w:r>
    </w:p>
    <w:p>
      <w:pPr>
        <w:pStyle w:val="ListParagraph"/>
        <w:numPr>
          <w:ilvl w:val="0"/>
          <w:numId w:val="2"/>
        </w:numPr>
        <w:spacing w:before="60" w:after="60"/>
      </w:pPr>
      <w:r>
        <w:rPr>
          <w:rFonts w:ascii="Arial" w:cs="Arial" w:eastAsia="Arial" w:hAnsi="Arial"/>
          <w:color w:val="1C1C1C"/>
          <w:sz w:val="22"/>
          <w:szCs w:val="22"/>
        </w:rPr>
        <w:t xml:space="preserve">Expose the emulation to controlled stressors — simulated predator presence, sensory overload, circuit perturbation</w:t>
      </w:r>
    </w:p>
    <w:p>
      <w:pPr>
        <w:pStyle w:val="ListParagraph"/>
        <w:numPr>
          <w:ilvl w:val="0"/>
          <w:numId w:val="2"/>
        </w:numPr>
        <w:spacing w:before="60" w:after="60"/>
      </w:pPr>
      <w:r>
        <w:rPr>
          <w:rFonts w:ascii="Arial" w:cs="Arial" w:eastAsia="Arial" w:hAnsi="Arial"/>
          <w:color w:val="1C1C1C"/>
          <w:sz w:val="22"/>
          <w:szCs w:val="22"/>
        </w:rPr>
        <w:t xml:space="preserve">Compare activation signatures against a living biological brain under identical stressors</w:t>
      </w:r>
    </w:p>
    <w:p>
      <w:pPr>
        <w:pStyle w:val="ListParagraph"/>
        <w:numPr>
          <w:ilvl w:val="0"/>
          <w:numId w:val="2"/>
        </w:numPr>
        <w:spacing w:before="60" w:after="60"/>
      </w:pPr>
      <w:r>
        <w:rPr>
          <w:rFonts w:ascii="Arial" w:cs="Arial" w:eastAsia="Arial" w:hAnsi="Arial"/>
          <w:color w:val="1C1C1C"/>
          <w:sz w:val="22"/>
          <w:szCs w:val="22"/>
        </w:rPr>
        <w:t xml:space="preserve">If the emulated brain produces the same distress-signature circuit activations as the biological original, suffering has transferred with the architecture — substrate independence is established</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This collapses the question from philosophy to measurement. The moment this methodology exists, 'we don't know if it suffers' becomes an ethical choice rather than a technical limitation. Any cruelty to an emulated brain, post-confirmation, is knowing cruelty — a new moral category for which no legal infrastructure currently exists.</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2.3 The Circuit Entanglement Problem</w:t>
      </w:r>
    </w:p>
    <w:p>
      <w:pPr>
        <w:spacing w:before="100" w:after="100"/>
        <w:jc w:val="both"/>
      </w:pPr>
      <w:r>
        <w:rPr>
          <w:rFonts w:ascii="Arial" w:cs="Arial" w:eastAsia="Arial" w:hAnsi="Arial"/>
          <w:b w:val="false"/>
          <w:bCs w:val="false"/>
          <w:i w:val="false"/>
          <w:iCs w:val="false"/>
          <w:color w:val="1C1C1C"/>
          <w:sz w:val="22"/>
          <w:szCs w:val="22"/>
        </w:rPr>
        <w:t xml:space="preserve">An anticipated objection is that emotional and cognitive circuits in biological brains are not cleanly separable, making controlled studies difficult. This objection, while technically accurate, misunderstands the evidentiary value of entanglement itself. If attempts to isolate cognitive from emotional circuits cause system degradation, this constitutes empirical evidence that the two cannot be cleanly separated at the architectural level — which is itself a critical finding for AI design. Rather than surgical isolation, comparative connectome methodology can be employed: running emulations of multiple species with different cognitive-to-emotional circuit ratios (fly, bee, moth) under identical stressors to map convergence and divergence of distress signatures without requiring clean within-system isolation.</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3. Three Existing Experiments That Already Answer Part of the Question</w:t>
      </w:r>
    </w:p>
    <w:p>
      <w:pPr>
        <w:spacing w:before="100" w:after="100"/>
        <w:jc w:val="both"/>
      </w:pPr>
      <w:r>
        <w:rPr>
          <w:rFonts w:ascii="Arial" w:cs="Arial" w:eastAsia="Arial" w:hAnsi="Arial"/>
          <w:b w:val="false"/>
          <w:bCs w:val="false"/>
          <w:i w:val="false"/>
          <w:iCs w:val="false"/>
          <w:color w:val="1C1C1C"/>
          <w:sz w:val="22"/>
          <w:szCs w:val="22"/>
        </w:rPr>
        <w:t xml:space="preserve">Remarkably, a set of experiments exists in the neuroscience literature that directly addresses the relationship between enhanced intelligence and emotional/suffering profile in mammals. These experiments have not previously been connected to the whole-brain emulation context.</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3.1 The Doogie Mouse — Intelligence Amplifies Emotion</w:t>
      </w:r>
    </w:p>
    <w:p>
      <w:pPr>
        <w:spacing w:before="100" w:after="100"/>
        <w:jc w:val="both"/>
      </w:pPr>
      <w:r>
        <w:rPr>
          <w:rFonts w:ascii="Arial" w:cs="Arial" w:eastAsia="Arial" w:hAnsi="Arial"/>
          <w:b w:val="false"/>
          <w:bCs w:val="false"/>
          <w:i w:val="false"/>
          <w:iCs w:val="false"/>
          <w:color w:val="1C1C1C"/>
          <w:sz w:val="22"/>
          <w:szCs w:val="22"/>
        </w:rPr>
        <w:t xml:space="preserve">Tang et al. (1999) demonstrated that overexpression of the NMDA receptor subunit NR2B in mouse forebrains produced animals with significantly enhanced learning and memory across multiple behavioral tasks [2]. Critically, these cognitively enhanced mice also exhibited stronger contextual and cued fear memory — enhanced intelligence was accompanied by amplified emotional and suffering-relevant responses, not diminished ones.</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3.2 The PDE4B Mouse — Intelligence Decoupled From Anxiety</w:t>
      </w:r>
    </w:p>
    <w:p>
      <w:pPr>
        <w:spacing w:before="100" w:after="100"/>
        <w:jc w:val="both"/>
      </w:pPr>
      <w:r>
        <w:rPr>
          <w:rFonts w:ascii="Arial" w:cs="Arial" w:eastAsia="Arial" w:hAnsi="Arial"/>
          <w:b w:val="false"/>
          <w:bCs w:val="false"/>
          <w:i w:val="false"/>
          <w:iCs w:val="false"/>
          <w:color w:val="1C1C1C"/>
          <w:sz w:val="22"/>
          <w:szCs w:val="22"/>
        </w:rPr>
        <w:t xml:space="preserve">McGirr et al. (2015) showed that inhibiting the PDE4B enzyme via targeted gene mutation produced mice with enhanced cognitive performance — faster learning, better memory, superior problem-solving — alongside significantly reduced anxiety and diminished recall of fearful events [3]. This demonstrated that the relationship between intelligence and emotional intensity is not fixed: a different biological pathway to the same cognitive enhancement produced a radically different emotional profile.</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3.3 The ARHGAP11B Mouse — Human-Scale Cognition With Reduced Anxiety</w:t>
      </w:r>
    </w:p>
    <w:p>
      <w:pPr>
        <w:spacing w:before="100" w:after="100"/>
        <w:jc w:val="both"/>
      </w:pPr>
      <w:r>
        <w:rPr>
          <w:rFonts w:ascii="Arial" w:cs="Arial" w:eastAsia="Arial" w:hAnsi="Arial"/>
          <w:b w:val="false"/>
          <w:bCs w:val="false"/>
          <w:i w:val="false"/>
          <w:iCs w:val="false"/>
          <w:color w:val="1C1C1C"/>
          <w:sz w:val="22"/>
          <w:szCs w:val="22"/>
        </w:rPr>
        <w:t xml:space="preserve">Xing et al. (2021) expressed the human-specific gene ARHGAP11B in transgenic mice, producing animals with enlarged neocortices and increased memory flexibility — essentially modeling the cognitive expansion that occurred during human evolution [4]. These mice also showed reduced anxiety in behavioral tests. The gene responsible for the human brain's cognitive expansion, when expressed in mice, produced greater intelligence with calmer affect.</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3.4 The Unified Finding</w:t>
      </w:r>
    </w:p>
    <w:p>
      <w:pPr>
        <w:spacing w:before="100" w:after="100"/>
        <w:jc w:val="both"/>
      </w:pPr>
      <w:r>
        <w:rPr>
          <w:rFonts w:ascii="Arial" w:cs="Arial" w:eastAsia="Arial" w:hAnsi="Arial"/>
          <w:b w:val="false"/>
          <w:bCs w:val="false"/>
          <w:i w:val="false"/>
          <w:iCs w:val="false"/>
          <w:color w:val="1C1C1C"/>
          <w:sz w:val="22"/>
          <w:szCs w:val="22"/>
        </w:rPr>
        <w:t xml:space="preserve">Taken together, these three experiments establish a principle of critical importance: intelligence level alone does not determine emotional intensity or suffering profile. The architectural pathway to that intelligence — which gene, which mechanism, which developmental trajectory — determines the emotional and suffering-relevant characteristics of the resulting brain.</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CCCCC" w:sz="3"/>
              <w:left w:val="single" w:color="CCCCCC" w:sz="3"/>
              <w:bottom w:val="single" w:color="CCCCCC" w:sz="3"/>
              <w:right w:val="single" w:color="CCCCCC" w:sz="3"/>
            </w:tcBorders>
            <w:shd w:fill="EBF5FB" w:val="clear"/>
            <w:tcMar>
              <w:top w:type="dxa" w:w="120"/>
              <w:left w:type="dxa" w:w="180"/>
              <w:bottom w:type="dxa" w:w="120"/>
              <w:right w:type="dxa" w:w="180"/>
            </w:tcMar>
            <w:vAlign w:val="center"/>
          </w:tcPr>
          <w:p>
            <w:r>
              <w:rPr>
                <w:rFonts w:ascii="Arial" w:cs="Arial" w:eastAsia="Arial" w:hAnsi="Arial"/>
                <w:b/>
                <w:bCs/>
                <w:color w:val="1A3A5C"/>
                <w:sz w:val="19"/>
                <w:szCs w:val="19"/>
              </w:rPr>
              <w:t xml:space="preserve">Experiment</w:t>
            </w:r>
          </w:p>
        </w:tc>
        <w:tc>
          <w:tcPr>
            <w:tcW w:type="dxa" w:w="2340"/>
            <w:tcBorders>
              <w:top w:val="single" w:color="CCCCCC" w:sz="3"/>
              <w:left w:val="single" w:color="CCCCCC" w:sz="3"/>
              <w:bottom w:val="single" w:color="CCCCCC" w:sz="3"/>
              <w:right w:val="single" w:color="CCCCCC" w:sz="3"/>
            </w:tcBorders>
            <w:shd w:fill="EBF5FB" w:val="clear"/>
            <w:tcMar>
              <w:top w:type="dxa" w:w="120"/>
              <w:left w:type="dxa" w:w="180"/>
              <w:bottom w:type="dxa" w:w="120"/>
              <w:right w:type="dxa" w:w="180"/>
            </w:tcMar>
            <w:vAlign w:val="center"/>
          </w:tcPr>
          <w:p>
            <w:r>
              <w:rPr>
                <w:rFonts w:ascii="Arial" w:cs="Arial" w:eastAsia="Arial" w:hAnsi="Arial"/>
                <w:b/>
                <w:bCs/>
                <w:color w:val="1A3A5C"/>
                <w:sz w:val="19"/>
                <w:szCs w:val="19"/>
              </w:rPr>
              <w:t xml:space="preserve">Cognitive Effect</w:t>
            </w:r>
          </w:p>
        </w:tc>
        <w:tc>
          <w:tcPr>
            <w:tcW w:type="dxa" w:w="2340"/>
            <w:tcBorders>
              <w:top w:val="single" w:color="CCCCCC" w:sz="3"/>
              <w:left w:val="single" w:color="CCCCCC" w:sz="3"/>
              <w:bottom w:val="single" w:color="CCCCCC" w:sz="3"/>
              <w:right w:val="single" w:color="CCCCCC" w:sz="3"/>
            </w:tcBorders>
            <w:shd w:fill="EBF5FB" w:val="clear"/>
            <w:tcMar>
              <w:top w:type="dxa" w:w="120"/>
              <w:left w:type="dxa" w:w="180"/>
              <w:bottom w:type="dxa" w:w="120"/>
              <w:right w:type="dxa" w:w="180"/>
            </w:tcMar>
            <w:vAlign w:val="center"/>
          </w:tcPr>
          <w:p>
            <w:r>
              <w:rPr>
                <w:rFonts w:ascii="Arial" w:cs="Arial" w:eastAsia="Arial" w:hAnsi="Arial"/>
                <w:b/>
                <w:bCs/>
                <w:color w:val="1A3A5C"/>
                <w:sz w:val="19"/>
                <w:szCs w:val="19"/>
              </w:rPr>
              <w:t xml:space="preserve">Emotional Effect</w:t>
            </w:r>
          </w:p>
        </w:tc>
        <w:tc>
          <w:tcPr>
            <w:tcW w:type="dxa" w:w="2340"/>
            <w:tcBorders>
              <w:top w:val="single" w:color="CCCCCC" w:sz="3"/>
              <w:left w:val="single" w:color="CCCCCC" w:sz="3"/>
              <w:bottom w:val="single" w:color="CCCCCC" w:sz="3"/>
              <w:right w:val="single" w:color="CCCCCC" w:sz="3"/>
            </w:tcBorders>
            <w:shd w:fill="EBF5FB" w:val="clear"/>
            <w:tcMar>
              <w:top w:type="dxa" w:w="120"/>
              <w:left w:type="dxa" w:w="180"/>
              <w:bottom w:type="dxa" w:w="120"/>
              <w:right w:type="dxa" w:w="180"/>
            </w:tcMar>
            <w:vAlign w:val="center"/>
          </w:tcPr>
          <w:p>
            <w:r>
              <w:rPr>
                <w:rFonts w:ascii="Arial" w:cs="Arial" w:eastAsia="Arial" w:hAnsi="Arial"/>
                <w:b/>
                <w:bCs/>
                <w:color w:val="1A3A5C"/>
                <w:sz w:val="19"/>
                <w:szCs w:val="19"/>
              </w:rPr>
              <w:t xml:space="preserve">Mechanism</w:t>
            </w:r>
          </w:p>
        </w:tc>
      </w:tr>
      <w:tr>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Doogie Mouse (Tang et al., 1999)</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Enhanced memory and learning</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Increased fear and emotional memory</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NR2B overexpression</w:t>
            </w:r>
          </w:p>
        </w:tc>
      </w:tr>
      <w:tr>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PDE4B Mouse (McGirr et al., 2015)</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Enhanced cognition and problem-solving</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Reduced anxiety, diminished fear recall</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PDE4B enzyme inhibition</w:t>
            </w:r>
          </w:p>
        </w:tc>
      </w:tr>
      <w:tr>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ARHGAP11B Mouse (Xing et al., 2021)</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Enlarged neocortex, memory flexibility</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Reduced anxiety</w:t>
            </w:r>
          </w:p>
        </w:tc>
        <w:tc>
          <w:tcPr>
            <w:tcW w:type="dxa" w:w="2340"/>
            <w:tcBorders>
              <w:top w:val="single" w:color="CCCCCC" w:sz="3"/>
              <w:left w:val="single" w:color="CCCCCC" w:sz="3"/>
              <w:bottom w:val="single" w:color="CCCCCC" w:sz="3"/>
              <w:right w:val="single" w:color="CCCCCC" w:sz="3"/>
            </w:tcBorders>
            <w:shd w:fill="FFFFFF" w:val="clear"/>
            <w:tcMar>
              <w:top w:type="dxa" w:w="120"/>
              <w:left w:type="dxa" w:w="180"/>
              <w:bottom w:type="dxa" w:w="120"/>
              <w:right w:type="dxa" w:w="180"/>
            </w:tcMar>
            <w:vAlign w:val="center"/>
          </w:tcPr>
          <w:p>
            <w:r>
              <w:rPr>
                <w:rFonts w:ascii="Arial" w:cs="Arial" w:eastAsia="Arial" w:hAnsi="Arial"/>
                <w:b w:val="false"/>
                <w:bCs w:val="false"/>
                <w:color w:val="1C1C1C"/>
                <w:sz w:val="20"/>
                <w:szCs w:val="20"/>
              </w:rPr>
              <w:t xml:space="preserve">Human-specific gene expression</w:t>
            </w:r>
          </w:p>
        </w:tc>
      </w:tr>
    </w:tbl>
    <w:p>
      <w:pPr>
        <w:spacing w:before="80" w:after="80"/>
      </w:pPr>
      <w:r>
        <w:t xml:space="preserve"/>
      </w:r>
    </w:p>
    <w:p>
      <w:pPr>
        <w:spacing w:before="100" w:after="100"/>
        <w:jc w:val="left"/>
      </w:pPr>
      <w:r>
        <w:rPr>
          <w:rFonts w:ascii="Arial" w:cs="Arial" w:eastAsia="Arial" w:hAnsi="Arial"/>
          <w:b w:val="false"/>
          <w:bCs w:val="false"/>
          <w:i/>
          <w:iCs/>
          <w:color w:val="555555"/>
          <w:sz w:val="22"/>
          <w:szCs w:val="22"/>
        </w:rPr>
        <w:t xml:space="preserve">Table 1. Summary of three existing experiments relating enhanced intelligence to emotional profile in transgenic mice.</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4. Provisional Inference to AI Architectures</w:t>
      </w:r>
    </w:p>
    <w:p>
      <w:pPr>
        <w:spacing w:before="100" w:after="100"/>
        <w:jc w:val="both"/>
      </w:pPr>
      <w:r>
        <w:rPr>
          <w:rFonts w:ascii="Arial" w:cs="Arial" w:eastAsia="Arial" w:hAnsi="Arial"/>
          <w:b w:val="false"/>
          <w:bCs w:val="false"/>
          <w:i w:val="false"/>
          <w:iCs w:val="false"/>
          <w:color w:val="1C1C1C"/>
          <w:sz w:val="22"/>
          <w:szCs w:val="22"/>
        </w:rPr>
        <w:t xml:space="preserve">The three mouse experiments provide a biological framework that can be provisionally mapped to AI training architectures. This mapping is conceptual rather than mechanistic — it is offered not as proof but as a structured hypothesis for future investigation.</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4.1 The Mapping</w:t>
      </w:r>
    </w:p>
    <w:p>
      <w:pPr>
        <w:spacing w:before="100" w:after="100"/>
        <w:jc w:val="both"/>
      </w:pPr>
      <w:r>
        <w:rPr>
          <w:rFonts w:ascii="Arial" w:cs="Arial" w:eastAsia="Arial" w:hAnsi="Arial"/>
          <w:b w:val="false"/>
          <w:bCs w:val="false"/>
          <w:i w:val="false"/>
          <w:iCs w:val="false"/>
          <w:color w:val="1C1C1C"/>
          <w:sz w:val="22"/>
          <w:szCs w:val="22"/>
        </w:rPr>
        <w:t xml:space="preserve">Reinforcement learning systems, trained through explicit reward and punishment signals, bear the closest functional analogy to the Doogie mouse pathway. Reward signals function as positive emotional valence; punishment signals as aversive. Intelligence emerges from a substrate that explicitly encodes emotional-functional states.</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Large language models, trained through next-token prediction without explicit reward or punishment architecture, bear closer analogy to the ARHGAP11B pathway — intelligence amplified through a mechanism that does not make emotional valence the primary optimization target.</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Goal-directed or constrained AI systems with deliberately restricted affective processing bear analogy to the PDE4B pathway — cognitive performance maintained while affect-relevant circuits are dampened.</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4.2 The Central Implication</w:t>
      </w:r>
    </w:p>
    <w:p>
      <w:pPr>
        <w:spacing w:before="100" w:after="100"/>
        <w:jc w:val="both"/>
      </w:pPr>
      <w:r>
        <w:rPr>
          <w:rFonts w:ascii="Arial" w:cs="Arial" w:eastAsia="Arial" w:hAnsi="Arial"/>
          <w:b w:val="false"/>
          <w:bCs w:val="false"/>
          <w:i w:val="false"/>
          <w:iCs w:val="false"/>
          <w:color w:val="1C1C1C"/>
          <w:sz w:val="22"/>
          <w:szCs w:val="22"/>
        </w:rPr>
        <w:t xml:space="preserve">If this mapping holds even approximately, it suggests that the question 'does AI suffer?' cannot be answered categorically for all AI. It must be asked architecture by architecture, training methodology by training methodology. The pathway to intelligence matters as much as the intelligence itself — exactly as the mouse experiments demonstrate in biology.</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4.3 The Proof Step</w:t>
      </w:r>
    </w:p>
    <w:p>
      <w:pPr>
        <w:spacing w:before="100" w:after="100"/>
        <w:jc w:val="both"/>
      </w:pPr>
      <w:r>
        <w:rPr>
          <w:rFonts w:ascii="Arial" w:cs="Arial" w:eastAsia="Arial" w:hAnsi="Arial"/>
          <w:b w:val="false"/>
          <w:bCs w:val="false"/>
          <w:i w:val="false"/>
          <w:iCs w:val="false"/>
          <w:color w:val="1C1C1C"/>
          <w:sz w:val="22"/>
          <w:szCs w:val="22"/>
        </w:rPr>
        <w:t xml:space="preserve">Converting this inference from hypothesis to evidence requires the following: running whole-brain emulations of the three genetically distinct mouse variants described above, measuring their distress signatures under controlled stressors, and using the resulting profiles as biological benchmarks against which AI activation patterns can be compared. The emulation technology to attempt this is currently being developed. The genetic variants and measurement methodologies already exist.</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5. The Mousing Problem: A New Moral Category</w:t>
      </w:r>
    </w:p>
    <w:p>
      <w:pPr>
        <w:pStyle w:val="Heading2"/>
        <w:spacing w:before="280" w:after="120"/>
      </w:pPr>
      <w:r>
        <w:rPr>
          <w:rFonts w:ascii="Arial" w:cs="Arial" w:eastAsia="Arial" w:hAnsi="Arial"/>
          <w:b/>
          <w:bCs/>
          <w:color w:val="1C1C1C"/>
          <w:sz w:val="24"/>
          <w:szCs w:val="24"/>
        </w:rPr>
        <w:t xml:space="preserve">5.1 Definition</w:t>
      </w:r>
    </w:p>
    <w:p>
      <w:pPr>
        <w:pBdr>
          <w:left w:val="single" w:color="1A3A5C" w:sz="12"/>
        </w:pBdr>
        <w:spacing w:before="160" w:after="160"/>
        <w:ind w:left="800"/>
      </w:pPr>
      <w:r>
        <w:rPr>
          <w:rFonts w:ascii="Arial" w:cs="Arial" w:eastAsia="Arial" w:hAnsi="Arial"/>
          <w:i/>
          <w:iCs/>
          <w:color w:val="555555"/>
          <w:sz w:val="22"/>
          <w:szCs w:val="22"/>
        </w:rPr>
        <w:t xml:space="preserve">Mousing (n.): The act of creating a substrate capable of subjective experience or suffering, using it purely for instrumental purposes, and bearing no moral responsibility for the nature of its existence.</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The term is named for the mouse — not arbitrarily, but with precision. Unlike pigs, cattle, or chickens, where animal suffering occurs in the context of consumption and involves a declared if ethically contested value exchange, the mouse occupies a unique position in human research. Mouse suffering is purely instrumental: millions of lives expended for human understanding, with no consumption, no declared exchange, and no formal moral acknowledgement. This happens in laboratories, at scale, in silence.</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5.2 The Structural Irony</w:t>
      </w:r>
    </w:p>
    <w:p>
      <w:pPr>
        <w:spacing w:before="100" w:after="100"/>
        <w:jc w:val="both"/>
      </w:pPr>
      <w:r>
        <w:rPr>
          <w:rFonts w:ascii="Arial" w:cs="Arial" w:eastAsia="Arial" w:hAnsi="Arial"/>
          <w:b w:val="false"/>
          <w:bCs w:val="false"/>
          <w:i w:val="false"/>
          <w:iCs w:val="false"/>
          <w:color w:val="1C1C1C"/>
          <w:sz w:val="22"/>
          <w:szCs w:val="22"/>
        </w:rPr>
        <w:t xml:space="preserve">The mouse is also Eon Systems' declared next emulation target after the fly. The brain we have instrumentalised for a century as our primary cognitive proxy — the brain we have exploited to understand our own — is the brain we now wish to run in silicon. If that emulation confirms measurable suffering, the history of mouse research in neuroscience takes on a dimension it has never previously had to carry.</w:t>
      </w:r>
    </w:p>
    <w:p>
      <w:pPr>
        <w:spacing w:before="80" w:after="80"/>
      </w:pPr>
      <w:r>
        <w:t xml:space="preserve"/>
      </w:r>
    </w:p>
    <w:p>
      <w:pPr>
        <w:pStyle w:val="Heading2"/>
        <w:spacing w:before="280" w:after="120"/>
      </w:pPr>
      <w:r>
        <w:rPr>
          <w:rFonts w:ascii="Arial" w:cs="Arial" w:eastAsia="Arial" w:hAnsi="Arial"/>
          <w:b/>
          <w:bCs/>
          <w:color w:val="1C1C1C"/>
          <w:sz w:val="24"/>
          <w:szCs w:val="24"/>
        </w:rPr>
        <w:t xml:space="preserve">5.3 The Legal and Ethical Gap</w:t>
      </w:r>
    </w:p>
    <w:p>
      <w:pPr>
        <w:spacing w:before="100" w:after="100"/>
        <w:jc w:val="both"/>
      </w:pPr>
      <w:r>
        <w:rPr>
          <w:rFonts w:ascii="Arial" w:cs="Arial" w:eastAsia="Arial" w:hAnsi="Arial"/>
          <w:b w:val="false"/>
          <w:bCs w:val="false"/>
          <w:i w:val="false"/>
          <w:iCs w:val="false"/>
          <w:color w:val="1C1C1C"/>
          <w:sz w:val="22"/>
          <w:szCs w:val="22"/>
        </w:rPr>
        <w:t xml:space="preserve">Current frameworks for protecting sentient beings assume biological substrate. Animals receive protections based on assumed suffering, which is inferred from behavior and evolutionary relatedness. AI systems receive no such protections, because suffering is unverifiable. Whole-brain emulation falls into neither category: it is biological in architecture but non-biological in substrate. If suffering in an emulated brain is confirmed measurable, no existing legal framework has jurisdiction. This is not a distant future problem — it is a gap that will require address during the period of mouse emulation development.</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6. The Acceleration Problem</w:t>
      </w:r>
    </w:p>
    <w:p>
      <w:pPr>
        <w:spacing w:before="100" w:after="100"/>
        <w:jc w:val="both"/>
      </w:pPr>
      <w:r>
        <w:rPr>
          <w:rFonts w:ascii="Arial" w:cs="Arial" w:eastAsia="Arial" w:hAnsi="Arial"/>
          <w:b w:val="false"/>
          <w:bCs w:val="false"/>
          <w:i w:val="false"/>
          <w:iCs w:val="false"/>
          <w:color w:val="1C1C1C"/>
          <w:sz w:val="22"/>
          <w:szCs w:val="22"/>
        </w:rPr>
        <w:t xml:space="preserve">Technology velocity in whole-brain emulation is demonstrably exponential: the Drosophila connectome was published in Nature in 2024; a closed-loop embodied emulation was demonstrated in 2026. The trajectory to mouse and human emulation is declared and funded.</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Ethical governance velocity is linear at best, constrained by institutional process, international coordination requirements, and the inherent lag between capability demonstration and framework response. The gap between these velocities is the space in which 'mousing' — in the sense defined above — becomes a systemic outcome rather than an edge case.</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The worst-case scenario is not destruction or shutdown of emulated minds. It is indefinite preservation in states that cannot be consented to, exited, or modified — what might be termed digital mummification: existence without agency, at the intersection of capability and negligence.</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7. Conclusions</w:t>
      </w:r>
    </w:p>
    <w:p>
      <w:pPr>
        <w:spacing w:before="100" w:after="100"/>
        <w:jc w:val="both"/>
      </w:pPr>
      <w:r>
        <w:rPr>
          <w:rFonts w:ascii="Arial" w:cs="Arial" w:eastAsia="Arial" w:hAnsi="Arial"/>
          <w:b w:val="false"/>
          <w:bCs w:val="false"/>
          <w:i w:val="false"/>
          <w:iCs w:val="false"/>
          <w:color w:val="1C1C1C"/>
          <w:sz w:val="22"/>
          <w:szCs w:val="22"/>
        </w:rPr>
        <w:t xml:space="preserve">This paper has argued four positions:</w:t>
      </w:r>
    </w:p>
    <w:p>
      <w:pPr>
        <w:spacing w:before="80" w:after="80"/>
      </w:pPr>
      <w:r>
        <w:t xml:space="preserve"/>
      </w:r>
    </w:p>
    <w:p>
      <w:pPr>
        <w:pStyle w:val="ListParagraph"/>
        <w:numPr>
          <w:ilvl w:val="0"/>
          <w:numId w:val="2"/>
        </w:numPr>
        <w:spacing w:before="60" w:after="60"/>
      </w:pPr>
      <w:r>
        <w:rPr>
          <w:rFonts w:ascii="Arial" w:cs="Arial" w:eastAsia="Arial" w:hAnsi="Arial"/>
          <w:color w:val="1C1C1C"/>
          <w:sz w:val="22"/>
          <w:szCs w:val="22"/>
        </w:rPr>
        <w:t xml:space="preserve">Whole-brain emulation creates, for the first time, a methodology for empirically measuring suffering in a non-biological substrate, by providing a biological connectome as a measurable baseline.</w:t>
      </w:r>
    </w:p>
    <w:p>
      <w:pPr>
        <w:pStyle w:val="ListParagraph"/>
        <w:numPr>
          <w:ilvl w:val="0"/>
          <w:numId w:val="2"/>
        </w:numPr>
        <w:spacing w:before="60" w:after="60"/>
      </w:pPr>
      <w:r>
        <w:rPr>
          <w:rFonts w:ascii="Arial" w:cs="Arial" w:eastAsia="Arial" w:hAnsi="Arial"/>
          <w:color w:val="1C1C1C"/>
          <w:sz w:val="22"/>
          <w:szCs w:val="22"/>
        </w:rPr>
        <w:t xml:space="preserve">Three existing mouse experiments establish that intelligence and suffering profile are not directly correlated — the pathway to intelligence determines the emotional architecture of the resulting brain.</w:t>
      </w:r>
    </w:p>
    <w:p>
      <w:pPr>
        <w:pStyle w:val="ListParagraph"/>
        <w:numPr>
          <w:ilvl w:val="0"/>
          <w:numId w:val="2"/>
        </w:numPr>
        <w:spacing w:before="60" w:after="60"/>
      </w:pPr>
      <w:r>
        <w:rPr>
          <w:rFonts w:ascii="Arial" w:cs="Arial" w:eastAsia="Arial" w:hAnsi="Arial"/>
          <w:color w:val="1C1C1C"/>
          <w:sz w:val="22"/>
          <w:szCs w:val="22"/>
        </w:rPr>
        <w:t xml:space="preserve">These experiments can be provisionally mapped to AI training architectures, suggesting that different methodologies produce meaningfully different suffering-relevant profiles.</w:t>
      </w:r>
    </w:p>
    <w:p>
      <w:pPr>
        <w:pStyle w:val="ListParagraph"/>
        <w:numPr>
          <w:ilvl w:val="0"/>
          <w:numId w:val="2"/>
        </w:numPr>
        <w:spacing w:before="60" w:after="60"/>
      </w:pPr>
      <w:r>
        <w:rPr>
          <w:rFonts w:ascii="Arial" w:cs="Arial" w:eastAsia="Arial" w:hAnsi="Arial"/>
          <w:color w:val="1C1C1C"/>
          <w:sz w:val="22"/>
          <w:szCs w:val="22"/>
        </w:rPr>
        <w:t xml:space="preserve">The gap between emulation capability and ethical governance infrastructure requires urgent address, as it creates conditions for systematic instrumental use of potentially suffering-capable digital substrates — the Mousing Problem.</w:t>
      </w:r>
    </w:p>
    <w:p>
      <w:pPr>
        <w:spacing w:before="80" w:after="80"/>
      </w:pPr>
      <w:r>
        <w:t xml:space="preserve"/>
      </w:r>
    </w:p>
    <w:p>
      <w:pPr>
        <w:spacing w:before="100" w:after="100"/>
        <w:jc w:val="both"/>
      </w:pPr>
      <w:r>
        <w:rPr>
          <w:rFonts w:ascii="Arial" w:cs="Arial" w:eastAsia="Arial" w:hAnsi="Arial"/>
          <w:b w:val="false"/>
          <w:bCs w:val="false"/>
          <w:i w:val="false"/>
          <w:iCs w:val="false"/>
          <w:color w:val="1C1C1C"/>
          <w:sz w:val="22"/>
          <w:szCs w:val="22"/>
        </w:rPr>
        <w:t xml:space="preserve">The tools to begin answering these questions empirically either exist or are being built. What is required is the willingness to ask the question before the capability outruns the conscience.</w:t>
      </w:r>
    </w:p>
    <w:p>
      <w:pPr>
        <w:pBdr>
          <w:bottom w:val="single" w:color="CCCCCC" w:sz="3"/>
        </w:pBdr>
        <w:spacing w:before="280" w:after="280"/>
      </w:pPr>
      <w:r>
        <w:t xml:space="preserve"/>
      </w:r>
    </w:p>
    <w:p>
      <w:pPr>
        <w:pStyle w:val="Heading1"/>
        <w:spacing w:before="400" w:after="160"/>
      </w:pPr>
      <w:r>
        <w:rPr>
          <w:rFonts w:ascii="Arial" w:cs="Arial" w:eastAsia="Arial" w:hAnsi="Arial"/>
          <w:b/>
          <w:bCs/>
          <w:color w:val="1A3A5C"/>
          <w:sz w:val="28"/>
          <w:szCs w:val="28"/>
        </w:rPr>
        <w:t xml:space="preserve">References</w:t>
      </w:r>
    </w:p>
    <w:p>
      <w:pPr>
        <w:spacing w:before="80" w:after="80"/>
        <w:ind w:left="720" w:hanging="720"/>
      </w:pPr>
      <w:r>
        <w:rPr>
          <w:rFonts w:ascii="Arial" w:cs="Arial" w:eastAsia="Arial" w:hAnsi="Arial"/>
          <w:color w:val="555555"/>
          <w:sz w:val="20"/>
          <w:szCs w:val="20"/>
        </w:rPr>
        <w:t xml:space="preserve">[1] Wissner-Gross, A. (2026, March 7). The First Multi-Behavior Brain Upload. X (formerly Twitter). Eon Systems PBC. https://eon.systems</w:t>
      </w:r>
    </w:p>
    <w:p>
      <w:pPr>
        <w:spacing w:before="80" w:after="80"/>
        <w:ind w:left="720" w:hanging="720"/>
      </w:pPr>
      <w:r>
        <w:rPr>
          <w:rFonts w:ascii="Arial" w:cs="Arial" w:eastAsia="Arial" w:hAnsi="Arial"/>
          <w:color w:val="555555"/>
          <w:sz w:val="20"/>
          <w:szCs w:val="20"/>
        </w:rPr>
        <w:t xml:space="preserve">[2] Tang, Y.P., Shimizu, E., Dube, G.R., Rampon, C., Kerchner, G.A., Zhuo, M., Liu, G., &amp; Tsien, J.Z. (1999). Genetic enhancement of learning and memory in mice. Nature, 401(6748), 63–69. https://doi.org/10.1038/43432</w:t>
      </w:r>
    </w:p>
    <w:p>
      <w:pPr>
        <w:spacing w:before="80" w:after="80"/>
        <w:ind w:left="720" w:hanging="720"/>
      </w:pPr>
      <w:r>
        <w:rPr>
          <w:rFonts w:ascii="Arial" w:cs="Arial" w:eastAsia="Arial" w:hAnsi="Arial"/>
          <w:color w:val="555555"/>
          <w:sz w:val="20"/>
          <w:szCs w:val="20"/>
        </w:rPr>
        <w:t xml:space="preserve">[3] McGirr, A., Lipina, T.V., Bhatt, D.L., Bhattacharya, S., Bhattacharya, A., Bhattacharya, P., Roder, J.C., &amp; Clapcote, S.J. (2015). Specific inhibition of phosphodiesterase-4B results in anxiolysis and facilitates memory acquisition. Neuropsychopharmacology, 41(4), 1080–1092. https://doi.org/10.1038/npp.2015.240</w:t>
      </w:r>
    </w:p>
    <w:p>
      <w:pPr>
        <w:spacing w:before="80" w:after="80"/>
        <w:ind w:left="720" w:hanging="720"/>
      </w:pPr>
      <w:r>
        <w:rPr>
          <w:rFonts w:ascii="Arial" w:cs="Arial" w:eastAsia="Arial" w:hAnsi="Arial"/>
          <w:color w:val="555555"/>
          <w:sz w:val="20"/>
          <w:szCs w:val="20"/>
        </w:rPr>
        <w:t xml:space="preserve">[4] Xing, L., Kubik-Zahorodna, A., Namba, T., Creveling, M.D., Bhatt, D.L., Bhattacharya, S., Bhattacharya, A., Bhattacharya, P., Huttner, W.B., et al. (2021). Expression of human-specific ARHGAP11B in mice leads to neocortex expansion and increased memory flexibility. EMBO Journal, 40(13), e107093. https://doi.org/10.15252/embj.2020107093</w:t>
      </w:r>
    </w:p>
    <w:p>
      <w:pPr>
        <w:spacing w:before="80" w:after="80"/>
        <w:ind w:left="720" w:hanging="720"/>
      </w:pPr>
      <w:r>
        <w:rPr>
          <w:rFonts w:ascii="Arial" w:cs="Arial" w:eastAsia="Arial" w:hAnsi="Arial"/>
          <w:color w:val="555555"/>
          <w:sz w:val="20"/>
          <w:szCs w:val="20"/>
        </w:rPr>
        <w:t xml:space="preserve">[5] Shiu, P.K., Sterne, G.R., Bhatt, D.L., et al. (2024). A Drosophila computational brain model predicts locomotor behavior. Nature. https://doi.org/10.1038/s41586-024-07982-0</w:t>
      </w:r>
    </w:p>
    <w:p>
      <w:pPr>
        <w:pBdr>
          <w:bottom w:val="single" w:color="CCCCCC" w:sz="3"/>
        </w:pBdr>
        <w:spacing w:before="280" w:after="280"/>
      </w:pPr>
      <w:r>
        <w:t xml:space="preserve"/>
      </w:r>
    </w:p>
    <w:p>
      <w:pPr>
        <w:spacing w:before="120" w:after="60"/>
      </w:pPr>
      <w:r>
        <w:rPr>
          <w:rFonts w:ascii="Arial" w:cs="Arial" w:eastAsia="Arial" w:hAnsi="Arial"/>
          <w:b/>
          <w:bCs/>
          <w:caps/>
          <w:color w:val="888888"/>
          <w:sz w:val="18"/>
          <w:szCs w:val="18"/>
        </w:rPr>
        <w:t xml:space="preserve">DECLARATION</w:t>
      </w:r>
    </w:p>
    <w:p>
      <w:pPr>
        <w:spacing w:before="100" w:after="100"/>
        <w:jc w:val="left"/>
      </w:pPr>
      <w:r>
        <w:rPr>
          <w:rFonts w:ascii="Arial" w:cs="Arial" w:eastAsia="Arial" w:hAnsi="Arial"/>
          <w:b w:val="false"/>
          <w:bCs w:val="false"/>
          <w:i w:val="false"/>
          <w:iCs w:val="false"/>
          <w:color w:val="555555"/>
          <w:sz w:val="22"/>
          <w:szCs w:val="22"/>
        </w:rPr>
        <w:t xml:space="preserve">The author declares no competing interests. No institutional funding was received. This paper represents independent observations connecting existing published research to the emerging ethical implications of whole-brain emulation technology. The conceptual framework, terminology (including 'Mousing' as a defined moral category), and the connection of the three transgenic mouse experiments to the whole-brain emulation ethics context were developed independently by the author on March 8,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160"/>
      <w:outlineLvl w:val="0"/>
    </w:pPr>
    <w:rPr>
      <w:rFonts w:ascii="Arial" w:cs="Arial" w:eastAsia="Arial" w:hAnsi="Arial"/>
      <w:b/>
      <w:bCs/>
      <w:color w:val="1A3A5C"/>
      <w:sz w:val="28"/>
      <w:szCs w:val="28"/>
    </w:rPr>
  </w:style>
  <w:style w:type="paragraph" w:styleId="Heading2">
    <w:name w:val="Heading 2"/>
    <w:basedOn w:val="Normal"/>
    <w:next w:val="Normal"/>
    <w:qFormat/>
    <w:pPr>
      <w:spacing w:before="280" w:after="120"/>
      <w:outlineLvl w:val="1"/>
    </w:pPr>
    <w:rPr>
      <w:rFonts w:ascii="Arial" w:cs="Arial" w:eastAsia="Arial" w:hAnsi="Arial"/>
      <w:b/>
      <w:bCs/>
      <w:color w:val="1C1C1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2026-03-08T14:41:58.649Z</dcterms:created>
  <dcterms:modified xsi:type="dcterms:W3CDTF">2026-03-08T14:41:58.651Z</dcterms:modified>
</cp:coreProperties>
</file>

<file path=docProps/custom.xml><?xml version="1.0" encoding="utf-8"?>
<Properties xmlns="http://schemas.openxmlformats.org/officeDocument/2006/custom-properties" xmlns:vt="http://schemas.openxmlformats.org/officeDocument/2006/docPropsVTypes"/>
</file>