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1B5" w:rsidRDefault="00866F90">
      <w:pPr>
        <w:spacing w:after="40"/>
        <w:jc w:val="center"/>
      </w:pPr>
      <w:r>
        <w:rPr>
          <w:b/>
          <w:sz w:val="24"/>
        </w:rPr>
        <w:t>Tables</w:t>
      </w:r>
    </w:p>
    <w:p w:rsidR="00E351B5" w:rsidRDefault="00866F90">
      <w:pPr>
        <w:jc w:val="center"/>
      </w:pPr>
      <w:r>
        <w:rPr>
          <w:i/>
          <w:sz w:val="22"/>
        </w:rPr>
        <w:t xml:space="preserve">Designing Behavioral Messages in Advertising: </w:t>
      </w:r>
      <w:r w:rsidRPr="00866F90">
        <w:rPr>
          <w:i/>
          <w:sz w:val="22"/>
        </w:rPr>
        <w:t>Insights from Cannes Lions</w:t>
      </w:r>
    </w:p>
    <w:p w:rsidR="00E351B5" w:rsidRDefault="00866F90" w:rsidP="00866F90">
      <w:pPr>
        <w:keepNext/>
        <w:spacing w:before="80" w:after="80"/>
        <w:ind w:left="720"/>
      </w:pPr>
      <w:proofErr w:type="gramStart"/>
      <w:r>
        <w:rPr>
          <w:b/>
          <w:sz w:val="21"/>
        </w:rPr>
        <w:t>Table 1.</w:t>
      </w:r>
      <w:proofErr w:type="gramEnd"/>
      <w:r>
        <w:rPr>
          <w:b/>
          <w:sz w:val="21"/>
        </w:rPr>
        <w:t xml:space="preserve"> Overview of the 10 anchor cases retained for main-text analysis (2021–2025).</w:t>
      </w:r>
    </w:p>
    <w:tbl>
      <w:tblPr>
        <w:tblW w:w="0" w:type="auto"/>
        <w:jc w:val="center"/>
        <w:tblBorders>
          <w:top w:val="single" w:sz="8" w:space="0" w:color="B7B7B7"/>
          <w:left w:val="single" w:sz="8" w:space="0" w:color="B7B7B7"/>
          <w:bottom w:val="single" w:sz="8" w:space="0" w:color="B7B7B7"/>
          <w:right w:val="single" w:sz="8" w:space="0" w:color="B7B7B7"/>
          <w:insideH w:val="single" w:sz="8" w:space="0" w:color="B7B7B7"/>
          <w:insideV w:val="single" w:sz="8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792"/>
        <w:gridCol w:w="1656"/>
        <w:gridCol w:w="1935"/>
        <w:gridCol w:w="2835"/>
      </w:tblGrid>
      <w:tr w:rsidR="00E351B5" w:rsidTr="00866F90">
        <w:trPr>
          <w:tblHeader/>
          <w:jc w:val="center"/>
        </w:trPr>
        <w:tc>
          <w:tcPr>
            <w:tcW w:w="2088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8"/>
              </w:rPr>
              <w:t>Anchor case (brand–campaign)</w:t>
            </w:r>
          </w:p>
        </w:tc>
        <w:tc>
          <w:tcPr>
            <w:tcW w:w="792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8"/>
              </w:rPr>
              <w:t>Year</w:t>
            </w:r>
          </w:p>
        </w:tc>
        <w:tc>
          <w:tcPr>
            <w:tcW w:w="1656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8"/>
              </w:rPr>
              <w:t>Context</w:t>
            </w:r>
          </w:p>
        </w:tc>
        <w:tc>
          <w:tcPr>
            <w:tcW w:w="1935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8"/>
              </w:rPr>
              <w:t>Primary barrier</w:t>
            </w:r>
          </w:p>
        </w:tc>
        <w:tc>
          <w:tcPr>
            <w:tcW w:w="2835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8"/>
              </w:rPr>
              <w:t>Why retained as anchor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 xml:space="preserve">AXA – </w:t>
            </w:r>
            <w:r>
              <w:rPr>
                <w:sz w:val="18"/>
              </w:rPr>
              <w:t>Three Words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2025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Insurance / domestic-violence support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Help-seeking under high personal risk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Service-linked safety redesign with unusually clear intervention logic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Vaseline – Vaseline Verified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2025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Creator-led skincare / health claims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 xml:space="preserve">Claim uncertainty </w:t>
            </w:r>
            <w:r>
              <w:rPr>
                <w:sz w:val="18"/>
              </w:rPr>
              <w:t>and misinformation conflict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Verification cues are highly visible and theoretically rich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AMPAS/CHS – Caption with Intention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2025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Media accessibility / audiovisual experience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Cognitive-access barriers in captioned media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 xml:space="preserve">Strong accessibility mechanism with </w:t>
            </w:r>
            <w:r>
              <w:rPr>
                <w:sz w:val="18"/>
              </w:rPr>
              <w:t>transferable design rules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KPN – A Piece of Me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2024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Digital safety / youth social norms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Low motivation to restrain harmful forwarding behavior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Shows motivational reframing through culture and empathy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Cemento Sol – Sightwalks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2024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Public-space navigation /</w:t>
            </w:r>
            <w:r>
              <w:rPr>
                <w:sz w:val="18"/>
              </w:rPr>
              <w:t xml:space="preserve"> accessibility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Environmental exclusion for blind pedestrians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Embeds inclusive cue design directly in the built environment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Mastercard – Where to Settle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2023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Refugee resettlement / financial-services data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High uncertainty in place-based life decisions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Makes uncertainty reduction legible through decision-support design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Korean National Police Agency – Knock Knock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2023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Domestic-violence reporting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Fear and exposure in emergency help-seeking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Clear psychological-safety logic in a low-visibility interaction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WeCapital – Data Tienda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2022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Financial inclusion / informal credit histories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Risk opacity and low institutional legibility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Bridges uncertainty reduction and credibility signaling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Warner Music Group – Saylists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2021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Speech-therapy support / music platform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Low motivation for repetitive therapeutic action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Reframes effortful practice as rewarding participation</w:t>
            </w:r>
          </w:p>
        </w:tc>
      </w:tr>
      <w:tr w:rsidR="00E351B5" w:rsidTr="00866F90">
        <w:trPr>
          <w:jc w:val="center"/>
        </w:trPr>
        <w:tc>
          <w:tcPr>
            <w:tcW w:w="208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Mastercard – True Name</w:t>
            </w:r>
          </w:p>
        </w:tc>
        <w:tc>
          <w:tcPr>
            <w:tcW w:w="79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sz w:val="18"/>
              </w:rPr>
              <w:t>2021</w:t>
            </w:r>
          </w:p>
        </w:tc>
        <w:tc>
          <w:tcPr>
            <w:tcW w:w="165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Payments / identity affirmation</w:t>
            </w:r>
          </w:p>
        </w:tc>
        <w:tc>
          <w:tcPr>
            <w:tcW w:w="19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Identity threat and anticipatory social discomfort</w:t>
            </w:r>
          </w:p>
        </w:tc>
        <w:tc>
          <w:tcPr>
            <w:tcW w:w="2835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8"/>
              </w:rPr>
              <w:t>Compact, well-documented case of relatio</w:t>
            </w:r>
            <w:r>
              <w:rPr>
                <w:sz w:val="18"/>
              </w:rPr>
              <w:t>nal protection</w:t>
            </w:r>
          </w:p>
        </w:tc>
      </w:tr>
    </w:tbl>
    <w:p w:rsidR="00E351B5" w:rsidRDefault="00866F90">
      <w:pPr>
        <w:spacing w:before="80" w:after="20"/>
      </w:pPr>
      <w:r>
        <w:rPr>
          <w:i/>
          <w:sz w:val="18"/>
        </w:rPr>
        <w:t xml:space="preserve">Note. </w:t>
      </w:r>
      <w:r>
        <w:rPr>
          <w:sz w:val="18"/>
        </w:rPr>
        <w:t>Anchor cases are the ten cases retained for in-depth analysis in the manuscript. Supporting cases are reported in the supplementary appendix and dataset.</w:t>
      </w:r>
    </w:p>
    <w:p w:rsidR="00E351B5" w:rsidRDefault="00866F90">
      <w:pPr>
        <w:spacing w:after="120"/>
      </w:pPr>
      <w:r>
        <w:rPr>
          <w:i/>
          <w:sz w:val="18"/>
        </w:rPr>
        <w:t xml:space="preserve">Source. </w:t>
      </w:r>
      <w:r>
        <w:rPr>
          <w:sz w:val="18"/>
        </w:rPr>
        <w:t xml:space="preserve">Prepared by the author from the coded case corpus and supplementary </w:t>
      </w:r>
      <w:r>
        <w:rPr>
          <w:sz w:val="18"/>
        </w:rPr>
        <w:t>dataset.</w:t>
      </w:r>
    </w:p>
    <w:p w:rsidR="00E351B5" w:rsidRDefault="00866F90">
      <w:r>
        <w:br w:type="page"/>
      </w:r>
    </w:p>
    <w:p w:rsidR="00E351B5" w:rsidRDefault="00866F90">
      <w:pPr>
        <w:keepNext/>
        <w:spacing w:before="80" w:after="80"/>
      </w:pPr>
      <w:r>
        <w:rPr>
          <w:b/>
          <w:sz w:val="21"/>
        </w:rPr>
        <w:lastRenderedPageBreak/>
        <w:t>Table 2. S-O-R summary across the five BDFA themes.</w:t>
      </w:r>
    </w:p>
    <w:tbl>
      <w:tblPr>
        <w:tblW w:w="0" w:type="auto"/>
        <w:jc w:val="center"/>
        <w:tblBorders>
          <w:top w:val="single" w:sz="8" w:space="0" w:color="B7B7B7"/>
          <w:left w:val="single" w:sz="8" w:space="0" w:color="B7B7B7"/>
          <w:bottom w:val="single" w:sz="8" w:space="0" w:color="B7B7B7"/>
          <w:right w:val="single" w:sz="8" w:space="0" w:color="B7B7B7"/>
          <w:insideH w:val="single" w:sz="8" w:space="0" w:color="B7B7B7"/>
          <w:insideV w:val="single" w:sz="8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2448"/>
        <w:gridCol w:w="2160"/>
        <w:gridCol w:w="2232"/>
        <w:gridCol w:w="2016"/>
      </w:tblGrid>
      <w:tr w:rsidR="00E351B5">
        <w:trPr>
          <w:tblHeader/>
          <w:jc w:val="center"/>
        </w:trPr>
        <w:tc>
          <w:tcPr>
            <w:tcW w:w="1512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6"/>
              </w:rPr>
              <w:t>BDFA theme</w:t>
            </w:r>
          </w:p>
        </w:tc>
        <w:tc>
          <w:tcPr>
            <w:tcW w:w="2448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6"/>
              </w:rPr>
              <w:t>Anchor cases / supporting signals</w:t>
            </w:r>
          </w:p>
        </w:tc>
        <w:tc>
          <w:tcPr>
            <w:tcW w:w="2160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6"/>
              </w:rPr>
              <w:t>Choice architecture mechanism (stimulus design)</w:t>
            </w:r>
          </w:p>
        </w:tc>
        <w:tc>
          <w:tcPr>
            <w:tcW w:w="2232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6"/>
              </w:rPr>
              <w:t>Organism (triggered cognitive / affective process)</w:t>
            </w:r>
          </w:p>
        </w:tc>
        <w:tc>
          <w:tcPr>
            <w:tcW w:w="2016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6"/>
              </w:rPr>
              <w:t>Response (represented behavioral tendency)</w:t>
            </w:r>
          </w:p>
        </w:tc>
      </w:tr>
      <w:tr w:rsidR="00E351B5">
        <w:trPr>
          <w:jc w:val="center"/>
        </w:trPr>
        <w:tc>
          <w:tcPr>
            <w:tcW w:w="15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Theme</w:t>
            </w:r>
            <w:r>
              <w:rPr>
                <w:sz w:val="16"/>
              </w:rPr>
              <w:t xml:space="preserve"> 1. Uncertainty reduction</w:t>
            </w:r>
          </w:p>
        </w:tc>
        <w:tc>
          <w:tcPr>
            <w:tcW w:w="244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Anchor cases: Mastercard – Where to Settle; WeCapital – Data Tienda. Supporting signals: Renault – Cars to Work; Carrefour – Act for Food.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 xml:space="preserve">Integrated comparison and decision-support design that aggregates place-based or </w:t>
            </w:r>
            <w:r>
              <w:rPr>
                <w:sz w:val="16"/>
              </w:rPr>
              <w:t>informal-credit data into legible action cues.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Comprehension, cognitive ease, reduced ambiguity, lower decision load, and greater perceived control.</w:t>
            </w:r>
          </w:p>
        </w:tc>
        <w:tc>
          <w:tcPr>
            <w:tcW w:w="201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Better-informed action, higher decision readiness, and smoother settlement / credit follow-through.</w:t>
            </w:r>
          </w:p>
        </w:tc>
      </w:tr>
      <w:tr w:rsidR="00E351B5">
        <w:trPr>
          <w:jc w:val="center"/>
        </w:trPr>
        <w:tc>
          <w:tcPr>
            <w:tcW w:w="15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 xml:space="preserve">Theme </w:t>
            </w:r>
            <w:r>
              <w:rPr>
                <w:sz w:val="16"/>
              </w:rPr>
              <w:t>2. Motivational reframing</w:t>
            </w:r>
          </w:p>
        </w:tc>
        <w:tc>
          <w:tcPr>
            <w:tcW w:w="244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Anchor cases: Warner Music Group – Saylists; KPN – A Piece of Me. Supporting signals: Indian Railways – Lucky Yatra; Samsung – Flipvertising.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Reinforcement architecture and participation-rich framing linked to the desired behavior</w:t>
            </w:r>
            <w:r>
              <w:rPr>
                <w:sz w:val="16"/>
              </w:rPr>
              <w:t>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Motivational salience, reward anticipation, stronger self-relevance, and lower defensiveness toward effortful action.</w:t>
            </w:r>
          </w:p>
        </w:tc>
        <w:tc>
          <w:tcPr>
            <w:tcW w:w="201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Higher voluntary compliance / participation and repeated engagement with the promoted behavior.</w:t>
            </w:r>
          </w:p>
        </w:tc>
      </w:tr>
      <w:tr w:rsidR="00E351B5">
        <w:trPr>
          <w:jc w:val="center"/>
        </w:trPr>
        <w:tc>
          <w:tcPr>
            <w:tcW w:w="15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Theme 3. Credibility signaling</w:t>
            </w:r>
          </w:p>
        </w:tc>
        <w:tc>
          <w:tcPr>
            <w:tcW w:w="244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Anchor c</w:t>
            </w:r>
            <w:r>
              <w:rPr>
                <w:sz w:val="16"/>
              </w:rPr>
              <w:t>ases: Vaseline – Vaseline Verified; WeCapital – Data Tienda (bridge case). Supporting signals: Dove – Real Beauty Redefined for the AI Era; VICE Media – The Unfiltered History Tour; Dove – #TurnYourBack.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Credibility signaling and corrective information fra</w:t>
            </w:r>
            <w:r>
              <w:rPr>
                <w:sz w:val="16"/>
              </w:rPr>
              <w:t>ming with visible verification and stronger source cues.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Trust calibration, clearer source evaluation, reduced claim conflict, and lower perceived risk.</w:t>
            </w:r>
          </w:p>
        </w:tc>
        <w:tc>
          <w:tcPr>
            <w:tcW w:w="201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Behavioral stabilization and greater acceptance of the verified message or product guidance.</w:t>
            </w:r>
          </w:p>
        </w:tc>
      </w:tr>
      <w:tr w:rsidR="00E351B5">
        <w:trPr>
          <w:jc w:val="center"/>
        </w:trPr>
        <w:tc>
          <w:tcPr>
            <w:tcW w:w="15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 xml:space="preserve">Theme 4. </w:t>
            </w:r>
            <w:r>
              <w:rPr>
                <w:sz w:val="16"/>
              </w:rPr>
              <w:t>Psychological safety</w:t>
            </w:r>
          </w:p>
        </w:tc>
        <w:tc>
          <w:tcPr>
            <w:tcW w:w="244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Anchor cases: AXA – Three Words; Korean National Police Agency – Knock Knock; Mastercard – True Name. Supporting signals: Decathlon – The Breakaway; Mastercard – Room for Everyone.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Relational assurance cues embedded in service design t</w:t>
            </w:r>
            <w:r>
              <w:rPr>
                <w:sz w:val="16"/>
              </w:rPr>
              <w:t>hrough discreet, confidential access routes.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Felt safety, reduced anticipatory threat, lower stigma exposure, and stronger agency.</w:t>
            </w:r>
          </w:p>
        </w:tc>
        <w:tc>
          <w:tcPr>
            <w:tcW w:w="201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Increased willingness to seek support and engage with the brand / service offer.</w:t>
            </w:r>
          </w:p>
        </w:tc>
      </w:tr>
      <w:tr w:rsidR="00E351B5">
        <w:trPr>
          <w:jc w:val="center"/>
        </w:trPr>
        <w:tc>
          <w:tcPr>
            <w:tcW w:w="15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Theme 5. Inclusive accessibility</w:t>
            </w:r>
          </w:p>
        </w:tc>
        <w:tc>
          <w:tcPr>
            <w:tcW w:w="244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Anchor cas</w:t>
            </w:r>
            <w:r>
              <w:rPr>
                <w:sz w:val="16"/>
              </w:rPr>
              <w:t>es: AMPAS/Chicago Hearing Society – Caption with Intention; Cemento Sol – Sightwalks. Supporting signal: adidas – Runner 321.</w:t>
            </w:r>
          </w:p>
        </w:tc>
        <w:tc>
          <w:tcPr>
            <w:tcW w:w="216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Inclusive sensory design and accessibility-oriented information structuring.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Improved comprehension, better attention guidance, lo</w:t>
            </w:r>
            <w:r>
              <w:rPr>
                <w:sz w:val="16"/>
              </w:rPr>
              <w:t>wer processing burden, and stronger perceived inclusion.</w:t>
            </w:r>
          </w:p>
        </w:tc>
        <w:tc>
          <w:tcPr>
            <w:tcW w:w="201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6"/>
              </w:rPr>
              <w:t>Expanded access, easier interpretation, and stronger engagement across audience segments.</w:t>
            </w:r>
          </w:p>
        </w:tc>
      </w:tr>
    </w:tbl>
    <w:p w:rsidR="00E351B5" w:rsidRDefault="00866F90">
      <w:pPr>
        <w:spacing w:before="80" w:after="20"/>
      </w:pPr>
      <w:r>
        <w:rPr>
          <w:i/>
          <w:sz w:val="18"/>
        </w:rPr>
        <w:t xml:space="preserve">Note. </w:t>
      </w:r>
      <w:r>
        <w:rPr>
          <w:sz w:val="18"/>
        </w:rPr>
        <w:t>Each row summarizes one BDFA theme and identifies the anchor cases emphasized in the manuscript, toget</w:t>
      </w:r>
      <w:r>
        <w:rPr>
          <w:sz w:val="18"/>
        </w:rPr>
        <w:t>her with supporting-case signals observed elsewhere in the corpus.</w:t>
      </w:r>
    </w:p>
    <w:p w:rsidR="00E351B5" w:rsidRDefault="00866F90">
      <w:pPr>
        <w:spacing w:after="120"/>
      </w:pPr>
      <w:r>
        <w:rPr>
          <w:i/>
          <w:sz w:val="18"/>
        </w:rPr>
        <w:t xml:space="preserve">Source. </w:t>
      </w:r>
      <w:r>
        <w:rPr>
          <w:sz w:val="18"/>
        </w:rPr>
        <w:t>Prepared by the author from the coded case corpus and supplementary dataset.</w:t>
      </w:r>
    </w:p>
    <w:p w:rsidR="00E351B5" w:rsidRDefault="00866F90">
      <w:r>
        <w:br w:type="page"/>
      </w:r>
    </w:p>
    <w:p w:rsidR="00E351B5" w:rsidRDefault="00866F90">
      <w:pPr>
        <w:keepNext/>
        <w:spacing w:before="80" w:after="80"/>
      </w:pPr>
      <w:r>
        <w:rPr>
          <w:b/>
          <w:sz w:val="21"/>
        </w:rPr>
        <w:lastRenderedPageBreak/>
        <w:t xml:space="preserve">Table 3. Cross-case synthesis of the 10 anchor cases, their primary mechanisms, and replication </w:t>
      </w:r>
      <w:r>
        <w:rPr>
          <w:b/>
          <w:sz w:val="21"/>
        </w:rPr>
        <w:t>signals from supporting cases.</w:t>
      </w:r>
    </w:p>
    <w:tbl>
      <w:tblPr>
        <w:tblW w:w="0" w:type="auto"/>
        <w:jc w:val="center"/>
        <w:tblBorders>
          <w:top w:val="single" w:sz="8" w:space="0" w:color="B7B7B7"/>
          <w:left w:val="single" w:sz="8" w:space="0" w:color="B7B7B7"/>
          <w:bottom w:val="single" w:sz="8" w:space="0" w:color="B7B7B7"/>
          <w:right w:val="single" w:sz="8" w:space="0" w:color="B7B7B7"/>
          <w:insideH w:val="single" w:sz="8" w:space="0" w:color="B7B7B7"/>
          <w:insideV w:val="single" w:sz="8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2232"/>
        <w:gridCol w:w="3672"/>
        <w:gridCol w:w="2232"/>
      </w:tblGrid>
      <w:tr w:rsidR="00E351B5">
        <w:trPr>
          <w:tblHeader/>
          <w:jc w:val="center"/>
        </w:trPr>
        <w:tc>
          <w:tcPr>
            <w:tcW w:w="1728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7"/>
              </w:rPr>
              <w:t>Anchor case</w:t>
            </w:r>
          </w:p>
        </w:tc>
        <w:tc>
          <w:tcPr>
            <w:tcW w:w="2232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7"/>
              </w:rPr>
              <w:t>Targeted psychological barrier</w:t>
            </w:r>
          </w:p>
        </w:tc>
        <w:tc>
          <w:tcPr>
            <w:tcW w:w="3672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7"/>
              </w:rPr>
              <w:t>Applied behavioral intervention (BDFA / S-O-R reading)</w:t>
            </w:r>
          </w:p>
        </w:tc>
        <w:tc>
          <w:tcPr>
            <w:tcW w:w="2232" w:type="dxa"/>
            <w:shd w:val="clear" w:color="auto" w:fill="E6E6E6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  <w:jc w:val="center"/>
            </w:pPr>
            <w:r>
              <w:rPr>
                <w:b/>
                <w:sz w:val="17"/>
              </w:rPr>
              <w:t>Supporting replication signal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AXA – Three Words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Fear, exposure, and practical risk in help-seeking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 xml:space="preserve">Service-linked safety </w:t>
            </w:r>
            <w:r>
              <w:rPr>
                <w:sz w:val="17"/>
              </w:rPr>
              <w:t>clause and support pathway; S → discreet safety cue, O → felt safety and legitimate agency, R → greater willingness to seek support.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Knock Knock; True Name; The Breakaway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Vaseline – Vaseline Verified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Misinformation conflict and low trust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 xml:space="preserve">Verification </w:t>
            </w:r>
            <w:r>
              <w:rPr>
                <w:sz w:val="17"/>
              </w:rPr>
              <w:t>labels plus expert substantiation; S → visible evidence cue, O → trust calibration and lower perceived risk, R → higher acceptance of corrective guidance.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Dove – Real Beauty Redefined for the AI Era; #TurnYourBack; The Unfiltered History Tour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Caption with</w:t>
            </w:r>
            <w:r>
              <w:rPr>
                <w:sz w:val="17"/>
              </w:rPr>
              <w:t xml:space="preserve"> Intention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Reduced sensory and affective access to audiovisual meaning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Expressive caption redesign; S → legible multimodal cueing, O → improved comprehension, attention guidance, and emotional access, R → broader inclusion and engagement.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Sightwalks; Runne</w:t>
            </w:r>
            <w:r>
              <w:rPr>
                <w:sz w:val="17"/>
              </w:rPr>
              <w:t>r 321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KPN – A Piece of Me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Norm ambiguity and low motivation to refrain from harmful sharing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Music-led norm reframing; S → empathetic cultural cue, O → norm salience, reflective discomfort, and identification, R → stronger restraint and discussion.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Lucky Y</w:t>
            </w:r>
            <w:r>
              <w:rPr>
                <w:sz w:val="17"/>
              </w:rPr>
              <w:t>atra; Flipvertising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Sightwalks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Environmental exclusion and navigation difficulty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Tactile wayfinding system; S → physical orientation cues, O → lower cognitive burden and higher navigational control, R → more independent movement.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 xml:space="preserve">Caption with Intention; </w:t>
            </w:r>
            <w:r>
              <w:rPr>
                <w:sz w:val="17"/>
              </w:rPr>
              <w:t>Runner 321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Where to Settle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High uncertainty in settlement decisions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Integrated comparison tool; S → structured local data, O → reduced ambiguity, greater cognitive ease, and perceived control, R → better-informed action.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Data Tienda; Cars to Work; Room fo</w:t>
            </w:r>
            <w:r>
              <w:rPr>
                <w:sz w:val="17"/>
              </w:rPr>
              <w:t>r Everyone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Knock Knock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Fear of speaking or being overheard during crisis reporting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Silent tap-based emergency interaction; S → low-visibility access cue, O → felt safety and reduced disclosure risk, R → higher likelihood of contacting authorities.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AXA – T</w:t>
            </w:r>
            <w:r>
              <w:rPr>
                <w:sz w:val="17"/>
              </w:rPr>
              <w:t>hree Words; True Name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Data Tienda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Low credit visibility and lender uncertainty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Alternative data turned into legible financial profile; S → new credibility record, O → lower perceived risk and stronger institutional legibility, R → improved access potentia</w:t>
            </w:r>
            <w:r>
              <w:rPr>
                <w:sz w:val="17"/>
              </w:rPr>
              <w:t>l.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Where to Settle; Room for Everyone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Saylists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Low motivation for repetitive therapy practice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Music-integrated repetition routine; S → rewarding familiar media cue, O → motivational salience and lower effort aversion, R → sustained participation.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 xml:space="preserve">A Piece </w:t>
            </w:r>
            <w:r>
              <w:rPr>
                <w:sz w:val="17"/>
              </w:rPr>
              <w:t>of Me; Lucky Yatra</w:t>
            </w:r>
          </w:p>
        </w:tc>
      </w:tr>
      <w:tr w:rsidR="00E351B5">
        <w:trPr>
          <w:jc w:val="center"/>
        </w:trPr>
        <w:tc>
          <w:tcPr>
            <w:tcW w:w="1728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True Name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Identity threat in public payment encounters</w:t>
            </w:r>
          </w:p>
        </w:tc>
        <w:tc>
          <w:tcPr>
            <w:tcW w:w="367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Chosen-name payment redesign; S → identity-congruent service cue, O → reduced anticipatory threat and stronger identity congruence, R → safer everyday participation.</w:t>
            </w:r>
          </w:p>
        </w:tc>
        <w:tc>
          <w:tcPr>
            <w:tcW w:w="223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:rsidR="00E351B5" w:rsidRDefault="00866F90">
            <w:pPr>
              <w:spacing w:after="0" w:line="252" w:lineRule="auto"/>
            </w:pPr>
            <w:r>
              <w:rPr>
                <w:sz w:val="17"/>
              </w:rPr>
              <w:t>AXA – Three Wor</w:t>
            </w:r>
            <w:r>
              <w:rPr>
                <w:sz w:val="17"/>
              </w:rPr>
              <w:t>ds; Knock Knock</w:t>
            </w:r>
          </w:p>
        </w:tc>
      </w:tr>
    </w:tbl>
    <w:p w:rsidR="00E351B5" w:rsidRDefault="00866F90">
      <w:pPr>
        <w:spacing w:before="80" w:after="20"/>
      </w:pPr>
      <w:r>
        <w:rPr>
          <w:i/>
          <w:sz w:val="18"/>
        </w:rPr>
        <w:t xml:space="preserve">Note. </w:t>
      </w:r>
      <w:r>
        <w:rPr>
          <w:sz w:val="18"/>
        </w:rPr>
        <w:t>Supporting replication signals name the non-anchor cases that reproduce the same behavioral intervention logic in the broader 25-case corpus.</w:t>
      </w:r>
    </w:p>
    <w:p w:rsidR="00E351B5" w:rsidRDefault="00866F90">
      <w:pPr>
        <w:spacing w:after="120"/>
      </w:pPr>
      <w:r>
        <w:rPr>
          <w:i/>
          <w:sz w:val="18"/>
        </w:rPr>
        <w:t xml:space="preserve">Source. </w:t>
      </w:r>
      <w:r>
        <w:rPr>
          <w:sz w:val="18"/>
        </w:rPr>
        <w:t>Prepared by the author from the coded case corpus and s</w:t>
      </w:r>
      <w:bookmarkStart w:id="0" w:name="_GoBack"/>
      <w:bookmarkEnd w:id="0"/>
      <w:r>
        <w:rPr>
          <w:sz w:val="18"/>
        </w:rPr>
        <w:t>upplementary dataset.</w:t>
      </w:r>
    </w:p>
    <w:sectPr w:rsidR="00E351B5" w:rsidSect="00034616">
      <w:pgSz w:w="11909" w:h="16834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66F90"/>
    <w:rsid w:val="00AA1D8D"/>
    <w:rsid w:val="00B47730"/>
    <w:rsid w:val="00CB0664"/>
    <w:rsid w:val="00E351B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color w:val="000000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color w:val="000000"/>
      <w:sz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539F7A-F69D-44AD-9911-771F79ED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1254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2026-03-08T10:20:00Z</dcterms:created>
  <dcterms:modified xsi:type="dcterms:W3CDTF">2026-03-08T10:20:00Z</dcterms:modified>
</cp:coreProperties>
</file>