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jc w:val="center"/>
        <w:rPr>
          <w:i/>
          <w:i/>
          <w:sz w:val="26"/>
        </w:rPr>
      </w:pPr>
      <w:r>
        <w:drawing>
          <wp:anchor behindDoc="0" distT="0" distB="0" distL="114935" distR="114935" simplePos="0" locked="0" layoutInCell="0" allowOverlap="1" relativeHeight="1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5668645" cy="2519045"/>
            <wp:effectExtent l="0" t="0" r="0" b="0"/>
            <wp:wrapSquare wrapText="bothSides"/>
            <wp:docPr id="1" name="nile_timeseries_changepoint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ile_timeseries_changepoint.pn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4" t="-10" r="-4" b="-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8645" cy="2519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behindDoc="0" distT="0" distB="0" distL="114935" distR="114935" simplePos="0" locked="0" layoutInCell="0" allowOverlap="1" relativeHeight="1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5668645" cy="2519045"/>
            <wp:effectExtent l="0" t="0" r="0" b="0"/>
            <wp:wrapSquare wrapText="bothSides"/>
            <wp:docPr id="2" name="proxies_threshold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oxies_threshold.png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 l="-4" t="-10" r="-4" b="-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8645" cy="2519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behindDoc="0" distT="0" distB="0" distL="114935" distR="114935" simplePos="0" locked="0" layoutInCell="0" allowOverlap="1" relativeHeight="12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5485765" cy="3134360"/>
            <wp:effectExtent l="0" t="0" r="0" b="0"/>
            <wp:wrapSquare wrapText="bothSides"/>
            <wp:docPr id="3" name="null_proxy_hist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null_proxy_hist.png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-6" t="-10" r="-6" b="-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5765" cy="3134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behindDoc="0" distT="0" distB="0" distL="114935" distR="114935" simplePos="0" locked="0" layoutInCell="0" allowOverlap="1" relativeHeight="13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5760085" cy="2159635"/>
            <wp:effectExtent l="0" t="0" r="0" b="0"/>
            <wp:wrapSquare wrapText="bothSides"/>
            <wp:docPr id="4" name="synthetic_jump_fig1_timeseries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ynthetic_jump_fig1_timeseries.png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5" t="-13" r="-5" b="-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215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behindDoc="0" distT="0" distB="0" distL="114935" distR="114935" simplePos="0" locked="0" layoutInCell="0" allowOverlap="1" relativeHeight="14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5760085" cy="2159635"/>
            <wp:effectExtent l="0" t="0" r="0" b="0"/>
            <wp:wrapSquare wrapText="bothSides"/>
            <wp:docPr id="5" name="synthetic_jump_fig2_proxies_occ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ynthetic_jump_fig2_proxies_occ.png" descr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5" t="-13" r="-5" b="-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215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behindDoc="0" distT="0" distB="0" distL="114935" distR="114935" simplePos="0" locked="0" layoutInCell="0" allowOverlap="1" relativeHeight="15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5760085" cy="2159635"/>
            <wp:effectExtent l="0" t="0" r="0" b="0"/>
            <wp:wrapSquare wrapText="bothSides"/>
            <wp:docPr id="6" name="synthetic_jump_A3_noaccum_fig2_proxies_occ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ynthetic_jump_A3_noaccum_fig2_proxies_occ.png" descr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5" t="-13" r="-5" b="-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215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behindDoc="0" distT="0" distB="0" distL="114935" distR="114935" simplePos="0" locked="0" layoutInCell="0" allowOverlap="1" relativeHeight="16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5760085" cy="2159635"/>
            <wp:effectExtent l="0" t="0" r="0" b="0"/>
            <wp:wrapSquare wrapText="bothSides"/>
            <wp:docPr id="7" name="sunspots_fig1_timeseries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unspots_fig1_timeseries.png" descr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5" t="-13" r="-5" b="-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215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behindDoc="0" distT="0" distB="0" distL="114935" distR="114935" simplePos="0" locked="0" layoutInCell="0" allowOverlap="1" relativeHeight="17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5760085" cy="2879725"/>
            <wp:effectExtent l="0" t="0" r="0" b="0"/>
            <wp:wrapSquare wrapText="bothSides"/>
            <wp:docPr id="8" name="sunspots_fig3_null_proxy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unspots_fig3_null_proxy.png" descr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7" t="-13" r="-7" b="-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2879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44"/>
        </w:rPr>
        <w:t>FIELD MODEL (Modelo del Campo)</w:t>
      </w:r>
    </w:p>
    <w:p>
      <w:pPr>
        <w:pStyle w:val="Normal"/>
        <w:jc w:val="center"/>
        <w:rPr>
          <w:i/>
          <w:i/>
          <w:sz w:val="26"/>
        </w:rPr>
      </w:pPr>
      <w:r>
        <w:rPr>
          <w:i/>
          <w:sz w:val="26"/>
        </w:rPr>
        <w:t>A Minimal Relational Framework for Emergence, Stability, Saturation, and Dissolution of Configurations</w:t>
      </w:r>
    </w:p>
    <w:p>
      <w:pPr>
        <w:pStyle w:val="Normal"/>
        <w:jc w:val="center"/>
        <w:rPr/>
      </w:pPr>
      <w:r>
        <w:t>Version 3.10.11 - Zenodo-ready hardening (boundaries + p_ge clarification + artifact map) (Supplement S1 v2.4.3)</w:t>
      </w:r>
    </w:p>
    <w:p>
      <w:pPr>
        <w:pStyle w:val="Normal"/>
        <w:jc w:val="center"/>
        <w:rPr/>
      </w:pPr>
      <w:r>
        <w:t>Date: 05 March 2026</w:t>
      </w:r>
    </w:p>
    <w:p>
      <w:pPr>
        <w:pStyle w:val="Normal"/>
        <w:rPr/>
      </w:pPr>
      <w:r>
        <w:rPr/>
      </w:r>
    </w:p>
    <w:p>
      <w:r>
        <w:t>Submission metadata (for venue submission; Zenodo-ready):</w:t>
        <w:br/>
        <w:t>Authors: José Mª Torres Navarro</w:t>
        <w:br/>
        <w:t>Affiliations: Independent researcher (Spain)</w:t>
        <w:br/>
        <w:t>Correspondence: via Zenodo record (contact field)</w:t>
        <w:br/>
        <w:t>Contributions (CRediT): Conceptualization; Methodology; Software; Writing - original draft; Writing - review &amp; editing</w:t>
        <w:br/>
        <w:t>Funding: None</w:t>
        <w:br/>
        <w:t>Conflicts of interest: None declared</w:t>
        <w:br/>
        <w:t>Ethics / sensitive data: No human/animal subjects; no sensitive personal data; public-domain or openly available time-series only</w:t>
        <w:br/>
        <w:t>Data/code availability: Supplement S1 v2.4.3 (this release; executable protocol + artifact map + integrity checks)</w:t>
      </w:r>
    </w:p>
    <w:p>
      <w:pPr>
        <w:pStyle w:val="Normal"/>
        <w:rPr/>
      </w:pPr>
      <w:r>
        <w:t>Status note: The canonical core (Section I) is treated as a versioned specification for this release; revisions are tracked via the changelog. Sections II–VI provide operational formalization, conventions, an illustrative simulator, and explicit critique tools. No numeric value is asserted as a property of the canonical model. A minimal executable protocol for Template E (time-series change-points) is provided as Supplement S1 v2.4.3.</w:t>
      </w:r>
    </w:p>
    <w:p>
      <w:r>
        <w:t>Canonical boundaries (core vs operational vs illustrative):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Component</w:t>
            </w:r>
          </w:p>
        </w:tc>
        <w:tc>
          <w:tcPr>
            <w:tcW w:type="dxa" w:w="1728"/>
          </w:tcPr>
          <w:p>
            <w:r>
              <w:t>Status</w:t>
            </w:r>
          </w:p>
        </w:tc>
        <w:tc>
          <w:tcPr>
            <w:tcW w:type="dxa" w:w="1728"/>
          </w:tcPr>
          <w:p>
            <w:r>
              <w:t>Commits to</w:t>
            </w:r>
          </w:p>
        </w:tc>
        <w:tc>
          <w:tcPr>
            <w:tcW w:type="dxa" w:w="1728"/>
          </w:tcPr>
          <w:p>
            <w:r>
              <w:t>Not committed / can vary</w:t>
            </w:r>
          </w:p>
        </w:tc>
        <w:tc>
          <w:tcPr>
            <w:tcW w:type="dxa" w:w="1728"/>
          </w:tcPr>
          <w:p>
            <w:r>
              <w:t>Where</w:t>
            </w:r>
          </w:p>
        </w:tc>
      </w:tr>
      <w:tr>
        <w:tc>
          <w:tcPr>
            <w:tcW w:type="dxa" w:w="1728"/>
          </w:tcPr>
          <w:p>
            <w:r>
              <w:t>φ, γ (relational variables)</w:t>
            </w:r>
          </w:p>
        </w:tc>
        <w:tc>
          <w:tcPr>
            <w:tcW w:type="dxa" w:w="1728"/>
          </w:tcPr>
          <w:p>
            <w:r>
              <w:t>Canonical core</w:t>
            </w:r>
          </w:p>
        </w:tc>
        <w:tc>
          <w:tcPr>
            <w:tcW w:type="dxa" w:w="1728"/>
          </w:tcPr>
          <w:p>
            <w:r>
              <w:t>Definitions; regime condition φ &lt; γ; threshold φ ≈ γ; SC/SD modes</w:t>
            </w:r>
          </w:p>
        </w:tc>
        <w:tc>
          <w:tcPr>
            <w:tcW w:type="dxa" w:w="1728"/>
          </w:tcPr>
          <w:p>
            <w:r>
              <w:t>Proxy mappings; datasets; metrics; parameterization</w:t>
            </w:r>
          </w:p>
        </w:tc>
        <w:tc>
          <w:tcPr>
            <w:tcW w:type="dxa" w:w="1728"/>
          </w:tcPr>
          <w:p>
            <w:r>
              <w:t>Section I</w:t>
            </w:r>
          </w:p>
        </w:tc>
      </w:tr>
      <w:tr>
        <w:tc>
          <w:tcPr>
            <w:tcW w:type="dxa" w:w="1728"/>
          </w:tcPr>
          <w:p>
            <w:r>
              <w:t>Reorg / Inv / Fix (operators)</w:t>
            </w:r>
          </w:p>
        </w:tc>
        <w:tc>
          <w:tcPr>
            <w:tcW w:type="dxa" w:w="1728"/>
          </w:tcPr>
          <w:p>
            <w:r>
              <w:t>Canonical core</w:t>
            </w:r>
          </w:p>
        </w:tc>
        <w:tc>
          <w:tcPr>
            <w:tcW w:type="dxa" w:w="1728"/>
          </w:tcPr>
          <w:p>
            <w:r>
              <w:t>Operator meanings as transition possibilities at threshold</w:t>
            </w:r>
          </w:p>
        </w:tc>
        <w:tc>
          <w:tcPr>
            <w:tcW w:type="dxa" w:w="1728"/>
          </w:tcPr>
          <w:p>
            <w:r>
              <w:t>Implementation details and triggers in S1 / toys</w:t>
            </w:r>
          </w:p>
        </w:tc>
        <w:tc>
          <w:tcPr>
            <w:tcW w:type="dxa" w:w="1728"/>
          </w:tcPr>
          <w:p>
            <w:r>
              <w:t>Section I; Appendix J (toy)</w:t>
            </w:r>
          </w:p>
        </w:tc>
      </w:tr>
      <w:tr>
        <w:tc>
          <w:tcPr>
            <w:tcW w:type="dxa" w:w="1728"/>
          </w:tcPr>
          <w:p>
            <w:r>
              <w:t>φ_proxy(t), γ_proxy(t)</w:t>
            </w:r>
          </w:p>
        </w:tc>
        <w:tc>
          <w:tcPr>
            <w:tcW w:type="dxa" w:w="1728"/>
          </w:tcPr>
          <w:p>
            <w:r>
              <w:t>Operational</w:t>
            </w:r>
          </w:p>
        </w:tc>
        <w:tc>
          <w:tcPr>
            <w:tcW w:type="dxa" w:w="1728"/>
          </w:tcPr>
          <w:p>
            <w:r>
              <w:t>Must be declared + logged for any instantiation</w:t>
            </w:r>
          </w:p>
        </w:tc>
        <w:tc>
          <w:tcPr>
            <w:tcW w:type="dxa" w:w="1728"/>
          </w:tcPr>
          <w:p>
            <w:r>
              <w:t>Choice of proxy family is domain-dependent; may have alternatives</w:t>
            </w:r>
          </w:p>
        </w:tc>
        <w:tc>
          <w:tcPr>
            <w:tcW w:type="dxa" w:w="1728"/>
          </w:tcPr>
          <w:p>
            <w:r>
              <w:t>Section II; Template E; S1 meta/config</w:t>
            </w:r>
          </w:p>
        </w:tc>
      </w:tr>
      <w:tr>
        <w:tc>
          <w:tcPr>
            <w:tcW w:type="dxa" w:w="1728"/>
          </w:tcPr>
          <w:p>
            <w:r>
              <w:t>ε, w, cluster_window, normalization</w:t>
            </w:r>
          </w:p>
        </w:tc>
        <w:tc>
          <w:tcPr>
            <w:tcW w:type="dxa" w:w="1728"/>
          </w:tcPr>
          <w:p>
            <w:r>
              <w:t>Operational</w:t>
            </w:r>
          </w:p>
        </w:tc>
        <w:tc>
          <w:tcPr>
            <w:tcW w:type="dxa" w:w="1728"/>
          </w:tcPr>
          <w:p>
            <w:r>
              <w:t>Must be pre-specified for primary runs; sweeps labeled as sensitivity</w:t>
            </w:r>
          </w:p>
        </w:tc>
        <w:tc>
          <w:tcPr>
            <w:tcW w:type="dxa" w:w="1728"/>
          </w:tcPr>
          <w:p>
            <w:r>
              <w:t>Values and sweeps may vary; tuning forbidden on test</w:t>
            </w:r>
          </w:p>
        </w:tc>
        <w:tc>
          <w:tcPr>
            <w:tcW w:type="dxa" w:w="1728"/>
          </w:tcPr>
          <w:p>
            <w:r>
              <w:t>Section II; Appendix I; S1 config/default.json</w:t>
            </w:r>
          </w:p>
        </w:tc>
      </w:tr>
      <w:tr>
        <w:tc>
          <w:tcPr>
            <w:tcW w:type="dxa" w:w="1728"/>
          </w:tcPr>
          <w:p>
            <w:r>
              <w:t>Toy closed specification</w:t>
            </w:r>
          </w:p>
        </w:tc>
        <w:tc>
          <w:tcPr>
            <w:tcW w:type="dxa" w:w="1728"/>
          </w:tcPr>
          <w:p>
            <w:r>
              <w:t>Non-canonical (illustrative)</w:t>
            </w:r>
          </w:p>
        </w:tc>
        <w:tc>
          <w:tcPr>
            <w:tcW w:type="dxa" w:w="1728"/>
          </w:tcPr>
          <w:p>
            <w:r>
              <w:t>A closed runnable toy consistent with the simulator for critique only</w:t>
            </w:r>
          </w:p>
        </w:tc>
        <w:tc>
          <w:tcPr>
            <w:tcW w:type="dxa" w:w="1728"/>
          </w:tcPr>
          <w:p>
            <w:r>
              <w:t>Not evidence; not part of the canonical core</w:t>
            </w:r>
          </w:p>
        </w:tc>
        <w:tc>
          <w:tcPr>
            <w:tcW w:type="dxa" w:w="1728"/>
          </w:tcPr>
          <w:p>
            <w:r>
              <w:t>Appendix J</w:t>
            </w:r>
          </w:p>
        </w:tc>
      </w:tr>
    </w:tbl>
    <w:p>
      <w:pPr>
        <w:pStyle w:val="Normal"/>
        <w:rPr>
          <w:rStyle w:val="Strong"/>
        </w:rPr>
      </w:pPr>
      <w:r>
        <w:t>Changelog (3.10.0 → 3.10.1): tightened abstract scope language; clarified non-canonical operational parameters and required sensitivity checks; justified the 64-state discretization and defined E components; completed simulator pseudo-code with SC/SD criteria; operationalized hysteresis and 'signature vanishing'; strengthened fairness conditions for baselines; added explicit L1/L2 template disclaimers and per-template decisive-data guidance; clarified windowing and null-proxy tests in worked examples; added explicit Supplement S1 attachment note and a feedback route.</w:t>
      </w:r>
    </w:p>
    <w:p>
      <w:pPr>
        <w:pStyle w:val="Normal"/>
        <w:rPr>
          <w:b/>
          <w:sz w:val="28"/>
        </w:rPr>
      </w:pPr>
      <w:r>
        <w:rPr>
          <w:rStyle w:val="Strong"/>
        </w:rPr>
        <w:t>Changelog (3.10.1 → 3.10.2):</w:t>
      </w:r>
      <w:r>
        <w:rPr/>
        <w:t xml:space="preserve"> expanded Supplement S1 to include two additional public time series (CO2 annual mean; US tbilrate quarterly) and added an automated multi-series summary table (</w:t>
      </w:r>
      <w:r>
        <w:rPr>
          <w:rStyle w:val="Textofuente"/>
        </w:rPr>
        <w:t>outputs/summary_table.csv</w:t>
      </w:r>
      <w:r>
        <w:rPr/>
        <w:t xml:space="preserve">). Added Appendix H (Template E multi-series summary) and clarified Nile Appendix D as a guillotine case under the current proxy recipe. </w:t>
      </w:r>
    </w:p>
    <w:p>
      <w:r>
        <w:t>Changelog (3.10.2 → 3.10.3): replaced B3 null-proxy shuffles with time-preserving circular-shift surrogates (Template E + S1 v2.3) and updated all reported null statistics accordingly; clarified obs_cluster = cluster_count and formally defined cluster_window in Template E; tightened decision-log items that control post-hoc fitting (dataset/time-window freeze, proxy mapping, epsilon and window sweeps, baseline specification); strengthened the “related work / novelty” positioning with a compact comparison table; added a concrete roadmap for what would be required to claim L3 (predictive superiority); and applied light tone calibration to avoid universal-sounding phrasing.</w:t>
      </w:r>
    </w:p>
    <w:p>
      <w:r>
        <w:t>Changelog (3.10.3 → 3.10.6): extended the B3 null-proxy baseline to support three autocorrelation-preserving surrogate schemes (default: circular shift; alternatives: block permutation and FFT phase-randomized surrogates) with explicit reporting and pre-registration fields; added a minimal non-canonical toy formalization (Appendix J) that fully specifies state, operators, regimes, and update rules consistent with the illustrative simulator; updated Supplement S1 to v2.3 to expose B3 method selection and to record it in per-run metadata; and added key references for surrogate/null construction.</w:t>
      </w:r>
    </w:p>
    <w:p>
      <w:r>
        <w:t>Changelog (3.10.6 → 3.10.7): added a journal-submission metadata block (authors/affiliations/COI/funding/ethics/availability placeholders) and an explicit 'research question &amp; evaluation target' paragraph to reduce desk-reject risk due to missing submission essentials or unclear evaluation framing; no new results added.</w:t>
      </w:r>
    </w:p>
    <w:p>
      <w:r>
        <w:t>Changelog (3.10.7 → 3.10.8): updated Template E baseline specification so that the default B4 baseline in Supplement S1 is a fully specified PELT-style penalized mean segmentation (l2 cost; optimal partitioning DP; default penalty = log(n)·Var(y)), with BIC mean segmentation and a lightweight BOCPD-style baseline as robustness alternatives; added tolerance-based change-point evaluation metrics when ground-truth change points are available (synthetic control); updated Appendix F (Sunspots) and Table H1 numbers to match Supplement S1 v2.4.3; and aligned Supplement S1 wording to “BOCPD-style” for clarity (no new claims).</w:t>
      </w:r>
    </w:p>
    <w:p>
      <w:r>
        <w:t>Changelog (3.10.8 → 3.10.9): added an explicit multiplicity / multiverse discipline note for Template E (how to report epsilon sweeps, proxy alternatives, and multi-series comparisons without post-hoc selection); extended the pre-registration stub and decision log with a mandatory multiplicity plan field; and refreshed Supplement S1 to v2.4.3 with an explicit JSON config (config/default.json), a --config entrypoint, and removal of unused legacy source files (no new results, claims, or data).</w:t>
      </w:r>
    </w:p>
    <w:p>
      <w:r>
        <w:t>Changelog (3.10.9 → 3.10.10): filled submission metadata (removed placeholders); clarified p_ge as descriptive (no thresholds) and rewrote guillotine wording to avoid binary/p-value interpretations; fixed Appendix F duplication; expanded related work/novelty positioning; and added an explicit artifact map (PDF ↔ Supplement S1 outputs) aligned with the Zenodo-ready S1 bundle (license/citation/manifest/checksums/smoke test). No new results or claims.</w:t>
      </w:r>
    </w:p>
    <w:p>
      <w:pPr>
        <w:pStyle w:val="Normal"/>
      </w:pPr>
      <w:r>
        <w:t>Changelog (3.10.10 → 3.10.11): added Appendix L (socio-economic stress-alignment instantiation for Template E) with an event-starts-only definition, tau sensitivity sweep (0.5/1.0/1.5), multi-seed robustness (tau=0.5; n_surr=2000), and an explicit non-transportability conclusion (Primary-only effect; neutral OOD). Added a licensing/reproducibility note (FRED downloads required; no restricted raw data redistributed). No changes to the canonical core; no predictive claims.</w:t>
      </w:r>
    </w:p>
    <w:p>
      <w:pPr>
        <w:pStyle w:val="Normal"/>
        <w:rPr>
          <w:b/>
          <w:sz w:val="28"/>
        </w:rPr>
      </w:pPr>
      <w:r>
        <w:rPr>
          <w:b/>
          <w:sz w:val="28"/>
        </w:rPr>
        <w:t>Abstract</w:t>
      </w:r>
    </w:p>
    <w:p>
      <w:pPr>
        <w:pStyle w:val="Normal"/>
        <w:rPr>
          <w:i/>
          <w:i/>
        </w:rPr>
      </w:pPr>
      <w:r>
        <w:t>We introduce the Field Model (Modelo del Campo), a minimal relational framework to explore the emergence, stabilization, saturation, and dissolution of configurations without invoking substantial entities, agents, intentions, or teleology. The model operates solely with two relational variables: φ (accumulated relational maintenance cost) and γ (structural capacity to absorb φ without rigid fixation). Stability holds when φ &lt; γ; a functional threshold φ ≈ γ enables transitions: reorganization, discrete inversion (Inv: C → C°), or fixation (pole). These transitions are operational possibilities enabled at φ ≈ γ, as detailed in Section I. Failure to transition leads to singularity, with two distinguishable modes: SC (saturation: φ &gt;&gt; γ) and SD (deflation: γ → 0).</w:t>
        <w:br/>
        <w:br/>
        <w:t>The framework is presented with strict separation between a versioned canonical core specification and operational conventions, an illustrative toy simulator, explicit falsifiability tools (signature + guillotine), proxies by levels, baselines, and domain-specific contrast routes (neurodynamics, Dynamic Field Theory, stick-slip friction, and clinical trajectories). No empirical validation is attempted here; the document aims to facilitate criticism and operationalization in various domains. Illustrative simulator outputs should be considered non-evidential unless accompanied by reproducibility artifacts (seed, full parameter set, traces/figures).</w:t>
      </w:r>
    </w:p>
    <w:p>
      <w:pPr>
        <w:pStyle w:val="Normal"/>
        <w:rPr>
          <w:b/>
          <w:sz w:val="28"/>
        </w:rPr>
      </w:pPr>
      <w:r>
        <w:t>Keywords: relational dynamics; threshold transitions; discrete inversion; singularity modes; minimal modeling; falsifiability; Dynamic Field Theory; critical transitions</w:t>
      </w:r>
    </w:p>
    <w:p>
      <w:pPr>
        <w:pStyle w:val="Normal"/>
        <w:rPr>
          <w:b/>
          <w:sz w:val="28"/>
        </w:rPr>
      </w:pPr>
      <w:r>
        <w:rPr>
          <w:b/>
          <w:sz w:val="28"/>
        </w:rPr>
        <w:t>1. Introduction</w:t>
      </w:r>
    </w:p>
    <w:p>
      <w:pPr>
        <w:pStyle w:val="Normal"/>
        <w:rPr/>
      </w:pPr>
      <w:r>
        <w:t>Understanding how relational configurations emerge, persist, saturate, and dissolve without relying on substantial entities, external goals, or linear causality is an important challenge in many disciplines. The Field Model proposes a deliberately minimal alternative: a relational field governed only by accumulated maintenance cost (φ) and regulatory capacity (γ), with transitions enabled at a functional threshold φ ≈ γ. It avoids ontological commitments, teleology, and prescriptive dynamics beyond persistence-induced accumulation. The document includes self-critical elements and encourages empirical testing.</w:t>
      </w:r>
    </w:p>
    <w:p>
      <w:pPr>
        <w:pStyle w:val="Normal"/>
        <w:rPr/>
      </w:pPr>
      <w:r>
        <w:rPr/>
        <w:t>Contributions (what this note provides):</w:t>
      </w:r>
    </w:p>
    <w:p>
      <w:pPr>
        <w:pStyle w:val="Normal"/>
        <w:rPr/>
      </w:pPr>
      <w:r>
        <w:rPr/>
        <w:t>- A minimal canonical core (Section I) that defines the construct and its regime claims without domain commitments.</w:t>
      </w:r>
    </w:p>
    <w:p>
      <w:pPr>
        <w:pStyle w:val="Normal"/>
        <w:rPr/>
      </w:pPr>
      <w:r>
        <w:rPr/>
        <w:t>- An operational decision log (Section II) that turns hidden degrees of freedom into auditable reporting requirements.</w:t>
      </w:r>
    </w:p>
    <w:p>
      <w:pPr>
        <w:pStyle w:val="Normal"/>
        <w:rPr/>
      </w:pPr>
      <w:r>
        <w:rPr/>
        <w:t>- A critique harness (Section V): signatures, guillotine/refutation criteria, baselines, and ablations to prevent post-hoc narratives.</w:t>
      </w:r>
    </w:p>
    <w:p>
      <w:pPr>
        <w:pStyle w:val="Normal"/>
        <w:rPr/>
      </w:pPr>
      <w:r>
        <w:rPr/>
        <w:t>- Domain contrast templates (Section VI) that specify observables, proxy recipes, expected signatures, and decisive data per domain.</w:t>
      </w:r>
    </w:p>
    <w:p>
      <w:pPr>
        <w:pStyle w:val="Normal"/>
        <w:rPr/>
      </w:pPr>
      <w:r>
        <w:rPr/>
        <w:t>- An explicit evidence ladder: what can be claimed at each level, and what artifacts must accompany any empirical statement.</w:t>
      </w:r>
    </w:p>
    <w:p>
      <w:r>
        <w:t>Research question &amp; evaluation target (minimal, for this note): Can a two-variable relational scaffold (φ, γ) plus an explicit critique harness reduce 'threshold narrative' degrees of freedom by forcing auditable proxy mappings, baselines, nulls, and decisive refutations? Operationally, a Template E instantiation is treated as non-additive if the primary signature is compatible with the B3 autocorrelation-preserving null and/or fully captured by a strong baseline B4 under fair comparison; conversely, any additive value claim requires the full reproducibility bundle and pre-specified choices per the decision log and pre-registration stub.</w:t>
      </w:r>
    </w:p>
    <w:p>
      <w:pPr>
        <w:pStyle w:val="Normal"/>
        <w:rPr>
          <w:b/>
          <w:sz w:val="28"/>
        </w:rPr>
      </w:pPr>
      <w:r>
        <w:t>Relation to existing methods (expanded; non-overclaiming): While change-point detection methods (e.g., PELT, BOCPD), early warning signals for critical transitions, and surrogate time-series techniques for null construction are well established, the Field Model contributes by integrating these elements into a minimal relational framework equipped with explicit auditability tools. Rather than asserting predictive superiority, it assembles a critique harness that enforces transparency through (i) a decision log for operational choices, (ii) a freeze plan for confirmatory-critical degrees of freedom, and (iii) an artifact discipline (versioned reproducibility bundles, per-run metadata, integrity checks, and multiplicity reporting). Template E treats standard change-point methods as strong baselines (B4) and treats time-preserving surrogates (B3) as null proxy tests to check whether an apparent signature could arise from autocorrelated structure once alignment is broken. Novelty is therefore claimed at the integration level: cohesive domain-agnostic templates that facilitate falsifiability and guard against underspecification and post-hoc narratives without overclaiming explanatory power. (Killick et al., 2012; Adams &amp; MacKay, 2007; Scheffer et al., 2009; Dakos et al., 2012; Theiler et al., 1992; Schreiber &amp; Schmitz, 2000; Lancaster et al., 2018; Pineau et al., 2021; Dodge et al., 2019; Steegen et al., 2016; D'Amour et al., 2022)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Approach</w:t>
            </w:r>
          </w:p>
        </w:tc>
        <w:tc>
          <w:tcPr>
            <w:tcW w:type="dxa" w:w="2160"/>
          </w:tcPr>
          <w:p>
            <w:r>
              <w:t>Typical goal</w:t>
            </w:r>
          </w:p>
        </w:tc>
        <w:tc>
          <w:tcPr>
            <w:tcW w:type="dxa" w:w="2160"/>
          </w:tcPr>
          <w:p>
            <w:r>
              <w:t>Typical outputs</w:t>
            </w:r>
          </w:p>
        </w:tc>
        <w:tc>
          <w:tcPr>
            <w:tcW w:type="dxa" w:w="2160"/>
          </w:tcPr>
          <w:p>
            <w:r>
              <w:t>How Field Model differs (minimal claim)</w:t>
            </w:r>
          </w:p>
        </w:tc>
      </w:tr>
      <w:tr>
        <w:tc>
          <w:tcPr>
            <w:tcW w:type="dxa" w:w="2160"/>
          </w:tcPr>
          <w:p>
            <w:r>
              <w:t>Change-point detection (e.g., PELT/BOCPD)</w:t>
            </w:r>
          </w:p>
        </w:tc>
        <w:tc>
          <w:tcPr>
            <w:tcW w:type="dxa" w:w="2160"/>
          </w:tcPr>
          <w:p>
            <w:r>
              <w:t>Regime segmentation in time series</w:t>
            </w:r>
          </w:p>
        </w:tc>
        <w:tc>
          <w:tcPr>
            <w:tcW w:type="dxa" w:w="2160"/>
          </w:tcPr>
          <w:p>
            <w:r>
              <w:t>Change-point locations; regime parameters</w:t>
            </w:r>
          </w:p>
        </w:tc>
        <w:tc>
          <w:tcPr>
            <w:tcW w:type="dxa" w:w="2160"/>
          </w:tcPr>
          <w:p>
            <w:r>
              <w:t>Uses CP as B4 baseline; audits whether φ/γ threshold signatures add value beyond strong CP baselines under fair comparison.</w:t>
            </w:r>
          </w:p>
        </w:tc>
      </w:tr>
      <w:tr>
        <w:tc>
          <w:tcPr>
            <w:tcW w:type="dxa" w:w="2160"/>
          </w:tcPr>
          <w:p>
            <w:r>
              <w:t>Early warning signals (EWS)</w:t>
            </w:r>
          </w:p>
        </w:tc>
        <w:tc>
          <w:tcPr>
            <w:tcW w:type="dxa" w:w="2160"/>
          </w:tcPr>
          <w:p>
            <w:r>
              <w:t>Indicator precursors to critical transitions</w:t>
            </w:r>
          </w:p>
        </w:tc>
        <w:tc>
          <w:tcPr>
            <w:tcW w:type="dxa" w:w="2160"/>
          </w:tcPr>
          <w:p>
            <w:r>
              <w:t>Indicator trajectories (variance/autocorr, etc.)</w:t>
            </w:r>
          </w:p>
        </w:tc>
        <w:tc>
          <w:tcPr>
            <w:tcW w:type="dxa" w:w="2160"/>
          </w:tcPr>
          <w:p>
            <w:r>
              <w:t>Uses EWS-like features only as proxy ingredients; emphasizes falsifiability (baselines/ablations/decisive refutation) over prediction claims.</w:t>
            </w:r>
          </w:p>
        </w:tc>
      </w:tr>
      <w:tr>
        <w:tc>
          <w:tcPr>
            <w:tcW w:type="dxa" w:w="2160"/>
          </w:tcPr>
          <w:p>
            <w:r>
              <w:t>Surrogate/null time-series</w:t>
            </w:r>
          </w:p>
        </w:tc>
        <w:tc>
          <w:tcPr>
            <w:tcW w:type="dxa" w:w="2160"/>
          </w:tcPr>
          <w:p>
            <w:r>
              <w:t>Null distributions preserving temporal structure</w:t>
            </w:r>
          </w:p>
        </w:tc>
        <w:tc>
          <w:tcPr>
            <w:tcW w:type="dxa" w:w="2160"/>
          </w:tcPr>
          <w:p>
            <w:r>
              <w:t>Surrogate ensembles; compatibility checks</w:t>
            </w:r>
          </w:p>
        </w:tc>
        <w:tc>
          <w:tcPr>
            <w:tcW w:type="dxa" w:w="2160"/>
          </w:tcPr>
          <w:p>
            <w:r>
              <w:t>Adopts time-preserving surrogates as B3 null-proxy tests (circular shift; block permutation; phase randomization) to guard against autocorrelation artifacts.</w:t>
            </w:r>
          </w:p>
        </w:tc>
      </w:tr>
      <w:tr>
        <w:tc>
          <w:tcPr>
            <w:tcW w:type="dxa" w:w="2160"/>
          </w:tcPr>
          <w:p>
            <w:r>
              <w:t>Reproducibility checklists / artifact review</w:t>
            </w:r>
          </w:p>
        </w:tc>
        <w:tc>
          <w:tcPr>
            <w:tcW w:type="dxa" w:w="2160"/>
          </w:tcPr>
          <w:p>
            <w:r>
              <w:t>Transparent reporting of experiments</w:t>
            </w:r>
          </w:p>
        </w:tc>
        <w:tc>
          <w:tcPr>
            <w:tcW w:type="dxa" w:w="2160"/>
          </w:tcPr>
          <w:p>
            <w:r>
              <w:t>Checklists; badges; environment specs</w:t>
            </w:r>
          </w:p>
        </w:tc>
        <w:tc>
          <w:tcPr>
            <w:tcW w:type="dxa" w:w="2160"/>
          </w:tcPr>
          <w:p>
            <w:r>
              <w:t>Embeds decision log + pre-reg stub + executable Supplement S1 bundle (config + meta + checksums) to make instantiations auditable.</w:t>
            </w:r>
          </w:p>
        </w:tc>
      </w:tr>
      <w:tr>
        <w:tc>
          <w:tcPr>
            <w:tcW w:type="dxa" w:w="2160"/>
          </w:tcPr>
          <w:p>
            <w:r>
              <w:t>Multiverse / multiplicity</w:t>
            </w:r>
          </w:p>
        </w:tc>
        <w:tc>
          <w:tcPr>
            <w:tcW w:type="dxa" w:w="2160"/>
          </w:tcPr>
          <w:p>
            <w:r>
              <w:t>Sensitivity to analytic choices; reduce forking paths</w:t>
            </w:r>
          </w:p>
        </w:tc>
        <w:tc>
          <w:tcPr>
            <w:tcW w:type="dxa" w:w="2160"/>
          </w:tcPr>
          <w:p>
            <w:r>
              <w:t>Multiverse reports; multiplicity controls</w:t>
            </w:r>
          </w:p>
        </w:tc>
        <w:tc>
          <w:tcPr>
            <w:tcW w:type="dxa" w:w="2160"/>
          </w:tcPr>
          <w:p>
            <w:r>
              <w:t>Formalizes primary vs sensitivity reporting for ε/proxy/baseline alternatives and records choices per-run (meta.json), to reduce post-hoc narratives.</w:t>
            </w:r>
          </w:p>
        </w:tc>
      </w:tr>
    </w:tbl>
    <w:p>
      <w:pPr>
        <w:pStyle w:val="Normal"/>
        <w:rPr>
          <w:b/>
          <w:sz w:val="28"/>
        </w:rPr>
      </w:pPr>
      <w:r>
        <w:rPr>
          <w:b/>
          <w:sz w:val="28"/>
        </w:rPr>
        <w:t>How to read this document</w:t>
      </w:r>
    </w:p>
    <w:p>
      <w:pPr>
        <w:pStyle w:val="Normal"/>
        <w:rPr/>
      </w:pPr>
      <w:r>
        <w:rPr/>
        <w:t>If you want to critique the model, start with Section V (signature + guillotine/refutation + proxies + baselines) and Section VI (contrast templates and decisive data). Then return to Section I (canonical core) to discuss definitions.</w:t>
      </w:r>
    </w:p>
    <w:p>
      <w:pPr>
        <w:pStyle w:val="Normal"/>
        <w:rPr>
          <w:b/>
          <w:sz w:val="28"/>
        </w:rPr>
      </w:pPr>
      <w:r>
        <w:t>We encourage attempts to falsify the model and the reporting of negative results with complete artifacts.</w:t>
      </w:r>
    </w:p>
    <w:p>
      <w:pPr>
        <w:pStyle w:val="Normal"/>
        <w:rPr>
          <w:b/>
          <w:sz w:val="28"/>
        </w:rPr>
      </w:pPr>
      <w:r>
        <w:rPr>
          <w:b/>
          <w:sz w:val="28"/>
        </w:rPr>
        <w:t>Submission-facing capsule (scope, evidence, reproducibility)</w:t>
      </w:r>
    </w:p>
    <w:p>
      <w:pPr>
        <w:pStyle w:val="Normal"/>
        <w:rPr>
          <w:b/>
        </w:rPr>
      </w:pPr>
      <w:r>
        <w:t>This capsule describes what the Field Model claims (and does not claim), and suggests what a critique/evidence package should contain.</w:t>
      </w:r>
    </w:p>
    <w:p>
      <w:pPr>
        <w:pStyle w:val="Normal"/>
        <w:rPr/>
      </w:pPr>
      <w:r>
        <w:rPr>
          <w:b/>
        </w:rPr>
        <w:t xml:space="preserve">Intended use (scope): </w:t>
      </w:r>
      <w:r>
        <w:rPr/>
        <w:t>a minimal relational scaffold to (i) define falsifiable signatures of threshold-like transitions and inversion events, and (ii) structure cross-domain critique via proxies, baselines, and decisive data.</w:t>
      </w:r>
    </w:p>
    <w:p>
      <w:pPr>
        <w:pStyle w:val="Normal"/>
        <w:rPr/>
      </w:pPr>
      <w:r>
        <w:rPr/>
        <w:t>- Used to propose and test measurable proxies (phi_proxy, gamma_proxy) for a given domain; not to replace the domain's mechanistic theory.</w:t>
      </w:r>
    </w:p>
    <w:p>
      <w:pPr>
        <w:pStyle w:val="Normal"/>
        <w:rPr/>
      </w:pPr>
      <w:r>
        <w:rPr/>
        <w:t>- Used to generate refutable hypotheses about regime change (stable -&gt; threshold -&gt; singular); not to claim universal coverage.</w:t>
      </w:r>
    </w:p>
    <w:p>
      <w:pPr>
        <w:pStyle w:val="Normal"/>
        <w:rPr>
          <w:b/>
        </w:rPr>
      </w:pPr>
      <w:r>
        <w:rPr/>
        <w:t>- Used as a 'critique harness' (signature + guillotine + baselines + ablations) that forces auditability before narrative expansion.</w:t>
      </w:r>
    </w:p>
    <w:p>
      <w:pPr>
        <w:pStyle w:val="Normal"/>
        <w:rPr/>
      </w:pPr>
      <w:r>
        <w:rPr>
          <w:b/>
        </w:rPr>
        <w:t xml:space="preserve">Out of scope (non-scope): </w:t>
      </w:r>
      <w:r>
        <w:rPr/>
        <w:t>cases where the model should not be expected to add explanatory value.</w:t>
      </w:r>
    </w:p>
    <w:p>
      <w:pPr>
        <w:pStyle w:val="Normal"/>
        <w:rPr/>
      </w:pPr>
      <w:r>
        <w:rPr/>
        <w:t>- Purely gradual dynamics with no meaningful regime boundary (no credible threshold proxy).</w:t>
      </w:r>
    </w:p>
    <w:p>
      <w:pPr>
        <w:pStyle w:val="Normal"/>
        <w:rPr/>
      </w:pPr>
      <w:r>
        <w:rPr/>
        <w:t>- Domains where phi/gamma proxies cannot be defined without circularity or post-hoc fitting.</w:t>
      </w:r>
    </w:p>
    <w:p>
      <w:pPr>
        <w:pStyle w:val="Normal"/>
        <w:rPr/>
      </w:pPr>
      <w:r>
        <w:rPr/>
        <w:t>- Claims of empirical validation without released artifacts (data manifest, code, parameters, traces).</w:t>
      </w:r>
    </w:p>
    <w:p>
      <w:pPr>
        <w:pStyle w:val="Normal"/>
        <w:rPr>
          <w:b/>
        </w:rPr>
      </w:pPr>
      <w:r>
        <w:rPr/>
        <w:t>- High-stakes decision-making (clinical, legal, security) without dedicated domain validation and safeguards.</w:t>
      </w:r>
    </w:p>
    <w:p>
      <w:pPr>
        <w:pStyle w:val="Normal"/>
        <w:rPr>
          <w:b/>
        </w:rPr>
      </w:pPr>
      <w:r>
        <w:t>Suggested minimal evidence standard (for any L2 empirical claim):</w:t>
      </w:r>
    </w:p>
    <w:p>
      <w:pPr>
        <w:pStyle w:val="Normal"/>
        <w:rPr/>
      </w:pPr>
      <w:r>
        <w:rPr/>
        <w:t>- Explicit proxy definitions and measurement pipeline for phi_proxy and gamma_proxy, including units and pre-processing.</w:t>
      </w:r>
    </w:p>
    <w:p>
      <w:pPr>
        <w:pStyle w:val="Normal"/>
        <w:rPr/>
      </w:pPr>
      <w:r>
        <w:rPr/>
        <w:t>- At least one strong baseline and at least one ablation that isolates the proposed mechanism.</w:t>
      </w:r>
    </w:p>
    <w:p>
      <w:pPr>
        <w:pStyle w:val="Normal"/>
        <w:rPr/>
      </w:pPr>
      <w:r>
        <w:rPr/>
        <w:t>- Sensitivity analysis for key operational parameters (e.g., epsilon band, alpha/beta contractions) and reporting across seeds if stochastic.</w:t>
      </w:r>
    </w:p>
    <w:p>
      <w:pPr>
        <w:pStyle w:val="Normal"/>
        <w:rPr/>
      </w:pPr>
      <w:r>
        <w:rPr/>
        <w:t>- A 'decisive data' statement: what observation would refute the model in that domain.</w:t>
      </w:r>
    </w:p>
    <w:p>
      <w:pPr>
        <w:pStyle w:val="Normal"/>
        <w:rPr/>
      </w:pPr>
      <w:r>
        <w:rPr/>
        <w:t>- A reproducibility bundle enabling third parties to regenerate the key figures.</w:t>
      </w:r>
    </w:p>
    <w:p>
      <w:pPr>
        <w:pStyle w:val="Normal"/>
        <w:rPr/>
      </w:pPr>
      <w:r>
        <w:rPr/>
        <w:t>Claim taxonomy (for reviewers; what is allowed at each evidence level):</w:t>
      </w:r>
    </w:p>
    <w:tbl>
      <w:tblPr>
        <w:tblW w:w="864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2160"/>
        <w:gridCol w:w="2160"/>
        <w:gridCol w:w="2160"/>
      </w:tblGrid>
      <w:tr>
        <w:trPr/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Level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Claim type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In-scope here?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Minimum requirement</w:t>
            </w:r>
          </w:p>
        </w:tc>
      </w:tr>
      <w:tr>
        <w:trPr/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L0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Definition / notation / scope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Yes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Canonical core + clear operational definitions.</w:t>
            </w:r>
          </w:p>
        </w:tc>
      </w:tr>
      <w:tr>
        <w:trPr/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L1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Qualitative signature claim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Yes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Signature description + guillotine (refutation) criteria.</w:t>
            </w:r>
          </w:p>
        </w:tc>
      </w:tr>
      <w:tr>
        <w:trPr/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L2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Domain instantiation (proxies) claim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Conditional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Proxy mapping + at least one strong baseline + at least one ablation + decisive data.</w:t>
            </w:r>
          </w:p>
        </w:tc>
      </w:tr>
      <w:tr>
        <w:trPr/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L3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Predictive superiority claim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Not provided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Pre-registered protocol + out-of-sample evaluation + robustness/OOD checks + uncertainty reporting.</w:t>
            </w:r>
          </w:p>
        </w:tc>
      </w:tr>
      <w:tr>
        <w:trPr/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L4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High-stakes deployment claim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Out of scope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Dedicated domain validation, governance, safety review, and external oversight.</w:t>
            </w:r>
          </w:p>
        </w:tc>
      </w:tr>
    </w:tbl>
    <w:p>
      <w:pPr>
        <w:pStyle w:val="Normal"/>
        <w:rPr>
          <w:b/>
        </w:rPr>
      </w:pPr>
      <w:r>
        <w:rPr/>
        <w:t>Note: 'Conditional' claims are acceptable only if the listed artifacts are provided; otherwise, treat the note as purely conceptual.</w:t>
      </w:r>
    </w:p>
    <w:p>
      <w:pPr>
        <w:pStyle w:val="Normal"/>
        <w:rPr>
          <w:b/>
        </w:rPr>
      </w:pPr>
      <w:r>
        <w:rPr>
          <w:b/>
        </w:rPr>
        <w:t xml:space="preserve">Minimal reproducibility contract (what must accompany any figure): </w:t>
      </w:r>
    </w:p>
    <w:p>
      <w:pPr>
        <w:pStyle w:val="Normal"/>
        <w:rPr/>
      </w:pPr>
      <w:r>
        <w:rPr/>
        <w:t>- Code version identifier (commit hash or archived snapshot) and environment description.</w:t>
      </w:r>
    </w:p>
    <w:p>
      <w:pPr>
        <w:pStyle w:val="Normal"/>
        <w:rPr/>
      </w:pPr>
      <w:r>
        <w:rPr/>
        <w:t>- Configuration file with all parameters (epsilon, alpha, beta, discretization choices, mapping of proxies).</w:t>
      </w:r>
    </w:p>
    <w:p>
      <w:pPr>
        <w:pStyle w:val="Normal"/>
        <w:rPr/>
      </w:pPr>
      <w:r>
        <w:rPr/>
        <w:t>- Random seeds (if any stochasticity) and the exact data split/selection rule.</w:t>
      </w:r>
    </w:p>
    <w:p>
      <w:pPr>
        <w:pStyle w:val="Normal"/>
        <w:rPr/>
      </w:pPr>
      <w:r>
        <w:rPr/>
        <w:t>- Input data manifest (sources, checksums, licenses, exclusions).</w:t>
      </w:r>
    </w:p>
    <w:p>
      <w:pPr>
        <w:pStyle w:val="Normal"/>
        <w:rPr/>
      </w:pPr>
      <w:r>
        <w:rPr/>
        <w:t>- Raw traces/logs and the plotting script that turns traces into the published figure.</w:t>
      </w:r>
    </w:p>
    <w:p>
      <w:pPr>
        <w:pStyle w:val="Normal"/>
        <w:rPr/>
      </w:pPr>
      <w:r>
        <w:rPr/>
      </w:r>
    </w:p>
    <w:p>
      <w:pPr>
        <w:pStyle w:val="Normal"/>
        <w:rPr>
          <w:b/>
          <w:sz w:val="28"/>
        </w:rPr>
      </w:pPr>
      <w:r>
        <w:t>I. Canonical core (versioned specification)</w:t>
      </w:r>
    </w:p>
    <w:p>
      <w:pPr>
        <w:pStyle w:val="Normal"/>
        <w:rPr>
          <w:b/>
          <w:sz w:val="28"/>
        </w:rPr>
      </w:pPr>
      <w:r>
        <w:rPr/>
        <w:t>Stability: φ &lt; γ. Threshold: φ ≈ γ (qualitative). At threshold, transitions may occur: reorganization, discrete inversion Inv (C→C°), or fixation (pole). If no viable transition occurs, singularity follows, with SC (saturation: φ &gt;&gt; γ) and SD (deflation: γ → 0). Inv is a structural possibility (not a necessity).</w:t>
      </w:r>
    </w:p>
    <w:p>
      <w:pPr>
        <w:pStyle w:val="Normal"/>
        <w:rPr>
          <w:b/>
          <w:sz w:val="28"/>
        </w:rPr>
      </w:pPr>
      <w:r>
        <w:rPr>
          <w:b/>
          <w:sz w:val="28"/>
        </w:rPr>
        <w:t>II. Operational formalization (non-canonical)</w:t>
      </w:r>
    </w:p>
    <w:p>
      <w:pPr>
        <w:pStyle w:val="Normal"/>
        <w:rPr/>
      </w:pPr>
      <w:r>
        <w:rPr/>
        <w:t>For implementation, one may define an operational band ε: |φ−γ|≤ε and an over-dimension factor α&gt;1: φ≥α·γ. After inversion, φ may be modeled as φ←β·φ (0&lt;β&lt;1). SD may be implemented as SD-L: dγ/dt=−m or SD-E: dγ/dt=−m·γ. These parameters (ε, α, β, m) are introduced as minimal conventions to enable computational instantiation; sensitivity analyses are required (Appendix B). NON-CANONICAL NOTE: numeric parameters like ε, α, β are operational only; the canonical core remains qualitative.</w:t>
      </w:r>
    </w:p>
    <w:p>
      <w:pPr>
        <w:pStyle w:val="Normal"/>
        <w:rPr/>
      </w:pPr>
      <w:r>
        <w:rPr/>
        <w:t>Notation quick-reference (operational; non-canonical):</w:t>
      </w:r>
    </w:p>
    <w:tbl>
      <w:tblPr>
        <w:tblW w:w="864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2880"/>
        <w:gridCol w:w="2880"/>
      </w:tblGrid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Symbol / term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Operational meaning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Reporting requirement / note</w:t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latent maintenance cost (accumulated)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Not directly measured; must be mapped via phi_proxy.</w:t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γ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latent regulatory capacity (stabilizing)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Not directly measured; must be mapped via gamma_proxy.</w:t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phi_proxy(t)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measurable proxy time series for φ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Define mapping, units, preprocessing, windowing.</w:t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gamma_proxy(t)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measurable proxy time series for γ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Define mapping, units, preprocessing, windowing.</w:t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ε (epsilon)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threshold band width for |φ-γ|&lt;=ε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Must be stated; include sensitivity sweep where possible.</w:t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Inv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discrete inversion event (C -&gt; C°)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Define inversion trigger rule; report event timestamps.</w:t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α (alpha)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over-dimension factor (saturation proxy)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State numeric value(s) and where applied.</w:t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β (beta)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post-inversion contraction factor (0&lt;β&lt;1)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State numeric value(s); define reset dynamics.</w:t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SC / SD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saturation / deflation regimes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State operational criteria for regime labeling.</w:t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SD-L / SD-E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linear vs exponential gamma decay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Report m and model choice; justify per domain.</w:t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C_t, C°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configuration state and its inversion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State encoding convention and any symmetry reductions.</w:t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E=(L,S,P,Q)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structural readout (non-interpretative)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Report how E is computed from C; avoid semantic claims.</w:t>
            </w:r>
          </w:p>
        </w:tc>
      </w:tr>
      <w:tr>
        <w:tc>
          <w:tcPr>
            <w:tcW w:type="dxa" w:w="2880"/>
          </w:tcPr>
          <w:p>
            <w:r>
              <w:t>Dataset / time window</w:t>
            </w:r>
          </w:p>
        </w:tc>
        <w:tc>
          <w:tcPr>
            <w:tcW w:type="dxa" w:w="2880"/>
          </w:tcPr>
          <w:p>
            <w:r>
              <w:t>Exact dataset/series identifiers, inclusion/exclusion, time window, and a data-freeze reference (version/hash).</w:t>
            </w:r>
          </w:p>
        </w:tc>
        <w:tc>
          <w:tcPr>
            <w:tcW w:type="dxa" w:w="2880"/>
          </w:tcPr>
          <w:p>
            <w:r>
              <w:t>Prevents cherry-picking and post-hoc cropping.</w:t>
            </w:r>
          </w:p>
        </w:tc>
      </w:tr>
      <w:tr>
        <w:tc>
          <w:tcPr>
            <w:tcW w:type="dxa" w:w="2880"/>
          </w:tcPr>
          <w:p>
            <w:r>
              <w:t>Windowing (w) + cluster_window</w:t>
            </w:r>
          </w:p>
        </w:tc>
        <w:tc>
          <w:tcPr>
            <w:tcW w:type="dxa" w:w="2880"/>
          </w:tcPr>
          <w:p>
            <w:r>
              <w:t>Window length(s) w for proxies and cluster_window for signature evaluation; report any sweeps.</w:t>
            </w:r>
          </w:p>
        </w:tc>
        <w:tc>
          <w:tcPr>
            <w:tcW w:type="dxa" w:w="2880"/>
          </w:tcPr>
          <w:p>
            <w:r>
              <w:t>These parameters can create/erase apparent thresholds and clustering.</w:t>
            </w:r>
          </w:p>
        </w:tc>
      </w:tr>
      <w:tr>
        <w:tc>
          <w:tcPr>
            <w:tcW w:type="dxa" w:w="2880"/>
          </w:tcPr>
          <w:p>
            <w:r>
              <w:t>Normalization</w:t>
            </w:r>
          </w:p>
        </w:tc>
        <w:tc>
          <w:tcPr>
            <w:tcW w:type="dxa" w:w="2880"/>
          </w:tcPr>
          <w:p>
            <w:r>
              <w:t>Normalization / scaling method (default min-max [0,1]) and any alternatives tested.</w:t>
            </w:r>
          </w:p>
        </w:tc>
        <w:tc>
          <w:tcPr>
            <w:tcW w:type="dxa" w:w="2880"/>
          </w:tcPr>
          <w:p>
            <w:r>
              <w:t>Scaling can change phi/gamma crossings and threshold occupancy.</w:t>
            </w:r>
          </w:p>
        </w:tc>
      </w:tr>
      <w:tr>
        <w:tc>
          <w:tcPr>
            <w:tcW w:type="dxa" w:w="2880"/>
          </w:tcPr>
          <w:p>
            <w:r>
              <w:t>B4 baseline specification</w:t>
            </w:r>
          </w:p>
        </w:tc>
        <w:tc>
          <w:tcPr>
            <w:tcW w:type="dxa" w:w="2880"/>
          </w:tcPr>
          <w:p>
            <w:r>
              <w:t>Exact baseline algorithm and hyperparameters (e.g., BIC segmentation with max_k and min_size; or PELT penalty), plus any robustness alternative.</w:t>
            </w:r>
          </w:p>
        </w:tc>
        <w:tc>
          <w:tcPr>
            <w:tcW w:type="dxa" w:w="2880"/>
          </w:tcPr>
          <w:p>
            <w:r>
              <w:t>Ensures the “strong baseline” is concrete and comparisons are fair.</w:t>
            </w:r>
          </w:p>
        </w:tc>
      </w:tr>
      <w:tr>
        <w:tc>
          <w:tcPr>
            <w:tcW w:type="dxa" w:w="2880"/>
          </w:tcPr>
          <w:p>
            <w:r>
              <w:t>B3 null-proxy method</w:t>
            </w:r>
          </w:p>
        </w:tc>
        <w:tc>
          <w:tcPr>
            <w:tcW w:type="dxa" w:w="2880"/>
          </w:tcPr>
          <w:p>
            <w:r>
              <w:t>Null-proxy scheme (time-preserving surrogate type, e.g., circular shift; N_surr; seed).</w:t>
            </w:r>
          </w:p>
        </w:tc>
        <w:tc>
          <w:tcPr>
            <w:tcW w:type="dxa" w:w="2880"/>
          </w:tcPr>
          <w:p>
            <w:r>
              <w:t>Null choice affects p_ge and guards against artifacts in autocorrelated series.</w:t>
            </w:r>
          </w:p>
        </w:tc>
      </w:tr>
    </w:tbl>
    <w:p>
      <w:pPr>
        <w:pStyle w:val="Normal"/>
        <w:rPr>
          <w:b/>
        </w:rPr>
      </w:pPr>
      <w:r>
        <w:rPr/>
        <w:t>The decision log below specifies the minimal set of operational choices that must be disclosed to avoid underspecification (D'Amour et al., 2022).</w:t>
      </w:r>
    </w:p>
    <w:p>
      <w:pPr>
        <w:pStyle w:val="Normal"/>
        <w:rPr>
          <w:b/>
        </w:rPr>
      </w:pPr>
      <w:r>
        <w:rPr>
          <w:b/>
        </w:rPr>
        <w:t xml:space="preserve">Decision log (operational choices that must be reported to avoid underspecification): </w:t>
      </w:r>
    </w:p>
    <w:tbl>
      <w:tblPr>
        <w:tblW w:w="864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2880"/>
        <w:gridCol w:w="2880"/>
      </w:tblGrid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>
                <w:b/>
              </w:rPr>
            </w:pPr>
            <w:r>
              <w:rPr>
                <w:b/>
              </w:rPr>
              <w:t>Item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>
                <w:b/>
              </w:rPr>
            </w:pPr>
            <w:r>
              <w:rPr>
                <w:b/>
              </w:rPr>
              <w:t>What must be stated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>
                <w:b/>
              </w:rPr>
            </w:pPr>
            <w:r>
              <w:rPr>
                <w:b/>
              </w:rPr>
              <w:t>Why it matters</w:t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epsilon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Numeric value(s) of epsilon and how chosen (a priori, sweep, domain constraints).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Controls the regime boundary; post-hoc tuning can fabricate thresholds.</w:t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Proxy mapping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Exact mapping from observables to phi_proxy and gamma_proxy (units, filtering, windowing).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Defines the construct; different mappings can reverse conclusions.</w:t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Discretization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How configurations are discretized (64-state scheme or alternative) and any quantization rules.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Affects structural reading; ensures comparability across studies.</w:t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Inversion trigger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Rule for when inversion occurs (deterministic vs probabilistic; dependence on phi/gamma).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Separates genuine mechanism from arbitrary event injection.</w:t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Contraction parameters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alpha/beta (or equivalents) and where applied (e.g., alpha as SC factor; beta as post-inversion/post-event contraction/reset).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Determines recovery/reset dynamics; critical for signatures.</w:t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SC/SD operationalization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How SC vs SD (and any subtypes) are recognized from observables.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Prevents re-labeling of outcomes as modes without testability.</w:t>
            </w:r>
          </w:p>
        </w:tc>
      </w:tr>
      <w:tr>
        <w:tc>
          <w:tcPr>
            <w:tcW w:type="dxa" w:w="2880"/>
          </w:tcPr>
          <w:p>
            <w:r>
              <w:t>Dataset / time window</w:t>
            </w:r>
          </w:p>
        </w:tc>
        <w:tc>
          <w:tcPr>
            <w:tcW w:type="dxa" w:w="2880"/>
          </w:tcPr>
          <w:p>
            <w:r>
              <w:t>Exact dataset/series identifiers, inclusion/exclusion, time window, and a data-freeze reference (version/hash).</w:t>
            </w:r>
          </w:p>
        </w:tc>
        <w:tc>
          <w:tcPr>
            <w:tcW w:type="dxa" w:w="2880"/>
          </w:tcPr>
          <w:p>
            <w:r>
              <w:t>Prevents cherry-picking and post-hoc cropping.</w:t>
            </w:r>
          </w:p>
        </w:tc>
      </w:tr>
      <w:tr>
        <w:tc>
          <w:tcPr>
            <w:tcW w:type="dxa" w:w="2880"/>
          </w:tcPr>
          <w:p>
            <w:r>
              <w:t>Windowing (w) + cluster_window</w:t>
            </w:r>
          </w:p>
        </w:tc>
        <w:tc>
          <w:tcPr>
            <w:tcW w:type="dxa" w:w="2880"/>
          </w:tcPr>
          <w:p>
            <w:r>
              <w:t>Window length(s) w for proxies and cluster_window for signature evaluation; report any sweeps.</w:t>
            </w:r>
          </w:p>
        </w:tc>
        <w:tc>
          <w:tcPr>
            <w:tcW w:type="dxa" w:w="2880"/>
          </w:tcPr>
          <w:p>
            <w:r>
              <w:t>These parameters can create/erase apparent thresholds and clustering.</w:t>
            </w:r>
          </w:p>
        </w:tc>
      </w:tr>
      <w:tr>
        <w:tc>
          <w:tcPr>
            <w:tcW w:type="dxa" w:w="2880"/>
          </w:tcPr>
          <w:p>
            <w:r>
              <w:t>Normalization</w:t>
            </w:r>
          </w:p>
        </w:tc>
        <w:tc>
          <w:tcPr>
            <w:tcW w:type="dxa" w:w="2880"/>
          </w:tcPr>
          <w:p>
            <w:r>
              <w:t>Normalization / scaling method (default min-max [0,1]) and any alternatives tested.</w:t>
            </w:r>
          </w:p>
        </w:tc>
        <w:tc>
          <w:tcPr>
            <w:tcW w:type="dxa" w:w="2880"/>
          </w:tcPr>
          <w:p>
            <w:r>
              <w:t>Scaling can change phi/gamma crossings and threshold occupancy.</w:t>
            </w:r>
          </w:p>
        </w:tc>
      </w:tr>
      <w:tr>
        <w:tc>
          <w:tcPr>
            <w:tcW w:type="dxa" w:w="2880"/>
          </w:tcPr>
          <w:p>
            <w:r>
              <w:t>B4 baseline specification</w:t>
            </w:r>
          </w:p>
        </w:tc>
        <w:tc>
          <w:tcPr>
            <w:tcW w:type="dxa" w:w="2880"/>
          </w:tcPr>
          <w:p>
            <w:r>
              <w:t>Exact baseline algorithm and hyperparameters (e.g., BIC segmentation with max_k and min_size; or PELT penalty), plus any robustness alternative.</w:t>
            </w:r>
          </w:p>
        </w:tc>
        <w:tc>
          <w:tcPr>
            <w:tcW w:type="dxa" w:w="2880"/>
          </w:tcPr>
          <w:p>
            <w:r>
              <w:t>Ensures the “strong baseline” is concrete and comparisons are fair.</w:t>
            </w:r>
          </w:p>
        </w:tc>
      </w:tr>
      <w:tr>
        <w:tc>
          <w:tcPr>
            <w:tcW w:type="dxa" w:w="2880"/>
          </w:tcPr>
          <w:p>
            <w:r>
              <w:t>B3 null-proxy method</w:t>
            </w:r>
          </w:p>
        </w:tc>
        <w:tc>
          <w:tcPr>
            <w:tcW w:type="dxa" w:w="2880"/>
          </w:tcPr>
          <w:p>
            <w:r>
              <w:t>Null-proxy scheme (time-preserving surrogate type, e.g., circular shift; N_surr; seed).</w:t>
            </w:r>
          </w:p>
        </w:tc>
        <w:tc>
          <w:tcPr>
            <w:tcW w:type="dxa" w:w="2880"/>
          </w:tcPr>
          <w:p>
            <w:r>
              <w:t>Null choice affects p_ge and guards against artifacts in autocorrelated series.</w:t>
            </w:r>
          </w:p>
        </w:tc>
      </w:tr>
      <w:tr>
        <w:tc>
          <w:tcPr>
            <w:tcW w:type="dxa" w:w="2880"/>
          </w:tcPr>
          <w:p>
            <w:r>
              <w:t>Multiplicity plan</w:t>
            </w:r>
          </w:p>
        </w:tc>
        <w:tc>
          <w:tcPr>
            <w:tcW w:type="dxa" w:w="2880"/>
          </w:tcPr>
          <w:p>
            <w:r>
              <w:t>What constitutes the primary analysis vs exploratory sweeps (e.g., one pre-registered eps_nom, one proxy mapping, and one B4 baseline spec), and how multi-series comparisons are reported (e.g., descriptive p_ge; or FDR on a pre-registered family).</w:t>
            </w:r>
          </w:p>
        </w:tc>
        <w:tc>
          <w:tcPr>
            <w:tcW w:type="dxa" w:w="2880"/>
          </w:tcPr>
          <w:p>
            <w:r>
              <w:t>Prevents implicit multiple testing across epsilon/proxies/series from being presented as a single confirmatory result.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>
          <w:b/>
          <w:sz w:val="28"/>
        </w:rPr>
      </w:pPr>
      <w:r>
        <w:rPr>
          <w:b/>
          <w:sz w:val="28"/>
        </w:rPr>
        <w:t>III. Configurations (64) and structural reading E</w:t>
      </w:r>
    </w:p>
    <w:p>
      <w:pPr>
        <w:pStyle w:val="Normal"/>
        <w:rPr>
          <w:b/>
          <w:sz w:val="28"/>
        </w:rPr>
      </w:pPr>
      <w:r>
        <w:rPr/>
        <w:t>A discrete space of 64 configurations is used together with E=(L,S,P,Q) as a structural (non-interpretative) readout. The 64-state space is chosen as 2^6 for minimal binary encoding with symmetry; alternative discretization resolutions should be tested via sensitivity checks (Appendix B). E components (structural invariants of C): L=links (connectivity/adjacency count under the chosen encoding), S=symmetry (invariance under the encoding's symmetry operations), P=parity (bitwise parity / complement relation indicators), Q=quality (a scalar summary of structural class under E). Encoding conventions: (A) 6-bit C∈{0,1}⁶ with C°=¬C; (B) 8×8 grid with diagonal symmetry (i,j)→(j,i).</w:t>
      </w:r>
    </w:p>
    <w:p>
      <w:pPr>
        <w:pStyle w:val="Normal"/>
        <w:rPr>
          <w:b/>
          <w:sz w:val="28"/>
        </w:rPr>
      </w:pPr>
      <w:r>
        <w:rPr>
          <w:b/>
          <w:sz w:val="28"/>
        </w:rPr>
        <w:t>IV. Illustrative simulator (non-canonical)</w:t>
      </w:r>
    </w:p>
    <w:p>
      <w:pPr>
        <w:pStyle w:val="Normal"/>
        <w:rPr>
          <w:b/>
        </w:rPr>
      </w:pPr>
      <w:r>
        <w:rPr/>
        <w:t>Toy simulator rules are illustrative; outputs are non-evidential unless accompanied by seed, full parameters, and traces/figures.</w:t>
      </w:r>
    </w:p>
    <w:p>
      <w:pPr>
        <w:pStyle w:val="Normal"/>
        <w:rPr>
          <w:b/>
        </w:rPr>
      </w:pPr>
      <w:r>
        <w:rPr>
          <w:b/>
        </w:rPr>
        <w:t xml:space="preserve">Minimal simulator specification (to make illustrative runs reproducible): </w:t>
      </w:r>
    </w:p>
    <w:p>
      <w:pPr>
        <w:pStyle w:val="Normal"/>
        <w:rPr/>
      </w:pPr>
      <w:r>
        <w:rPr/>
        <w:t>- State variables: configuration C_t in {0..63} (or equivalent discrete representation), phi_t, gamma_t, and a regime label r_t in {stable, threshold, singular}.</w:t>
      </w:r>
    </w:p>
    <w:p>
      <w:pPr>
        <w:pStyle w:val="Normal"/>
        <w:rPr/>
      </w:pPr>
      <w:r>
        <w:rPr/>
        <w:t>- Operational threshold band: |phi_t - gamma_t| &lt;= epsilon (epsilon must be reported).</w:t>
      </w:r>
    </w:p>
    <w:p>
      <w:pPr>
        <w:pStyle w:val="Normal"/>
        <w:rPr/>
      </w:pPr>
      <w:r>
        <w:rPr/>
        <w:t>- Update order must be fixed and logged: measure proxies -&gt; update/accumulate phi_proxy -&gt; update gamma_proxy -&gt; detect threshold -&gt; apply inversion/transition rule -&gt; apply contraction/relaxation -&gt; emit traces.</w:t>
      </w:r>
    </w:p>
    <w:p>
      <w:pPr>
        <w:pStyle w:val="Normal"/>
        <w:rPr>
          <w:b/>
        </w:rPr>
      </w:pPr>
      <w:r>
        <w:rPr/>
        <w:t>- At minimum, publish traces for {phi_proxy(t), gamma_proxy(t), r_t, inversion events} and the mapping from raw observables to proxies.</w:t>
      </w:r>
    </w:p>
    <w:p>
      <w:pPr>
        <w:pStyle w:val="Normal"/>
        <w:rPr>
          <w:b/>
        </w:rPr>
      </w:pPr>
      <w:r>
        <w:rPr>
          <w:b/>
        </w:rPr>
        <w:t xml:space="preserve">Recommended parameter disclosure (even for toy runs): </w:t>
      </w:r>
    </w:p>
    <w:p>
      <w:pPr>
        <w:pStyle w:val="Normal"/>
        <w:rPr/>
      </w:pPr>
      <w:r>
        <w:rPr/>
        <w:t>- epsilon (threshold band width), alpha (SC trigger factor, if used), beta (post-inversion/post-event contraction factor, if used), gamma_floor or SD criterion (if used), and any discretization/quantization rules.</w:t>
      </w:r>
    </w:p>
    <w:p>
      <w:pPr>
        <w:pStyle w:val="Normal"/>
        <w:rPr/>
      </w:pPr>
      <w:r>
        <w:rPr/>
        <w:t>- Deterministic vs stochastic update choice; if stochastic, all RNG seeds and distributional choices.</w:t>
      </w:r>
    </w:p>
    <w:p>
      <w:pPr>
        <w:pStyle w:val="Normal"/>
        <w:rPr>
          <w:b/>
        </w:rPr>
      </w:pPr>
      <w:r>
        <w:rPr/>
        <w:t>- Any smoothing, windowing, or filtering applied to proxies prior to threshold detection.</w:t>
      </w:r>
    </w:p>
    <w:p>
      <w:pPr>
        <w:pStyle w:val="Normal"/>
        <w:rPr>
          <w:rFonts w:ascii="Courier New" w:hAnsi="Courier New" w:cs="Courier New"/>
          <w:sz w:val="18"/>
        </w:rPr>
      </w:pPr>
      <w:r>
        <w:rPr>
          <w:b/>
        </w:rPr>
        <w:t xml:space="preserve">Pseudo-code sketch (illustrative): </w:t>
      </w:r>
    </w:p>
    <w:p>
      <w:pPr>
        <w:pStyle w:val="Normal"/>
        <w:rPr>
          <w:rFonts w:ascii="Courier New" w:hAnsi="Courier New" w:cs="Courier New"/>
          <w:sz w:val="18"/>
        </w:rPr>
      </w:pPr>
      <w:r>
        <w:rPr>
          <w:rFonts w:cs="Courier New" w:ascii="Courier New" w:hAnsi="Courier New"/>
          <w:sz w:val="18"/>
        </w:rPr>
        <w:t>for t in 1..T:</w:t>
      </w:r>
    </w:p>
    <w:p>
      <w:pPr>
        <w:pStyle w:val="Normal"/>
        <w:rPr>
          <w:rFonts w:ascii="Courier New" w:hAnsi="Courier New" w:cs="Courier New"/>
          <w:sz w:val="18"/>
        </w:rPr>
      </w:pPr>
      <w:r>
        <w:rPr>
          <w:rFonts w:eastAsia="Courier New" w:cs="Courier New" w:ascii="Courier New" w:hAnsi="Courier New"/>
          <w:sz w:val="18"/>
        </w:rPr>
        <w:t xml:space="preserve">  </w:t>
      </w:r>
      <w:r>
        <w:rPr>
          <w:rFonts w:cs="Courier New" w:ascii="Courier New" w:hAnsi="Courier New"/>
          <w:sz w:val="18"/>
        </w:rPr>
        <w:t>phi_proxy[t]   = map_phi(observables[t])</w:t>
      </w:r>
    </w:p>
    <w:p>
      <w:pPr>
        <w:pStyle w:val="Normal"/>
        <w:rPr>
          <w:rFonts w:ascii="Courier New" w:hAnsi="Courier New" w:cs="Courier New"/>
          <w:sz w:val="18"/>
        </w:rPr>
      </w:pPr>
      <w:r>
        <w:rPr>
          <w:rFonts w:eastAsia="Courier New" w:cs="Courier New" w:ascii="Courier New" w:hAnsi="Courier New"/>
          <w:sz w:val="18"/>
        </w:rPr>
        <w:t xml:space="preserve">  </w:t>
      </w:r>
      <w:r>
        <w:rPr>
          <w:rFonts w:cs="Courier New" w:ascii="Courier New" w:hAnsi="Courier New"/>
          <w:sz w:val="18"/>
        </w:rPr>
        <w:t>gamma_proxy[t] = map_gamma(observables[t])</w:t>
      </w:r>
    </w:p>
    <w:p>
      <w:pPr>
        <w:pStyle w:val="Normal"/>
        <w:rPr>
          <w:rFonts w:ascii="Courier New" w:hAnsi="Courier New" w:cs="Courier New"/>
          <w:sz w:val="18"/>
        </w:rPr>
      </w:pPr>
      <w:r>
        <w:rPr>
          <w:rFonts w:eastAsia="Courier New" w:cs="Courier New" w:ascii="Courier New" w:hAnsi="Courier New"/>
          <w:sz w:val="18"/>
        </w:rPr>
        <w:t xml:space="preserve">  </w:t>
      </w:r>
      <w:r>
        <w:rPr>
          <w:rFonts w:cs="Courier New" w:ascii="Courier New" w:hAnsi="Courier New"/>
          <w:sz w:val="18"/>
        </w:rPr>
        <w:t>phi[t] = phi[t-1] + phi_proxy[t]            # accumulation (if enabled)</w:t>
      </w:r>
    </w:p>
    <w:p>
      <w:pPr>
        <w:pStyle w:val="Normal"/>
        <w:rPr/>
      </w:pPr>
      <w:r>
        <w:rPr>
          <w:rFonts w:eastAsia="Courier New" w:cs="Courier New" w:ascii="Courier New" w:hAnsi="Courier New"/>
          <w:sz w:val="18"/>
        </w:rPr>
        <w:t xml:space="preserve">  </w:t>
      </w:r>
      <w:r>
        <w:rPr>
          <w:rFonts w:cs="Courier New" w:ascii="Courier New" w:hAnsi="Courier New"/>
          <w:sz w:val="18"/>
        </w:rPr>
        <w:t>if abs(phi[t] - gamma_proxy[t]) &lt;= epsilon: r[t] = 'threshold'</w:t>
      </w:r>
    </w:p>
    <w:p>
      <w:pPr>
        <w:pStyle w:val="Normal"/>
        <w:rPr/>
      </w:pPr>
      <w:r>
        <w:rPr>
          <w:rFonts w:eastAsia="Calibri"/>
        </w:rPr>
        <w:t xml:space="preserve">  </w:t>
      </w:r>
      <w:r>
        <w:rPr/>
        <w:t>if phi[t] &gt;= alpha * gamma_proxy[t]: r[t] = 'SC'     # saturation singularity (operational; report criterion)</w:t>
      </w:r>
    </w:p>
    <w:p>
      <w:pPr>
        <w:pStyle w:val="Normal"/>
        <w:rPr>
          <w:rFonts w:ascii="Courier New" w:hAnsi="Courier New" w:cs="Courier New"/>
          <w:sz w:val="18"/>
        </w:rPr>
      </w:pPr>
      <w:r>
        <w:rPr>
          <w:rFonts w:eastAsia="Calibri"/>
        </w:rPr>
        <w:t xml:space="preserve">  </w:t>
      </w:r>
      <w:r>
        <w:rPr/>
        <w:t>if gamma_proxy[t] &lt;= gamma_floor: r[t] = 'SD'      # deflation singularity (operational; report gamma_floor or criterion)</w:t>
      </w:r>
    </w:p>
    <w:p>
      <w:pPr>
        <w:pStyle w:val="Normal"/>
        <w:rPr>
          <w:rFonts w:ascii="Courier New" w:hAnsi="Courier New" w:cs="Courier New"/>
          <w:sz w:val="18"/>
        </w:rPr>
      </w:pPr>
      <w:r>
        <w:rPr>
          <w:rFonts w:eastAsia="Courier New" w:cs="Courier New" w:ascii="Courier New" w:hAnsi="Courier New"/>
          <w:sz w:val="18"/>
        </w:rPr>
        <w:t xml:space="preserve">  </w:t>
      </w:r>
      <w:r>
        <w:rPr>
          <w:rFonts w:cs="Courier New" w:ascii="Courier New" w:hAnsi="Courier New"/>
          <w:sz w:val="18"/>
        </w:rPr>
        <w:t>if r[t] == 'threshold' and inversion_rule(...):</w:t>
      </w:r>
    </w:p>
    <w:p>
      <w:pPr>
        <w:pStyle w:val="Normal"/>
        <w:rPr>
          <w:rFonts w:ascii="Courier New" w:hAnsi="Courier New" w:cs="Courier New"/>
          <w:sz w:val="18"/>
        </w:rPr>
      </w:pPr>
      <w:r>
        <w:rPr>
          <w:rFonts w:eastAsia="Courier New" w:cs="Courier New" w:ascii="Courier New" w:hAnsi="Courier New"/>
          <w:sz w:val="18"/>
        </w:rPr>
        <w:t xml:space="preserve">      </w:t>
      </w:r>
      <w:r>
        <w:rPr>
          <w:rFonts w:cs="Courier New" w:ascii="Courier New" w:hAnsi="Courier New"/>
          <w:sz w:val="18"/>
        </w:rPr>
        <w:t>C[t] = invert(C[t-1])                   # Inv mechanism (if enabled)</w:t>
      </w:r>
    </w:p>
    <w:p>
      <w:pPr>
        <w:pStyle w:val="Normal"/>
        <w:rPr>
          <w:rFonts w:ascii="Courier New" w:hAnsi="Courier New" w:cs="Courier New"/>
          <w:sz w:val="18"/>
        </w:rPr>
      </w:pPr>
      <w:r>
        <w:rPr>
          <w:rFonts w:eastAsia="Courier New" w:cs="Courier New" w:ascii="Courier New" w:hAnsi="Courier New"/>
          <w:sz w:val="18"/>
        </w:rPr>
        <w:t xml:space="preserve">      </w:t>
      </w:r>
      <w:r>
        <w:rPr>
          <w:rFonts w:cs="Courier New" w:ascii="Courier New" w:hAnsi="Courier New"/>
          <w:sz w:val="18"/>
        </w:rPr>
        <w:t>phi[t] = beta * phi[t]                  # post-inversion contraction/reset (if enabled)</w:t>
      </w:r>
    </w:p>
    <w:p>
      <w:pPr>
        <w:pStyle w:val="Normal"/>
        <w:rPr/>
      </w:pPr>
      <w:r>
        <w:rPr>
          <w:rFonts w:eastAsia="Courier New" w:cs="Courier New" w:ascii="Courier New" w:hAnsi="Courier New"/>
          <w:sz w:val="18"/>
        </w:rPr>
        <w:t xml:space="preserve">  </w:t>
      </w:r>
      <w:r>
        <w:rPr>
          <w:rFonts w:cs="Courier New" w:ascii="Courier New" w:hAnsi="Courier New"/>
          <w:sz w:val="18"/>
        </w:rPr>
        <w:t>emit_traces(phi[t], gamma_proxy[t], r[t], C[t])</w:t>
      </w:r>
    </w:p>
    <w:p>
      <w:pPr>
        <w:pStyle w:val="Normal"/>
        <w:rPr/>
      </w:pPr>
      <w:r>
        <w:rPr/>
      </w:r>
    </w:p>
    <w:p>
      <w:pPr>
        <w:pStyle w:val="Normal"/>
        <w:rPr>
          <w:b/>
          <w:sz w:val="28"/>
        </w:rPr>
      </w:pPr>
      <w:r>
        <w:rPr>
          <w:b/>
          <w:sz w:val="28"/>
        </w:rPr>
        <w:t>V. Critique tools</w:t>
      </w:r>
    </w:p>
    <w:p>
      <w:pPr>
        <w:pStyle w:val="Normal"/>
        <w:rPr>
          <w:b/>
        </w:rPr>
      </w:pPr>
      <w:r>
        <w:rPr/>
        <w:t>Signature: φ_proxy accumulation; threshold structure; jump-like events compatible with Inv; SC vs SD separation; hysteresis (operationally: post-event recovery trajectories differ from accumulation trajectories, proxied by asymmetric φ/γ paths pre- vs post-threshold). Guillotine/refutation: if all transitions are gradual, Inv adds no power; if SC/SD indistinguishable, dichotomy dispensable; if φ_proxy does not accumulate, canonical claim weakens; if no threshold, φ/γ loses operational value.</w:t>
      </w:r>
    </w:p>
    <w:p>
      <w:pPr>
        <w:pStyle w:val="Normal"/>
        <w:rPr>
          <w:b/>
        </w:rPr>
      </w:pPr>
      <w:r>
        <w:t>Baselines (recommended for any L2 empirical instantiation): use at least one strong baseline (B4 when available) and report fair comparisons (identical data selection, preprocessing, windowing/smoothing, and evaluation metrics).</w:t>
      </w:r>
    </w:p>
    <w:tbl>
      <w:tblPr>
        <w:tblW w:w="864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2880"/>
        <w:gridCol w:w="2880"/>
      </w:tblGrid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>
                <w:b/>
              </w:rPr>
            </w:pPr>
            <w:r>
              <w:rPr>
                <w:b/>
              </w:rPr>
              <w:t>ID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>
                <w:b/>
              </w:rPr>
            </w:pPr>
            <w:r>
              <w:rPr>
                <w:b/>
              </w:rPr>
              <w:t>Baseline definition (what is removed/altered)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>
                <w:b/>
              </w:rPr>
            </w:pPr>
            <w:r>
              <w:rPr>
                <w:b/>
              </w:rPr>
              <w:t>What should disappear (expected signature change)</w:t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B0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No-threshold / smooth baseline: regime labels removed; transitions forced to be continuous.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No jump-like events attributable to threshold; signature should reduce to smooth drift.</w:t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B1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Threshold-only baseline: keep epsilon band detection but disable inversion (Inv) and discrete configuration flips.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Threshold occupancy may remain, but inversion-linked event signatures should vanish.</w:t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B2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Accumulation-only baseline: keep phi_proxy accumulation but remove threshold logic (no epsilon band) and no inversion.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Accumulation trend may remain, but no threshold clustering or event discontinuities.</w:t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B3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t>Null-proxy baseline: replace phi_proxy and/or gamma_proxy with autocorrelation-preserving surrogates (default: circular-shift phi_proxy), matched in scale.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t>Any diagnostic power tied to the original proxies should vanish; if not, treat the proxy mapping as non-informative.</w:t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B4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t>Strong domain baseline: an established domain model fitted/evaluated under the same protocol (Template E default in Supplement S1: PELT-style penalized mean segmentation, l2 cost, optimal partitioning DP; penalty default = log(n)·Var(y); robustness alternatives include BIC mean segmentation and a lightweight BOCPD-style baseline). Fair comparisons require identical data selection, preprocessing, windowing/smoothing, and evaluation metrics.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If the strong baseline matches/exceeds explanatory power, Field Model should be treated as non-additive for that domain (limit claims accordingly).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</w:rPr>
        <w:t xml:space="preserve">Ablation matrix (recommended): </w:t>
      </w:r>
      <w:r>
        <w:rPr/>
        <w:t>turn one component off at a time and test whether its associated signature vanishes.</w:t>
      </w:r>
    </w:p>
    <w:p>
      <w:pPr>
        <w:pStyle w:val="Normal"/>
        <w:rPr>
          <w:b/>
        </w:rPr>
      </w:pPr>
      <w:r>
        <w:t>Operationalizing 'vanish': pre-specify either a qualitative criterion (e.g., no jump-like events) or a quantitative criterion tied to the B3 null (e.g., cluster_count &lt;= null_mean + 1 SD under the null-proxy distribution, pre-specified per domain).</w:t>
      </w:r>
    </w:p>
    <w:tbl>
      <w:tblPr>
        <w:tblW w:w="864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2160"/>
        <w:gridCol w:w="2160"/>
        <w:gridCol w:w="2160"/>
      </w:tblGrid>
      <w:tr>
        <w:trPr/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>
                <w:b/>
              </w:rPr>
            </w:pPr>
            <w:r>
              <w:rPr>
                <w:b/>
              </w:rPr>
              <w:t>Variant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>
                <w:b/>
              </w:rPr>
            </w:pPr>
            <w:r>
              <w:rPr>
                <w:b/>
              </w:rPr>
              <w:t>Change (one component off)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>
                <w:b/>
              </w:rPr>
            </w:pPr>
            <w:r>
              <w:rPr>
                <w:b/>
              </w:rPr>
              <w:t>Expected signature change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>
                <w:b/>
              </w:rPr>
            </w:pPr>
            <w:r>
              <w:rPr>
                <w:b/>
              </w:rPr>
              <w:t>Interpretation if signature persists</w:t>
            </w:r>
          </w:p>
        </w:tc>
      </w:tr>
      <w:tr>
        <w:trPr/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A0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Full model (as instantiated)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Reference behaviour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n/a</w:t>
            </w:r>
          </w:p>
        </w:tc>
      </w:tr>
      <w:tr>
        <w:trPr/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A1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Disable Inv (no discrete inversion / configuration flip)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Loss of inversion-linked jump events; reduced regime discontinuities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Either inversion is not the driver, or measurement/proxy is misaligned</w:t>
            </w:r>
          </w:p>
        </w:tc>
      </w:tr>
      <w:tr>
        <w:trPr/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A2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Remove threshold logic (no epsilon band; continuous regime)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No clustering near phi≈gamma; fewer regime labels; signature becomes smooth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Threshold proxy not meaningful; regime boundary may be artifact</w:t>
            </w:r>
          </w:p>
        </w:tc>
      </w:tr>
      <w:tr>
        <w:trPr/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A3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Disable accumulation (phi_proxy not accumulated)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Loss of saturation build-up; weaker pre-threshold ramp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Accumulation not necessary; proxy choice may be overfitting</w:t>
            </w:r>
          </w:p>
        </w:tc>
      </w:tr>
      <w:tr>
        <w:trPr/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A4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Collapse SC/SD separation (single singular mode)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Loss of SC vs SD discriminant patterns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SC/SD split not identifiable in this domain</w:t>
            </w:r>
          </w:p>
        </w:tc>
      </w:tr>
      <w:tr>
        <w:trPr/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A5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Remove post-event contraction (beta = 1; no reset after inversion/events)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No 'reset' / contraction after events; different recovery times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Contraction not supported; recovery is external to model</w:t>
            </w:r>
          </w:p>
        </w:tc>
      </w:tr>
      <w:tr>
        <w:tc>
          <w:tcPr>
            <w:tcW w:type="dxa" w:w="2160"/>
          </w:tcPr>
          <w:p>
            <w:r>
              <w:t>Time window / data freeze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</w:tr>
      <w:tr>
        <w:tc>
          <w:tcPr>
            <w:tcW w:type="dxa" w:w="2160"/>
          </w:tcPr>
          <w:p>
            <w:r>
              <w:t>Windowing parameters (w, cluster_window)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</w:tr>
      <w:tr>
        <w:tc>
          <w:tcPr>
            <w:tcW w:type="dxa" w:w="2160"/>
          </w:tcPr>
          <w:p>
            <w:r>
              <w:t>Null-proxy B3 method (time-preserving) + N_surr</w:t>
            </w:r>
          </w:p>
        </w:tc>
        <w:tc>
          <w:tcPr>
            <w:tcW w:type="dxa" w:w="2160"/>
          </w:tcPr>
          <w:p>
            <w:r/>
          </w:p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</w:tr>
    </w:tbl>
    <w:p>
      <w:pPr>
        <w:pStyle w:val="Normal"/>
        <w:rPr/>
      </w:pPr>
      <w:r>
        <w:rPr/>
      </w:r>
    </w:p>
    <w:p>
      <w:pPr>
        <w:pStyle w:val="Normal"/>
        <w:rPr>
          <w:b/>
        </w:rPr>
      </w:pPr>
      <w:r>
        <w:t>Suggested sensitivity checks:</w:t>
      </w:r>
    </w:p>
    <w:p>
      <w:pPr>
        <w:pStyle w:val="Normal"/>
        <w:rPr/>
      </w:pPr>
      <w:r>
        <w:rPr/>
        <w:t>- epsilon sweep: report results for at least 3 epsilon values (narrow, nominal, wide).</w:t>
      </w:r>
    </w:p>
    <w:p>
      <w:pPr>
        <w:pStyle w:val="Normal"/>
        <w:rPr/>
      </w:pPr>
      <w:r>
        <w:rPr/>
        <w:t>- Proxy robustness: alternative reasonable proxy mappings should not reverse the main qualitative conclusions.</w:t>
      </w:r>
    </w:p>
    <w:p>
      <w:pPr>
        <w:pStyle w:val="Normal"/>
        <w:rPr/>
      </w:pPr>
      <w:r>
        <w:rPr/>
        <w:t>- Seed robustness: if any stochasticity exists, report variability across seeds (or explicitly state determinism).</w:t>
      </w:r>
    </w:p>
    <w:p>
      <w:pPr>
        <w:pStyle w:val="Normal"/>
        <w:rPr/>
      </w:pPr>
      <w:r>
        <w:rPr/>
        <w:t>- Baseline parity: comparisons must use identical data selection, preprocessing, and smoothing/windowing; otherwise differences are not interpretable.</w:t>
      </w:r>
    </w:p>
    <w:p>
      <w:pPr>
        <w:pStyle w:val="Normal"/>
        <w:rPr/>
      </w:pPr>
      <w:r>
        <w:rPr/>
      </w:r>
    </w:p>
    <w:p>
      <w:pPr>
        <w:pStyle w:val="Normal"/>
        <w:rPr>
          <w:b/>
          <w:sz w:val="28"/>
        </w:rPr>
      </w:pPr>
      <w:r>
        <w:rPr>
          <w:b/>
          <w:sz w:val="28"/>
        </w:rPr>
        <w:t>VI. Domain contrast routes (templates)</w:t>
      </w:r>
    </w:p>
    <w:p>
      <w:pPr>
        <w:pStyle w:val="Normal"/>
        <w:rPr>
          <w:b/>
          <w:sz w:val="28"/>
        </w:rPr>
      </w:pPr>
      <w:r>
        <w:rPr/>
        <w:t>Templates are provided for neurodynamics, Dynamic Field Theory tasks, stick-slip friction, longitudinal clinical trajectories, and time-series change-point settings, specifying observables, candidate proxies, qualitative signatures, decisive data, and minimal baselines. IMPORTANT: templates are illustrative and support L1/L2 claims only; proxy recipes here are examples and require a reproducibility bundle (Appendix A) for any L2 use. L3/L4 predictive claims are out of scope here and require pre-registered OOD evaluation per the claim taxonomy. Decisive-data example (generic): failure to exceed the null-proxy baseline (B3) for the primary signature refutes threshold relevance for the chosen proxy mapping.</w:t>
      </w:r>
    </w:p>
    <w:p>
      <w:pPr>
        <w:pStyle w:val="Normal"/>
        <w:rPr>
          <w:b/>
        </w:rPr>
      </w:pPr>
      <w:r>
        <w:rPr>
          <w:b/>
          <w:sz w:val="28"/>
        </w:rPr>
        <w:t>Template A — Neurodynamics (generic)</w:t>
      </w:r>
    </w:p>
    <w:p>
      <w:pPr>
        <w:pStyle w:val="Normal"/>
        <w:rPr>
          <w:b/>
        </w:rPr>
      </w:pPr>
      <w:r>
        <w:rPr>
          <w:b/>
        </w:rPr>
        <w:t xml:space="preserve">Observables: </w:t>
      </w:r>
      <w:r>
        <w:rPr/>
        <w:t>time series of population activity (spikes, LFP/EEG proxies), event times, and recovery dynamics.</w:t>
      </w:r>
    </w:p>
    <w:p>
      <w:pPr>
        <w:pStyle w:val="Normal"/>
        <w:rPr>
          <w:b/>
        </w:rPr>
      </w:pPr>
      <w:r>
        <w:rPr>
          <w:b/>
        </w:rPr>
        <w:t>Candidate proxies: phi_proxy: cumulative instability/drive (e.g., integrated excitation or event energy); gamma_proxy: compensatory capacity (e.g., inhibition/feedback strength estimate) or control parameter proxy. Example operational recipe: phi_proxy in spikes/s (or normalized LFP power), integrated over 100 ms windows; preprocessing: z-score normalization and clearly stated filtering/windowing.</w:t>
      </w:r>
    </w:p>
    <w:p>
      <w:pPr>
        <w:pStyle w:val="Normal"/>
        <w:rPr>
          <w:b/>
        </w:rPr>
      </w:pPr>
      <w:r>
        <w:rPr>
          <w:b/>
        </w:rPr>
        <w:t xml:space="preserve">Signature to test: </w:t>
      </w:r>
      <w:r>
        <w:rPr/>
        <w:t>pre-threshold ramp in phi_proxy; clustering of events near phi≈gamma; post-event contraction/reset if present.</w:t>
      </w:r>
    </w:p>
    <w:p>
      <w:pPr>
        <w:pStyle w:val="Normal"/>
        <w:rPr>
          <w:b/>
        </w:rPr>
      </w:pPr>
      <w:r>
        <w:rPr>
          <w:b/>
        </w:rPr>
        <w:t xml:space="preserve">Baselines/ablations: </w:t>
      </w:r>
      <w:r>
        <w:rPr/>
        <w:t>B0 smooth baseline; B1 threshold-only; A1 disable Inv; A3 remove accumulation.</w:t>
      </w:r>
    </w:p>
    <w:p>
      <w:pPr>
        <w:pStyle w:val="Normal"/>
        <w:rPr/>
      </w:pPr>
      <w:r>
        <w:rPr>
          <w:b/>
        </w:rPr>
        <w:t xml:space="preserve">Decisive data: </w:t>
      </w:r>
      <w:r>
        <w:rPr/>
        <w:t>if events do not cluster near any credible phi/gamma boundary and the same patterns arise under null proxies, the model adds no explanatory value here.</w:t>
      </w:r>
    </w:p>
    <w:p>
      <w:pPr>
        <w:pStyle w:val="Normal"/>
        <w:rPr/>
      </w:pPr>
      <w:r>
        <w:rPr/>
      </w:r>
    </w:p>
    <w:p>
      <w:pPr>
        <w:pStyle w:val="Normal"/>
        <w:rPr>
          <w:b/>
        </w:rPr>
      </w:pPr>
      <w:r>
        <w:rPr>
          <w:b/>
          <w:sz w:val="28"/>
        </w:rPr>
        <w:t>Template B — Dynamic Field Theory (task dynamics)</w:t>
      </w:r>
    </w:p>
    <w:p>
      <w:pPr>
        <w:pStyle w:val="Normal"/>
        <w:rPr>
          <w:b/>
        </w:rPr>
      </w:pPr>
      <w:r>
        <w:rPr>
          <w:b/>
        </w:rPr>
        <w:t xml:space="preserve">Observables: </w:t>
      </w:r>
      <w:r>
        <w:rPr/>
        <w:t>field activation trajectories, error/RT distributions, stability of attractors under perturbations.</w:t>
      </w:r>
    </w:p>
    <w:p>
      <w:pPr>
        <w:pStyle w:val="Normal"/>
        <w:rPr>
          <w:b/>
        </w:rPr>
      </w:pPr>
      <w:r>
        <w:rPr>
          <w:b/>
        </w:rPr>
        <w:t xml:space="preserve">Candidate proxies: </w:t>
      </w:r>
      <w:r>
        <w:rPr/>
        <w:t>phi_proxy: accumulated task demand/perturbation load; gamma_proxy: stabilizing field strength (inhibition/normalization).</w:t>
      </w:r>
    </w:p>
    <w:p>
      <w:pPr>
        <w:pStyle w:val="Normal"/>
        <w:rPr>
          <w:b/>
        </w:rPr>
      </w:pPr>
      <w:r>
        <w:rPr>
          <w:b/>
        </w:rPr>
        <w:t xml:space="preserve">Signature to test: </w:t>
      </w:r>
      <w:r>
        <w:rPr/>
        <w:t>regime change from stable tracking to breakdown; threshold band occupancy preceding qualitative failure.</w:t>
      </w:r>
    </w:p>
    <w:p>
      <w:pPr>
        <w:pStyle w:val="Normal"/>
        <w:rPr>
          <w:b/>
        </w:rPr>
      </w:pPr>
      <w:r>
        <w:rPr>
          <w:b/>
        </w:rPr>
        <w:t xml:space="preserve">Baselines/ablations: </w:t>
      </w:r>
      <w:r>
        <w:rPr/>
        <w:t>B2 accumulation-only; A2 remove threshold logic; epsilon sweep.</w:t>
      </w:r>
    </w:p>
    <w:p>
      <w:pPr>
        <w:pStyle w:val="Normal"/>
        <w:rPr>
          <w:b/>
        </w:rPr>
      </w:pPr>
      <w:r>
        <w:rPr>
          <w:b/>
        </w:rPr>
        <w:t>Decisive data: if breakdown is explainable by a purely smooth degradation baseline with equal or better fit, the threshold/inversion claim is not supported. If the same pattern arises under null-proxy baselines (B3), treat the proxy mapping as non-informative.</w:t>
      </w:r>
    </w:p>
    <w:p>
      <w:pPr>
        <w:pStyle w:val="Normal"/>
        <w:rPr/>
      </w:pPr>
      <w:r>
        <w:rPr/>
      </w:r>
    </w:p>
    <w:p>
      <w:pPr>
        <w:pStyle w:val="Normal"/>
        <w:rPr>
          <w:b/>
        </w:rPr>
      </w:pPr>
      <w:r>
        <w:rPr>
          <w:b/>
          <w:sz w:val="28"/>
        </w:rPr>
        <w:t>Template C — Stick-slip / frictional systems (generic)</w:t>
      </w:r>
    </w:p>
    <w:p>
      <w:pPr>
        <w:pStyle w:val="Normal"/>
        <w:rPr>
          <w:b/>
        </w:rPr>
      </w:pPr>
      <w:r>
        <w:rPr>
          <w:b/>
        </w:rPr>
        <w:t xml:space="preserve">Observables: </w:t>
      </w:r>
      <w:r>
        <w:rPr/>
        <w:t>stress/strain time series, slip events, waiting times, post-slip relaxation.</w:t>
      </w:r>
    </w:p>
    <w:p>
      <w:pPr>
        <w:pStyle w:val="Normal"/>
        <w:rPr>
          <w:b/>
        </w:rPr>
      </w:pPr>
      <w:r>
        <w:rPr>
          <w:b/>
        </w:rPr>
        <w:t xml:space="preserve">Candidate proxies: </w:t>
      </w:r>
      <w:r>
        <w:rPr/>
        <w:t>phi_proxy: accumulated shear stress / stored elastic energy; gamma_proxy: effective resistance/strength (may vary with state).</w:t>
      </w:r>
    </w:p>
    <w:p>
      <w:pPr>
        <w:pStyle w:val="Normal"/>
        <w:rPr>
          <w:b/>
        </w:rPr>
      </w:pPr>
      <w:r>
        <w:rPr>
          <w:b/>
        </w:rPr>
        <w:t xml:space="preserve">Signature to test: </w:t>
      </w:r>
      <w:r>
        <w:rPr/>
        <w:t>event bursts near boundary; post-event contraction (release) consistent with inversion-like reset.</w:t>
      </w:r>
    </w:p>
    <w:p>
      <w:pPr>
        <w:pStyle w:val="Normal"/>
        <w:rPr>
          <w:b/>
        </w:rPr>
      </w:pPr>
      <w:r>
        <w:rPr>
          <w:b/>
        </w:rPr>
        <w:t xml:space="preserve">Baselines/ablations: </w:t>
      </w:r>
      <w:r>
        <w:rPr/>
        <w:t>B1 threshold-only vs A1 no-Inv; null-proxy baseline (B3).</w:t>
      </w:r>
    </w:p>
    <w:p>
      <w:pPr>
        <w:pStyle w:val="Normal"/>
        <w:rPr/>
      </w:pPr>
      <w:r>
        <w:rPr>
          <w:b/>
        </w:rPr>
        <w:t xml:space="preserve">Decisive data: </w:t>
      </w:r>
      <w:r>
        <w:rPr/>
        <w:t>if event timing is better predicted by a standard friction law model without any threshold-inversion construct, treat Field Model as non-additive for this domain.</w:t>
      </w:r>
    </w:p>
    <w:p>
      <w:pPr>
        <w:pStyle w:val="Normal"/>
        <w:rPr/>
      </w:pPr>
      <w:r>
        <w:rPr/>
      </w:r>
    </w:p>
    <w:p>
      <w:pPr>
        <w:pStyle w:val="Normal"/>
        <w:rPr>
          <w:b/>
        </w:rPr>
      </w:pPr>
      <w:r>
        <w:rPr>
          <w:b/>
          <w:sz w:val="28"/>
        </w:rPr>
        <w:t>Template D — Clinical/behavioral trajectories (low-frequency)</w:t>
      </w:r>
    </w:p>
    <w:p>
      <w:pPr>
        <w:pStyle w:val="Normal"/>
        <w:rPr>
          <w:b/>
        </w:rPr>
      </w:pPr>
      <w:r>
        <w:rPr>
          <w:b/>
        </w:rPr>
        <w:t xml:space="preserve">Observables: </w:t>
      </w:r>
      <w:r>
        <w:rPr/>
        <w:t>longitudinal symptom/function measures, relapse events, intervention timing, recovery slopes.</w:t>
      </w:r>
    </w:p>
    <w:p>
      <w:pPr>
        <w:pStyle w:val="Normal"/>
        <w:rPr>
          <w:b/>
        </w:rPr>
      </w:pPr>
      <w:r>
        <w:rPr>
          <w:b/>
        </w:rPr>
        <w:t xml:space="preserve">Candidate proxies: </w:t>
      </w:r>
      <w:r>
        <w:rPr/>
        <w:t>phi_proxy: cumulative burden/instability; gamma_proxy: resilience/compensation proxy (must be justified).</w:t>
      </w:r>
    </w:p>
    <w:p>
      <w:pPr>
        <w:pStyle w:val="Normal"/>
        <w:rPr>
          <w:b/>
        </w:rPr>
      </w:pPr>
      <w:r>
        <w:rPr>
          <w:b/>
        </w:rPr>
        <w:t xml:space="preserve">Signature to test: </w:t>
      </w:r>
      <w:r>
        <w:rPr/>
        <w:t>qualitative regime shift (stable -&gt; threshold -&gt; singular episodes) with refutable boundaries.</w:t>
      </w:r>
    </w:p>
    <w:p>
      <w:pPr>
        <w:pStyle w:val="Normal"/>
        <w:rPr>
          <w:b/>
        </w:rPr>
      </w:pPr>
      <w:r>
        <w:rPr>
          <w:b/>
        </w:rPr>
        <w:t xml:space="preserve">Baselines/ablations: </w:t>
      </w:r>
      <w:r>
        <w:rPr/>
        <w:t>strong domain baseline (e.g., state-space or change-point model) + A2 remove threshold logic.</w:t>
      </w:r>
    </w:p>
    <w:p>
      <w:pPr>
        <w:pStyle w:val="Normal"/>
        <w:rPr/>
      </w:pPr>
      <w:r>
        <w:rPr>
          <w:b/>
        </w:rPr>
        <w:t xml:space="preserve">Decisive data: </w:t>
      </w:r>
      <w:r>
        <w:rPr/>
        <w:t>if the best supported model is a standard change-point or state-space model and Field Model does not improve explanatory clarity under fair comparison, do not claim relevance.</w:t>
      </w:r>
    </w:p>
    <w:p>
      <w:pPr>
        <w:pStyle w:val="Normal"/>
        <w:rPr/>
      </w:pPr>
      <w:r>
        <w:rPr/>
      </w:r>
    </w:p>
    <w:p>
      <w:pPr>
        <w:pStyle w:val="Normal"/>
        <w:rPr>
          <w:b/>
          <w:sz w:val="28"/>
        </w:rPr>
      </w:pPr>
      <w:r>
        <w:rPr>
          <w:b/>
          <w:sz w:val="28"/>
        </w:rPr>
        <w:t>Limitations and threats to validity</w:t>
      </w:r>
    </w:p>
    <w:p>
      <w:pPr>
        <w:pStyle w:val="Normal"/>
        <w:rPr>
          <w:b/>
        </w:rPr>
      </w:pPr>
      <w:r>
        <w:rPr/>
        <w:t>No empirical validation is claimed. φ and γ are not directly measured here; only proxy routes are proposed. 64 states is an operational resolution; simulator parameters are illustrative.</w:t>
      </w:r>
    </w:p>
    <w:p>
      <w:pPr>
        <w:pStyle w:val="Normal"/>
        <w:rPr>
          <w:b/>
        </w:rPr>
      </w:pPr>
      <w:r>
        <w:rPr>
          <w:b/>
        </w:rPr>
        <w:t xml:space="preserve">Construct validity: </w:t>
      </w:r>
    </w:p>
    <w:p>
      <w:pPr>
        <w:pStyle w:val="Normal"/>
        <w:rPr/>
      </w:pPr>
      <w:r>
        <w:rPr/>
        <w:t>- Proxy risk: phi_proxy and gamma_proxy may fail to correspond to any stable latent construct in a given domain.</w:t>
      </w:r>
    </w:p>
    <w:p>
      <w:pPr>
        <w:pStyle w:val="Normal"/>
        <w:rPr/>
      </w:pPr>
      <w:r>
        <w:rPr/>
        <w:t>- Discretization risk: the 64-configuration space is an operational scaffold; different discretizations may change qualitative readings.</w:t>
      </w:r>
    </w:p>
    <w:p>
      <w:pPr>
        <w:pStyle w:val="Normal"/>
        <w:rPr/>
      </w:pPr>
      <w:r>
        <w:rPr/>
        <w:t>- Threshold definition risk: operational epsilon bands can create apparent regime boundaries if chosen post-hoc.</w:t>
      </w:r>
    </w:p>
    <w:p>
      <w:pPr>
        <w:pStyle w:val="Normal"/>
        <w:rPr/>
      </w:pPr>
      <w:r>
        <w:rPr/>
      </w:r>
    </w:p>
    <w:p>
      <w:pPr>
        <w:pStyle w:val="Normal"/>
        <w:rPr>
          <w:b/>
        </w:rPr>
      </w:pPr>
      <w:r>
        <w:rPr>
          <w:b/>
        </w:rPr>
        <w:t xml:space="preserve">Internal validity: </w:t>
      </w:r>
    </w:p>
    <w:p>
      <w:pPr>
        <w:pStyle w:val="Normal"/>
        <w:rPr/>
      </w:pPr>
      <w:r>
        <w:rPr/>
        <w:t>- Simulator non-evidence: toy runs can illustrate possibilities but must not be used as empirical support without artifacts and fair baselines.</w:t>
      </w:r>
    </w:p>
    <w:p>
      <w:pPr>
        <w:pStyle w:val="Normal"/>
        <w:rPr/>
      </w:pPr>
      <w:r>
        <w:rPr/>
        <w:t>- Researcher degrees of freedom: multiple proxy mappings and parameter choices can inflate apparent support unless pre-registered or logged.</w:t>
      </w:r>
    </w:p>
    <w:p>
      <w:pPr>
        <w:pStyle w:val="Normal"/>
        <w:rPr/>
      </w:pPr>
      <w:r>
        <w:rPr/>
        <w:t>- Ablation leakage: if 'disabled' components are reintroduced via proxy definitions, ablations are not informative.</w:t>
      </w:r>
    </w:p>
    <w:p>
      <w:pPr>
        <w:pStyle w:val="Normal"/>
        <w:rPr/>
      </w:pPr>
      <w:r>
        <w:rPr/>
      </w:r>
    </w:p>
    <w:p>
      <w:pPr>
        <w:pStyle w:val="Normal"/>
        <w:rPr>
          <w:b/>
        </w:rPr>
      </w:pPr>
      <w:r>
        <w:rPr>
          <w:b/>
        </w:rPr>
        <w:t xml:space="preserve">External validity: </w:t>
      </w:r>
    </w:p>
    <w:p>
      <w:pPr>
        <w:pStyle w:val="Normal"/>
        <w:rPr/>
      </w:pPr>
      <w:r>
        <w:t>- Cross-domain generalization is not assumed; relevance must be demonstrated for L2 instantiations per domain via decisive data and fair comparisons.</w:t>
      </w:r>
    </w:p>
    <w:p>
      <w:pPr>
        <w:pStyle w:val="Normal"/>
        <w:rPr/>
      </w:pPr>
      <w:r>
        <w:rPr/>
        <w:t>- Noise and measurement limitations can blur regime boundaries; robustness checks are required before interpretation.</w:t>
      </w:r>
    </w:p>
    <w:p>
      <w:pPr>
        <w:pStyle w:val="Normal"/>
        <w:rPr/>
      </w:pPr>
      <w:r>
        <w:t>- High-stakes applications would require dedicated domain validation and are out of scope without such validation.</w:t>
      </w:r>
    </w:p>
    <w:p>
      <w:pPr>
        <w:pStyle w:val="Normal"/>
        <w:rPr/>
      </w:pPr>
      <w:r>
        <w:rPr/>
      </w:r>
    </w:p>
    <w:p>
      <w:pPr>
        <w:pStyle w:val="Normal"/>
        <w:rPr>
          <w:b/>
        </w:rPr>
      </w:pPr>
      <w:r>
        <w:rPr>
          <w:b/>
        </w:rPr>
        <w:t xml:space="preserve">Misuse risks: </w:t>
      </w:r>
    </w:p>
    <w:p>
      <w:pPr>
        <w:pStyle w:val="Normal"/>
        <w:rPr/>
      </w:pPr>
      <w:r>
        <w:t>- Overclaiming: treating the framework as a general mechanism rather than a critique harness.</w:t>
      </w:r>
    </w:p>
    <w:p>
      <w:pPr>
        <w:pStyle w:val="Normal"/>
        <w:rPr/>
      </w:pPr>
      <w:r>
        <w:rPr/>
        <w:t>- Post-hoc fitting: selecting proxies/epsilon to match desired narratives.</w:t>
      </w:r>
    </w:p>
    <w:p>
      <w:pPr>
        <w:pStyle w:val="Normal"/>
        <w:rPr/>
      </w:pPr>
      <w:r>
        <w:rPr/>
        <w:t>- Confusing explanation with prediction: a good narrative fit is not evidence without baselines and refutation criteria.</w:t>
      </w:r>
    </w:p>
    <w:p>
      <w:pPr>
        <w:pStyle w:val="Normal"/>
        <w:rPr/>
      </w:pPr>
      <w:r>
        <w:rPr/>
        <w:t>Template E — Change-point / regime shift time series (generic)</w:t>
      </w:r>
    </w:p>
    <w:p>
      <w:pPr>
        <w:pStyle w:val="Normal"/>
        <w:rPr/>
      </w:pPr>
      <w:r>
        <w:rPr/>
        <w:t>Observables: univariate or multivariate time series y(t) (and optional covariates u(t)); optional event annotations.</w:t>
      </w:r>
    </w:p>
    <w:p>
      <w:pPr>
        <w:pStyle w:val="Normal"/>
        <w:rPr/>
      </w:pPr>
      <w:r>
        <w:rPr/>
        <w:t>Candidate proxies: phi_proxy: cumulative instability / deviation (e.g., cumulative sum of residuals, rising variance or autocorrelation, growing prediction error); gamma_proxy: compensatory/stabilizing capacity estimate (e.g., inverse variance, control parameter estimate, or model-based stability margin).</w:t>
      </w:r>
    </w:p>
    <w:p>
      <w:pPr>
        <w:pStyle w:val="Normal"/>
        <w:rPr/>
      </w:pPr>
      <w:r>
        <w:rPr/>
        <w:t>Signature to test: increasing phi_proxy preceding a regime boundary; clustering of detected change points when |phi_proxy − gamma_proxy| is within an operational epsilon band; (optional) inversion-like events reflected as sign flips or structural reversals in a fitted local model. Clustering near |phi_proxy − gamma_proxy| ≤ ε is treated as an operational proxy for threshold-enabled transitions (Inv or singularity) per Section I.</w:t>
      </w:r>
    </w:p>
    <w:p>
      <w:pPr>
        <w:pStyle w:val="Normal"/>
        <w:rPr/>
      </w:pPr>
      <w:r>
        <w:t>Baselines/ablations: strong domain baseline (B4) such as a change-point model (PELT / Bayesian online change-point) or state-space model; B0 smooth baseline (no regime boundary); B3 null-proxy baseline (autocorrelation-preserving surrogates; default: circular-shift phi_proxy; alternatives: block-permutation and FFT phase-randomized surrogates). Ablations: A2 remove threshold logic; A1 disable Inv; A3 disable accumulation.</w:t>
      </w:r>
    </w:p>
    <w:p>
      <w:pPr>
        <w:pStyle w:val="Normal"/>
        <w:rPr/>
      </w:pPr>
      <w:r>
        <w:t>Decisive data: if the best supported explanation is fully captured by a standard change-point or state-space baseline under fair comparison, or if the inferred boundary disappears/relocates under reasonable proxy alternatives and epsilon sweeps, the Field Model should be treated as non-additive for this series under this proxy mapping.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Protocol (minimum; Template E):</w:t>
      </w:r>
    </w:p>
    <w:p>
      <w:pPr>
        <w:pStyle w:val="Normal"/>
        <w:rPr/>
      </w:pPr>
      <w:r>
        <w:rPr/>
        <w:t>- Fix a strong domain baseline B4 (e.g., offline change-point model or state-space) and state fairness conditions.</w:t>
      </w:r>
    </w:p>
    <w:p>
      <w:pPr>
        <w:pStyle w:val="Normal"/>
        <w:rPr/>
      </w:pPr>
      <w:r>
        <w:rPr/>
        <w:t>- Pre-specify proxy recipe(s): phi_proxy(t), gamma_proxy(t), units, windowing/smoothing, and alternative mapping(s).</w:t>
      </w:r>
    </w:p>
    <w:p>
      <w:pPr>
        <w:pStyle w:val="Normal"/>
        <w:rPr/>
      </w:pPr>
      <w:r>
        <w:rPr/>
        <w:t>- Pre-specify an epsilon sweep (&gt;= 3 values) and the signature metric (e.g., clustering of band-entry events near B4 change points).</w:t>
      </w:r>
    </w:p>
    <w:p>
      <w:r>
        <w:t>- Define cluster_window as the symmetric tolerance (±k samples) around each B4 change point within which band-entry clusters are counted toward cluster_count; report cluster_window alongside w and epsilon.</w:t>
      </w:r>
    </w:p>
    <w:p>
      <w:pPr>
        <w:pStyle w:val="Normal"/>
        <w:rPr/>
      </w:pPr>
      <w:r>
        <w:t>- Run a null-proxy stress test (B3) using autocorrelation-preserving surrogates (default: circular shift; alternatives: block permutation or FFT phase-randomized surrogates) to estimate whether the signature exceeds what time-preserving null proxies can produce (report N_surr and method).</w:t>
      </w:r>
    </w:p>
    <w:p>
      <w:pPr>
        <w:pStyle w:val="Normal"/>
        <w:rPr/>
      </w:pPr>
      <w:r>
        <w:rPr/>
        <w:t>- Run at least one component-off ablation (e.g., A3 no-accumulation) and report which signature should vanish.</w:t>
      </w:r>
    </w:p>
    <w:p>
      <w:pPr>
        <w:pStyle w:val="Normal"/>
        <w:rPr/>
      </w:pPr>
      <w:r>
        <w:rPr/>
        <w:t>- Release a reproducibility bundle (config, data manifest, traces, plotting scripts) for any figure used as evidence.</w:t>
      </w:r>
    </w:p>
    <w:p>
      <w:r>
        <w:t>Roadmap to L3 (predictive superiority; out of scope here):</w:t>
      </w:r>
    </w:p>
    <w:p>
      <w:r>
        <w:t>- Define a single predictive task (forecast y_{t+h} or online change detection within horizon H) and one primary metric with a minimum material improvement delta.</w:t>
      </w:r>
    </w:p>
    <w:p>
      <w:r>
        <w:t>- Use a benchmark-style dataset set (multiple series) with traceable provenance (manifest + checksums) and a frozen test period.</w:t>
      </w:r>
    </w:p>
    <w:p>
      <w:r>
        <w:t>- Use chronological train/val/test splits with rolling-origin backtesting inside train/val; avoid leakage in preprocessing.</w:t>
      </w:r>
    </w:p>
    <w:p>
      <w:r>
        <w:t>- Predefine at least two OOD slices (temporal shock period and a regime/volatility slice) and report ID vs OOD separately.</w:t>
      </w:r>
    </w:p>
    <w:p>
      <w:r>
        <w:t>- Compare against closed, strong baselines (e.g., PELT and/or BOCPD) under identical preprocessing; include B0 and time-preserving B3, plus at least one ablation.</w:t>
      </w:r>
    </w:p>
    <w:p>
      <w:r>
        <w:t>- Quantify uncertainty with block bootstrap (or paired predictive-accuracy tests where appropriate) and pre-register the full evaluation to prevent post-hoc tuning.</w:t>
      </w:r>
    </w:p>
    <w:p>
      <w:pPr>
        <w:pStyle w:val="Normal"/>
        <w:rPr/>
      </w:pPr>
      <w:r>
        <w:rPr/>
        <w:t>Appendix A. Reproducibility bundle template (recommended)</w:t>
      </w:r>
    </w:p>
    <w:p>
      <w:pPr>
        <w:pStyle w:val="Normal"/>
        <w:rPr>
          <w:rFonts w:ascii="Courier New" w:hAnsi="Courier New" w:eastAsia="Courier New" w:cs="Courier New"/>
          <w:sz w:val="18"/>
        </w:rPr>
      </w:pPr>
      <w:r>
        <w:rPr/>
        <w:t>A minimal bundle should allow a third party to regenerate the key figures without guesswork.</w:t>
      </w:r>
    </w:p>
    <w:p>
      <w:pPr>
        <w:pStyle w:val="Normal"/>
        <w:rPr>
          <w:rFonts w:ascii="Courier New" w:hAnsi="Courier New" w:eastAsia="Courier New" w:cs="Courier New"/>
          <w:sz w:val="18"/>
        </w:rPr>
      </w:pPr>
      <w:r>
        <w:rPr>
          <w:rFonts w:eastAsia="Courier New" w:cs="Courier New" w:ascii="Courier New" w:hAnsi="Courier New"/>
          <w:sz w:val="18"/>
        </w:rPr>
        <w:t>project_root/</w:t>
        <w:br/>
        <w:t xml:space="preserve">  README.md</w:t>
        <w:br/>
        <w:t xml:space="preserve">  LICENSE</w:t>
        <w:br/>
        <w:t xml:space="preserve">  environment.yml  (or requirements.txt)</w:t>
        <w:br/>
        <w:t xml:space="preserve">  config/</w:t>
        <w:br/>
        <w:t xml:space="preserve">    run_config.yaml  (epsilon, alpha, beta, discretization, proxy mapping)</w:t>
        <w:br/>
        <w:t xml:space="preserve">  data/</w:t>
        <w:br/>
        <w:t xml:space="preserve">    manifest.json  (sources, checksums, licenses, exclusions)</w:t>
        <w:br/>
        <w:t xml:space="preserve">    raw/  (optional; or pointers if restricted)</w:t>
        <w:br/>
        <w:t xml:space="preserve">    processed/  (versioned; derived data)</w:t>
        <w:br/>
        <w:t xml:space="preserve">  src/</w:t>
        <w:br/>
        <w:t xml:space="preserve">    compute_proxies.py</w:t>
        <w:br/>
        <w:t xml:space="preserve">    run_model.py</w:t>
        <w:br/>
        <w:t xml:space="preserve">    baselines/  (B0-B4 implementations)</w:t>
        <w:br/>
        <w:t xml:space="preserve">    ablations/  (A0-Ak switches)</w:t>
        <w:br/>
        <w:t xml:space="preserve">    plot_figures.py</w:t>
        <w:br/>
        <w:t xml:space="preserve">  outputs/</w:t>
        <w:br/>
        <w:t xml:space="preserve">    traces/  (phi_proxy, gamma_proxy, regime labels, event times)</w:t>
        <w:br/>
        <w:t xml:space="preserve">    logs/    (stdout, warnings)</w:t>
        <w:br/>
        <w:t xml:space="preserve">    figures/ (generated)</w:t>
        <w:br/>
      </w:r>
    </w:p>
    <w:p>
      <w:pPr>
        <w:pStyle w:val="Normal"/>
        <w:rPr/>
      </w:pPr>
      <w:r>
        <w:rPr/>
        <w:t>- Archive or tag the exact code version used for the figures (repository URL + tagged release + commit hash, or an archived snapshot that includes the commit hash).</w:t>
      </w:r>
    </w:p>
    <w:p>
      <w:pPr>
        <w:pStyle w:val="Normal"/>
        <w:rPr/>
      </w:pPr>
      <w:r>
        <w:rPr/>
        <w:t>- If data cannot be shared, provide a synthetic surrogate and a clear manifest of what is missing and why.</w:t>
      </w:r>
    </w:p>
    <w:p>
      <w:pPr>
        <w:pStyle w:val="Normal"/>
        <w:rPr/>
      </w:pPr>
      <w:r>
        <w:rPr/>
        <w:t>- Record all preprocessing steps (filtering, windowing, smoothing) because they can create or erase thresholds.</w:t>
      </w:r>
    </w:p>
    <w:p>
      <w:pPr>
        <w:pStyle w:val="Normal"/>
        <w:rPr/>
      </w:pPr>
      <w:r>
        <w:rPr/>
        <w:t>Appendix B. Minimal reporting checklist (authors and reviewers)</w:t>
      </w:r>
    </w:p>
    <w:p>
      <w:pPr>
        <w:pStyle w:val="Normal"/>
        <w:rPr/>
      </w:pPr>
      <w:r>
        <w:rPr/>
        <w:t>- Proxy mapping: phi_proxy and gamma_proxy definitions, units, and preprocessing; alternatives tested.</w:t>
      </w:r>
    </w:p>
    <w:p>
      <w:pPr>
        <w:pStyle w:val="Normal"/>
        <w:rPr/>
      </w:pPr>
      <w:r>
        <w:rPr/>
        <w:t>- Operational choices: epsilon, inversion trigger, discretization, SC/SD operationalization, alpha/beta (if used).</w:t>
      </w:r>
    </w:p>
    <w:p>
      <w:r>
        <w:t>- Dataset/time window: series identifiers, inclusion/exclusion, and data-freeze reference.</w:t>
      </w:r>
    </w:p>
    <w:p>
      <w:r>
        <w:t>- Windowing: w values tested and cluster_window definition used for cluster_count.</w:t>
      </w:r>
    </w:p>
    <w:p>
      <w:r>
        <w:t>- Null-proxy: time-preserving surrogate method (circular shift / block permutation / FFT phase randomization), N_surr, and seed.</w:t>
      </w:r>
    </w:p>
    <w:p>
      <w:pPr>
        <w:pStyle w:val="Normal"/>
        <w:rPr/>
      </w:pPr>
      <w:r>
        <w:rPr/>
        <w:t>- Baselines: at least one strong baseline (B4 when available) + clear fairness of comparison (same data/processing).</w:t>
      </w:r>
    </w:p>
    <w:p>
      <w:pPr>
        <w:pStyle w:val="Normal"/>
        <w:rPr/>
      </w:pPr>
      <w:r>
        <w:rPr/>
        <w:t>- Ablations: at least one component-off test that isolates the claimed mechanism; report what signature should vanish.</w:t>
      </w:r>
    </w:p>
    <w:p>
      <w:pPr>
        <w:pStyle w:val="Normal"/>
        <w:rPr/>
      </w:pPr>
      <w:r>
        <w:rPr/>
        <w:t>- Sensitivity: epsilon sweep (&gt;=3 values) and, if stochastic, variability across seeds.</w:t>
      </w:r>
    </w:p>
    <w:p>
      <w:pPr>
        <w:pStyle w:val="Normal"/>
        <w:rPr/>
      </w:pPr>
      <w:r>
        <w:rPr/>
        <w:t>- Decisive data: one explicit observation that would refute the model in the chosen domain.</w:t>
      </w:r>
    </w:p>
    <w:p>
      <w:pPr>
        <w:pStyle w:val="Normal"/>
        <w:rPr/>
      </w:pPr>
      <w:r>
        <w:rPr/>
        <w:t>- Artifacts: code snapshot, config files, data manifest, traces, and plotting scripts for each figure.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Appendix C. Pre-registration stub (recommended)</w:t>
      </w:r>
    </w:p>
    <w:p>
      <w:pPr>
        <w:pStyle w:val="Normal"/>
        <w:rPr/>
      </w:pPr>
      <w:r>
        <w:rPr/>
        <w:t>Use this stub to separate confirmatory choices from exploratory analysis, and to reduce post-hoc fitting risk.</w:t>
      </w:r>
    </w:p>
    <w:p>
      <w:pPr>
        <w:pStyle w:val="Normal"/>
        <w:rPr/>
      </w:pPr>
      <w:r>
        <w:rPr/>
        <w:t>1) Domain and research question: (what system; what regime change is being tested?)</w:t>
      </w:r>
    </w:p>
    <w:p>
      <w:pPr>
        <w:pStyle w:val="Normal"/>
        <w:rPr/>
      </w:pPr>
      <w:r>
        <w:rPr/>
        <w:t>2) Data plan: source(s), inclusion/exclusion, time window, and any preprocessing fixed in advance.</w:t>
      </w:r>
    </w:p>
    <w:p>
      <w:pPr>
        <w:pStyle w:val="Normal"/>
        <w:rPr/>
      </w:pPr>
      <w:r>
        <w:rPr/>
        <w:t>3) Proxy recipe (primary): explicit definitions for phi_proxy(t) and gamma_proxy(t), units, filtering/windowing, and one or two pre-specified alternative proxy mappings.</w:t>
      </w:r>
    </w:p>
    <w:p>
      <w:pPr>
        <w:pStyle w:val="Normal"/>
        <w:rPr/>
      </w:pPr>
      <w:r>
        <w:rPr/>
        <w:t>4) Signature + guillotine: the primary qualitative signature to test and one decisive refutation criterion. The primary signature must include a linked guillotine (e.g., 'pre-threshold ramp in phi_proxy'; refuted if ramp is absent under B0 / null proxies).</w:t>
      </w:r>
    </w:p>
    <w:p>
      <w:pPr>
        <w:pStyle w:val="Normal"/>
        <w:rPr/>
      </w:pPr>
      <w:r>
        <w:t>5) Baselines (pre-specified): B4 strong domain baseline + at least one additional baseline; define fairness conditions (same data, same preprocessing). Include B3 null-proxy details: surrogate method (circular shift / block permutation / FFT phase randomization) and N_surr.</w:t>
      </w:r>
    </w:p>
    <w:p>
      <w:pPr>
        <w:pStyle w:val="Normal"/>
        <w:rPr/>
      </w:pPr>
      <w:r>
        <w:rPr/>
        <w:t>6) Ablations (pre-specified): choose at least one component-off test (e.g., A1 Inv off; A2 threshold off).</w:t>
      </w:r>
    </w:p>
    <w:p>
      <w:pPr>
        <w:pStyle w:val="Normal"/>
        <w:rPr/>
      </w:pPr>
      <w:r>
        <w:rPr/>
        <w:t>7) Sensitivity checks: epsilon sweep (&gt;=3 values) and (if stochastic) seed variability.</w:t>
      </w:r>
    </w:p>
    <w:p>
      <w:pPr>
        <w:pStyle w:val="Normal"/>
        <w:rPr/>
      </w:pPr>
      <w:r>
        <w:rPr/>
        <w:t>8) Reporting plan: which figures/tables will be reported regardless of outcome; how null/negative results will be stated.</w:t>
      </w:r>
    </w:p>
    <w:tbl>
      <w:tblPr>
        <w:tblW w:w="864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0"/>
        <w:gridCol w:w="4320"/>
      </w:tblGrid>
      <w:tr>
        <w:trPr/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Item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Pre-registered choice</w:t>
            </w:r>
          </w:p>
        </w:tc>
      </w:tr>
      <w:tr>
        <w:trPr/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Dataset / series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</w:p>
        </w:tc>
      </w:tr>
      <w:tr>
        <w:trPr/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phi_proxy mapping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</w:p>
        </w:tc>
      </w:tr>
      <w:tr>
        <w:trPr/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gamma_proxy mapping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</w:p>
        </w:tc>
      </w:tr>
      <w:tr>
        <w:trPr/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epsilon values (&gt;=3)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</w:p>
        </w:tc>
      </w:tr>
      <w:tr>
        <w:trPr/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Baseline B4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</w:p>
        </w:tc>
      </w:tr>
      <w:tr>
        <w:trPr/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Ablation(s)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</w:p>
        </w:tc>
      </w:tr>
      <w:tr>
        <w:trPr/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Primary signature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</w:p>
        </w:tc>
      </w:tr>
      <w:tr>
        <w:trPr/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Decisive refutation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</w:p>
        </w:tc>
      </w:tr>
      <w:tr>
        <w:tc>
          <w:tcPr>
            <w:tcW w:type="dxa" w:w="4320"/>
          </w:tcPr>
          <w:p>
            <w:r>
              <w:t>Time window / data freeze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Windowing parameters (w, cluster_window)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Null-proxy B3 method (time-preserving) + N_surr</w:t>
            </w:r>
          </w:p>
        </w:tc>
        <w:tc>
          <w:tcPr>
            <w:tcW w:type="dxa" w:w="4320"/>
          </w:tcPr>
          <w:p>
            <w:r/>
          </w:p>
        </w:tc>
      </w:tr>
      <w:tr>
        <w:tc>
          <w:tcPr>
            <w:tcW w:type="dxa" w:w="4320"/>
          </w:tcPr>
          <w:p>
            <w:r>
              <w:t>Multiplicity plan (required)</w:t>
            </w:r>
          </w:p>
        </w:tc>
        <w:tc>
          <w:tcPr>
            <w:tcW w:type="dxa" w:w="4320"/>
          </w:tcPr>
          <w:p>
            <w:r/>
          </w:p>
        </w:tc>
      </w:tr>
    </w:tbl>
    <w:p>
      <w:pPr>
        <w:pStyle w:val="Normal"/>
        <w:rPr/>
      </w:pPr>
      <w:r>
        <w:rPr/>
        <w:t>Appendix D. Worked example (Nile annual flow; illustrative)</w:t>
      </w:r>
    </w:p>
    <w:p>
      <w:r>
        <w:t>Status: L1 illustrative instantiation (protocol demonstration). Non-evidential; no empirical validation claim.</w:t>
      </w:r>
    </w:p>
    <w:p>
      <w:pPr>
        <w:pStyle w:val="Normal"/>
        <w:rPr/>
      </w:pPr>
      <w:r>
        <w:rPr/>
        <w:t>Purpose: demonstrate an end-to-end instantiation (proxy recipe + epsilon sweep + B4 strong baseline + B3 null-proxy check) without claiming predictive superiority.</w:t>
      </w:r>
    </w:p>
    <w:p>
      <w:pPr>
        <w:pStyle w:val="Normal"/>
        <w:rPr/>
      </w:pPr>
      <w:r>
        <w:rPr/>
        <w:t>Dataset: Nile annual flow series (100 annual observations), commonly used as a toy change-point example (loaded via statsmodels).</w:t>
      </w:r>
    </w:p>
    <w:p>
      <w:pPr>
        <w:pStyle w:val="Normal"/>
        <w:rPr/>
      </w:pPr>
      <w:r>
        <w:t>Baseline B4 (Template E / S1 default): PELT-style penalized mean segmentation (l2 cost; optimal partitioning DP; default penalty = log(n)·Var(y)); selected change point at year 1899 in this instantiation. Result (eps_nom=0.1): obs_cluster=0, null_mean=0.176, p_ge=1.000. This is compatible with the time-preserving null-proxy baseline (B3). The guillotine label is reported as a descriptive diagnostic for this proxy mapping (treat as non-additive here).</w:t>
      </w:r>
    </w:p>
    <w:p>
      <w:pPr>
        <w:pStyle w:val="Normal"/>
        <w:rPr/>
      </w:pPr>
      <w:r>
        <w:t>Robustness baselines (optional): Supplement S1 also reports BIC mean segmentation and a lightweight BOCPD-style online baseline under the same preprocessing/windowing; these alternatives are provided for stress testing and fair-comparison checks (they are not used for the primary signature unless explicitly selected in the S1 config).</w:t>
      </w:r>
    </w:p>
    <w:p>
      <w:pPr>
        <w:pStyle w:val="Normal"/>
        <w:rPr/>
      </w:pPr>
      <w:r>
        <w:rPr/>
        <w:t>Outputs (supplement): traces (proxies and regime labels for epsilon sweep) and figures (time series + baseline change point; proxy traces + threshold occupancy; null-proxy histogram).</w:t>
      </w:r>
    </w:p>
    <w:p>
      <w:pPr>
        <w:pStyle w:val="Normal"/>
        <w:rPr/>
      </w:pPr>
      <w:r>
        <w:t>Figure D1. Nile annual flow with B4 change point (illustrative). Generated by Supplement S1 (see outputs/). File: outputs/nile_fig1_timeseries.png.</w:t>
      </w:r>
    </w:p>
    <w:p>
      <w:pPr>
        <w:pStyle w:val="Normal"/>
        <w:jc w:val="center"/>
        <w:rPr/>
      </w:pPr>
      <w:r>
        <w:rPr/>
        <w:drawing>
          <wp:inline distT="0" distB="0" distL="0" distR="0">
            <wp:extent cx="5669915" cy="2519680"/>
            <wp:effectExtent l="0" t="0" r="0" b="0"/>
            <wp:docPr id="9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-4" t="-10" r="-4" b="-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915" cy="2519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t>Figure D2. phi_proxy and gamma_proxy with threshold occupancy (eps=0.1) and B4 change point (illustrative). Generated by Supplement S1 (see outputs/). File: outputs/nile_fig2_proxies_occ.png.</w:t>
      </w:r>
    </w:p>
    <w:p>
      <w:pPr>
        <w:pStyle w:val="Normal"/>
        <w:jc w:val="center"/>
        <w:rPr/>
      </w:pPr>
      <w:r>
        <w:rPr/>
        <w:drawing>
          <wp:inline distT="0" distB="0" distL="0" distR="0">
            <wp:extent cx="5669915" cy="2519680"/>
            <wp:effectExtent l="0" t="0" r="0" b="0"/>
            <wp:docPr id="10" name="Image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2" descr="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-4" t="-10" r="-4" b="-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915" cy="2519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t>Figure D3. Null-proxy (B3) stress test: distribution of cluster_count (band-entry clusters near the baseline change point) under time-preserving circular-shift surrogates of phi_proxy (N_surr=500). File: outputs/nile_fig3_null_proxy.png.</w:t>
      </w:r>
    </w:p>
    <w:p>
      <w:pPr>
        <w:pStyle w:val="Normal"/>
        <w:jc w:val="center"/>
        <w:rPr/>
      </w:pPr>
      <w:r>
        <w:rPr/>
        <w:drawing>
          <wp:inline distT="0" distB="0" distL="0" distR="0">
            <wp:extent cx="5485130" cy="3134360"/>
            <wp:effectExtent l="0" t="0" r="0" b="0"/>
            <wp:docPr id="11" name="Image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3" descr="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-6" t="-10" r="-6" b="-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5130" cy="3134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/>
        <w:t>Appendix E. Worked example (Synthetic jump; toy positive control + ablation)</w:t>
      </w:r>
    </w:p>
    <w:p>
      <w:r>
        <w:t>Status: L1 illustrative instantiation (protocol demonstration). Non-evidential; positive control + ablation sanity check only.</w:t>
      </w:r>
    </w:p>
    <w:p>
      <w:pPr>
        <w:pStyle w:val="Normal"/>
        <w:rPr/>
      </w:pPr>
      <w:r>
        <w:rPr/>
        <w:t>Purpose: demonstrate that the critique harness can produce a regime-boundary-linked signature under a pre-specified proxy recipe (positive control), and that the signature weakens under a component-off ablation (A3: no accumulation).</w:t>
      </w:r>
    </w:p>
    <w:p>
      <w:pPr>
        <w:pStyle w:val="Normal"/>
        <w:rPr/>
      </w:pPr>
      <w:r>
        <w:rPr/>
        <w:t>Dataset: synthetic piecewise-mean series with one change point (included in Supplement S1 as data/synthetic_jump.csv).</w:t>
      </w:r>
    </w:p>
    <w:p>
      <w:pPr>
        <w:pStyle w:val="Normal"/>
        <w:rPr/>
      </w:pPr>
      <w:r>
        <w:t>Proxy recipe: windowed drift magnitude (w=20) as phi_proxy; phi is accumulated (A0) and normalized; gamma is fixed to a constant (0.4) for this toy. Signature metric: cluster_count of band-entry events within +/- 20 samples of the B4 change point; null-proxy (B3) uses 500 time-preserving circular-shift surrogates of phi_proxy. p_ge is reported as a descriptive rank/compatibility statistic under the declared B3 scheme (no threshold; not a p-value).</w:t>
      </w:r>
    </w:p>
    <w:p>
      <w:pPr>
        <w:pStyle w:val="Normal"/>
        <w:rPr/>
      </w:pPr>
      <w:r>
        <w:rPr/>
        <w:t>Table E1. Synthetic jump summary (illustrative).</w:t>
      </w:r>
    </w:p>
    <w:tbl>
      <w:tblPr>
        <w:tblW w:w="864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9"/>
        <w:gridCol w:w="1440"/>
        <w:gridCol w:w="1440"/>
        <w:gridCol w:w="1438"/>
        <w:gridCol w:w="1440"/>
        <w:gridCol w:w="1443"/>
      </w:tblGrid>
      <w:tr>
        <w:trPr/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Variant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Change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epsilon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obs_cluster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null_mean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p_ge</w:t>
            </w:r>
          </w:p>
        </w:tc>
      </w:tr>
      <w:tr>
        <w:trPr/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A0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Full (accumulation ON)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0.02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t>0.106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t>0.106</w:t>
            </w:r>
          </w:p>
        </w:tc>
      </w:tr>
      <w:tr>
        <w:trPr/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A3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No accumulation (accumulation OFF)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0.02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tLeast" w:line="100" w:before="0" w:after="0"/>
              <w:rPr/>
            </w:pPr>
            <w:r>
              <w:rPr/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t>0.128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t>1.000</w:t>
            </w:r>
          </w:p>
        </w:tc>
      </w:tr>
    </w:tbl>
    <w:p>
      <w:pPr>
        <w:pStyle w:val="Normal"/>
        <w:rPr/>
      </w:pPr>
      <w:r>
        <w:t>Figure E1. Synthetic jump series with B4 change point (illustrative). Generated by Supplement S1 (see outputs/). File: outputs/synthetic_jump_fig1_timeseries.png.</w:t>
      </w:r>
    </w:p>
    <w:p>
      <w:pPr>
        <w:pStyle w:val="Normal"/>
        <w:jc w:val="center"/>
        <w:rPr/>
      </w:pPr>
      <w:r>
        <w:rPr/>
        <w:drawing>
          <wp:inline distT="0" distB="0" distL="0" distR="0">
            <wp:extent cx="5763895" cy="2161540"/>
            <wp:effectExtent l="0" t="0" r="0" b="0"/>
            <wp:docPr id="12" name="Image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4" descr="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-5" t="-13" r="-5" b="-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3895" cy="2161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t>Figure E2. A0 (accumulation ON): proxies and threshold occupancy (eps=0.02) with B4 change point (illustrative). Generated by Supplement S1 (see outputs/). File: outputs/synthetic_jump_fig2_proxies_occ.png.</w:t>
      </w:r>
    </w:p>
    <w:p>
      <w:pPr>
        <w:pStyle w:val="Normal"/>
        <w:jc w:val="center"/>
        <w:rPr/>
      </w:pPr>
      <w:r>
        <w:rPr/>
        <w:drawing>
          <wp:inline distT="0" distB="0" distL="0" distR="0">
            <wp:extent cx="5763895" cy="2161540"/>
            <wp:effectExtent l="0" t="0" r="0" b="0"/>
            <wp:docPr id="13" name="Image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5" descr="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l="-5" t="-13" r="-5" b="-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3895" cy="2161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t>Figure E3. A3 (no accumulation): proxies and threshold occupancy (eps=0.02) with B4 change point (illustrative). Generated by Supplement S1 (see outputs/). File: outputs/synthetic_jump_A3_noaccum_fig2_proxies_occ.png.</w:t>
      </w:r>
    </w:p>
    <w:p>
      <w:pPr>
        <w:pStyle w:val="Normal"/>
        <w:jc w:val="center"/>
        <w:rPr/>
      </w:pPr>
      <w:r>
        <w:rPr/>
        <w:drawing>
          <wp:inline distT="0" distB="0" distL="0" distR="0">
            <wp:extent cx="5763895" cy="2161540"/>
            <wp:effectExtent l="0" t="0" r="0" b="0"/>
            <wp:docPr id="14" name="Image6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6" descr="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l="-5" t="-13" r="-5" b="-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3895" cy="2161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/>
        <w:t>Appendix F. Stress test (Sunspots annual numbers; illustrative)</w:t>
      </w:r>
    </w:p>
    <w:p>
      <w:r>
        <w:t>Status: L1 illustrative stress test (protocol demonstration). Non-evidential; no confirmatory inference.</w:t>
      </w:r>
    </w:p>
    <w:p>
      <w:pPr>
        <w:pStyle w:val="Normal"/>
        <w:rPr/>
      </w:pPr>
      <w:r>
        <w:t>Dataset: annual sunspot numbers (included in Supplement S1 as data/sunspots.csv). Baseline B4 (Template E / S1 default): PELT-style penalized mean segmentation (l2 cost; optimal partitioning DP; penalty default = log(n)·Var(y)).</w:t>
      </w:r>
    </w:p>
    <w:p>
      <w:pPr>
        <w:pStyle w:val="Normal"/>
        <w:rPr/>
      </w:pPr>
      <w:r>
        <w:t>Result (eps_nom=0.1): obs_cluster=6, null_mean=5.420, p_ge=0.417. This is compatible with the time-preserving B3 null distribution. Guillotine rule (reporting aid, not a dichotomous claim): p_ge is descriptive only; we report raw p_ge and the null summary without applying any decision threshold, so no additive value is claimed for this proxy mapping.</w:t>
      </w:r>
    </w:p>
    <w:p>
      <w:pPr>
        <w:pStyle w:val="Normal"/>
        <w:rPr/>
      </w:pPr>
      <w:r>
        <w:t>Figure F1. Sunspots time series with B4 change points (illustrative). Generated by Supplement S1 (see outputs/). File: outputs/sunspots_fig1_timeseries.png.</w:t>
      </w:r>
    </w:p>
    <w:p>
      <w:pPr>
        <w:pStyle w:val="Normal"/>
        <w:jc w:val="center"/>
        <w:rPr/>
      </w:pPr>
      <w:r>
        <w:rPr/>
        <w:drawing>
          <wp:inline distT="0" distB="0" distL="0" distR="0">
            <wp:extent cx="5763895" cy="2161540"/>
            <wp:effectExtent l="0" t="0" r="0" b="0"/>
            <wp:docPr id="15" name="Image7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7" descr="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l="-5" t="-13" r="-5" b="-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3895" cy="2161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t>Figure F2. Null-proxy (B3) stress test histogram for eps=0.1 (illustrative). Generated by Supplement S1 (see outputs/). File: outputs/sunspots_fig3_null_proxy.png.</w:t>
      </w:r>
    </w:p>
    <w:p>
      <w:pPr>
        <w:pStyle w:val="Normal"/>
        <w:jc w:val="center"/>
        <w:rPr/>
      </w:pPr>
      <w:r>
        <w:rPr/>
        <w:drawing>
          <wp:inline distT="0" distB="0" distL="0" distR="0">
            <wp:extent cx="5760720" cy="2880360"/>
            <wp:effectExtent l="0" t="0" r="0" b="0"/>
            <wp:docPr id="16" name="Image8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" descr="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l="-7" t="-13" r="-7" b="-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880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t>Supplement S1 (v2.4.3) provides an executable, dependency-light protocol implementing Template E across multiple series (Nile, Sunspots, CO2 annual (mean), tbilrate quarterly (US), and a synthetic positive control), including outputs/summary_table.csv. In v2.4.3, the B3 null-proxy uses autocorrelation-preserving surrogates (default: circular shift; alternatives: block permutation and FFT phase-randomized surrogates), and the default B4 baseline for Template E is the fully specified PELT-style l2 penalized segmentation (with BIC mean segmentation and a lightweight BOCPD-style baseline as robustness alternatives). The Zenodo-ready S1 bundle includes LICENSE, CITATION.cff, MANIFEST, sha256 checksums, a smoke test, and an explicit artifact map.</w:t>
      </w:r>
    </w:p>
    <w:p>
      <w:pPr>
        <w:pStyle w:val="Normal"/>
        <w:rPr>
          <w:rFonts w:ascii="Courier New" w:hAnsi="Courier New" w:cs="Courier New"/>
          <w:sz w:val="18"/>
        </w:rPr>
      </w:pPr>
      <w:r>
        <w:rPr/>
        <w:t>How to run (from the supplement root):</w:t>
      </w:r>
    </w:p>
    <w:p>
      <w:pPr>
        <w:pStyle w:val="Normal"/>
        <w:rPr>
          <w:rFonts w:ascii="Courier New" w:hAnsi="Courier New" w:cs="Courier New"/>
          <w:sz w:val="18"/>
        </w:rPr>
      </w:pPr>
      <w:r>
        <w:rPr>
          <w:rFonts w:cs="Courier New" w:ascii="Courier New" w:hAnsi="Courier New"/>
          <w:sz w:val="18"/>
        </w:rPr>
        <w:t>python -m venv .venv</w:t>
      </w:r>
    </w:p>
    <w:p>
      <w:pPr>
        <w:pStyle w:val="Normal"/>
        <w:rPr>
          <w:rFonts w:ascii="Courier New" w:hAnsi="Courier New" w:cs="Courier New"/>
          <w:sz w:val="18"/>
        </w:rPr>
      </w:pPr>
      <w:r>
        <w:rPr>
          <w:rFonts w:cs="Courier New" w:ascii="Courier New" w:hAnsi="Courier New"/>
          <w:sz w:val="18"/>
        </w:rPr>
        <w:t>source .venv/bin/activate   # (Windows: .venv\Scripts\activate)</w:t>
      </w:r>
    </w:p>
    <w:p>
      <w:pPr>
        <w:pStyle w:val="Normal"/>
        <w:rPr>
          <w:rFonts w:ascii="Courier New" w:hAnsi="Courier New" w:cs="Courier New"/>
          <w:sz w:val="18"/>
        </w:rPr>
      </w:pPr>
      <w:r>
        <w:rPr>
          <w:rFonts w:cs="Courier New" w:ascii="Courier New" w:hAnsi="Courier New"/>
          <w:sz w:val="18"/>
        </w:rPr>
        <w:t>pip install -r requirements.txt</w:t>
      </w:r>
    </w:p>
    <w:p>
      <w:pPr>
        <w:pStyle w:val="Normal"/>
        <w:rPr>
          <w:rFonts w:ascii="Courier New" w:hAnsi="Courier New" w:cs="Courier New"/>
          <w:sz w:val="18"/>
        </w:rPr>
      </w:pPr>
      <w:r>
        <w:t>python run_all.py --config config/default.json   # quick check: python smoke_test.py</w:t>
      </w:r>
    </w:p>
    <w:p>
      <w:pPr>
        <w:pStyle w:val="Normal"/>
        <w:rPr>
          <w:rStyle w:val="Strong"/>
        </w:rPr>
      </w:pPr>
      <w:r>
        <w:rPr/>
        <w:t>Outputs: per-dataset *_meta.json (declared choices), *_traces.csv, baseline files, and PNG figures under outputs/.</w:t>
      </w:r>
    </w:p>
    <w:p>
      <w:r>
        <w:t>Interpretation of p_ge (descriptive only): p_ge denotes the fraction of B3 surrogate replicates whose statistic is &gt;= the observed statistic under the declared null scheme. It is reported as a descriptive rank/compatibility indicator only; no decision threshold or hypothesis-test interpretation is intended, and p_ge must not be read as a p-value. Any confirmatory decision rule would require a pre-specified multiplicity-aware analysis plan.</w:t>
      </w:r>
    </w:p>
    <w:p>
      <w:pPr>
        <w:pStyle w:val="BodyText"/>
        <w:rPr>
          <w:rStyle w:val="Strong"/>
        </w:rPr>
      </w:pPr>
      <w:r>
        <w:t>Table H1. Multi-series summary (eps_nom shown; see Supplement S1 v2.4.3 for full traces and configs).</w:t>
      </w:r>
    </w:p>
    <w:tbl>
      <w:tblPr>
        <w:tblW w:w="8640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295"/>
        <w:gridCol w:w="428"/>
        <w:gridCol w:w="972"/>
        <w:gridCol w:w="1102"/>
        <w:gridCol w:w="682"/>
        <w:gridCol w:w="878"/>
        <w:gridCol w:w="787"/>
        <w:gridCol w:w="595"/>
        <w:gridCol w:w="1901"/>
      </w:tblGrid>
      <w:tr>
        <w:trPr>
          <w:tblHeader w:val="true"/>
        </w:trPr>
        <w:tc>
          <w:tcPr>
            <w:tcW w:w="1295" w:type="dxa"/>
            <w:tcBorders/>
            <w:vAlign w:val="center"/>
          </w:tcPr>
          <w:p>
            <w:pPr>
              <w:pStyle w:val="Encabezadodelatabla"/>
              <w:suppressLineNumbers/>
              <w:spacing w:before="0" w:after="200"/>
              <w:jc w:val="center"/>
              <w:rPr/>
            </w:pPr>
            <w:r>
              <w:rPr/>
              <w:t>Dataset</w:t>
            </w:r>
          </w:p>
        </w:tc>
        <w:tc>
          <w:tcPr>
            <w:tcW w:w="428" w:type="dxa"/>
            <w:tcBorders/>
            <w:vAlign w:val="center"/>
          </w:tcPr>
          <w:p>
            <w:pPr>
              <w:pStyle w:val="Encabezadodelatabla"/>
              <w:suppressLineNumbers/>
              <w:spacing w:before="0" w:after="200"/>
              <w:jc w:val="center"/>
              <w:rPr/>
            </w:pPr>
            <w:r>
              <w:rPr/>
              <w:t>n</w:t>
            </w:r>
          </w:p>
        </w:tc>
        <w:tc>
          <w:tcPr>
            <w:tcW w:w="972" w:type="dxa"/>
            <w:tcBorders/>
            <w:vAlign w:val="center"/>
          </w:tcPr>
          <w:p>
            <w:pPr>
              <w:pStyle w:val="Encabezadodelatabla"/>
              <w:suppressLineNumbers/>
              <w:spacing w:before="0" w:after="200"/>
              <w:jc w:val="center"/>
              <w:rPr/>
            </w:pPr>
            <w:r>
              <w:rPr/>
              <w:t>window (w)</w:t>
            </w:r>
          </w:p>
        </w:tc>
        <w:tc>
          <w:tcPr>
            <w:tcW w:w="1102" w:type="dxa"/>
            <w:tcBorders/>
            <w:vAlign w:val="center"/>
          </w:tcPr>
          <w:p>
            <w:pPr>
              <w:pStyle w:val="Encabezadodelatabla"/>
              <w:suppressLineNumbers/>
              <w:spacing w:before="0" w:after="200"/>
              <w:jc w:val="center"/>
              <w:rPr/>
            </w:pPr>
            <w:r>
              <w:rPr/>
              <w:t>cluster_window</w:t>
            </w:r>
          </w:p>
        </w:tc>
        <w:tc>
          <w:tcPr>
            <w:tcW w:w="682" w:type="dxa"/>
            <w:tcBorders/>
            <w:vAlign w:val="center"/>
          </w:tcPr>
          <w:p>
            <w:pPr>
              <w:pStyle w:val="Encabezadodelatabla"/>
              <w:suppressLineNumbers/>
              <w:spacing w:before="0" w:after="200"/>
              <w:jc w:val="center"/>
              <w:rPr/>
            </w:pPr>
            <w:r>
              <w:rPr/>
              <w:t>eps_nom</w:t>
            </w:r>
          </w:p>
        </w:tc>
        <w:tc>
          <w:tcPr>
            <w:tcW w:w="878" w:type="dxa"/>
            <w:tcBorders/>
            <w:vAlign w:val="center"/>
          </w:tcPr>
          <w:p>
            <w:pPr>
              <w:pStyle w:val="Encabezadodelatabla"/>
              <w:suppressLineNumbers/>
              <w:spacing w:before="0" w:after="200"/>
              <w:jc w:val="center"/>
              <w:rPr/>
            </w:pPr>
            <w:r>
              <w:rPr/>
              <w:t>obs_cluster</w:t>
            </w:r>
          </w:p>
        </w:tc>
        <w:tc>
          <w:tcPr>
            <w:tcW w:w="787" w:type="dxa"/>
            <w:tcBorders/>
            <w:vAlign w:val="center"/>
          </w:tcPr>
          <w:p>
            <w:pPr>
              <w:pStyle w:val="Encabezadodelatabla"/>
              <w:suppressLineNumbers/>
              <w:spacing w:before="0" w:after="200"/>
              <w:jc w:val="center"/>
              <w:rPr/>
            </w:pPr>
            <w:r>
              <w:rPr/>
              <w:t>null_mean</w:t>
            </w:r>
          </w:p>
        </w:tc>
        <w:tc>
          <w:tcPr>
            <w:tcW w:w="595" w:type="dxa"/>
            <w:tcBorders/>
            <w:vAlign w:val="center"/>
          </w:tcPr>
          <w:p>
            <w:pPr>
              <w:pStyle w:val="Encabezadodelatabla"/>
              <w:suppressLineNumbers/>
              <w:spacing w:before="0" w:after="200"/>
              <w:jc w:val="center"/>
              <w:rPr/>
            </w:pPr>
            <w:r>
              <w:rPr/>
              <w:t>p_ge</w:t>
            </w:r>
          </w:p>
        </w:tc>
        <w:tc>
          <w:tcPr>
            <w:tcW w:w="1901" w:type="dxa"/>
            <w:tcBorders/>
            <w:vAlign w:val="center"/>
          </w:tcPr>
          <w:p>
            <w:pPr>
              <w:pStyle w:val="Encabezadodelatabla"/>
              <w:suppressLineNumbers/>
              <w:spacing w:before="0" w:after="200"/>
              <w:jc w:val="center"/>
              <w:rPr/>
            </w:pPr>
            <w:r>
              <w:rPr/>
              <w:t>Verdict (this proxy mapping)</w:t>
            </w:r>
          </w:p>
        </w:tc>
      </w:tr>
      <w:tr>
        <w:trPr/>
        <w:tc>
          <w:tcPr>
            <w:tcW w:w="1295" w:type="dxa"/>
            <w:tcBorders/>
            <w:vAlign w:val="center"/>
          </w:tcPr>
          <w:p>
            <w:pPr>
              <w:pStyle w:val="Contenidodelatabla"/>
              <w:suppressLineNumbers/>
              <w:spacing w:before="0" w:after="200"/>
              <w:rPr/>
            </w:pPr>
            <w:r>
              <w:rPr/>
              <w:t>Nile</w:t>
            </w:r>
          </w:p>
        </w:tc>
        <w:tc>
          <w:tcPr>
            <w:tcW w:w="428" w:type="dxa"/>
            <w:tcBorders/>
            <w:vAlign w:val="center"/>
          </w:tcPr>
          <w:p>
            <w:r>
              <w:t>100</w:t>
            </w:r>
          </w:p>
        </w:tc>
        <w:tc>
          <w:tcPr>
            <w:tcW w:w="972" w:type="dxa"/>
            <w:tcBorders/>
            <w:vAlign w:val="center"/>
          </w:tcPr>
          <w:p>
            <w:r>
              <w:t>10</w:t>
            </w:r>
          </w:p>
        </w:tc>
        <w:tc>
          <w:tcPr>
            <w:tcW w:w="1102" w:type="dxa"/>
            <w:tcBorders/>
            <w:vAlign w:val="center"/>
          </w:tcPr>
          <w:p>
            <w:r>
              <w:t>5</w:t>
            </w:r>
          </w:p>
        </w:tc>
        <w:tc>
          <w:tcPr>
            <w:tcW w:w="682" w:type="dxa"/>
            <w:tcBorders/>
            <w:vAlign w:val="center"/>
          </w:tcPr>
          <w:p>
            <w:r>
              <w:t>0.10</w:t>
            </w:r>
          </w:p>
        </w:tc>
        <w:tc>
          <w:tcPr>
            <w:tcW w:w="878" w:type="dxa"/>
            <w:tcBorders/>
            <w:vAlign w:val="center"/>
          </w:tcPr>
          <w:p>
            <w:r>
              <w:t>0</w:t>
            </w:r>
          </w:p>
        </w:tc>
        <w:tc>
          <w:tcPr>
            <w:tcW w:w="787" w:type="dxa"/>
            <w:tcBorders/>
            <w:vAlign w:val="center"/>
          </w:tcPr>
          <w:p>
            <w:r>
              <w:t>0.176</w:t>
            </w:r>
          </w:p>
        </w:tc>
        <w:tc>
          <w:tcPr>
            <w:tcW w:w="595" w:type="dxa"/>
            <w:tcBorders/>
            <w:vAlign w:val="center"/>
          </w:tcPr>
          <w:p>
            <w:r>
              <w:t>1.000</w:t>
            </w:r>
          </w:p>
        </w:tc>
        <w:tc>
          <w:tcPr>
            <w:tcW w:w="1901" w:type="dxa"/>
            <w:tcBorders/>
            <w:vAlign w:val="center"/>
          </w:tcPr>
          <w:p>
            <w:r>
              <w:t>Guillotine (compatible with null)</w:t>
            </w:r>
          </w:p>
        </w:tc>
      </w:tr>
      <w:tr>
        <w:trPr/>
        <w:tc>
          <w:tcPr>
            <w:tcW w:w="1295" w:type="dxa"/>
            <w:tcBorders/>
            <w:vAlign w:val="center"/>
          </w:tcPr>
          <w:p>
            <w:pPr>
              <w:pStyle w:val="Contenidodelatabla"/>
              <w:suppressLineNumbers/>
              <w:spacing w:before="0" w:after="200"/>
              <w:rPr/>
            </w:pPr>
            <w:r>
              <w:rPr/>
              <w:t>Sunspots</w:t>
            </w:r>
          </w:p>
        </w:tc>
        <w:tc>
          <w:tcPr>
            <w:tcW w:w="428" w:type="dxa"/>
            <w:tcBorders/>
            <w:vAlign w:val="center"/>
          </w:tcPr>
          <w:p>
            <w:r>
              <w:t>309</w:t>
            </w:r>
          </w:p>
        </w:tc>
        <w:tc>
          <w:tcPr>
            <w:tcW w:w="972" w:type="dxa"/>
            <w:tcBorders/>
            <w:vAlign w:val="center"/>
          </w:tcPr>
          <w:p>
            <w:r>
              <w:t>10</w:t>
            </w:r>
          </w:p>
        </w:tc>
        <w:tc>
          <w:tcPr>
            <w:tcW w:w="1102" w:type="dxa"/>
            <w:tcBorders/>
            <w:vAlign w:val="center"/>
          </w:tcPr>
          <w:p>
            <w:r>
              <w:t>10</w:t>
            </w:r>
          </w:p>
        </w:tc>
        <w:tc>
          <w:tcPr>
            <w:tcW w:w="682" w:type="dxa"/>
            <w:tcBorders/>
            <w:vAlign w:val="center"/>
          </w:tcPr>
          <w:p>
            <w:r>
              <w:t>0.10</w:t>
            </w:r>
          </w:p>
        </w:tc>
        <w:tc>
          <w:tcPr>
            <w:tcW w:w="878" w:type="dxa"/>
            <w:tcBorders/>
            <w:vAlign w:val="center"/>
          </w:tcPr>
          <w:p>
            <w:r>
              <w:t>6</w:t>
            </w:r>
          </w:p>
        </w:tc>
        <w:tc>
          <w:tcPr>
            <w:tcW w:w="787" w:type="dxa"/>
            <w:tcBorders/>
            <w:vAlign w:val="center"/>
          </w:tcPr>
          <w:p>
            <w:r>
              <w:t>5.420</w:t>
            </w:r>
          </w:p>
        </w:tc>
        <w:tc>
          <w:tcPr>
            <w:tcW w:w="595" w:type="dxa"/>
            <w:tcBorders/>
            <w:vAlign w:val="center"/>
          </w:tcPr>
          <w:p>
            <w:r>
              <w:t>0.417</w:t>
            </w:r>
          </w:p>
        </w:tc>
        <w:tc>
          <w:tcPr>
            <w:tcW w:w="1901" w:type="dxa"/>
            <w:tcBorders/>
            <w:vAlign w:val="center"/>
          </w:tcPr>
          <w:p>
            <w:r>
              <w:t>Guillotine (compatible with null)</w:t>
            </w:r>
          </w:p>
        </w:tc>
      </w:tr>
      <w:tr>
        <w:trPr/>
        <w:tc>
          <w:tcPr>
            <w:tcW w:w="1295" w:type="dxa"/>
            <w:tcBorders/>
            <w:vAlign w:val="center"/>
          </w:tcPr>
          <w:p>
            <w:r>
              <w:t>CO2 annual (mean)</w:t>
            </w:r>
          </w:p>
        </w:tc>
        <w:tc>
          <w:tcPr>
            <w:tcW w:w="428" w:type="dxa"/>
            <w:tcBorders/>
            <w:vAlign w:val="center"/>
          </w:tcPr>
          <w:p>
            <w:r>
              <w:t>44</w:t>
            </w:r>
          </w:p>
        </w:tc>
        <w:tc>
          <w:tcPr>
            <w:tcW w:w="972" w:type="dxa"/>
            <w:tcBorders/>
            <w:vAlign w:val="center"/>
          </w:tcPr>
          <w:p>
            <w:r>
              <w:t>5</w:t>
            </w:r>
          </w:p>
        </w:tc>
        <w:tc>
          <w:tcPr>
            <w:tcW w:w="1102" w:type="dxa"/>
            <w:tcBorders/>
            <w:vAlign w:val="center"/>
          </w:tcPr>
          <w:p>
            <w:r>
              <w:t>2</w:t>
            </w:r>
          </w:p>
        </w:tc>
        <w:tc>
          <w:tcPr>
            <w:tcW w:w="682" w:type="dxa"/>
            <w:tcBorders/>
            <w:vAlign w:val="center"/>
          </w:tcPr>
          <w:p>
            <w:r>
              <w:t>0.10</w:t>
            </w:r>
          </w:p>
        </w:tc>
        <w:tc>
          <w:tcPr>
            <w:tcW w:w="878" w:type="dxa"/>
            <w:tcBorders/>
            <w:vAlign w:val="center"/>
          </w:tcPr>
          <w:p>
            <w:r>
              <w:t>0</w:t>
            </w:r>
          </w:p>
        </w:tc>
        <w:tc>
          <w:tcPr>
            <w:tcW w:w="787" w:type="dxa"/>
            <w:tcBorders/>
            <w:vAlign w:val="center"/>
          </w:tcPr>
          <w:p>
            <w:r>
              <w:t>0.827</w:t>
            </w:r>
          </w:p>
        </w:tc>
        <w:tc>
          <w:tcPr>
            <w:tcW w:w="595" w:type="dxa"/>
            <w:tcBorders/>
            <w:vAlign w:val="center"/>
          </w:tcPr>
          <w:p>
            <w:r>
              <w:t>1.000</w:t>
            </w:r>
          </w:p>
        </w:tc>
        <w:tc>
          <w:tcPr>
            <w:tcW w:w="1901" w:type="dxa"/>
            <w:tcBorders/>
            <w:vAlign w:val="center"/>
          </w:tcPr>
          <w:p>
            <w:r>
              <w:t>Guillotine (compatible with null)</w:t>
            </w:r>
          </w:p>
        </w:tc>
      </w:tr>
      <w:tr>
        <w:trPr/>
        <w:tc>
          <w:tcPr>
            <w:tcW w:w="1295" w:type="dxa"/>
            <w:tcBorders/>
            <w:vAlign w:val="center"/>
          </w:tcPr>
          <w:p>
            <w:r>
              <w:t>tbilrate quarterly (US)</w:t>
            </w:r>
          </w:p>
        </w:tc>
        <w:tc>
          <w:tcPr>
            <w:tcW w:w="428" w:type="dxa"/>
            <w:tcBorders/>
            <w:vAlign w:val="center"/>
          </w:tcPr>
          <w:p>
            <w:r>
              <w:t>203</w:t>
            </w:r>
          </w:p>
        </w:tc>
        <w:tc>
          <w:tcPr>
            <w:tcW w:w="972" w:type="dxa"/>
            <w:tcBorders/>
            <w:vAlign w:val="center"/>
          </w:tcPr>
          <w:p>
            <w:r>
              <w:t>8</w:t>
            </w:r>
          </w:p>
        </w:tc>
        <w:tc>
          <w:tcPr>
            <w:tcW w:w="1102" w:type="dxa"/>
            <w:tcBorders/>
            <w:vAlign w:val="center"/>
          </w:tcPr>
          <w:p>
            <w:r>
              <w:t>8</w:t>
            </w:r>
          </w:p>
        </w:tc>
        <w:tc>
          <w:tcPr>
            <w:tcW w:w="682" w:type="dxa"/>
            <w:tcBorders/>
            <w:vAlign w:val="center"/>
          </w:tcPr>
          <w:p>
            <w:r>
              <w:t>0.10</w:t>
            </w:r>
          </w:p>
        </w:tc>
        <w:tc>
          <w:tcPr>
            <w:tcW w:w="878" w:type="dxa"/>
            <w:tcBorders/>
            <w:vAlign w:val="center"/>
          </w:tcPr>
          <w:p>
            <w:r>
              <w:t>4</w:t>
            </w:r>
          </w:p>
        </w:tc>
        <w:tc>
          <w:tcPr>
            <w:tcW w:w="787" w:type="dxa"/>
            <w:tcBorders/>
            <w:vAlign w:val="center"/>
          </w:tcPr>
          <w:p>
            <w:r>
              <w:t>3.443</w:t>
            </w:r>
          </w:p>
        </w:tc>
        <w:tc>
          <w:tcPr>
            <w:tcW w:w="595" w:type="dxa"/>
            <w:tcBorders/>
            <w:vAlign w:val="center"/>
          </w:tcPr>
          <w:p>
            <w:r>
              <w:t>0.457</w:t>
            </w:r>
          </w:p>
        </w:tc>
        <w:tc>
          <w:tcPr>
            <w:tcW w:w="1901" w:type="dxa"/>
            <w:tcBorders/>
            <w:vAlign w:val="center"/>
          </w:tcPr>
          <w:p>
            <w:r>
              <w:t>Guillotine (compatible with null)</w:t>
            </w:r>
          </w:p>
        </w:tc>
      </w:tr>
      <w:tr>
        <w:trPr/>
        <w:tc>
          <w:tcPr>
            <w:tcW w:w="1295" w:type="dxa"/>
            <w:tcBorders/>
            <w:vAlign w:val="center"/>
          </w:tcPr>
          <w:p>
            <w:pPr>
              <w:pStyle w:val="Contenidodelatabla"/>
              <w:suppressLineNumbers/>
              <w:spacing w:before="0" w:after="200"/>
              <w:rPr/>
            </w:pPr>
            <w:r>
              <w:rPr/>
              <w:t>Synthetic jump (A0)</w:t>
            </w:r>
          </w:p>
        </w:tc>
        <w:tc>
          <w:tcPr>
            <w:tcW w:w="428" w:type="dxa"/>
            <w:tcBorders/>
            <w:vAlign w:val="center"/>
          </w:tcPr>
          <w:p>
            <w:r>
              <w:t>400</w:t>
            </w:r>
          </w:p>
        </w:tc>
        <w:tc>
          <w:tcPr>
            <w:tcW w:w="972" w:type="dxa"/>
            <w:tcBorders/>
            <w:vAlign w:val="center"/>
          </w:tcPr>
          <w:p>
            <w:r>
              <w:t>20</w:t>
            </w:r>
          </w:p>
        </w:tc>
        <w:tc>
          <w:tcPr>
            <w:tcW w:w="1102" w:type="dxa"/>
            <w:tcBorders/>
            <w:vAlign w:val="center"/>
          </w:tcPr>
          <w:p>
            <w:r>
              <w:t>20</w:t>
            </w:r>
          </w:p>
        </w:tc>
        <w:tc>
          <w:tcPr>
            <w:tcW w:w="682" w:type="dxa"/>
            <w:tcBorders/>
            <w:vAlign w:val="center"/>
          </w:tcPr>
          <w:p>
            <w:r>
              <w:t>0.02</w:t>
            </w:r>
          </w:p>
        </w:tc>
        <w:tc>
          <w:tcPr>
            <w:tcW w:w="878" w:type="dxa"/>
            <w:tcBorders/>
            <w:vAlign w:val="center"/>
          </w:tcPr>
          <w:p>
            <w:r>
              <w:t>1</w:t>
            </w:r>
          </w:p>
        </w:tc>
        <w:tc>
          <w:tcPr>
            <w:tcW w:w="787" w:type="dxa"/>
            <w:tcBorders/>
            <w:vAlign w:val="center"/>
          </w:tcPr>
          <w:p>
            <w:r>
              <w:t>0.106</w:t>
            </w:r>
          </w:p>
        </w:tc>
        <w:tc>
          <w:tcPr>
            <w:tcW w:w="595" w:type="dxa"/>
            <w:tcBorders/>
            <w:vAlign w:val="center"/>
          </w:tcPr>
          <w:p>
            <w:r>
              <w:t>0.106</w:t>
            </w:r>
          </w:p>
        </w:tc>
        <w:tc>
          <w:tcPr>
            <w:tcW w:w="1901" w:type="dxa"/>
            <w:tcBorders/>
            <w:vAlign w:val="center"/>
          </w:tcPr>
          <w:p>
            <w:r>
              <w:t>Positive control (illustrative)</w:t>
            </w:r>
          </w:p>
        </w:tc>
      </w:tr>
      <w:tr>
        <w:trPr/>
        <w:tc>
          <w:tcPr>
            <w:tcW w:w="1295" w:type="dxa"/>
            <w:tcBorders/>
            <w:vAlign w:val="center"/>
          </w:tcPr>
          <w:p>
            <w:pPr>
              <w:pStyle w:val="Contenidodelatabla"/>
              <w:suppressLineNumbers/>
              <w:spacing w:before="0" w:after="200"/>
              <w:rPr/>
            </w:pPr>
            <w:r>
              <w:rPr/>
              <w:t>Synthetic jump (A3)</w:t>
            </w:r>
          </w:p>
        </w:tc>
        <w:tc>
          <w:tcPr>
            <w:tcW w:w="428" w:type="dxa"/>
            <w:tcBorders/>
            <w:vAlign w:val="center"/>
          </w:tcPr>
          <w:p>
            <w:r>
              <w:t>400</w:t>
            </w:r>
          </w:p>
        </w:tc>
        <w:tc>
          <w:tcPr>
            <w:tcW w:w="972" w:type="dxa"/>
            <w:tcBorders/>
            <w:vAlign w:val="center"/>
          </w:tcPr>
          <w:p>
            <w:r>
              <w:t>20</w:t>
            </w:r>
          </w:p>
        </w:tc>
        <w:tc>
          <w:tcPr>
            <w:tcW w:w="1102" w:type="dxa"/>
            <w:tcBorders/>
            <w:vAlign w:val="center"/>
          </w:tcPr>
          <w:p>
            <w:r>
              <w:t>20</w:t>
            </w:r>
          </w:p>
        </w:tc>
        <w:tc>
          <w:tcPr>
            <w:tcW w:w="682" w:type="dxa"/>
            <w:tcBorders/>
            <w:vAlign w:val="center"/>
          </w:tcPr>
          <w:p>
            <w:r>
              <w:t>0.02</w:t>
            </w:r>
          </w:p>
        </w:tc>
        <w:tc>
          <w:tcPr>
            <w:tcW w:w="878" w:type="dxa"/>
            <w:tcBorders/>
            <w:vAlign w:val="center"/>
          </w:tcPr>
          <w:p>
            <w:r>
              <w:t>0</w:t>
            </w:r>
          </w:p>
        </w:tc>
        <w:tc>
          <w:tcPr>
            <w:tcW w:w="787" w:type="dxa"/>
            <w:tcBorders/>
            <w:vAlign w:val="center"/>
          </w:tcPr>
          <w:p>
            <w:r>
              <w:t>0.128</w:t>
            </w:r>
          </w:p>
        </w:tc>
        <w:tc>
          <w:tcPr>
            <w:tcW w:w="595" w:type="dxa"/>
            <w:tcBorders/>
            <w:vAlign w:val="center"/>
          </w:tcPr>
          <w:p>
            <w:r>
              <w:t>1.000</w:t>
            </w:r>
          </w:p>
        </w:tc>
        <w:tc>
          <w:tcPr>
            <w:tcW w:w="1901" w:type="dxa"/>
            <w:tcBorders/>
            <w:vAlign w:val="center"/>
          </w:tcPr>
          <w:p>
            <w:r>
              <w:t>Ablation removes signature</w:t>
            </w:r>
          </w:p>
        </w:tc>
      </w:tr>
    </w:tbl>
    <w:p>
      <w:pPr>
        <w:pStyle w:val="BodyText"/>
        <w:rPr>
          <w:b/>
          <w:sz w:val="28"/>
        </w:rPr>
      </w:pPr>
      <w:r>
        <w:t>Interpretation: under this proxy recipe, the real-world series show signatures compatible with the time-preserving null-proxy baseline (B3); the guillotine label is therefore reported as a descriptive diagnostic (no additive evidence claimed under this mapping). The toy positive control demonstrates that the ablation harness can remove the signature when a component (accumulation) is disabled.</w:t>
      </w:r>
    </w:p>
    <w:p/>
    <w:p>
      <w:r>
        <w:t>• Any claim stronger than L2 (see claim ladder) requires a frozen test evaluation, explicit OOD definition, and a multiplicity-aware inference plan.</w:t>
      </w:r>
    </w:p>
    <w:p>
      <w:r>
        <w:t>• If a tuning step is used (e.g., choosing eps_nom), it must be done on a validation slice only and frozen before test; the test set must not be reused for selection.</w:t>
      </w:r>
    </w:p>
    <w:p>
      <w:r>
        <w:t>• If reporting a multi-series table (as in Appendix H), do not treat each p_ge as an independent confirmatory test. Either (i) state explicitly that p_ge is descriptive and used only as a guillotine aid, or (ii) pre-register a family-wise reporting rule (e.g., FDR across the fixed set of series) and report adjusted values alongside raw p_ge.</w:t>
      </w:r>
    </w:p>
    <w:p>
      <w:r>
        <w:t>Appendix I. Multiplicity &amp; multiverse discipline (Template E; reporting rule)</w:t>
      </w:r>
    </w:p>
    <w:p>
      <w:r>
        <w:t>Template E introduces unavoidable multiplicity: epsilon sweeps, proxy alternatives, baseline alternatives, and (often) multiple series. To avoid post-hoc selection, adopt the following minimal discipline:</w:t>
      </w:r>
    </w:p>
    <w:p>
      <w:r>
        <w:t>• Pre-register one primary analysis per series: (proxy mapping, w, eps_nom, cluster_window, B4 baseline spec, B3 null method, N_surr).</w:t>
      </w:r>
    </w:p>
    <w:p>
      <w:r>
        <w:t>• Treat epsilon sweeps and proxy alternatives as sensitivity analyses: report the full sweep results (tables/traces) rather than selecting the most favorable setting.</w:t>
      </w:r>
    </w:p>
    <w:p>
      <w:r>
        <w:t>• If reporting a multi-series table (as in Appendix H), do not treat each p_ge as an independent confirmatory test. Either (i) state explicitly that p_ge is descriptive and used only as a guillotine aid, or (ii) pre-register a family-wise reporting rule (e.g., FDR across the fixed set of series) and report adjusted values alongside raw p_ge.</w:t>
      </w:r>
    </w:p>
    <w:p>
      <w:r>
        <w:t>• If a tuning step is used (e.g., choosing eps_nom), it must be done on a validation slice only and frozen before test; the test set must not be reused for selection.</w:t>
      </w:r>
    </w:p>
    <w:p>
      <w:r>
        <w:t>• Any claim stronger than L2 (see claim ladder) requires a frozen test evaluation, explicit OOD definition, and a multiplicity-aware inference plan.</w:t>
      </w:r>
    </w:p>
    <w:p>
      <w:r>
        <w:t>Appendix J. Minimal toy formalization (non-canonical; for reproducible critique only)</w:t>
      </w:r>
    </w:p>
    <w:p>
      <w:r>
        <w:t>This appendix provides a minimal closed operational specification consistent with the illustrative simulator. It is not part of the canonical core; it exists to make a toy instantiation fully reproducible and auditable.</w:t>
      </w:r>
    </w:p>
    <w:p>
      <w:r>
        <w:t>State and observables (toy):</w:t>
      </w:r>
    </w:p>
    <w:p>
      <w:r>
        <w:t>- Configuration state: C_t ∈ {0,1}^6 (a 6-bit configuration; other encodings are allowed if explicitly reported).</w:t>
        <w:br/>
        <w:t>- Observed series: y(t) with timestamps t.</w:t>
        <w:br/>
        <w:t>- Proxy signals: φ_proxy(t), γ_proxy(t) constructed from y(t) via a declared recipe (Template E).</w:t>
      </w:r>
    </w:p>
    <w:p>
      <w:r>
        <w:t>Operational variables and regimes:</w:t>
      </w:r>
    </w:p>
    <w:p>
      <w:r>
        <w:t>Let φ_p(t) = Norm01(φ_proxy(t)) and γ(t) = Norm01(γ_proxy(t)) on their finite-support indices. Define accumulated cost φ(t) either as φ(t)=Norm01(∑_{i≤t} φ_p(i)) (default) or φ(t)=φ_p(t) (A3 no-accumulation ablation). Given ε&gt;0, α&gt;1 and γ_floor&gt;0 (operational conventions), define regimes:</w:t>
        <w:br/>
        <w:t>• Stable: φ(t) &lt; γ(t) − ε</w:t>
        <w:br/>
        <w:t>• Threshold band: |φ(t) − γ(t)| ≤ ε</w:t>
        <w:br/>
        <w:t>• SC (saturation): φ(t) ≥ α·γ(t)</w:t>
        <w:br/>
        <w:t>• SD (deflation): γ(t) ≤ γ_floor</w:t>
      </w:r>
    </w:p>
    <w:p>
      <w:r>
        <w:t>Transition operators (toy):</w:t>
      </w:r>
    </w:p>
    <w:p>
      <w:r>
        <w:t>When the threshold band holds, a transition operator may be applied (choice must be declared):</w:t>
        <w:br/>
        <w:t>• Reorg(C): local reorganization (e.g., a fixed permutation or a seeded random swap of bits)</w:t>
        <w:br/>
        <w:t>• Inv(C)=C°: discrete inversion (e.g., bitwise complement of the 6-bit string)</w:t>
        <w:br/>
        <w:t>• Fix_p(C): fixation to a pole p (a declared configuration) for a declared duration τ</w:t>
        <w:br/>
        <w:t>Outside the threshold band, C_t remains unchanged in the simplest toy.</w:t>
      </w:r>
    </w:p>
    <w:p>
      <w:r>
        <w:t>Update rule (toy):</w:t>
      </w:r>
    </w:p>
    <w:p>
      <w:r>
        <w:t>For each time step t→t+1:</w:t>
        <w:br/>
        <w:t>1) Compute φ(t), γ(t) from proxies and conventions.</w:t>
        <w:br/>
        <w:t>2) If SD or SC holds, label the regime accordingly (no further transition is required).</w:t>
        <w:br/>
        <w:t>3) If |φ(t)−γ(t)|≤ε, apply one operator T∈{Reorg,Inv,Fix_p} when its trigger condition is met (deterministic or stochastic with seed); set C_{t+1}=T(C_t).</w:t>
        <w:br/>
        <w:t>4) Optional post-event contraction (operational): φ(t+1) ← β·φ(t+1) with 0&lt;β&lt;1, if a transition occurred.</w:t>
        <w:br/>
        <w:t>All conventions (ε, α, β, γ_floor, τ, operator definitions, and any stochastic trigger probabilities) must be recorded in the decision log and config.</w:t>
      </w:r>
    </w:p>
    <w:p>
      <w:r>
        <w:t>Null-proxy construction for time-series (B3):</w:t>
      </w:r>
    </w:p>
    <w:p>
      <w:r>
        <w:t>To test whether a signature could arise from time-preserving noise, construct B3 surrogates that preserve temporal dependence of the proxy while breaking alignment to baseline change points. Default: random circular shift of φ_proxy on its defined support. Alternatives for robustness: fixed-length block permutation or FFT phase-randomized surrogates (see Theiler et al., 1992; Schreiber &amp; Schmitz, 2000).</w:t>
      </w:r>
    </w:p>
    <w:p>
      <w:r>
        <w:t>Appendix K. Artifact map (PDF ↔ Supplement S1 v2.4.3 outputs)</w:t>
      </w:r>
    </w:p>
    <w:p>
      <w:r>
        <w:t>This table links each PDF figure/table to the exact file(s) shipped in Supplement S1 v2.4.3 (field_model_timeseries_protocol_v2_4_3). Paths are relative to the supplement root.</w:t>
      </w:r>
    </w:p>
    <w:p>
      <w:r>
        <w:t>Integrity &amp; validation (Supplement S1): sha256sums.txt provides SHA-256 hashes for reference inputs/outputs; smoke_test.py performs a minimal run check; schema/meta_schema.json defines required fields for outputs/*_meta.json.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PDF element</w:t>
            </w:r>
          </w:p>
        </w:tc>
        <w:tc>
          <w:tcPr>
            <w:tcW w:type="dxa" w:w="2880"/>
          </w:tcPr>
          <w:p>
            <w:r>
              <w:t>S1 file(s)</w:t>
            </w:r>
          </w:p>
        </w:tc>
        <w:tc>
          <w:tcPr>
            <w:tcW w:type="dxa" w:w="2880"/>
          </w:tcPr>
          <w:p>
            <w:r>
              <w:t>Reproduce command</w:t>
            </w:r>
          </w:p>
        </w:tc>
      </w:tr>
      <w:tr>
        <w:tc>
          <w:tcPr>
            <w:tcW w:type="dxa" w:w="2880"/>
          </w:tcPr>
          <w:p>
            <w:r>
              <w:t>Figure D1 (Nile time series)</w:t>
            </w:r>
          </w:p>
        </w:tc>
        <w:tc>
          <w:tcPr>
            <w:tcW w:type="dxa" w:w="2880"/>
          </w:tcPr>
          <w:p>
            <w:r>
              <w:t>outputs/nile_fig1_timeseries.png</w:t>
            </w:r>
          </w:p>
        </w:tc>
        <w:tc>
          <w:tcPr>
            <w:tcW w:type="dxa" w:w="2880"/>
          </w:tcPr>
          <w:p>
            <w:r>
              <w:t>python run_all.py --config config/default.json --series nile</w:t>
            </w:r>
          </w:p>
        </w:tc>
      </w:tr>
      <w:tr>
        <w:tc>
          <w:tcPr>
            <w:tcW w:type="dxa" w:w="2880"/>
          </w:tcPr>
          <w:p>
            <w:r>
              <w:t>Figure D2 (Nile proxies + occupancy)</w:t>
            </w:r>
          </w:p>
        </w:tc>
        <w:tc>
          <w:tcPr>
            <w:tcW w:type="dxa" w:w="2880"/>
          </w:tcPr>
          <w:p>
            <w:r>
              <w:t>outputs/nile_fig2_proxies_occ.png</w:t>
            </w:r>
          </w:p>
        </w:tc>
        <w:tc>
          <w:tcPr>
            <w:tcW w:type="dxa" w:w="2880"/>
          </w:tcPr>
          <w:p>
            <w:r>
              <w:t>python run_all.py --config config/default.json --series nile</w:t>
            </w:r>
          </w:p>
        </w:tc>
      </w:tr>
      <w:tr>
        <w:tc>
          <w:tcPr>
            <w:tcW w:type="dxa" w:w="2880"/>
          </w:tcPr>
          <w:p>
            <w:r>
              <w:t>Figure D3 (Nile null-proxy histogram)</w:t>
            </w:r>
          </w:p>
        </w:tc>
        <w:tc>
          <w:tcPr>
            <w:tcW w:type="dxa" w:w="2880"/>
          </w:tcPr>
          <w:p>
            <w:r>
              <w:t>outputs/nile_fig3_null_proxy.png; outputs/nile_null_clusters_eps_nom.csv</w:t>
            </w:r>
          </w:p>
        </w:tc>
        <w:tc>
          <w:tcPr>
            <w:tcW w:type="dxa" w:w="2880"/>
          </w:tcPr>
          <w:p>
            <w:r>
              <w:t>python run_all.py --config config/default.json --series nile</w:t>
            </w:r>
          </w:p>
        </w:tc>
      </w:tr>
      <w:tr>
        <w:tc>
          <w:tcPr>
            <w:tcW w:type="dxa" w:w="2880"/>
          </w:tcPr>
          <w:p>
            <w:r>
              <w:t>Figure E1 (Synthetic jump time series)</w:t>
            </w:r>
          </w:p>
        </w:tc>
        <w:tc>
          <w:tcPr>
            <w:tcW w:type="dxa" w:w="2880"/>
          </w:tcPr>
          <w:p>
            <w:r>
              <w:t>outputs/synthetic_jump_fig1_timeseries.png</w:t>
            </w:r>
          </w:p>
        </w:tc>
        <w:tc>
          <w:tcPr>
            <w:tcW w:type="dxa" w:w="2880"/>
          </w:tcPr>
          <w:p>
            <w:r>
              <w:t>python run_all.py --config config/default.json --series synthetic_jump</w:t>
            </w:r>
          </w:p>
        </w:tc>
      </w:tr>
      <w:tr>
        <w:tc>
          <w:tcPr>
            <w:tcW w:type="dxa" w:w="2880"/>
          </w:tcPr>
          <w:p>
            <w:r>
              <w:t>Figure E2 (Synthetic A0 proxies)</w:t>
            </w:r>
          </w:p>
        </w:tc>
        <w:tc>
          <w:tcPr>
            <w:tcW w:type="dxa" w:w="2880"/>
          </w:tcPr>
          <w:p>
            <w:r>
              <w:t>outputs/synthetic_jump_fig2_proxies_occ.png</w:t>
            </w:r>
          </w:p>
        </w:tc>
        <w:tc>
          <w:tcPr>
            <w:tcW w:type="dxa" w:w="2880"/>
          </w:tcPr>
          <w:p>
            <w:r>
              <w:t>python run_all.py --config config/default.json --series synthetic_jump</w:t>
            </w:r>
          </w:p>
        </w:tc>
      </w:tr>
      <w:tr>
        <w:tc>
          <w:tcPr>
            <w:tcW w:type="dxa" w:w="2880"/>
          </w:tcPr>
          <w:p>
            <w:r>
              <w:t>Figure E3 (Synthetic A3 proxies)</w:t>
            </w:r>
          </w:p>
        </w:tc>
        <w:tc>
          <w:tcPr>
            <w:tcW w:type="dxa" w:w="2880"/>
          </w:tcPr>
          <w:p>
            <w:r>
              <w:t>outputs/synthetic_jump_A3_noaccum_fig2_proxies_occ.png</w:t>
            </w:r>
          </w:p>
        </w:tc>
        <w:tc>
          <w:tcPr>
            <w:tcW w:type="dxa" w:w="2880"/>
          </w:tcPr>
          <w:p>
            <w:r>
              <w:t>python run_all.py --config config/default.json --series synthetic_jump_A3_noaccum</w:t>
            </w:r>
          </w:p>
        </w:tc>
      </w:tr>
      <w:tr>
        <w:tc>
          <w:tcPr>
            <w:tcW w:type="dxa" w:w="2880"/>
          </w:tcPr>
          <w:p>
            <w:r>
              <w:t>Figure F1 (Sunspots time series)</w:t>
            </w:r>
          </w:p>
        </w:tc>
        <w:tc>
          <w:tcPr>
            <w:tcW w:type="dxa" w:w="2880"/>
          </w:tcPr>
          <w:p>
            <w:r>
              <w:t>outputs/sunspots_fig1_timeseries.png</w:t>
            </w:r>
          </w:p>
        </w:tc>
        <w:tc>
          <w:tcPr>
            <w:tcW w:type="dxa" w:w="2880"/>
          </w:tcPr>
          <w:p>
            <w:r>
              <w:t>python run_all.py --config config/default.json --series sunspots</w:t>
            </w:r>
          </w:p>
        </w:tc>
      </w:tr>
      <w:tr>
        <w:tc>
          <w:tcPr>
            <w:tcW w:type="dxa" w:w="2880"/>
          </w:tcPr>
          <w:p>
            <w:r>
              <w:t>Figure F2 (Sunspots null-proxy histogram)</w:t>
            </w:r>
          </w:p>
        </w:tc>
        <w:tc>
          <w:tcPr>
            <w:tcW w:type="dxa" w:w="2880"/>
          </w:tcPr>
          <w:p>
            <w:r>
              <w:t>outputs/sunspots_fig3_null_proxy.png; outputs/sunspots_null_clusters_eps_nom.csv</w:t>
            </w:r>
          </w:p>
        </w:tc>
        <w:tc>
          <w:tcPr>
            <w:tcW w:type="dxa" w:w="2880"/>
          </w:tcPr>
          <w:p>
            <w:r>
              <w:t>python run_all.py --config config/default.json --series sunspots</w:t>
            </w:r>
          </w:p>
        </w:tc>
      </w:tr>
      <w:tr>
        <w:tc>
          <w:tcPr>
            <w:tcW w:type="dxa" w:w="2880"/>
          </w:tcPr>
          <w:p>
            <w:r>
              <w:t>Table H1 (multi-series summary)</w:t>
            </w:r>
          </w:p>
        </w:tc>
        <w:tc>
          <w:tcPr>
            <w:tcW w:type="dxa" w:w="2880"/>
          </w:tcPr>
          <w:p>
            <w:r>
              <w:t>outputs/summary_table.csv</w:t>
            </w:r>
          </w:p>
        </w:tc>
        <w:tc>
          <w:tcPr>
            <w:tcW w:type="dxa" w:w="2880"/>
          </w:tcPr>
          <w:p>
            <w:r>
              <w:t>python run_all.py --config config/default.json</w:t>
            </w:r>
          </w:p>
        </w:tc>
      </w:tr>
    </w:tbl>
    <w:p>
      <w:pPr>
        <w:pStyle w:val="Normal"/>
      </w:pPr>
      <w:r>
        <w:br w:type="page"/>
      </w:r>
    </w:p>
    <w:p>
      <w:pPr>
        <w:pStyle w:val="Normal"/>
      </w:pPr>
      <w:r>
        <w:rPr>
          <w:b/>
        </w:rPr>
        <w:t>Appendix L. Socio-economic instantiation: stress alignment test (Template E extension)</w:t>
      </w:r>
    </w:p>
    <w:p>
      <w:pPr>
        <w:pStyle w:val="Normal"/>
      </w:pPr>
      <w:r>
        <w:t>Status: L1 illustrative instantiation (protocol demonstration). Non-evidential; no predictive claim.</w:t>
      </w:r>
    </w:p>
    <w:p>
      <w:pPr>
        <w:pStyle w:val="Normal"/>
      </w:pPr>
      <w:r>
        <w:rPr>
          <w:b/>
        </w:rPr>
        <w:t>Scope and intent</w:t>
      </w:r>
    </w:p>
    <w:p>
      <w:pPr>
        <w:pStyle w:val="Normal"/>
      </w:pPr>
      <w:r>
        <w:t>This appendix demonstrates a Template E-style, audit-disciplined instantiation on socio-economic time series using a time-preserving null (B3) and a fixed OOD split. It does not attempt an L2/L3 empirical claim; its purpose is to show how to report a negative (non-additive) outcome without post-hoc selection.</w:t>
      </w:r>
    </w:p>
    <w:p>
      <w:pPr>
        <w:pStyle w:val="Normal"/>
      </w:pPr>
      <w:r>
        <w:rPr>
          <w:b/>
        </w:rPr>
        <w:t>Data and temporal splits</w:t>
      </w:r>
    </w:p>
    <w:p>
      <w:pPr>
        <w:pStyle w:val="Normal"/>
      </w:pPr>
      <w:r>
        <w:t>Monthly overlap window (by construction of available series): 1996-12 to 2026-01. Splits were fixed as: Primary (&lt;= 2006-12), OOD-1 (2007-01 to 2019-12), and OOD-2 (&gt;= 2020-01). OOD-2 contains too few stress starts for stable evaluation and is reported as informational only.</w:t>
      </w:r>
    </w:p>
    <w:p>
      <w:pPr>
        <w:pStyle w:val="Normal"/>
      </w:pPr>
      <w:r>
        <w:rPr>
          <w:b/>
        </w:rPr>
        <w:t>Operational proxies (non-canonical)</w:t>
      </w:r>
    </w:p>
    <w:p>
      <w:pPr>
        <w:pStyle w:val="Normal"/>
      </w:pPr>
      <w:r>
        <w:t>phi_proxy was defined as a primary-window z-scored mixture: phi = z_primary(Δ3 UNRATE) + z_primary(HY_OAS), where Δ3 UNRATE is the 3-month difference in UNRATE and HY_OAS is BAMLH0A0HYM2. gamma_proxy was defined as FEDFUNDS. All z-scoring statistics were estimated on Primary only (no leakage). Δ(t) denotes the operational discrepancy Δ = phi - z_primary(gamma_proxy), where gamma is z-scored using Primary statistics.</w:t>
      </w:r>
    </w:p>
    <w:p>
      <w:pPr>
        <w:pStyle w:val="Normal"/>
      </w:pPr>
      <w:r>
        <w:rPr>
          <w:b/>
        </w:rPr>
        <w:t>Stress events and alignment signature</w:t>
      </w:r>
    </w:p>
    <w:p>
      <w:pPr>
        <w:pStyle w:val="Normal"/>
      </w:pPr>
      <w:r>
        <w:t>The stress target was STLFSI4. A primary-window z-score was computed and thresholded at tau in {0.5, 1.0, 1.5}: stress_on(t)=1[stress_z(t) &gt; tau]. Events were defined as starts only (0→1 transitions). The event-alignment window was fixed at w_event=3 months. For each event start e, we computed min_{|t−e|≤w} |Δ(t)| and summarized alignment by score = −mean_e(min |Δ|), where higher (less negative) indicates closer alignment. As an auxiliary statistic, we computed the fraction of events whose window contains at least one sign change in Δ.</w:t>
      </w:r>
    </w:p>
    <w:p>
      <w:pPr>
        <w:pStyle w:val="Normal"/>
      </w:pPr>
      <w:r>
        <w:rPr>
          <w:b/>
        </w:rPr>
        <w:t>Null and robustness discipline</w:t>
      </w:r>
    </w:p>
    <w:p>
      <w:pPr>
        <w:pStyle w:val="Normal"/>
      </w:pPr>
      <w:r>
        <w:t>Null distributions were generated with an autocorrelation-preserving surrogate (B3): circular shifts of Δ(t). We report p_ge as a descriptive tail proportion p_ge = mean_surr[stat_surr ≥ stat_obs] (no thresholds). The initial tau sweep used n_surr=500 with seed=42. Robustness for tau=0.5 used n_surr=2000 and seeds 1–5. Confirmatory tau checks for tau=1.0 and tau=1.5 used n_surr=2000 and seeds 1–3.</w:t>
      </w:r>
    </w:p>
    <w:p>
      <w:pPr>
        <w:pStyle w:val="Normal"/>
      </w:pPr>
      <w:r>
        <w:rPr>
          <w:b/>
        </w:rPr>
        <w:t>Results summary (Primary vs OOD-1)</w:t>
      </w:r>
    </w:p>
    <w:p>
      <w:pPr>
        <w:pStyle w:val="Normal"/>
      </w:pPr>
      <w:r>
        <w:t>Tau sweep (n_surr=500; seed=42; starts-only; w_event=3):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>
        <w:tc>
          <w:tcPr>
            <w:tcW w:type="dxa" w:w="1234"/>
          </w:tcPr>
          <w:p>
            <w:r>
              <w:t>tau</w:t>
            </w:r>
          </w:p>
        </w:tc>
        <w:tc>
          <w:tcPr>
            <w:tcW w:type="dxa" w:w="1234"/>
          </w:tcPr>
          <w:p>
            <w:r>
              <w:t>split</w:t>
            </w:r>
          </w:p>
        </w:tc>
        <w:tc>
          <w:tcPr>
            <w:tcW w:type="dxa" w:w="1234"/>
          </w:tcPr>
          <w:p>
            <w:r>
              <w:t>n_starts</w:t>
            </w:r>
          </w:p>
        </w:tc>
        <w:tc>
          <w:tcPr>
            <w:tcW w:type="dxa" w:w="1234"/>
          </w:tcPr>
          <w:p>
            <w:r>
              <w:t>score</w:t>
            </w:r>
          </w:p>
        </w:tc>
        <w:tc>
          <w:tcPr>
            <w:tcW w:type="dxa" w:w="1234"/>
          </w:tcPr>
          <w:p>
            <w:r>
              <w:t>p_ge_score</w:t>
            </w:r>
          </w:p>
        </w:tc>
        <w:tc>
          <w:tcPr>
            <w:tcW w:type="dxa" w:w="1234"/>
          </w:tcPr>
          <w:p>
            <w:r>
              <w:t>sign_change_rate</w:t>
            </w:r>
          </w:p>
        </w:tc>
        <w:tc>
          <w:tcPr>
            <w:tcW w:type="dxa" w:w="1234"/>
          </w:tcPr>
          <w:p>
            <w:r>
              <w:t>p_ge_sign</w:t>
            </w:r>
          </w:p>
        </w:tc>
      </w:tr>
      <w:tr>
        <w:tc>
          <w:tcPr>
            <w:tcW w:type="dxa" w:w="1234"/>
          </w:tcPr>
          <w:p>
            <w:r>
              <w:t>0.5</w:t>
            </w:r>
          </w:p>
        </w:tc>
        <w:tc>
          <w:tcPr>
            <w:tcW w:type="dxa" w:w="1234"/>
          </w:tcPr>
          <w:p>
            <w:r>
              <w:t>Primary</w:t>
            </w:r>
          </w:p>
        </w:tc>
        <w:tc>
          <w:tcPr>
            <w:tcW w:type="dxa" w:w="1234"/>
          </w:tcPr>
          <w:p>
            <w:r>
              <w:t>4</w:t>
            </w:r>
          </w:p>
        </w:tc>
        <w:tc>
          <w:tcPr>
            <w:tcW w:type="dxa" w:w="1234"/>
          </w:tcPr>
          <w:p>
            <w:r>
              <w:t>-0.086567</w:t>
            </w:r>
          </w:p>
        </w:tc>
        <w:tc>
          <w:tcPr>
            <w:tcW w:type="dxa" w:w="1234"/>
          </w:tcPr>
          <w:p>
            <w:r>
              <w:t>0.000</w:t>
            </w:r>
          </w:p>
        </w:tc>
        <w:tc>
          <w:tcPr>
            <w:tcW w:type="dxa" w:w="1234"/>
          </w:tcPr>
          <w:p>
            <w:r>
              <w:t>0.25</w:t>
            </w:r>
          </w:p>
        </w:tc>
        <w:tc>
          <w:tcPr>
            <w:tcW w:type="dxa" w:w="1234"/>
          </w:tcPr>
          <w:p>
            <w:r>
              <w:t>0.580</w:t>
            </w:r>
          </w:p>
        </w:tc>
      </w:tr>
      <w:tr>
        <w:tc>
          <w:tcPr>
            <w:tcW w:type="dxa" w:w="1234"/>
          </w:tcPr>
          <w:p>
            <w:r>
              <w:t>0.5</w:t>
            </w:r>
          </w:p>
        </w:tc>
        <w:tc>
          <w:tcPr>
            <w:tcW w:type="dxa" w:w="1234"/>
          </w:tcPr>
          <w:p>
            <w:r>
              <w:t>OOD-1 (2007–2019)</w:t>
            </w:r>
          </w:p>
        </w:tc>
        <w:tc>
          <w:tcPr>
            <w:tcW w:type="dxa" w:w="1234"/>
          </w:tcPr>
          <w:p>
            <w:r>
              <w:t>6</w:t>
            </w:r>
          </w:p>
        </w:tc>
        <w:tc>
          <w:tcPr>
            <w:tcW w:type="dxa" w:w="1234"/>
          </w:tcPr>
          <w:p>
            <w:r>
              <w:t>-0.488771</w:t>
            </w:r>
          </w:p>
        </w:tc>
        <w:tc>
          <w:tcPr>
            <w:tcW w:type="dxa" w:w="1234"/>
          </w:tcPr>
          <w:p>
            <w:r>
              <w:t>0.244</w:t>
            </w:r>
          </w:p>
        </w:tc>
        <w:tc>
          <w:tcPr>
            <w:tcW w:type="dxa" w:w="1234"/>
          </w:tcPr>
          <w:p>
            <w:r>
              <w:t>0.333333</w:t>
            </w:r>
          </w:p>
        </w:tc>
        <w:tc>
          <w:tcPr>
            <w:tcW w:type="dxa" w:w="1234"/>
          </w:tcPr>
          <w:p>
            <w:r>
              <w:t>0.952</w:t>
            </w:r>
          </w:p>
        </w:tc>
      </w:tr>
      <w:tr>
        <w:tc>
          <w:tcPr>
            <w:tcW w:type="dxa" w:w="1234"/>
          </w:tcPr>
          <w:p>
            <w:r>
              <w:t>1.0</w:t>
            </w:r>
          </w:p>
        </w:tc>
        <w:tc>
          <w:tcPr>
            <w:tcW w:type="dxa" w:w="1234"/>
          </w:tcPr>
          <w:p>
            <w:r>
              <w:t>Primary</w:t>
            </w:r>
          </w:p>
        </w:tc>
        <w:tc>
          <w:tcPr>
            <w:tcW w:type="dxa" w:w="1234"/>
          </w:tcPr>
          <w:p>
            <w:r>
              <w:t>5</w:t>
            </w:r>
          </w:p>
        </w:tc>
        <w:tc>
          <w:tcPr>
            <w:tcW w:type="dxa" w:w="1234"/>
          </w:tcPr>
          <w:p>
            <w:r>
              <w:t>-1.059607</w:t>
            </w:r>
          </w:p>
        </w:tc>
        <w:tc>
          <w:tcPr>
            <w:tcW w:type="dxa" w:w="1234"/>
          </w:tcPr>
          <w:p>
            <w:r>
              <w:t>0.614</w:t>
            </w:r>
          </w:p>
        </w:tc>
        <w:tc>
          <w:tcPr>
            <w:tcW w:type="dxa" w:w="1234"/>
          </w:tcPr>
          <w:p>
            <w:r>
              <w:t>0.20</w:t>
            </w:r>
          </w:p>
        </w:tc>
        <w:tc>
          <w:tcPr>
            <w:tcW w:type="dxa" w:w="1234"/>
          </w:tcPr>
          <w:p>
            <w:r>
              <w:t>0.646</w:t>
            </w:r>
          </w:p>
        </w:tc>
      </w:tr>
      <w:tr>
        <w:tc>
          <w:tcPr>
            <w:tcW w:type="dxa" w:w="1234"/>
          </w:tcPr>
          <w:p>
            <w:r>
              <w:t>1.0</w:t>
            </w:r>
          </w:p>
        </w:tc>
        <w:tc>
          <w:tcPr>
            <w:tcW w:type="dxa" w:w="1234"/>
          </w:tcPr>
          <w:p>
            <w:r>
              <w:t>OOD-1 (2007–2019)</w:t>
            </w:r>
          </w:p>
        </w:tc>
        <w:tc>
          <w:tcPr>
            <w:tcW w:type="dxa" w:w="1234"/>
          </w:tcPr>
          <w:p>
            <w:r>
              <w:t>4</w:t>
            </w:r>
          </w:p>
        </w:tc>
        <w:tc>
          <w:tcPr>
            <w:tcW w:type="dxa" w:w="1234"/>
          </w:tcPr>
          <w:p>
            <w:r>
              <w:t>-0.846376</w:t>
            </w:r>
          </w:p>
        </w:tc>
        <w:tc>
          <w:tcPr>
            <w:tcW w:type="dxa" w:w="1234"/>
          </w:tcPr>
          <w:p>
            <w:r>
              <w:t>0.622</w:t>
            </w:r>
          </w:p>
        </w:tc>
        <w:tc>
          <w:tcPr>
            <w:tcW w:type="dxa" w:w="1234"/>
          </w:tcPr>
          <w:p>
            <w:r>
              <w:t>0.25</w:t>
            </w:r>
          </w:p>
        </w:tc>
        <w:tc>
          <w:tcPr>
            <w:tcW w:type="dxa" w:w="1234"/>
          </w:tcPr>
          <w:p>
            <w:r>
              <w:t>0.992</w:t>
            </w:r>
          </w:p>
        </w:tc>
      </w:tr>
      <w:tr>
        <w:tc>
          <w:tcPr>
            <w:tcW w:type="dxa" w:w="1234"/>
          </w:tcPr>
          <w:p>
            <w:r>
              <w:t>1.5</w:t>
            </w:r>
          </w:p>
        </w:tc>
        <w:tc>
          <w:tcPr>
            <w:tcW w:type="dxa" w:w="1234"/>
          </w:tcPr>
          <w:p>
            <w:r>
              <w:t>Primary</w:t>
            </w:r>
          </w:p>
        </w:tc>
        <w:tc>
          <w:tcPr>
            <w:tcW w:type="dxa" w:w="1234"/>
          </w:tcPr>
          <w:p>
            <w:r>
              <w:t>3</w:t>
            </w:r>
          </w:p>
        </w:tc>
        <w:tc>
          <w:tcPr>
            <w:tcW w:type="dxa" w:w="1234"/>
          </w:tcPr>
          <w:p>
            <w:r>
              <w:t>-1.581236</w:t>
            </w:r>
          </w:p>
        </w:tc>
        <w:tc>
          <w:tcPr>
            <w:tcW w:type="dxa" w:w="1234"/>
          </w:tcPr>
          <w:p>
            <w:r>
              <w:t>0.938</w:t>
            </w:r>
          </w:p>
        </w:tc>
        <w:tc>
          <w:tcPr>
            <w:tcW w:type="dxa" w:w="1234"/>
          </w:tcPr>
          <w:p>
            <w:r>
              <w:t>0.00</w:t>
            </w:r>
          </w:p>
        </w:tc>
        <w:tc>
          <w:tcPr>
            <w:tcW w:type="dxa" w:w="1234"/>
          </w:tcPr>
          <w:p>
            <w:r>
              <w:t>1.000</w:t>
            </w:r>
          </w:p>
        </w:tc>
      </w:tr>
      <w:tr>
        <w:tc>
          <w:tcPr>
            <w:tcW w:type="dxa" w:w="1234"/>
          </w:tcPr>
          <w:p>
            <w:r>
              <w:t>1.5</w:t>
            </w:r>
          </w:p>
        </w:tc>
        <w:tc>
          <w:tcPr>
            <w:tcW w:type="dxa" w:w="1234"/>
          </w:tcPr>
          <w:p>
            <w:r>
              <w:t>OOD-1 (2007–2019)</w:t>
            </w:r>
          </w:p>
        </w:tc>
        <w:tc>
          <w:tcPr>
            <w:tcW w:type="dxa" w:w="1234"/>
          </w:tcPr>
          <w:p>
            <w:r>
              <w:t>4</w:t>
            </w:r>
          </w:p>
        </w:tc>
        <w:tc>
          <w:tcPr>
            <w:tcW w:type="dxa" w:w="1234"/>
          </w:tcPr>
          <w:p>
            <w:r>
              <w:t>-0.362059</w:t>
            </w:r>
          </w:p>
        </w:tc>
        <w:tc>
          <w:tcPr>
            <w:tcW w:type="dxa" w:w="1234"/>
          </w:tcPr>
          <w:p>
            <w:r>
              <w:t>0.392</w:t>
            </w:r>
          </w:p>
        </w:tc>
        <w:tc>
          <w:tcPr>
            <w:tcW w:type="dxa" w:w="1234"/>
          </w:tcPr>
          <w:p>
            <w:r>
              <w:t>0.50</w:t>
            </w:r>
          </w:p>
        </w:tc>
        <w:tc>
          <w:tcPr>
            <w:tcW w:type="dxa" w:w="1234"/>
          </w:tcPr>
          <w:p>
            <w:r>
              <w:t>0.770</w:t>
            </w:r>
          </w:p>
        </w:tc>
      </w:tr>
    </w:tbl>
    <w:p>
      <w:pPr>
        <w:pStyle w:val="Normal"/>
      </w:pPr>
      <w:r>
        <w:t>Robustness (tau=0.5; n_surr=2000; seeds 1–5):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split</w:t>
            </w:r>
          </w:p>
        </w:tc>
        <w:tc>
          <w:tcPr>
            <w:tcW w:type="dxa" w:w="1440"/>
          </w:tcPr>
          <w:p>
            <w:r>
              <w:t>n_starts</w:t>
            </w:r>
          </w:p>
        </w:tc>
        <w:tc>
          <w:tcPr>
            <w:tcW w:type="dxa" w:w="1440"/>
          </w:tcPr>
          <w:p>
            <w:r>
              <w:t>score</w:t>
            </w:r>
          </w:p>
        </w:tc>
        <w:tc>
          <w:tcPr>
            <w:tcW w:type="dxa" w:w="1440"/>
          </w:tcPr>
          <w:p>
            <w:r>
              <w:t>p_ge_score</w:t>
            </w:r>
          </w:p>
        </w:tc>
        <w:tc>
          <w:tcPr>
            <w:tcW w:type="dxa" w:w="1440"/>
          </w:tcPr>
          <w:p>
            <w:r>
              <w:t>p_ge_sign</w:t>
            </w:r>
          </w:p>
        </w:tc>
        <w:tc>
          <w:tcPr>
            <w:tcW w:type="dxa" w:w="1440"/>
          </w:tcPr>
          <w:p>
            <w:r>
              <w:t>note</w:t>
            </w:r>
          </w:p>
        </w:tc>
      </w:tr>
      <w:tr>
        <w:tc>
          <w:tcPr>
            <w:tcW w:type="dxa" w:w="1440"/>
          </w:tcPr>
          <w:p>
            <w:r>
              <w:t>Primary</w:t>
            </w:r>
          </w:p>
        </w:tc>
        <w:tc>
          <w:tcPr>
            <w:tcW w:type="dxa" w:w="1440"/>
          </w:tcPr>
          <w:p>
            <w:r>
              <w:t>4</w:t>
            </w:r>
          </w:p>
        </w:tc>
        <w:tc>
          <w:tcPr>
            <w:tcW w:type="dxa" w:w="1440"/>
          </w:tcPr>
          <w:p>
            <w:r>
              <w:t>-0.086567</w:t>
            </w:r>
          </w:p>
        </w:tc>
        <w:tc>
          <w:tcPr>
            <w:tcW w:type="dxa" w:w="1440"/>
          </w:tcPr>
          <w:p>
            <w:r>
              <w:t>&lt;= 1/2000 (all seeds)</w:t>
            </w:r>
          </w:p>
        </w:tc>
        <w:tc>
          <w:tcPr>
            <w:tcW w:type="dxa" w:w="1440"/>
          </w:tcPr>
          <w:p>
            <w:r>
              <w:t>~0.5765–0.5955</w:t>
            </w:r>
          </w:p>
        </w:tc>
        <w:tc>
          <w:tcPr>
            <w:tcW w:type="dxa" w:w="1440"/>
          </w:tcPr>
          <w:p>
            <w:r>
              <w:t>extreme in Primary only</w:t>
            </w:r>
          </w:p>
        </w:tc>
      </w:tr>
      <w:tr>
        <w:tc>
          <w:tcPr>
            <w:tcW w:type="dxa" w:w="1440"/>
          </w:tcPr>
          <w:p>
            <w:r>
              <w:t>OOD-1 (2007–2019)</w:t>
            </w:r>
          </w:p>
        </w:tc>
        <w:tc>
          <w:tcPr>
            <w:tcW w:type="dxa" w:w="1440"/>
          </w:tcPr>
          <w:p>
            <w:r>
              <w:t>6</w:t>
            </w:r>
          </w:p>
        </w:tc>
        <w:tc>
          <w:tcPr>
            <w:tcW w:type="dxa" w:w="1440"/>
          </w:tcPr>
          <w:p>
            <w:r>
              <w:t>-0.488771</w:t>
            </w:r>
          </w:p>
        </w:tc>
        <w:tc>
          <w:tcPr>
            <w:tcW w:type="dxa" w:w="1440"/>
          </w:tcPr>
          <w:p>
            <w:r>
              <w:t>~0.2325–0.2725</w:t>
            </w:r>
          </w:p>
        </w:tc>
        <w:tc>
          <w:tcPr>
            <w:tcW w:type="dxa" w:w="1440"/>
          </w:tcPr>
          <w:p>
            <w:r>
              <w:t>~0.9525–0.9665</w:t>
            </w:r>
          </w:p>
        </w:tc>
        <w:tc>
          <w:tcPr>
            <w:tcW w:type="dxa" w:w="1440"/>
          </w:tcPr>
          <w:p>
            <w:r>
              <w:t>neutral / compatible with null</w:t>
            </w:r>
          </w:p>
        </w:tc>
      </w:tr>
    </w:tbl>
    <w:p>
      <w:pPr>
        <w:pStyle w:val="Normal"/>
      </w:pPr>
      <w:r>
        <w:t>Confirmatory checks (n_surr=2000; seeds 1–3):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tau</w:t>
            </w:r>
          </w:p>
        </w:tc>
        <w:tc>
          <w:tcPr>
            <w:tcW w:type="dxa" w:w="1440"/>
          </w:tcPr>
          <w:p>
            <w:r>
              <w:t>split</w:t>
            </w:r>
          </w:p>
        </w:tc>
        <w:tc>
          <w:tcPr>
            <w:tcW w:type="dxa" w:w="1440"/>
          </w:tcPr>
          <w:p>
            <w:r>
              <w:t>n_starts</w:t>
            </w:r>
          </w:p>
        </w:tc>
        <w:tc>
          <w:tcPr>
            <w:tcW w:type="dxa" w:w="1440"/>
          </w:tcPr>
          <w:p>
            <w:r>
              <w:t>score</w:t>
            </w:r>
          </w:p>
        </w:tc>
        <w:tc>
          <w:tcPr>
            <w:tcW w:type="dxa" w:w="1440"/>
          </w:tcPr>
          <w:p>
            <w:r>
              <w:t>p_ge_score (range)</w:t>
            </w:r>
          </w:p>
        </w:tc>
        <w:tc>
          <w:tcPr>
            <w:tcW w:type="dxa" w:w="1440"/>
          </w:tcPr>
          <w:p>
            <w:r>
              <w:t>p_ge_sign (range)</w:t>
            </w:r>
          </w:p>
        </w:tc>
      </w:tr>
      <w:tr>
        <w:tc>
          <w:tcPr>
            <w:tcW w:type="dxa" w:w="1440"/>
          </w:tcPr>
          <w:p>
            <w:r>
              <w:t>1.0</w:t>
            </w:r>
          </w:p>
        </w:tc>
        <w:tc>
          <w:tcPr>
            <w:tcW w:type="dxa" w:w="1440"/>
          </w:tcPr>
          <w:p>
            <w:r>
              <w:t>Primary</w:t>
            </w:r>
          </w:p>
        </w:tc>
        <w:tc>
          <w:tcPr>
            <w:tcW w:type="dxa" w:w="1440"/>
          </w:tcPr>
          <w:p>
            <w:r>
              <w:t>5</w:t>
            </w:r>
          </w:p>
        </w:tc>
        <w:tc>
          <w:tcPr>
            <w:tcW w:type="dxa" w:w="1440"/>
          </w:tcPr>
          <w:p>
            <w:r>
              <w:t>-1.059607</w:t>
            </w:r>
          </w:p>
        </w:tc>
        <w:tc>
          <w:tcPr>
            <w:tcW w:type="dxa" w:w="1440"/>
          </w:tcPr>
          <w:p>
            <w:r>
              <w:t>~0.5655–0.5970</w:t>
            </w:r>
          </w:p>
        </w:tc>
        <w:tc>
          <w:tcPr>
            <w:tcW w:type="dxa" w:w="1440"/>
          </w:tcPr>
          <w:p>
            <w:r>
              <w:t>~0.645–0.6565</w:t>
            </w:r>
          </w:p>
        </w:tc>
      </w:tr>
      <w:tr>
        <w:tc>
          <w:tcPr>
            <w:tcW w:type="dxa" w:w="1440"/>
          </w:tcPr>
          <w:p>
            <w:r>
              <w:t>1.0</w:t>
            </w:r>
          </w:p>
        </w:tc>
        <w:tc>
          <w:tcPr>
            <w:tcW w:type="dxa" w:w="1440"/>
          </w:tcPr>
          <w:p>
            <w:r>
              <w:t>OOD-1 (2007–2019)</w:t>
            </w:r>
          </w:p>
        </w:tc>
        <w:tc>
          <w:tcPr>
            <w:tcW w:type="dxa" w:w="1440"/>
          </w:tcPr>
          <w:p>
            <w:r>
              <w:t>4</w:t>
            </w:r>
          </w:p>
        </w:tc>
        <w:tc>
          <w:tcPr>
            <w:tcW w:type="dxa" w:w="1440"/>
          </w:tcPr>
          <w:p>
            <w:r>
              <w:t>-0.846376</w:t>
            </w:r>
          </w:p>
        </w:tc>
        <w:tc>
          <w:tcPr>
            <w:tcW w:type="dxa" w:w="1440"/>
          </w:tcPr>
          <w:p>
            <w:r>
              <w:t>~0.6045–0.6190</w:t>
            </w:r>
          </w:p>
        </w:tc>
        <w:tc>
          <w:tcPr>
            <w:tcW w:type="dxa" w:w="1440"/>
          </w:tcPr>
          <w:p>
            <w:r>
              <w:t>~0.9915–0.995</w:t>
            </w:r>
          </w:p>
        </w:tc>
      </w:tr>
      <w:tr>
        <w:tc>
          <w:tcPr>
            <w:tcW w:type="dxa" w:w="1440"/>
          </w:tcPr>
          <w:p>
            <w:r>
              <w:t>1.5</w:t>
            </w:r>
          </w:p>
        </w:tc>
        <w:tc>
          <w:tcPr>
            <w:tcW w:type="dxa" w:w="1440"/>
          </w:tcPr>
          <w:p>
            <w:r>
              <w:t>Primary</w:t>
            </w:r>
          </w:p>
        </w:tc>
        <w:tc>
          <w:tcPr>
            <w:tcW w:type="dxa" w:w="1440"/>
          </w:tcPr>
          <w:p>
            <w:r>
              <w:t>3</w:t>
            </w:r>
          </w:p>
        </w:tc>
        <w:tc>
          <w:tcPr>
            <w:tcW w:type="dxa" w:w="1440"/>
          </w:tcPr>
          <w:p>
            <w:r>
              <w:t>-1.581236</w:t>
            </w:r>
          </w:p>
        </w:tc>
        <w:tc>
          <w:tcPr>
            <w:tcW w:type="dxa" w:w="1440"/>
          </w:tcPr>
          <w:p>
            <w:r>
              <w:t>~0.925–0.938</w:t>
            </w:r>
          </w:p>
        </w:tc>
        <w:tc>
          <w:tcPr>
            <w:tcW w:type="dxa" w:w="1440"/>
          </w:tcPr>
          <w:p>
            <w:r>
              <w:t>1.000 (all)</w:t>
            </w:r>
          </w:p>
        </w:tc>
      </w:tr>
      <w:tr>
        <w:tc>
          <w:tcPr>
            <w:tcW w:type="dxa" w:w="1440"/>
          </w:tcPr>
          <w:p>
            <w:r>
              <w:t>1.5</w:t>
            </w:r>
          </w:p>
        </w:tc>
        <w:tc>
          <w:tcPr>
            <w:tcW w:type="dxa" w:w="1440"/>
          </w:tcPr>
          <w:p>
            <w:r>
              <w:t>OOD-1 (2007–2019)</w:t>
            </w:r>
          </w:p>
        </w:tc>
        <w:tc>
          <w:tcPr>
            <w:tcW w:type="dxa" w:w="1440"/>
          </w:tcPr>
          <w:p>
            <w:r>
              <w:t>4</w:t>
            </w:r>
          </w:p>
        </w:tc>
        <w:tc>
          <w:tcPr>
            <w:tcW w:type="dxa" w:w="1440"/>
          </w:tcPr>
          <w:p>
            <w:r>
              <w:t>-0.362059</w:t>
            </w:r>
          </w:p>
        </w:tc>
        <w:tc>
          <w:tcPr>
            <w:tcW w:type="dxa" w:w="1440"/>
          </w:tcPr>
          <w:p>
            <w:r>
              <w:t>~0.3745–0.395</w:t>
            </w:r>
          </w:p>
        </w:tc>
        <w:tc>
          <w:tcPr>
            <w:tcW w:type="dxa" w:w="1440"/>
          </w:tcPr>
          <w:p>
            <w:r>
              <w:t>~0.759–0.768</w:t>
            </w:r>
          </w:p>
        </w:tc>
      </w:tr>
    </w:tbl>
    <w:p>
      <w:pPr>
        <w:pStyle w:val="Normal"/>
      </w:pPr>
      <w:r>
        <w:rPr>
          <w:b/>
        </w:rPr>
        <w:t>Interpretation (non-overclaiming)</w:t>
      </w:r>
    </w:p>
    <w:p>
      <w:pPr>
        <w:pStyle w:val="Normal"/>
      </w:pPr>
      <w:r>
        <w:t>Across tau=1.0 and tau=1.5, both Primary and OOD-1 are compatible with the time-preserving null for the alignment score (no evidence of transportable alignment under this proxy recipe). For tau=0.5, Primary shows an extreme alignment score that does not transport to OOD-1; we therefore treat it as threshold- and regime-dependent behavior rather than as evidence of a generalizable relationship. No decision thresholds are applied to p_ge; values are reported descriptively.</w:t>
      </w:r>
    </w:p>
    <w:p>
      <w:pPr>
        <w:pStyle w:val="Normal"/>
      </w:pPr>
      <w:r>
        <w:rPr>
          <w:b/>
        </w:rPr>
        <w:t>Licensing and reproducibility note</w:t>
      </w:r>
    </w:p>
    <w:p>
      <w:pPr>
        <w:pStyle w:val="Normal"/>
      </w:pPr>
      <w:r>
        <w:t>This instantiation uses FRED series. Some series (e.g., the high-yield spread BAMLH0A0HYM2) may have redistribution restrictions. Accordingly, this release does not redistribute restricted raw data; reproduction requires the reader to download the relevant series from FRED and run the provided scripts/config. A lab freeze record with checksums and the exact commands used is provided for auditability.</w:t>
      </w:r>
    </w:p>
    <w:p>
      <w:pPr>
        <w:pStyle w:val="Normal"/>
        <w:rPr>
          <w:b/>
          <w:sz w:val="28"/>
        </w:rPr>
      </w:pPr>
      <w:r>
        <w:rPr>
          <w:b/>
          <w:sz w:val="28"/>
        </w:rPr>
        <w:t>References</w:t>
      </w:r>
    </w:p>
    <w:p>
      <w:pPr>
        <w:pStyle w:val="Normal"/>
        <w:rPr/>
      </w:pPr>
      <w:r>
        <w:rPr/>
        <w:t>Selected references (methodology + domain examples; non-exhaustive).</w:t>
      </w:r>
    </w:p>
    <w:p>
      <w:pPr>
        <w:pStyle w:val="Normal"/>
        <w:rPr/>
      </w:pPr>
      <w:r>
        <w:rPr/>
        <w:t>1. D'Amour, A., Heller, K., Moldovan, D., et al. (2022). Underspecification Presents Challenges for Credibility in Modern Machine Learning. Journal of Machine Learning Research, 23, 1-61.</w:t>
      </w:r>
    </w:p>
    <w:p>
      <w:pPr>
        <w:pStyle w:val="Normal"/>
        <w:rPr/>
      </w:pPr>
      <w:r>
        <w:rPr/>
        <w:t>2. Gebru, T., Morgenstern, J., Vecchione, B., et al. (2021). Datasheets for Datasets. Communications of the ACM, 64(12), 86-92. https://doi.org/10.1145/3458723</w:t>
      </w:r>
    </w:p>
    <w:p>
      <w:pPr>
        <w:pStyle w:val="Normal"/>
        <w:rPr/>
      </w:pPr>
      <w:r>
        <w:rPr/>
        <w:t>3. Mitchell, M., Wu, S., Zaldivar, A., et al. (2019). Model Cards for Model Reporting. In Proceedings of the Conference on Fairness, Accountability, and Transparency (FAT* 2019), 220-229. https://doi.org/10.1145/3287560.3287596</w:t>
      </w:r>
    </w:p>
    <w:p>
      <w:pPr>
        <w:pStyle w:val="Normal"/>
        <w:rPr/>
      </w:pPr>
      <w:r>
        <w:rPr/>
        <w:t>4. Bender, E. M., &amp; Friedman, B. (2018). Data Statements for Natural Language Processing: Toward Mitigating System Bias and Enabling Better Science. Transactions of the Association for Computational Linguistics, 6, 587-604. https://doi.org/10.1162/tacl_a_00041</w:t>
      </w:r>
    </w:p>
    <w:p>
      <w:pPr>
        <w:pStyle w:val="Normal"/>
        <w:rPr/>
      </w:pPr>
      <w:r>
        <w:rPr/>
        <w:t>5. Ribeiro, M. T., Wu, T., Guestrin, C., &amp; Singh, S. (2020). Beyond Accuracy: Behavioral Testing of NLP Models with CheckList. In Proceedings of the 58th Annual Meeting of the Association for Computational Linguistics, 4902-4912. https://doi.org/10.18653/v1/2020.acl-main.442</w:t>
      </w:r>
    </w:p>
    <w:p>
      <w:pPr>
        <w:pStyle w:val="Normal"/>
        <w:rPr/>
      </w:pPr>
      <w:r>
        <w:rPr/>
        <w:t>6. Koh, P. W., Sagawa, S., Marklund, H., et al. (2021). WILDS: A Benchmark of in-the-Wild Distribution Shifts. In Proceedings of the 38th International Conference on Machine Learning (PMLR 139), 5637-5664.</w:t>
      </w:r>
    </w:p>
    <w:p>
      <w:pPr>
        <w:pStyle w:val="Normal"/>
        <w:rPr/>
      </w:pPr>
      <w:r>
        <w:rPr/>
        <w:t>7. Aminikhanghahi, S., &amp; Cook, D. J. (2017). A survey of methods for time series change point detection. Knowledge and Information Systems, 51, 339-367. https://doi.org/10.1007/s10115-016-0987-z</w:t>
      </w:r>
    </w:p>
    <w:p>
      <w:pPr>
        <w:pStyle w:val="Normal"/>
        <w:rPr/>
      </w:pPr>
      <w:r>
        <w:rPr/>
        <w:t>8. Scheffer, M., Bascompte, J., Brock, W. A., et al. (2009). Early-warning signals for critical transitions. Nature, 461, 53-59. https://doi.org/10.1038/nature08227</w:t>
      </w:r>
    </w:p>
    <w:p>
      <w:pPr>
        <w:pStyle w:val="Normal"/>
        <w:rPr/>
      </w:pPr>
      <w:r>
        <w:rPr/>
        <w:t>9. Basseville, M., &amp; Nikiforov, I. V. (1993). Detection of Abrupt Changes: Theory and Application. Prentice Hall.</w:t>
      </w:r>
    </w:p>
    <w:p>
      <w:pPr>
        <w:pStyle w:val="Normal"/>
        <w:rPr/>
      </w:pPr>
      <w:r>
        <w:rPr/>
        <w:t>10. Beggs, J. M. (2012). Being critical of criticality in the brain. Frontiers in Physiology, 3, 128. https://doi.org/10.3389/fphys.2012.00128</w:t>
      </w:r>
    </w:p>
    <w:p>
      <w:pPr>
        <w:pStyle w:val="Normal"/>
        <w:rPr/>
      </w:pPr>
      <w:r>
        <w:rPr/>
        <w:t>11. Erlhagen, W., &amp; Schoner, G. (2002). Dynamic field theory of movement preparation. Psychological Review, 109(3), 545-572. https://doi.org/10.1037/0033-295X.109.3.545</w:t>
      </w:r>
    </w:p>
    <w:p>
      <w:pPr>
        <w:pStyle w:val="Normal"/>
        <w:rPr/>
      </w:pPr>
      <w:r>
        <w:rPr/>
        <w:t>12. Gallego, J. A., Perich, M. G., Naufel, S. N., Ethier, C., Solla, S. A., &amp; Miller, L. E. (2018). Cortical population activity within a preserved neural manifold underlies multiple motor behaviors. Nature Communications, 9(1), 4233. https://doi.org/10.1038/s41467-018-06560-z</w:t>
      </w:r>
    </w:p>
    <w:p>
      <w:pPr>
        <w:pStyle w:val="Normal"/>
        <w:rPr/>
      </w:pPr>
      <w:r>
        <w:rPr/>
        <w:t>13. Goldbeter, A. (2018). Dissipative structures in biological systems: bistability, oscillations, spatial patterns and waves. Philosophical Transactions of the Royal Society A, 376(2124), 20170376. https://doi.org/10.1098/rsta.2017.0376</w:t>
      </w:r>
    </w:p>
    <w:p>
      <w:pPr>
        <w:pStyle w:val="Normal"/>
        <w:rPr/>
      </w:pPr>
      <w:r>
        <w:rPr/>
        <w:t>14. Johnson, J. S., Spencer, J. P., &amp; Schoner, G. (2008). Moving to higher ground: The dynamic field theory and the dynamics of visual cognition. New Ideas in Psychology, 26(2), 227-251. https://doi.org/10.1016/j.newideapsych.2007.07.007</w:t>
      </w:r>
    </w:p>
    <w:p>
      <w:pPr>
        <w:pStyle w:val="Normal"/>
        <w:rPr/>
      </w:pPr>
      <w:r>
        <w:rPr/>
        <w:t>15. O'Byrne, J., &amp; Seth, A. K. (2022). How critical is brain criticality? Trends in Neurosciences, 45(11), 820-832. https://doi.org/10.1016/j.tins.2022.09.002</w:t>
      </w:r>
    </w:p>
    <w:p>
      <w:pPr>
        <w:pStyle w:val="Normal"/>
        <w:rPr/>
      </w:pPr>
      <w:r>
        <w:rPr/>
        <w:t>16. Sandamirskaya, Y., &amp; Schoner, G. (2010). An embodied account of serial order: How instabilities drive sequence generation. Neural Networks, 23(9), 1164-1179. https://doi.org/10.1016/j.neunet.2010.06.006</w:t>
      </w:r>
    </w:p>
    <w:p>
      <w:pPr>
        <w:pStyle w:val="Normal"/>
        <w:rPr/>
      </w:pPr>
      <w:r>
        <w:rPr/>
        <w:t>17. Schoner, G., &amp; Spencer, J. P. (2015). Dynamic Thinking: A Primer on Dynamic Field Theory. Oxford University Press.</w:t>
      </w:r>
    </w:p>
    <w:p>
      <w:pPr>
        <w:pStyle w:val="Normal"/>
        <w:rPr/>
      </w:pPr>
      <w:r>
        <w:rPr/>
        <w:t>18. Killick, R., Fearnhead, P., &amp; Eckley, I. A. (2012). Optimal detection of changepoints with a linear computational cost. Journal of the American Statistical Association, 107(500), 1590-1598. https://doi.org/10.1080/01621459.2012.737745</w:t>
      </w:r>
    </w:p>
    <w:p>
      <w:pPr>
        <w:pStyle w:val="Normal"/>
        <w:rPr/>
      </w:pPr>
      <w:r>
        <w:t>19. Adams, R. P., &amp; MacKay, D. J. C. (2007). Bayesian Online Changepoint Detection. arXiv:0710.3742. https://doi.org/10.48550/arXiv.0710.3742</w:t>
      </w:r>
    </w:p>
    <w:p>
      <w:pPr>
        <w:pStyle w:val="Normal"/>
        <w:rPr/>
      </w:pPr>
      <w:r>
        <w:rPr/>
        <w:t>20. Truong, C., Oudre, L., &amp; Vayatis, N. (2020). Selective review of offline change point detection methods. Signal Processing, 167, 107299. https://doi.org/10.1016/j.sigpro.2019.107299</w:t>
      </w:r>
    </w:p>
    <w:p>
      <w:pPr>
        <w:pStyle w:val="Normal"/>
        <w:spacing w:before="0" w:after="200"/>
        <w:rPr/>
      </w:pPr>
      <w:r>
        <w:rPr/>
        <w:t>21. Hamilton, J. D. (1994). Time Series Analysis. Princeton University Press.</w:t>
      </w:r>
    </w:p>
    <w:p>
      <w:r>
        <w:t>22. Theiler, J., Eubank, S., Longtin, A., Galdrikian, B., &amp; Farmer, J. D. (1992). Testing for nonlinearity in time series: the method of surrogate data. Physica D: Nonlinear Phenomena, 58(1-4), 77-94. https://doi.org/10.1016/0167-2789(92)90102-S</w:t>
      </w:r>
    </w:p>
    <w:p>
      <w:r>
        <w:t>23. Schreiber, T., &amp; Schmitz, A. (2000). Surrogate time series. Physica D: Nonlinear Phenomena, 142(3-4), 346-382. https://doi.org/10.1016/S0167-2789(00)00043-9</w:t>
      </w:r>
    </w:p>
    <w:p>
      <w:r>
        <w:t>24. Politis, D. N., &amp; Romano, J. P. (1994). The stationary bootstrap. Journal of the American Statistical Association, 89, 1303-1313. https://doi.org/10.1080/01621459.1994.10476870</w:t>
      </w:r>
    </w:p>
    <w:p>
      <w:r>
        <w:t>25. Dakos, V., Carpenter, S. R., Brock, W. A., Ellison, A. M., Guttal, V., Ives, A. R., Kéfi, S., Livina, V., Seekell, D. A., van Nes, E. H., &amp; Scheffer, M. (2012). Methods for detecting early warnings of critical transitions in time series illustrated using simulated ecological data. PLoS ONE, 7(7), e41010. https://doi.org/10.1371/journal.pone.0041010</w:t>
      </w:r>
    </w:p>
    <w:p>
      <w:r>
        <w:t>26. Lancaster, G., Iatsenko, D., Pidde, A., Ticcinelli, V., &amp; Stefanovska, A. (2018). Surrogate data for hypothesis testing of physical systems. Physics Reports, 748, 1-60. https://doi.org/10.1016/j.physrep.2018.06.001</w:t>
      </w:r>
    </w:p>
    <w:p>
      <w:r>
        <w:t>27. Pineau, J., Vincent-Lamarre, P., Sinha, K., Larivière, V., Beygelzimer, A., d’Alché-Buc, F., Fox, E., &amp; Larochelle, H. (2021). Improving reproducibility in machine learning research: A report from the NeurIPS 2019 reproducibility program. Journal of Machine Learning Research, 22(164), 1-20. https://jmlr.org/papers/v22/20-303.html</w:t>
      </w:r>
    </w:p>
    <w:p>
      <w:r>
        <w:t>28. Dodge, J., Gururangan, S., Card, D., Schwartz, R., &amp; Smith, N. A. (2019). Show your work: Improved reporting of experimental results. In Proceedings of the 2019 Conference on Empirical Methods in Natural Language Processing (EMNLP-IJCNLP) (pp. 2185-2194). https://doi.org/10.18653/v1/D19-1224</w:t>
      </w:r>
    </w:p>
    <w:p>
      <w:r>
        <w:t>29. Steegen, S., Tuerlinckx, F., Gelman, A., &amp; Vanpaemel, W. (2016). Increasing transparency through a multiverse analysis. Perspectives on Psychological Science, 11(5), 702-712. https://doi.org/10.1177/1745691616658637</w:t>
      </w:r>
    </w:p>
    <w:sectPr>
      <w:type w:val="nextPage"/>
      <w:pgSz w:w="12240" w:h="15840"/>
      <w:pgMar w:left="1800" w:right="1800" w:gutter="0" w:header="0" w:top="1440" w:footer="0" w:bottom="1440"/>
      <w:pgNumType w:fmt="decimal"/>
      <w:formProt w:val="false"/>
      <w:textDirection w:val="lrTb"/>
      <w:docGrid w:type="default" w:linePitch="360" w:charSpace="429496504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ourier">
    <w:altName w:val="Courier New"/>
    <w:charset w:val="00"/>
    <w:family w:val="roman"/>
    <w:pitch w:val="variable"/>
  </w:font>
  <w:font w:name="Courier New">
    <w:charset w:val="00"/>
    <w:family w:val="modern"/>
    <w:pitch w:val="default"/>
  </w:font>
  <w:font w:name="Cambria">
    <w:charset w:val="00"/>
    <w:family w:val="roman"/>
    <w:pitch w:val="variable"/>
  </w:font>
  <w:font w:name="Courier New"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pStyle w:val="Heading2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pStyle w:val="Heading3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pStyle w:val="Heading4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pStyle w:val="Heading5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pStyle w:val="Heading6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pStyle w:val="Heading7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pStyle w:val="Heading8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pStyle w:val="Heading9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isplayBackgroundShape/>
  <w:defaultTabStop w:val="720"/>
  <w:autoHyphenation w:val="true"/>
  <w:hyphenationZone w:val="0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numPr>
        <w:ilvl w:val="0"/>
        <w:numId w:val="0"/>
      </w:numPr>
      <w:suppressAutoHyphens w:val="true"/>
      <w:kinsoku w:val="true"/>
      <w:overflowPunct w:val="true"/>
      <w:autoSpaceDE w:val="true"/>
      <w:bidi w:val="0"/>
      <w:spacing w:lineRule="auto" w:line="276" w:before="0" w:after="200"/>
      <w:ind w:hanging="0" w:left="0" w:right="0"/>
    </w:pPr>
    <w:rPr>
      <w:rFonts w:ascii="Calibri" w:hAnsi="Calibri" w:eastAsia="SimSun" w:cs="Calibri"/>
      <w:color w:val="auto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BodyText"/>
    <w:qFormat/>
    <w:pPr>
      <w:keepNext w:val="true"/>
      <w:keepLines/>
      <w:numPr>
        <w:ilvl w:val="0"/>
        <w:numId w:val="1"/>
      </w:numPr>
      <w:spacing w:before="480" w:after="0"/>
      <w:outlineLvl w:val="0"/>
    </w:pPr>
    <w:rPr>
      <w:rFonts w:ascii="Calibri" w:hAnsi="Calibri" w:cs="Calibri"/>
      <w:b/>
      <w:bCs/>
      <w:color w:val="365F91"/>
      <w:sz w:val="28"/>
      <w:szCs w:val="28"/>
    </w:rPr>
  </w:style>
  <w:style w:type="paragraph" w:styleId="Heading2">
    <w:name w:val="heading 2"/>
    <w:basedOn w:val="Normal"/>
    <w:next w:val="BodyText"/>
    <w:qFormat/>
    <w:pPr>
      <w:keepNext w:val="true"/>
      <w:keepLines/>
      <w:numPr>
        <w:ilvl w:val="1"/>
        <w:numId w:val="1"/>
      </w:numPr>
      <w:spacing w:before="200" w:after="0"/>
      <w:outlineLvl w:val="1"/>
    </w:pPr>
    <w:rPr>
      <w:rFonts w:ascii="Calibri" w:hAnsi="Calibri" w:cs="Calibri"/>
      <w:b/>
      <w:bCs/>
      <w:color w:val="4F81BD"/>
      <w:sz w:val="26"/>
      <w:szCs w:val="26"/>
    </w:rPr>
  </w:style>
  <w:style w:type="paragraph" w:styleId="Heading3">
    <w:name w:val="heading 3"/>
    <w:basedOn w:val="Normal"/>
    <w:next w:val="BodyText"/>
    <w:qFormat/>
    <w:pPr>
      <w:keepNext w:val="true"/>
      <w:keepLines/>
      <w:numPr>
        <w:ilvl w:val="2"/>
        <w:numId w:val="1"/>
      </w:numPr>
      <w:spacing w:before="200" w:after="0"/>
      <w:outlineLvl w:val="2"/>
    </w:pPr>
    <w:rPr>
      <w:rFonts w:ascii="Calibri" w:hAnsi="Calibri" w:cs="Calibri"/>
      <w:b/>
      <w:bCs/>
      <w:color w:val="4F81BD"/>
    </w:rPr>
  </w:style>
  <w:style w:type="paragraph" w:styleId="Heading4">
    <w:name w:val="heading 4"/>
    <w:basedOn w:val="Normal"/>
    <w:next w:val="BodyText"/>
    <w:qFormat/>
    <w:pPr>
      <w:keepNext w:val="true"/>
      <w:keepLines/>
      <w:numPr>
        <w:ilvl w:val="3"/>
        <w:numId w:val="1"/>
      </w:numPr>
      <w:spacing w:before="200" w:after="0"/>
      <w:outlineLvl w:val="3"/>
    </w:pPr>
    <w:rPr>
      <w:rFonts w:ascii="Calibri" w:hAnsi="Calibri" w:cs="Calibri"/>
      <w:b/>
      <w:bCs/>
      <w:i/>
      <w:iCs/>
      <w:color w:val="4F81BD"/>
    </w:rPr>
  </w:style>
  <w:style w:type="paragraph" w:styleId="Heading5">
    <w:name w:val="heading 5"/>
    <w:basedOn w:val="Normal"/>
    <w:next w:val="BodyText"/>
    <w:qFormat/>
    <w:pPr>
      <w:keepNext w:val="true"/>
      <w:keepLines/>
      <w:numPr>
        <w:ilvl w:val="4"/>
        <w:numId w:val="1"/>
      </w:numPr>
      <w:spacing w:before="200" w:after="0"/>
      <w:outlineLvl w:val="4"/>
    </w:pPr>
    <w:rPr>
      <w:rFonts w:ascii="Calibri" w:hAnsi="Calibri" w:cs="Calibri"/>
      <w:color w:val="243F60"/>
    </w:rPr>
  </w:style>
  <w:style w:type="paragraph" w:styleId="Heading6">
    <w:name w:val="heading 6"/>
    <w:basedOn w:val="Normal"/>
    <w:next w:val="BodyText"/>
    <w:qFormat/>
    <w:pPr>
      <w:keepNext w:val="true"/>
      <w:keepLines/>
      <w:numPr>
        <w:ilvl w:val="5"/>
        <w:numId w:val="1"/>
      </w:numPr>
      <w:spacing w:before="200" w:after="0"/>
      <w:outlineLvl w:val="5"/>
    </w:pPr>
    <w:rPr>
      <w:rFonts w:ascii="Calibri" w:hAnsi="Calibri" w:cs="Calibri"/>
      <w:i/>
      <w:iCs/>
      <w:color w:val="243F60"/>
    </w:rPr>
  </w:style>
  <w:style w:type="paragraph" w:styleId="Heading7">
    <w:name w:val="heading 7"/>
    <w:basedOn w:val="Normal"/>
    <w:next w:val="BodyText"/>
    <w:qFormat/>
    <w:pPr>
      <w:keepNext w:val="true"/>
      <w:keepLines/>
      <w:numPr>
        <w:ilvl w:val="6"/>
        <w:numId w:val="1"/>
      </w:numPr>
      <w:spacing w:before="200" w:after="0"/>
      <w:outlineLvl w:val="6"/>
    </w:pPr>
    <w:rPr>
      <w:rFonts w:ascii="Calibri" w:hAnsi="Calibri" w:cs="Calibri"/>
      <w:i/>
      <w:iCs/>
      <w:color w:val="404040"/>
    </w:rPr>
  </w:style>
  <w:style w:type="paragraph" w:styleId="Heading8">
    <w:name w:val="heading 8"/>
    <w:basedOn w:val="Normal"/>
    <w:next w:val="BodyText"/>
    <w:qFormat/>
    <w:pPr>
      <w:keepNext w:val="true"/>
      <w:keepLines/>
      <w:numPr>
        <w:ilvl w:val="7"/>
        <w:numId w:val="1"/>
      </w:numPr>
      <w:spacing w:before="200" w:after="0"/>
      <w:outlineLvl w:val="7"/>
    </w:pPr>
    <w:rPr>
      <w:rFonts w:ascii="Calibri" w:hAnsi="Calibri" w:cs="Calibri"/>
      <w:color w:val="4F81BD"/>
      <w:sz w:val="20"/>
      <w:szCs w:val="20"/>
    </w:rPr>
  </w:style>
  <w:style w:type="paragraph" w:styleId="Heading9">
    <w:name w:val="heading 9"/>
    <w:basedOn w:val="Normal"/>
    <w:next w:val="BodyText"/>
    <w:qFormat/>
    <w:pPr>
      <w:keepNext w:val="true"/>
      <w:keepLines/>
      <w:numPr>
        <w:ilvl w:val="8"/>
        <w:numId w:val="1"/>
      </w:numPr>
      <w:spacing w:before="200" w:after="0"/>
      <w:outlineLvl w:val="8"/>
    </w:pPr>
    <w:rPr>
      <w:rFonts w:ascii="Calibri" w:hAnsi="Calibri" w:cs="Calibri"/>
      <w:i/>
      <w:iCs/>
      <w:color w:val="404040"/>
      <w:sz w:val="20"/>
      <w:szCs w:val="20"/>
    </w:rPr>
  </w:style>
  <w:style w:type="character" w:styleId="HeaderChar">
    <w:name w:val="Header Char"/>
    <w:qFormat/>
    <w:rPr/>
  </w:style>
  <w:style w:type="character" w:styleId="FooterChar">
    <w:name w:val="Footer Char"/>
    <w:qFormat/>
    <w:rPr/>
  </w:style>
  <w:style w:type="character" w:styleId="DefaultParagraphFont">
    <w:name w:val="Default Paragraph Font"/>
    <w:qFormat/>
    <w:rPr/>
  </w:style>
  <w:style w:type="character" w:styleId="Heading1Char">
    <w:name w:val="Heading 1 Char"/>
    <w:basedOn w:val="DefaultParagraphFont"/>
    <w:qFormat/>
    <w:rPr>
      <w:rFonts w:ascii="Calibri" w:hAnsi="Calibri" w:cs="Calibri"/>
      <w:b/>
      <w:bCs/>
      <w:color w:val="365F91"/>
      <w:sz w:val="28"/>
      <w:szCs w:val="28"/>
    </w:rPr>
  </w:style>
  <w:style w:type="character" w:styleId="Heading2Char">
    <w:name w:val="Heading 2 Char"/>
    <w:basedOn w:val="DefaultParagraphFont"/>
    <w:qFormat/>
    <w:rPr>
      <w:rFonts w:ascii="Calibri" w:hAnsi="Calibri" w:cs="Calibri"/>
      <w:b/>
      <w:bCs/>
      <w:color w:val="4F81BD"/>
      <w:sz w:val="26"/>
      <w:szCs w:val="26"/>
    </w:rPr>
  </w:style>
  <w:style w:type="character" w:styleId="Heading3Char">
    <w:name w:val="Heading 3 Char"/>
    <w:basedOn w:val="DefaultParagraphFont"/>
    <w:qFormat/>
    <w:rPr>
      <w:rFonts w:ascii="Calibri" w:hAnsi="Calibri" w:cs="Calibri"/>
      <w:b/>
      <w:bCs/>
      <w:color w:val="4F81BD"/>
    </w:rPr>
  </w:style>
  <w:style w:type="character" w:styleId="TitleChar">
    <w:name w:val="Title Char"/>
    <w:basedOn w:val="DefaultParagraphFont"/>
    <w:qFormat/>
    <w:rPr>
      <w:rFonts w:ascii="Calibri" w:hAnsi="Calibri" w:cs="Calibri"/>
      <w:color w:val="17365D"/>
      <w:spacing w:val="5"/>
      <w:kern w:val="2"/>
      <w:sz w:val="52"/>
      <w:szCs w:val="52"/>
    </w:rPr>
  </w:style>
  <w:style w:type="character" w:styleId="SubtitleChar">
    <w:name w:val="Subtitle Char"/>
    <w:basedOn w:val="DefaultParagraphFont"/>
    <w:qFormat/>
    <w:rPr>
      <w:rFonts w:ascii="Calibri" w:hAnsi="Calibri" w:cs="Calibri"/>
      <w:i/>
      <w:iCs/>
      <w:color w:val="4F81BD"/>
      <w:spacing w:val="15"/>
      <w:sz w:val="24"/>
      <w:szCs w:val="24"/>
    </w:rPr>
  </w:style>
  <w:style w:type="character" w:styleId="BodyTextChar">
    <w:name w:val="Body Text Char"/>
    <w:basedOn w:val="DefaultParagraphFont"/>
    <w:qFormat/>
    <w:rPr/>
  </w:style>
  <w:style w:type="character" w:styleId="BodyText2Char">
    <w:name w:val="Body Text 2 Char"/>
    <w:basedOn w:val="DefaultParagraphFont"/>
    <w:qFormat/>
    <w:rPr/>
  </w:style>
  <w:style w:type="character" w:styleId="BodyText3Char">
    <w:name w:val="Body Text 3 Char"/>
    <w:basedOn w:val="DefaultParagraphFont"/>
    <w:qFormat/>
    <w:rPr>
      <w:sz w:val="16"/>
      <w:szCs w:val="16"/>
    </w:rPr>
  </w:style>
  <w:style w:type="character" w:styleId="MacroTextChar">
    <w:name w:val="Macro Text Char"/>
    <w:basedOn w:val="DefaultParagraphFont"/>
    <w:qFormat/>
    <w:rPr>
      <w:rFonts w:ascii="Courier;Courier New" w:hAnsi="Courier;Courier New" w:cs="Courier;Courier New"/>
      <w:sz w:val="20"/>
      <w:szCs w:val="20"/>
    </w:rPr>
  </w:style>
  <w:style w:type="character" w:styleId="QuoteChar">
    <w:name w:val="Quote Char"/>
    <w:basedOn w:val="DefaultParagraphFont"/>
    <w:qFormat/>
    <w:rPr>
      <w:i/>
      <w:iCs/>
      <w:color w:val="000000"/>
    </w:rPr>
  </w:style>
  <w:style w:type="character" w:styleId="Heading4Char">
    <w:name w:val="Heading 4 Char"/>
    <w:basedOn w:val="DefaultParagraphFont"/>
    <w:qFormat/>
    <w:rPr>
      <w:rFonts w:ascii="Calibri" w:hAnsi="Calibri" w:cs="Calibri"/>
      <w:b/>
      <w:bCs/>
      <w:i/>
      <w:iCs/>
      <w:color w:val="4F81BD"/>
    </w:rPr>
  </w:style>
  <w:style w:type="character" w:styleId="Heading5Char">
    <w:name w:val="Heading 5 Char"/>
    <w:basedOn w:val="DefaultParagraphFont"/>
    <w:qFormat/>
    <w:rPr>
      <w:rFonts w:ascii="Calibri" w:hAnsi="Calibri" w:cs="Calibri"/>
      <w:color w:val="243F60"/>
    </w:rPr>
  </w:style>
  <w:style w:type="character" w:styleId="Heading6Char">
    <w:name w:val="Heading 6 Char"/>
    <w:basedOn w:val="DefaultParagraphFont"/>
    <w:qFormat/>
    <w:rPr>
      <w:rFonts w:ascii="Calibri" w:hAnsi="Calibri" w:cs="Calibri"/>
      <w:i/>
      <w:iCs/>
      <w:color w:val="243F60"/>
    </w:rPr>
  </w:style>
  <w:style w:type="character" w:styleId="Heading7Char">
    <w:name w:val="Heading 7 Char"/>
    <w:basedOn w:val="DefaultParagraphFont"/>
    <w:qFormat/>
    <w:rPr>
      <w:rFonts w:ascii="Calibri" w:hAnsi="Calibri" w:cs="Calibri"/>
      <w:i/>
      <w:iCs/>
      <w:color w:val="404040"/>
    </w:rPr>
  </w:style>
  <w:style w:type="character" w:styleId="Heading8Char">
    <w:name w:val="Heading 8 Char"/>
    <w:basedOn w:val="DefaultParagraphFont"/>
    <w:qFormat/>
    <w:rPr>
      <w:rFonts w:ascii="Calibri" w:hAnsi="Calibri" w:cs="Calibri"/>
      <w:color w:val="4F81BD"/>
      <w:sz w:val="20"/>
      <w:szCs w:val="20"/>
    </w:rPr>
  </w:style>
  <w:style w:type="character" w:styleId="Heading9Char">
    <w:name w:val="Heading 9 Char"/>
    <w:basedOn w:val="DefaultParagraphFont"/>
    <w:qFormat/>
    <w:rPr>
      <w:rFonts w:ascii="Calibri" w:hAnsi="Calibri" w:cs="Calibri"/>
      <w:i/>
      <w:iCs/>
      <w:color w:val="404040"/>
      <w:sz w:val="20"/>
      <w:szCs w:val="20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IntenseQuoteChar">
    <w:name w:val="Intense Quote Char"/>
    <w:basedOn w:val="DefaultParagraphFont"/>
    <w:qFormat/>
    <w:rPr>
      <w:b/>
      <w:bCs/>
      <w:i/>
      <w:iCs/>
      <w:color w:val="4F81BD"/>
    </w:rPr>
  </w:style>
  <w:style w:type="character" w:styleId="SubtleEmphasis">
    <w:name w:val="Subtle Emphasis"/>
    <w:basedOn w:val="DefaultParagraphFont"/>
    <w:qFormat/>
    <w:rPr>
      <w:i/>
      <w:iCs/>
      <w:color w:val="808080"/>
    </w:rPr>
  </w:style>
  <w:style w:type="character" w:styleId="IntenseEmphasis">
    <w:name w:val="Intense Emphasis"/>
    <w:basedOn w:val="DefaultParagraphFont"/>
    <w:qFormat/>
    <w:rPr>
      <w:b/>
      <w:bCs/>
      <w:i/>
      <w:iCs/>
      <w:color w:val="4F81BD"/>
    </w:rPr>
  </w:style>
  <w:style w:type="character" w:styleId="SubtleReference">
    <w:name w:val="Subtle Reference"/>
    <w:basedOn w:val="DefaultParagraphFont"/>
    <w:qFormat/>
    <w:rPr>
      <w:smallCaps/>
      <w:color w:val="C0504D"/>
      <w:u w:val="single"/>
    </w:rPr>
  </w:style>
  <w:style w:type="character" w:styleId="IntenseReference">
    <w:name w:val="Intense Reference"/>
    <w:basedOn w:val="DefaultParagraphFont"/>
    <w:qFormat/>
    <w:rPr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qFormat/>
    <w:rPr>
      <w:b/>
      <w:bCs/>
      <w:smallCaps/>
      <w:spacing w:val="5"/>
    </w:rPr>
  </w:style>
  <w:style w:type="character" w:styleId="Textofuente">
    <w:name w:val="Texto fuente"/>
    <w:qFormat/>
    <w:rPr>
      <w:rFonts w:ascii="Courier New" w:hAnsi="Courier New" w:eastAsia="Courier New" w:cs="Courier New"/>
    </w:rPr>
  </w:style>
  <w:style w:type="paragraph" w:styleId="Heading">
    <w:name w:val="Heading"/>
    <w:basedOn w:val="Normal"/>
    <w:next w:val="Subtitle"/>
    <w:qFormat/>
    <w:pPr>
      <w:numPr>
        <w:ilvl w:val="0"/>
        <w:numId w:val="0"/>
      </w:numPr>
      <w:pBdr>
        <w:bottom w:val="single" w:sz="8" w:space="4" w:color="808080"/>
      </w:pBdr>
      <w:spacing w:lineRule="atLeast" w:line="100" w:before="0" w:after="300"/>
      <w:ind w:hanging="0" w:left="0" w:right="0"/>
      <w:jc w:val="left"/>
    </w:pPr>
    <w:rPr>
      <w:rFonts w:ascii="Calibri" w:hAnsi="Calibri" w:cs="Calibri"/>
      <w:b/>
      <w:bCs/>
      <w:color w:val="17365D"/>
      <w:spacing w:val="5"/>
      <w:kern w:val="2"/>
      <w:sz w:val="52"/>
      <w:szCs w:val="52"/>
    </w:rPr>
  </w:style>
  <w:style w:type="paragraph" w:styleId="BodyText">
    <w:name w:val="Body Text"/>
    <w:basedOn w:val="Normal"/>
    <w:pPr>
      <w:numPr>
        <w:ilvl w:val="0"/>
        <w:numId w:val="0"/>
      </w:numPr>
      <w:spacing w:before="0" w:after="120"/>
      <w:ind w:hanging="0" w:left="0" w:right="0"/>
    </w:pPr>
    <w:rPr/>
  </w:style>
  <w:style w:type="paragraph" w:styleId="List">
    <w:name w:val="List"/>
    <w:basedOn w:val="Normal"/>
    <w:pPr>
      <w:numPr>
        <w:ilvl w:val="0"/>
        <w:numId w:val="0"/>
      </w:numPr>
      <w:ind w:hanging="360" w:left="360" w:right="0"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Encabezado">
    <w:name w:val="Encabezado"/>
    <w:basedOn w:val="Normal"/>
    <w:next w:val="BodyText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>
    <w:name w:val="Etiqueta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numPr>
        <w:ilvl w:val="0"/>
        <w:numId w:val="0"/>
      </w:numPr>
      <w:suppressLineNumbers/>
      <w:tabs>
        <w:tab w:val="clear" w:pos="720"/>
        <w:tab w:val="center" w:pos="4680" w:leader="none"/>
        <w:tab w:val="right" w:pos="9360" w:leader="none"/>
      </w:tabs>
      <w:spacing w:lineRule="atLeast" w:line="100" w:before="0" w:after="0"/>
      <w:ind w:hanging="0" w:left="0" w:right="0"/>
    </w:pPr>
    <w:rPr/>
  </w:style>
  <w:style w:type="paragraph" w:styleId="Footer">
    <w:name w:val="footer"/>
    <w:basedOn w:val="Normal"/>
    <w:pPr>
      <w:numPr>
        <w:ilvl w:val="0"/>
        <w:numId w:val="0"/>
      </w:numPr>
      <w:suppressLineNumbers/>
      <w:tabs>
        <w:tab w:val="clear" w:pos="720"/>
        <w:tab w:val="center" w:pos="4680" w:leader="none"/>
        <w:tab w:val="right" w:pos="9360" w:leader="none"/>
      </w:tabs>
      <w:spacing w:lineRule="atLeast" w:line="100" w:before="0" w:after="0"/>
      <w:ind w:hanging="0" w:left="0" w:right="0"/>
    </w:pPr>
    <w:rPr/>
  </w:style>
  <w:style w:type="paragraph" w:styleId="NoSpacing">
    <w:name w:val="No Spacing"/>
    <w:qFormat/>
    <w:pPr>
      <w:widowControl/>
      <w:numPr>
        <w:ilvl w:val="0"/>
        <w:numId w:val="0"/>
      </w:numPr>
      <w:suppressAutoHyphens w:val="true"/>
      <w:kinsoku w:val="true"/>
      <w:overflowPunct w:val="true"/>
      <w:autoSpaceDE w:val="true"/>
      <w:bidi w:val="0"/>
      <w:spacing w:lineRule="atLeast" w:line="100" w:before="0" w:after="0"/>
      <w:ind w:hanging="0" w:left="0" w:right="0"/>
    </w:pPr>
    <w:rPr>
      <w:rFonts w:ascii="Cambria" w:hAnsi="Cambria" w:eastAsia="SimSun" w:cs="Cambria"/>
      <w:color w:val="auto"/>
      <w:sz w:val="22"/>
      <w:szCs w:val="22"/>
      <w:lang w:val="en-US" w:eastAsia="en-US" w:bidi="ar-SA"/>
    </w:rPr>
  </w:style>
  <w:style w:type="paragraph" w:styleId="Subtitle">
    <w:name w:val="Subtitle"/>
    <w:basedOn w:val="Normal"/>
    <w:next w:val="BodyText"/>
    <w:qFormat/>
    <w:pPr>
      <w:numPr>
        <w:ilvl w:val="0"/>
        <w:numId w:val="0"/>
      </w:numPr>
      <w:ind w:hanging="0" w:left="0" w:right="0"/>
      <w:jc w:val="left"/>
    </w:pPr>
    <w:rPr>
      <w:rFonts w:ascii="Calibri" w:hAnsi="Calibri" w:cs="Calibri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qFormat/>
    <w:pPr>
      <w:numPr>
        <w:ilvl w:val="0"/>
        <w:numId w:val="0"/>
      </w:numPr>
      <w:ind w:hanging="0" w:left="720" w:right="0"/>
    </w:pPr>
    <w:rPr/>
  </w:style>
  <w:style w:type="paragraph" w:styleId="BodyText2">
    <w:name w:val="Body Text 2"/>
    <w:basedOn w:val="Normal"/>
    <w:qFormat/>
    <w:pPr>
      <w:numPr>
        <w:ilvl w:val="0"/>
        <w:numId w:val="0"/>
      </w:numPr>
      <w:spacing w:lineRule="auto" w:line="480" w:before="0" w:after="120"/>
      <w:ind w:hanging="0" w:left="0" w:right="0"/>
    </w:pPr>
    <w:rPr/>
  </w:style>
  <w:style w:type="paragraph" w:styleId="BodyText3">
    <w:name w:val="Body Text 3"/>
    <w:basedOn w:val="Normal"/>
    <w:qFormat/>
    <w:pPr>
      <w:numPr>
        <w:ilvl w:val="0"/>
        <w:numId w:val="0"/>
      </w:numPr>
      <w:spacing w:before="0" w:after="120"/>
      <w:ind w:hanging="0" w:left="0" w:right="0"/>
    </w:pPr>
    <w:rPr>
      <w:sz w:val="16"/>
      <w:szCs w:val="16"/>
    </w:rPr>
  </w:style>
  <w:style w:type="paragraph" w:styleId="Enumeracin2">
    <w:name w:val="Enumeración 2"/>
    <w:basedOn w:val="Normal"/>
    <w:qFormat/>
    <w:pPr>
      <w:numPr>
        <w:ilvl w:val="0"/>
        <w:numId w:val="0"/>
      </w:numPr>
      <w:spacing w:before="0" w:after="120"/>
      <w:ind w:hanging="360" w:left="720" w:right="0"/>
    </w:pPr>
    <w:rPr/>
  </w:style>
  <w:style w:type="paragraph" w:styleId="Enumeracin3">
    <w:name w:val="Enumeración 3"/>
    <w:basedOn w:val="Normal"/>
    <w:qFormat/>
    <w:pPr>
      <w:numPr>
        <w:ilvl w:val="0"/>
        <w:numId w:val="0"/>
      </w:numPr>
      <w:spacing w:before="0" w:after="120"/>
      <w:ind w:hanging="360" w:left="1080" w:right="0"/>
    </w:pPr>
    <w:rPr/>
  </w:style>
  <w:style w:type="paragraph" w:styleId="ListBullet">
    <w:name w:val="List Bullet"/>
    <w:basedOn w:val="Normal"/>
    <w:qFormat/>
    <w:pPr>
      <w:numPr>
        <w:ilvl w:val="0"/>
        <w:numId w:val="0"/>
      </w:numPr>
      <w:ind w:hanging="0" w:left="0" w:right="0"/>
    </w:pPr>
    <w:rPr/>
  </w:style>
  <w:style w:type="paragraph" w:styleId="ListBullet2">
    <w:name w:val="List Bullet 2"/>
    <w:basedOn w:val="Normal"/>
    <w:qFormat/>
    <w:pPr>
      <w:numPr>
        <w:ilvl w:val="0"/>
        <w:numId w:val="0"/>
      </w:numPr>
      <w:ind w:hanging="0" w:left="0" w:right="0"/>
    </w:pPr>
    <w:rPr/>
  </w:style>
  <w:style w:type="paragraph" w:styleId="ListBullet3">
    <w:name w:val="List Bullet 3"/>
    <w:basedOn w:val="Normal"/>
    <w:qFormat/>
    <w:pPr>
      <w:numPr>
        <w:ilvl w:val="0"/>
        <w:numId w:val="0"/>
      </w:numPr>
      <w:ind w:hanging="0" w:left="0" w:right="0"/>
    </w:pPr>
    <w:rPr/>
  </w:style>
  <w:style w:type="paragraph" w:styleId="ListNumber">
    <w:name w:val="List Number"/>
    <w:basedOn w:val="Normal"/>
    <w:qFormat/>
    <w:pPr>
      <w:numPr>
        <w:ilvl w:val="0"/>
        <w:numId w:val="2"/>
      </w:numPr>
    </w:pPr>
    <w:rPr/>
  </w:style>
  <w:style w:type="paragraph" w:styleId="ListNumber2">
    <w:name w:val="List Number 2"/>
    <w:basedOn w:val="Normal"/>
    <w:qFormat/>
    <w:pPr>
      <w:numPr>
        <w:ilvl w:val="0"/>
        <w:numId w:val="2"/>
      </w:numPr>
    </w:pPr>
    <w:rPr/>
  </w:style>
  <w:style w:type="paragraph" w:styleId="ListNumber3">
    <w:name w:val="List Number 3"/>
    <w:basedOn w:val="Normal"/>
    <w:qFormat/>
    <w:pPr>
      <w:numPr>
        <w:ilvl w:val="0"/>
        <w:numId w:val="2"/>
      </w:numPr>
      <w:outlineLvl w:val="0"/>
    </w:pPr>
    <w:rPr/>
  </w:style>
  <w:style w:type="paragraph" w:styleId="ListContinue">
    <w:name w:val="List Continue"/>
    <w:basedOn w:val="Normal"/>
    <w:qFormat/>
    <w:pPr>
      <w:numPr>
        <w:ilvl w:val="0"/>
        <w:numId w:val="0"/>
      </w:numPr>
      <w:spacing w:before="0" w:after="120"/>
      <w:ind w:hanging="0" w:left="360" w:right="0"/>
    </w:pPr>
    <w:rPr/>
  </w:style>
  <w:style w:type="paragraph" w:styleId="ListContinue2">
    <w:name w:val="List Continue 2"/>
    <w:basedOn w:val="Normal"/>
    <w:qFormat/>
    <w:pPr>
      <w:numPr>
        <w:ilvl w:val="0"/>
        <w:numId w:val="0"/>
      </w:numPr>
      <w:spacing w:before="0" w:after="120"/>
      <w:ind w:hanging="0" w:left="720" w:right="0"/>
    </w:pPr>
    <w:rPr/>
  </w:style>
  <w:style w:type="paragraph" w:styleId="ListContinue3">
    <w:name w:val="List Continue 3"/>
    <w:basedOn w:val="Normal"/>
    <w:qFormat/>
    <w:pPr>
      <w:numPr>
        <w:ilvl w:val="0"/>
        <w:numId w:val="0"/>
      </w:numPr>
      <w:spacing w:before="0" w:after="120"/>
      <w:ind w:hanging="0" w:left="1080" w:right="0"/>
    </w:pPr>
    <w:rPr/>
  </w:style>
  <w:style w:type="paragraph" w:styleId="MacroText">
    <w:name w:val="macro"/>
    <w:qFormat/>
    <w:pPr>
      <w:widowControl/>
      <w:numPr>
        <w:ilvl w:val="0"/>
        <w:numId w:val="0"/>
      </w:numPr>
      <w:tabs>
        <w:tab w:val="clear" w:pos="720"/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  <w:suppressAutoHyphens w:val="true"/>
      <w:kinsoku w:val="true"/>
      <w:overflowPunct w:val="true"/>
      <w:autoSpaceDE w:val="true"/>
      <w:bidi w:val="0"/>
      <w:spacing w:lineRule="auto" w:line="276" w:before="0" w:after="200"/>
      <w:ind w:hanging="0" w:left="0" w:right="0"/>
    </w:pPr>
    <w:rPr>
      <w:rFonts w:ascii="Courier;Courier New" w:hAnsi="Courier;Courier New" w:eastAsia="SimSun" w:cs="Courier;Courier New"/>
      <w:color w:val="auto"/>
      <w:sz w:val="20"/>
      <w:szCs w:val="20"/>
      <w:lang w:val="en-US" w:eastAsia="en-US" w:bidi="ar-SA"/>
    </w:rPr>
  </w:style>
  <w:style w:type="paragraph" w:styleId="Quote">
    <w:name w:val="Quote"/>
    <w:basedOn w:val="Normal"/>
    <w:qFormat/>
    <w:pPr>
      <w:numPr>
        <w:ilvl w:val="0"/>
        <w:numId w:val="0"/>
      </w:numPr>
      <w:ind w:hanging="0" w:left="0" w:right="0"/>
    </w:pPr>
    <w:rPr>
      <w:i/>
      <w:iCs/>
      <w:color w:val="000000"/>
    </w:rPr>
  </w:style>
  <w:style w:type="paragraph" w:styleId="caption1">
    <w:name w:val="caption1"/>
    <w:basedOn w:val="Normal"/>
    <w:qFormat/>
    <w:pPr>
      <w:numPr>
        <w:ilvl w:val="0"/>
        <w:numId w:val="0"/>
      </w:numPr>
      <w:spacing w:lineRule="atLeast" w:line="100"/>
      <w:ind w:hanging="0" w:left="0" w:right="0"/>
    </w:pPr>
    <w:rPr>
      <w:b/>
      <w:bCs/>
      <w:color w:val="4F81BD"/>
      <w:sz w:val="18"/>
      <w:szCs w:val="18"/>
    </w:rPr>
  </w:style>
  <w:style w:type="paragraph" w:styleId="IntenseQuote">
    <w:name w:val="Intense Quote"/>
    <w:basedOn w:val="Normal"/>
    <w:qFormat/>
    <w:pPr>
      <w:numPr>
        <w:ilvl w:val="0"/>
        <w:numId w:val="0"/>
      </w:numPr>
      <w:pBdr>
        <w:bottom w:val="single" w:sz="4" w:space="4" w:color="808080"/>
      </w:pBdr>
      <w:spacing w:before="200" w:after="280"/>
      <w:ind w:hanging="0" w:left="936" w:right="936"/>
    </w:pPr>
    <w:rPr>
      <w:b/>
      <w:bCs/>
      <w:i/>
      <w:iCs/>
      <w:color w:val="4F81BD"/>
    </w:rPr>
  </w:style>
  <w:style w:type="paragraph" w:styleId="Encabezadodelndice">
    <w:name w:val="Encabezado del índice"/>
    <w:basedOn w:val="Heading1"/>
    <w:qFormat/>
    <w:pPr>
      <w:numPr>
        <w:ilvl w:val="0"/>
        <w:numId w:val="0"/>
      </w:numPr>
      <w:suppressLineNumbers/>
      <w:ind w:hanging="0" w:left="0" w:right="0"/>
      <w:outlineLvl w:val="9"/>
    </w:pPr>
    <w:rPr>
      <w:b/>
      <w:bCs/>
      <w:sz w:val="32"/>
      <w:szCs w:val="32"/>
    </w:rPr>
  </w:style>
  <w:style w:type="paragraph" w:styleId="Contenidodelatabla">
    <w:name w:val="Contenido de la tabla"/>
    <w:basedOn w:val="Normal"/>
    <w:qFormat/>
    <w:pPr>
      <w:suppressLineNumbers/>
    </w:pPr>
    <w:rPr/>
  </w:style>
  <w:style w:type="paragraph" w:styleId="Encabezadodelatabla">
    <w:name w:val="Encabezado de la tabla"/>
    <w:basedOn w:val="Contenidodelatabla"/>
    <w:qFormat/>
    <w:pPr>
      <w:suppressLineNumbers/>
      <w:jc w:val="center"/>
    </w:pPr>
    <w:rPr>
      <w:b/>
      <w:bCs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image" Target="media/image4.png"/><Relationship Id="rId6" Type="http://schemas.openxmlformats.org/officeDocument/2006/relationships/image" Target="media/image5.png"/><Relationship Id="rId7" Type="http://schemas.openxmlformats.org/officeDocument/2006/relationships/image" Target="media/image6.png"/><Relationship Id="rId8" Type="http://schemas.openxmlformats.org/officeDocument/2006/relationships/image" Target="media/image7.png"/><Relationship Id="rId9" Type="http://schemas.openxmlformats.org/officeDocument/2006/relationships/image" Target="media/image8.png"/><Relationship Id="rId10" Type="http://schemas.openxmlformats.org/officeDocument/2006/relationships/image" Target="media/image1.png"/><Relationship Id="rId11" Type="http://schemas.openxmlformats.org/officeDocument/2006/relationships/image" Target="media/image2.png"/><Relationship Id="rId12" Type="http://schemas.openxmlformats.org/officeDocument/2006/relationships/image" Target="media/image3.png"/><Relationship Id="rId13" Type="http://schemas.openxmlformats.org/officeDocument/2006/relationships/image" Target="media/image4.png"/><Relationship Id="rId14" Type="http://schemas.openxmlformats.org/officeDocument/2006/relationships/image" Target="media/image5.png"/><Relationship Id="rId15" Type="http://schemas.openxmlformats.org/officeDocument/2006/relationships/image" Target="media/image6.png"/><Relationship Id="rId16" Type="http://schemas.openxmlformats.org/officeDocument/2006/relationships/image" Target="media/image7.png"/><Relationship Id="rId17" Type="http://schemas.openxmlformats.org/officeDocument/2006/relationships/image" Target="media/image8.png"/><Relationship Id="rId18" Type="http://schemas.openxmlformats.org/officeDocument/2006/relationships/numbering" Target="numbering.xml"/><Relationship Id="rId19" Type="http://schemas.openxmlformats.org/officeDocument/2006/relationships/fontTable" Target="fontTable.xml"/><Relationship Id="rId20" Type="http://schemas.openxmlformats.org/officeDocument/2006/relationships/settings" Target="settings.xml"/><Relationship Id="rId2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LibreOffice/25.2.3.2$Linux_X86_64 LibreOffice_project/520$Build-2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2013-12-23T22:15:00Z</dcterms:created>
  <dc:creator>python-docx</dc:creator>
  <dc:description>generated by python-docx</dc:description>
  <dc:language>en-US</dc:language>
  <cp:lastModifiedBy/>
  <dcterms:modified xsi:type="dcterms:W3CDTF">2026-03-02T09:32:28Z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