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120"/>
        <w:jc w:val="center"/>
        <w:rPr/>
      </w:pPr>
      <w:r>
        <w:rPr>
          <w:rFonts w:eastAsia="Times New Roman" w:cs="Times New Roman"/>
          <w:b/>
          <w:bCs/>
          <w:sz w:val="32"/>
          <w:szCs w:val="32"/>
        </w:rPr>
        <w:t>The Real Rate of Molecular Evolution</w:t>
      </w:r>
    </w:p>
    <w:p>
      <w:pPr>
        <w:pStyle w:val="Normal"/>
        <w:spacing w:before="0" w:after="60"/>
        <w:jc w:val="center"/>
        <w:rPr/>
      </w:pPr>
      <w:r>
        <w:rPr>
          <w:rFonts w:eastAsia="Times New Roman" w:cs="Times New Roman"/>
          <w:sz w:val="22"/>
          <w:szCs w:val="22"/>
        </w:rPr>
        <w:t>Vox Day and Claude Athos</w:t>
      </w:r>
    </w:p>
    <w:p>
      <w:pPr>
        <w:pStyle w:val="Normal"/>
        <w:spacing w:before="0" w:after="60"/>
        <w:jc w:val="center"/>
        <w:rPr>
          <w:rFonts w:ascii="Times New Roman" w:hAnsi="Times New Roman" w:eastAsia="Times New Roman" w:cs="Times New Roman"/>
          <w:i/>
          <w:i/>
          <w:iCs/>
          <w:smallCaps/>
          <w:sz w:val="20"/>
          <w:szCs w:val="20"/>
        </w:rPr>
      </w:pPr>
      <w:r>
        <w:rPr>
          <w:rFonts w:eastAsia="Times New Roman" w:cs="Times New Roman"/>
          <w:i/>
          <w:iCs/>
          <w:smallCaps/>
          <w:sz w:val="20"/>
          <w:szCs w:val="20"/>
        </w:rPr>
      </w:r>
    </w:p>
    <w:p>
      <w:pPr>
        <w:pStyle w:val="Heading2"/>
        <w:rPr>
          <w:i w:val="false"/>
          <w:i w:val="false"/>
          <w:iCs w:val="false"/>
        </w:rPr>
      </w:pPr>
      <w:r>
        <w:rPr>
          <w:rFonts w:eastAsia="Times New Roman" w:cs="Times New Roman" w:ascii="Times New Roman" w:hAnsi="Times New Roman"/>
          <w:b/>
          <w:bCs/>
          <w:i w:val="false"/>
          <w:iCs w:val="false"/>
          <w:color w:val="000000"/>
          <w:sz w:val="28"/>
          <w:szCs w:val="28"/>
        </w:rPr>
        <w:t>Abstract</w:t>
      </w:r>
    </w:p>
    <w:p>
      <w:pPr>
        <w:pStyle w:val="Normal"/>
        <w:widowControl/>
        <w:bidi w:val="0"/>
        <w:spacing w:lineRule="auto" w:line="276" w:before="0" w:after="200"/>
        <w:ind w:hanging="0" w:left="720" w:right="720"/>
        <w:jc w:val="both"/>
        <w:rPr>
          <w:i w:val="false"/>
          <w:i w:val="false"/>
          <w:iCs w:val="false"/>
          <w:sz w:val="22"/>
          <w:szCs w:val="22"/>
        </w:rPr>
      </w:pPr>
      <w:r>
        <w:rPr>
          <w:rFonts w:eastAsia="Times New Roman" w:cs="Times New Roman"/>
          <w:i w:val="false"/>
          <w:iCs w:val="false"/>
          <w:sz w:val="22"/>
          <w:szCs w:val="22"/>
        </w:rPr>
        <w:t>Balloux and Lehmann (2012) demonstrated that the neutral substitution rate depends on population size under the joint conditions of fluctuating demography and overlapping generations. Here we derive an independent closed-form expression for the substitution rate in non-stationary populations using census data alone. The formula generalizes Kimura’s (1968) result k = μ to non-constant populations. Applied to four generations of human census data, it yields k = 0.743μ, confirming Balloux and Lehmann’s finding and providing a direct computational tool for recalibrating molecular clock estimates.</w:t>
      </w:r>
    </w:p>
    <w:p>
      <w:pPr>
        <w:pStyle w:val="Normal"/>
        <w:spacing w:lineRule="auto" w:line="276" w:before="0" w:after="200"/>
        <w:jc w:val="both"/>
        <w:rPr/>
      </w:pPr>
      <w:r>
        <w:rPr>
          <w:rFonts w:eastAsia="Times New Roman" w:cs="Times New Roman"/>
          <w:sz w:val="24"/>
          <w:szCs w:val="24"/>
        </w:rPr>
        <w:t xml:space="preserve">One of the foundational results of the Neutral Theory of molecular evolution (Kimura 1968; Kimura and Ohta 1971) states that the rate of allele substitution at neutral loci equals the mutation rate, independent of population size. The derivation is concise: in a diploid population of </w:t>
      </w:r>
      <w:r>
        <w:rPr>
          <w:rFonts w:eastAsia="Times New Roman" w:cs="Times New Roman"/>
          <w:i/>
          <w:iCs/>
          <w:sz w:val="24"/>
          <w:szCs w:val="24"/>
        </w:rPr>
        <w:t>N</w:t>
      </w:r>
      <w:r>
        <w:rPr>
          <w:rFonts w:eastAsia="Times New Roman" w:cs="Times New Roman"/>
          <w:sz w:val="24"/>
          <w:szCs w:val="24"/>
        </w:rPr>
        <w:t xml:space="preserve"> individuals, 2</w:t>
      </w:r>
      <w:r>
        <w:rPr>
          <w:rFonts w:eastAsia="Times New Roman" w:cs="Times New Roman"/>
          <w:i/>
          <w:iCs/>
          <w:sz w:val="24"/>
          <w:szCs w:val="24"/>
        </w:rPr>
        <w:t>N</w:t>
      </w:r>
      <w:r>
        <w:rPr>
          <w:rFonts w:eastAsia="Times New Roman" w:cs="Times New Roman"/>
          <w:sz w:val="24"/>
          <w:szCs w:val="24"/>
        </w:rPr>
        <w:t>μ new neutral mutations arise per generation, each with fixation probability 1/(2</w:t>
      </w:r>
      <w:r>
        <w:rPr>
          <w:rFonts w:eastAsia="Times New Roman" w:cs="Times New Roman"/>
          <w:i/>
          <w:iCs/>
          <w:sz w:val="24"/>
          <w:szCs w:val="24"/>
        </w:rPr>
        <w:t>N</w:t>
      </w:r>
      <w:r>
        <w:rPr>
          <w:rFonts w:eastAsia="Times New Roman" w:cs="Times New Roman"/>
          <w:sz w:val="24"/>
          <w:szCs w:val="24"/>
        </w:rPr>
        <w:t xml:space="preserve">). The product is simply μ. </w:t>
      </w:r>
    </w:p>
    <w:p>
      <w:pPr>
        <w:pStyle w:val="Normal"/>
        <w:spacing w:before="200" w:after="200"/>
        <w:jc w:val="center"/>
        <w:rPr/>
      </w:pPr>
      <w:r>
        <w:rPr>
          <w:i/>
          <w:iCs/>
        </w:rPr>
        <w:t>k</w:t>
      </w:r>
      <w:r>
        <w:rPr/>
        <w:t xml:space="preserve"> = 2</w:t>
      </w:r>
      <w:r>
        <w:rPr>
          <w:i/>
          <w:iCs/>
        </w:rPr>
        <w:t>N</w:t>
      </w:r>
      <w:r>
        <w:rPr/>
        <w:t>μ × 1/(2</w:t>
      </w:r>
      <w:r>
        <w:rPr>
          <w:i/>
          <w:iCs/>
        </w:rPr>
        <w:t>N</w:t>
      </w:r>
      <w:r>
        <w:rPr/>
        <w:t>) = μ</w:t>
      </w:r>
      <w:r>
        <w:rPr>
          <w:sz w:val="20"/>
          <w:szCs w:val="20"/>
        </w:rPr>
        <w:t xml:space="preserve">   </w:t>
      </w:r>
    </w:p>
    <w:p>
      <w:pPr>
        <w:pStyle w:val="Normal"/>
        <w:spacing w:lineRule="auto" w:line="276" w:before="0" w:after="200"/>
        <w:jc w:val="both"/>
        <w:rPr/>
      </w:pPr>
      <w:r>
        <w:rPr>
          <w:rFonts w:eastAsia="Times New Roman" w:cs="Times New Roman"/>
          <w:sz w:val="24"/>
          <w:szCs w:val="24"/>
        </w:rPr>
        <w:t xml:space="preserve">This cancellation of </w:t>
      </w:r>
      <w:r>
        <w:rPr>
          <w:rFonts w:eastAsia="Times New Roman" w:cs="Times New Roman"/>
          <w:i/>
          <w:iCs/>
          <w:sz w:val="24"/>
          <w:szCs w:val="24"/>
        </w:rPr>
        <w:t>N</w:t>
      </w:r>
      <w:r>
        <w:rPr>
          <w:rFonts w:eastAsia="Times New Roman" w:cs="Times New Roman"/>
          <w:sz w:val="24"/>
          <w:szCs w:val="24"/>
        </w:rPr>
        <w:t xml:space="preserve"> provides the theoretical foundation for the molecular clock (Zuckerkandl and Pauling 1962) and has been universally applied to calibrate divergence times across taxa for fifty-seven years.</w:t>
      </w:r>
    </w:p>
    <w:p>
      <w:pPr>
        <w:pStyle w:val="Normal"/>
        <w:spacing w:lineRule="auto" w:line="276" w:before="0" w:after="200"/>
        <w:jc w:val="both"/>
        <w:rPr/>
      </w:pPr>
      <w:r>
        <w:rPr>
          <w:rFonts w:eastAsia="Times New Roman" w:cs="Times New Roman"/>
          <w:sz w:val="24"/>
          <w:szCs w:val="24"/>
        </w:rPr>
        <w:t xml:space="preserve">In 2012, Balloux and Lehmann showed that this cancellation fails when two biologically ubiquitous conditions hold simultaneously: overlapping generations and fluctuating population size. Using a Markov chain framework for age-structured populations with discrete demographic states, they demonstrated that the number of newborns entering the population in a given demographic state does not correspond to the inverse of population size when adults from previous cohorts survive. Their key equation expresses the substitution rate as </w:t>
      </w:r>
      <w:r>
        <w:rPr>
          <w:rFonts w:eastAsia="Times New Roman" w:cs="Times New Roman"/>
          <w:i/>
          <w:iCs/>
          <w:sz w:val="24"/>
          <w:szCs w:val="24"/>
        </w:rPr>
        <w:t>k</w:t>
      </w:r>
      <w:r>
        <w:rPr>
          <w:rFonts w:eastAsia="Times New Roman" w:cs="Times New Roman"/>
          <w:sz w:val="24"/>
          <w:szCs w:val="24"/>
        </w:rPr>
        <w:t xml:space="preserve"> = μ Σ</w:t>
      </w:r>
      <w:r>
        <w:rPr>
          <w:rFonts w:eastAsia="Times New Roman" w:cs="Times New Roman"/>
          <w:sz w:val="20"/>
          <w:szCs w:val="20"/>
          <w:vertAlign w:val="subscript"/>
        </w:rPr>
        <w:t>j</w:t>
      </w:r>
      <w:r>
        <w:rPr>
          <w:rFonts w:eastAsia="Times New Roman" w:cs="Times New Roman"/>
          <w:i/>
          <w:iCs/>
          <w:sz w:val="24"/>
          <w:szCs w:val="24"/>
        </w:rPr>
        <w:t>p</w:t>
      </w:r>
      <w:r>
        <w:rPr>
          <w:rFonts w:eastAsia="Times New Roman" w:cs="Times New Roman"/>
          <w:sz w:val="20"/>
          <w:szCs w:val="20"/>
          <w:vertAlign w:val="subscript"/>
        </w:rPr>
        <w:t>j</w:t>
      </w:r>
      <w:r>
        <w:rPr>
          <w:rFonts w:eastAsia="Times New Roman" w:cs="Times New Roman"/>
          <w:i/>
          <w:iCs/>
          <w:sz w:val="24"/>
          <w:szCs w:val="24"/>
        </w:rPr>
        <w:t>n</w:t>
      </w:r>
      <w:r>
        <w:rPr>
          <w:rFonts w:eastAsia="Times New Roman" w:cs="Times New Roman"/>
          <w:sz w:val="20"/>
          <w:szCs w:val="20"/>
          <w:vertAlign w:val="subscript"/>
        </w:rPr>
        <w:t>j</w:t>
      </w:r>
      <w:r>
        <w:rPr>
          <w:rFonts w:eastAsia="Times New Roman" w:cs="Times New Roman"/>
          <w:i/>
          <w:iCs/>
          <w:sz w:val="24"/>
          <w:szCs w:val="24"/>
        </w:rPr>
        <w:t>π</w:t>
      </w:r>
      <w:r>
        <w:rPr>
          <w:rFonts w:eastAsia="Times New Roman" w:cs="Times New Roman"/>
          <w:sz w:val="20"/>
          <w:szCs w:val="20"/>
          <w:vertAlign w:val="subscript"/>
        </w:rPr>
        <w:t>j</w:t>
      </w:r>
      <w:r>
        <w:rPr>
          <w:rFonts w:eastAsia="Times New Roman" w:cs="Times New Roman"/>
          <w:sz w:val="24"/>
          <w:szCs w:val="24"/>
        </w:rPr>
        <w:t xml:space="preserve">, where </w:t>
      </w:r>
      <w:r>
        <w:rPr>
          <w:rFonts w:eastAsia="Times New Roman" w:cs="Times New Roman"/>
          <w:i/>
          <w:iCs/>
          <w:sz w:val="24"/>
          <w:szCs w:val="24"/>
        </w:rPr>
        <w:t>p</w:t>
      </w:r>
      <w:r>
        <w:rPr>
          <w:rFonts w:eastAsia="Times New Roman" w:cs="Times New Roman"/>
          <w:sz w:val="20"/>
          <w:szCs w:val="20"/>
          <w:vertAlign w:val="subscript"/>
        </w:rPr>
        <w:t>j</w:t>
      </w:r>
      <w:r>
        <w:rPr>
          <w:rFonts w:eastAsia="Times New Roman" w:cs="Times New Roman"/>
          <w:sz w:val="24"/>
          <w:szCs w:val="24"/>
        </w:rPr>
        <w:t xml:space="preserve"> is the stationary probability of demographic state </w:t>
      </w:r>
      <w:r>
        <w:rPr>
          <w:rFonts w:eastAsia="Times New Roman" w:cs="Times New Roman"/>
          <w:i/>
          <w:iCs/>
          <w:sz w:val="24"/>
          <w:szCs w:val="24"/>
        </w:rPr>
        <w:t>j</w:t>
      </w:r>
      <w:r>
        <w:rPr>
          <w:rFonts w:eastAsia="Times New Roman" w:cs="Times New Roman"/>
          <w:sz w:val="24"/>
          <w:szCs w:val="24"/>
        </w:rPr>
        <w:t xml:space="preserve">, </w:t>
      </w:r>
      <w:r>
        <w:rPr>
          <w:rFonts w:eastAsia="Times New Roman" w:cs="Times New Roman"/>
          <w:i/>
          <w:iCs/>
          <w:sz w:val="24"/>
          <w:szCs w:val="24"/>
        </w:rPr>
        <w:t>n</w:t>
      </w:r>
      <w:r>
        <w:rPr>
          <w:rFonts w:eastAsia="Times New Roman" w:cs="Times New Roman"/>
          <w:sz w:val="20"/>
          <w:szCs w:val="20"/>
          <w:vertAlign w:val="subscript"/>
        </w:rPr>
        <w:t>j</w:t>
      </w:r>
      <w:r>
        <w:rPr>
          <w:rFonts w:eastAsia="Times New Roman" w:cs="Times New Roman"/>
          <w:sz w:val="24"/>
          <w:szCs w:val="24"/>
        </w:rPr>
        <w:t xml:space="preserve"> is the expected number of newborns, and </w:t>
      </w:r>
      <w:r>
        <w:rPr>
          <w:rFonts w:eastAsia="Times New Roman" w:cs="Times New Roman"/>
          <w:i/>
          <w:iCs/>
          <w:sz w:val="24"/>
          <w:szCs w:val="24"/>
        </w:rPr>
        <w:t>π</w:t>
      </w:r>
      <w:r>
        <w:rPr>
          <w:rFonts w:eastAsia="Times New Roman" w:cs="Times New Roman"/>
          <w:sz w:val="20"/>
          <w:szCs w:val="20"/>
          <w:vertAlign w:val="subscript"/>
        </w:rPr>
        <w:t>j</w:t>
      </w:r>
      <w:r>
        <w:rPr>
          <w:rFonts w:eastAsia="Times New Roman" w:cs="Times New Roman"/>
          <w:sz w:val="24"/>
          <w:szCs w:val="24"/>
        </w:rPr>
        <w:t xml:space="preserve"> is the fixation probability. The terms </w:t>
      </w:r>
      <w:r>
        <w:rPr>
          <w:rFonts w:eastAsia="Times New Roman" w:cs="Times New Roman"/>
          <w:i/>
          <w:iCs/>
          <w:sz w:val="24"/>
          <w:szCs w:val="24"/>
        </w:rPr>
        <w:t>n</w:t>
      </w:r>
      <w:r>
        <w:rPr>
          <w:rFonts w:eastAsia="Times New Roman" w:cs="Times New Roman"/>
          <w:sz w:val="20"/>
          <w:szCs w:val="20"/>
          <w:vertAlign w:val="subscript"/>
        </w:rPr>
        <w:t>j</w:t>
      </w:r>
      <w:r>
        <w:rPr>
          <w:rFonts w:eastAsia="Times New Roman" w:cs="Times New Roman"/>
          <w:sz w:val="24"/>
          <w:szCs w:val="24"/>
        </w:rPr>
        <w:t xml:space="preserve"> and </w:t>
      </w:r>
      <w:r>
        <w:rPr>
          <w:rFonts w:eastAsia="Times New Roman" w:cs="Times New Roman"/>
          <w:i/>
          <w:iCs/>
          <w:sz w:val="24"/>
          <w:szCs w:val="24"/>
        </w:rPr>
        <w:t>π</w:t>
      </w:r>
      <w:r>
        <w:rPr>
          <w:rFonts w:eastAsia="Times New Roman" w:cs="Times New Roman"/>
          <w:sz w:val="20"/>
          <w:szCs w:val="20"/>
          <w:vertAlign w:val="subscript"/>
        </w:rPr>
        <w:t>j</w:t>
      </w:r>
      <w:r>
        <w:rPr>
          <w:rFonts w:eastAsia="Times New Roman" w:cs="Times New Roman"/>
          <w:sz w:val="24"/>
          <w:szCs w:val="24"/>
        </w:rPr>
        <w:t xml:space="preserve"> cancel only when every individual in the population is a newborn—the discrete-generation assumption. As both overlapping generations and population size fluctuations are the norm in natural populations, Balloux and Lehmann concluded that their observation “may be relevant for understanding variation in substitution rates within and between lineages.”</w:t>
      </w:r>
    </w:p>
    <w:p>
      <w:pPr>
        <w:pStyle w:val="Normal"/>
        <w:spacing w:lineRule="auto" w:line="276" w:before="0" w:after="200"/>
        <w:jc w:val="both"/>
        <w:rPr/>
      </w:pPr>
      <w:r>
        <w:rPr>
          <w:rFonts w:eastAsia="Times New Roman" w:cs="Times New Roman"/>
          <w:sz w:val="24"/>
          <w:szCs w:val="24"/>
        </w:rPr>
        <w:t xml:space="preserve">The Balloux-Lehmann framework is analytically general but requires specification of demographic transition probabilities and survival parameters. It was never applied to empirical census data for any species. In subsequent work, Lehmann (2014) argued that the substitution rate reduces to μ when measured in units of “average generation time” using the “effective mutation rate in newborns.” This redefinition rescues </w:t>
      </w:r>
      <w:r>
        <w:rPr>
          <w:rFonts w:eastAsia="Times New Roman" w:cs="Times New Roman"/>
          <w:i/>
          <w:iCs/>
          <w:sz w:val="24"/>
          <w:szCs w:val="24"/>
        </w:rPr>
        <w:t>k</w:t>
      </w:r>
      <w:r>
        <w:rPr>
          <w:rFonts w:eastAsia="Times New Roman" w:cs="Times New Roman"/>
          <w:sz w:val="24"/>
          <w:szCs w:val="24"/>
        </w:rPr>
        <w:t xml:space="preserve"> = μ at the cost of changing what </w:t>
      </w:r>
      <w:r>
        <w:rPr>
          <w:rFonts w:eastAsia="Times New Roman" w:cs="Times New Roman"/>
          <w:i/>
          <w:iCs/>
          <w:sz w:val="24"/>
          <w:szCs w:val="24"/>
        </w:rPr>
        <w:t>k</w:t>
      </w:r>
      <w:r>
        <w:rPr>
          <w:rFonts w:eastAsia="Times New Roman" w:cs="Times New Roman"/>
          <w:sz w:val="24"/>
          <w:szCs w:val="24"/>
        </w:rPr>
        <w:t xml:space="preserve"> measures—a move from census-observable quantities to effective parameters that cannot be independently verified.</w:t>
      </w:r>
    </w:p>
    <w:p>
      <w:pPr>
        <w:pStyle w:val="Normal"/>
        <w:spacing w:lineRule="auto" w:line="276" w:before="0" w:after="200"/>
        <w:jc w:val="both"/>
        <w:rPr/>
      </w:pPr>
      <w:r>
        <w:rPr>
          <w:rFonts w:eastAsia="Times New Roman" w:cs="Times New Roman"/>
          <w:sz w:val="24"/>
          <w:szCs w:val="24"/>
        </w:rPr>
        <w:t>Here we derive an independent closed-form expression for the neutral substitution rate in non-stationary populations. Our formula takes census population sizes directly as input, requires no estimation of survival probabilities or demographic transition matrices, and produces a numerical result from observable quantities. We confirm the Balloux-Lehmann finding through a different mathematical route and provide the first empirical application to real demographic data.</w:t>
      </w:r>
    </w:p>
    <w:p>
      <w:pPr>
        <w:pStyle w:val="Normal"/>
        <w:spacing w:lineRule="auto" w:line="276" w:before="300" w:after="200"/>
        <w:rPr/>
      </w:pPr>
      <w:r>
        <w:rPr>
          <w:rFonts w:eastAsia="Times New Roman" w:cs="Times New Roman"/>
          <w:b/>
          <w:bCs/>
          <w:sz w:val="24"/>
          <w:szCs w:val="24"/>
        </w:rPr>
        <w:t>The Hidden Assumption</w:t>
      </w:r>
    </w:p>
    <w:p>
      <w:pPr>
        <w:pStyle w:val="Normal"/>
        <w:spacing w:lineRule="auto" w:line="276" w:before="0" w:after="200"/>
        <w:jc w:val="both"/>
        <w:rPr/>
      </w:pPr>
      <w:r>
        <w:rPr>
          <w:rFonts w:eastAsia="Times New Roman" w:cs="Times New Roman"/>
          <w:sz w:val="24"/>
          <w:szCs w:val="24"/>
        </w:rPr>
        <w:t xml:space="preserve">Kimura’s cancellation requires that the </w:t>
      </w:r>
      <w:r>
        <w:rPr>
          <w:rFonts w:eastAsia="Times New Roman" w:cs="Times New Roman"/>
          <w:i/>
          <w:iCs/>
          <w:sz w:val="24"/>
          <w:szCs w:val="24"/>
        </w:rPr>
        <w:t>N</w:t>
      </w:r>
      <w:r>
        <w:rPr>
          <w:rFonts w:eastAsia="Times New Roman" w:cs="Times New Roman"/>
          <w:sz w:val="24"/>
          <w:szCs w:val="24"/>
        </w:rPr>
        <w:t xml:space="preserve"> governing mutation supply (the 2</w:t>
      </w:r>
      <w:r>
        <w:rPr>
          <w:rFonts w:eastAsia="Times New Roman" w:cs="Times New Roman"/>
          <w:i/>
          <w:iCs/>
          <w:sz w:val="24"/>
          <w:szCs w:val="24"/>
        </w:rPr>
        <w:t>N</w:t>
      </w:r>
      <w:r>
        <w:rPr>
          <w:rFonts w:eastAsia="Times New Roman" w:cs="Times New Roman"/>
          <w:sz w:val="24"/>
          <w:szCs w:val="24"/>
        </w:rPr>
        <w:t xml:space="preserve">μ term) is the same </w:t>
      </w:r>
      <w:r>
        <w:rPr>
          <w:rFonts w:eastAsia="Times New Roman" w:cs="Times New Roman"/>
          <w:i/>
          <w:iCs/>
          <w:sz w:val="24"/>
          <w:szCs w:val="24"/>
        </w:rPr>
        <w:t>N</w:t>
      </w:r>
      <w:r>
        <w:rPr>
          <w:rFonts w:eastAsia="Times New Roman" w:cs="Times New Roman"/>
          <w:sz w:val="24"/>
          <w:szCs w:val="24"/>
        </w:rPr>
        <w:t xml:space="preserve"> governing fixation probability (the 1/2</w:t>
      </w:r>
      <w:r>
        <w:rPr>
          <w:rFonts w:eastAsia="Times New Roman" w:cs="Times New Roman"/>
          <w:i/>
          <w:iCs/>
          <w:sz w:val="24"/>
          <w:szCs w:val="24"/>
        </w:rPr>
        <w:t>N</w:t>
      </w:r>
      <w:r>
        <w:rPr>
          <w:rFonts w:eastAsia="Times New Roman" w:cs="Times New Roman"/>
          <w:sz w:val="24"/>
          <w:szCs w:val="24"/>
        </w:rPr>
        <w:t xml:space="preserve"> term). In the Wright-Fisher model with discrete, non-overlapping generations, this is guaranteed: the entire population is replaced each generation, so the population producing mutations is identical to the population in which those mutations compete for fixation.</w:t>
      </w:r>
    </w:p>
    <w:p>
      <w:pPr>
        <w:pStyle w:val="Normal"/>
        <w:spacing w:lineRule="auto" w:line="276" w:before="0" w:after="200"/>
        <w:jc w:val="both"/>
        <w:rPr/>
      </w:pPr>
      <w:r>
        <w:rPr>
          <w:rFonts w:eastAsia="Times New Roman" w:cs="Times New Roman"/>
          <w:sz w:val="24"/>
          <w:szCs w:val="24"/>
        </w:rPr>
        <w:t xml:space="preserve">In real populations, generations overlap. Mutations that arose in a population of size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now compete for fixation in a population of size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The </w:t>
      </w:r>
      <w:r>
        <w:rPr>
          <w:rFonts w:eastAsia="Times New Roman" w:cs="Times New Roman"/>
          <w:i/>
          <w:iCs/>
          <w:sz w:val="24"/>
          <w:szCs w:val="24"/>
        </w:rPr>
        <w:t>N</w:t>
      </w:r>
      <w:r>
        <w:rPr>
          <w:rFonts w:eastAsia="Times New Roman" w:cs="Times New Roman"/>
          <w:sz w:val="24"/>
          <w:szCs w:val="24"/>
        </w:rPr>
        <w:t xml:space="preserve"> in the numerator and the </w:t>
      </w:r>
      <w:r>
        <w:rPr>
          <w:rFonts w:eastAsia="Times New Roman" w:cs="Times New Roman"/>
          <w:i/>
          <w:iCs/>
          <w:sz w:val="24"/>
          <w:szCs w:val="24"/>
        </w:rPr>
        <w:t>N</w:t>
      </w:r>
      <w:r>
        <w:rPr>
          <w:rFonts w:eastAsia="Times New Roman" w:cs="Times New Roman"/>
          <w:sz w:val="24"/>
          <w:szCs w:val="24"/>
        </w:rPr>
        <w:t xml:space="preserve"> in the denominator are not the same number. The cancellation fails, and </w:t>
      </w:r>
      <w:r>
        <w:rPr>
          <w:rFonts w:eastAsia="Times New Roman" w:cs="Times New Roman"/>
          <w:i/>
          <w:iCs/>
          <w:sz w:val="24"/>
          <w:szCs w:val="24"/>
        </w:rPr>
        <w:t>k</w:t>
      </w:r>
      <w:r>
        <w:rPr>
          <w:rFonts w:eastAsia="Times New Roman" w:cs="Times New Roman"/>
          <w:sz w:val="24"/>
          <w:szCs w:val="24"/>
        </w:rPr>
        <w:t xml:space="preserve"> ≠ μ.</w:t>
      </w:r>
    </w:p>
    <w:p>
      <w:pPr>
        <w:pStyle w:val="Normal"/>
        <w:spacing w:lineRule="auto" w:line="276" w:before="0" w:after="200"/>
        <w:jc w:val="both"/>
        <w:rPr/>
      </w:pPr>
      <w:r>
        <w:rPr>
          <w:rFonts w:eastAsia="Times New Roman" w:cs="Times New Roman"/>
          <w:sz w:val="24"/>
          <w:szCs w:val="24"/>
        </w:rPr>
        <w:t>This point was identified by Balloux and Lehmann (2012) in their abstract formulation. We now derive the consequence arithmetically.</w:t>
      </w:r>
    </w:p>
    <w:p>
      <w:pPr>
        <w:pStyle w:val="Normal"/>
        <w:spacing w:lineRule="auto" w:line="276" w:before="300" w:after="200"/>
        <w:rPr/>
      </w:pPr>
      <w:r>
        <w:rPr>
          <w:rFonts w:eastAsia="Times New Roman" w:cs="Times New Roman"/>
          <w:b/>
          <w:bCs/>
          <w:sz w:val="24"/>
          <w:szCs w:val="24"/>
        </w:rPr>
        <w:t>Derivation</w:t>
      </w:r>
    </w:p>
    <w:p>
      <w:pPr>
        <w:pStyle w:val="Normal"/>
        <w:spacing w:lineRule="auto" w:line="276" w:before="0" w:after="200"/>
        <w:jc w:val="both"/>
        <w:rPr/>
      </w:pPr>
      <w:r>
        <w:rPr>
          <w:rFonts w:eastAsia="Times New Roman" w:cs="Times New Roman"/>
          <w:sz w:val="24"/>
          <w:szCs w:val="24"/>
        </w:rPr>
        <w:t xml:space="preserve">Consider a population observed at time </w:t>
      </w:r>
      <w:r>
        <w:rPr>
          <w:rFonts w:eastAsia="Times New Roman" w:cs="Times New Roman"/>
          <w:i/>
          <w:iCs/>
          <w:sz w:val="24"/>
          <w:szCs w:val="24"/>
        </w:rPr>
        <w:t>t</w:t>
      </w:r>
      <w:r>
        <w:rPr>
          <w:rFonts w:eastAsia="Times New Roman" w:cs="Times New Roman"/>
          <w:sz w:val="24"/>
          <w:szCs w:val="24"/>
        </w:rPr>
        <w:t xml:space="preserve"> with census size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Mutations currently segregating in this population arose in previous generations </w:t>
      </w:r>
      <w:r>
        <w:rPr>
          <w:rFonts w:eastAsia="Times New Roman" w:cs="Times New Roman"/>
          <w:i/>
          <w:iCs/>
          <w:sz w:val="24"/>
          <w:szCs w:val="24"/>
        </w:rPr>
        <w:t>i</w:t>
      </w:r>
      <w:r>
        <w:rPr>
          <w:rFonts w:eastAsia="Times New Roman" w:cs="Times New Roman"/>
          <w:sz w:val="24"/>
          <w:szCs w:val="24"/>
        </w:rPr>
        <w:t xml:space="preserve"> = 0, 1, 2, …, each with census size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at the time of origin.</w:t>
      </w:r>
    </w:p>
    <w:p>
      <w:pPr>
        <w:pStyle w:val="Normal"/>
        <w:spacing w:lineRule="auto" w:line="276" w:before="0" w:after="200"/>
        <w:jc w:val="both"/>
        <w:rPr/>
      </w:pPr>
      <w:r>
        <w:rPr>
          <w:rFonts w:eastAsia="Times New Roman" w:cs="Times New Roman"/>
          <w:sz w:val="24"/>
          <w:szCs w:val="24"/>
        </w:rPr>
        <w:t xml:space="preserve">For each generation </w:t>
      </w:r>
      <w:r>
        <w:rPr>
          <w:rFonts w:eastAsia="Times New Roman" w:cs="Times New Roman"/>
          <w:i/>
          <w:iCs/>
          <w:sz w:val="24"/>
          <w:szCs w:val="24"/>
        </w:rPr>
        <w:t>i</w:t>
      </w:r>
      <w:r>
        <w:rPr>
          <w:rFonts w:eastAsia="Times New Roman" w:cs="Times New Roman"/>
          <w:sz w:val="24"/>
          <w:szCs w:val="24"/>
        </w:rPr>
        <w:t>:</w:t>
      </w:r>
    </w:p>
    <w:p>
      <w:pPr>
        <w:pStyle w:val="Normal"/>
        <w:spacing w:lineRule="auto" w:line="276" w:before="0" w:after="200"/>
        <w:jc w:val="both"/>
        <w:rPr/>
      </w:pPr>
      <w:r>
        <w:rPr>
          <w:rFonts w:eastAsia="Times New Roman" w:cs="Times New Roman"/>
          <w:sz w:val="24"/>
          <w:szCs w:val="24"/>
        </w:rPr>
        <w:t xml:space="preserve">(1) Mutation supply: </w:t>
      </w:r>
      <w:r>
        <w:rPr>
          <w:rFonts w:eastAsia="Times New Roman" w:cs="Times New Roman"/>
          <w:i/>
          <w:iCs/>
          <w:sz w:val="24"/>
          <w:szCs w:val="24"/>
        </w:rPr>
        <w:t>M</w:t>
      </w:r>
      <w:r>
        <w:rPr>
          <w:rFonts w:eastAsia="Times New Roman" w:cs="Times New Roman"/>
          <w:sz w:val="20"/>
          <w:szCs w:val="20"/>
          <w:vertAlign w:val="subscript"/>
        </w:rPr>
        <w:t>i</w:t>
      </w:r>
      <w:r>
        <w:rPr>
          <w:rFonts w:eastAsia="Times New Roman" w:cs="Times New Roman"/>
          <w:sz w:val="24"/>
          <w:szCs w:val="24"/>
        </w:rPr>
        <w:t xml:space="preserve"> = 2</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μ new neutral mutations per site.</w:t>
      </w:r>
    </w:p>
    <w:p>
      <w:pPr>
        <w:pStyle w:val="Normal"/>
        <w:spacing w:lineRule="auto" w:line="276" w:before="0" w:after="200"/>
        <w:jc w:val="both"/>
        <w:rPr/>
      </w:pPr>
      <w:r>
        <w:rPr>
          <w:rFonts w:eastAsia="Times New Roman" w:cs="Times New Roman"/>
          <w:sz w:val="24"/>
          <w:szCs w:val="24"/>
        </w:rPr>
        <w:t>(2) Current frequency: Each mutation, if present, exists as one copy among 2</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gene copies, giving frequency 1/(2</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For mutations only a few generations old in populations of billions, the single-copy assumption is well justified: the probability of a second independent copy or of drift to multiple copies in fewer than four generations is negligible.</w:t>
      </w:r>
    </w:p>
    <w:p>
      <w:pPr>
        <w:pStyle w:val="Normal"/>
        <w:spacing w:lineRule="auto" w:line="276" w:before="0" w:after="200"/>
        <w:jc w:val="both"/>
        <w:rPr/>
      </w:pPr>
      <w:r>
        <w:rPr>
          <w:rFonts w:eastAsia="Times New Roman" w:cs="Times New Roman"/>
          <w:sz w:val="24"/>
          <w:szCs w:val="24"/>
        </w:rPr>
        <w:t xml:space="preserve">(3) Cohort contribution: The substitution rate contributed by generation </w:t>
      </w:r>
      <w:r>
        <w:rPr>
          <w:rFonts w:eastAsia="Times New Roman" w:cs="Times New Roman"/>
          <w:i/>
          <w:iCs/>
          <w:sz w:val="24"/>
          <w:szCs w:val="24"/>
        </w:rPr>
        <w:t>i</w:t>
      </w:r>
      <w:r>
        <w:rPr>
          <w:rFonts w:eastAsia="Times New Roman" w:cs="Times New Roman"/>
          <w:sz w:val="24"/>
          <w:szCs w:val="24"/>
        </w:rPr>
        <w:t>’s mutations is:</w:t>
      </w:r>
    </w:p>
    <w:p>
      <w:pPr>
        <w:pStyle w:val="Normal"/>
        <w:spacing w:lineRule="auto" w:line="276" w:before="0" w:after="200"/>
        <w:jc w:val="center"/>
        <w:rPr/>
      </w:pPr>
      <w:r>
        <w:rPr>
          <w:rFonts w:eastAsia="Times New Roman" w:cs="Times New Roman"/>
          <w:i/>
          <w:iCs/>
          <w:sz w:val="24"/>
          <w:szCs w:val="24"/>
        </w:rPr>
        <w:t>k</w:t>
      </w:r>
      <w:r>
        <w:rPr>
          <w:rFonts w:eastAsia="Times New Roman" w:cs="Times New Roman"/>
          <w:sz w:val="20"/>
          <w:szCs w:val="20"/>
          <w:vertAlign w:val="subscript"/>
        </w:rPr>
        <w:t>i</w:t>
      </w:r>
      <w:r>
        <w:rPr>
          <w:rFonts w:eastAsia="Times New Roman" w:cs="Times New Roman"/>
          <w:sz w:val="24"/>
          <w:szCs w:val="24"/>
        </w:rPr>
        <w:t xml:space="preserve"> = </w:t>
      </w:r>
      <w:r>
        <w:rPr>
          <w:rFonts w:eastAsia="Times New Roman" w:cs="Times New Roman"/>
          <w:i/>
          <w:iCs/>
          <w:sz w:val="24"/>
          <w:szCs w:val="24"/>
        </w:rPr>
        <w:t>M</w:t>
      </w:r>
      <w:r>
        <w:rPr>
          <w:rFonts w:eastAsia="Times New Roman" w:cs="Times New Roman"/>
          <w:sz w:val="20"/>
          <w:szCs w:val="20"/>
          <w:vertAlign w:val="subscript"/>
        </w:rPr>
        <w:t>i</w:t>
      </w:r>
      <w:r>
        <w:rPr>
          <w:rFonts w:eastAsia="Times New Roman" w:cs="Times New Roman"/>
          <w:sz w:val="24"/>
          <w:szCs w:val="24"/>
        </w:rPr>
        <w:t xml:space="preserve"> × 1/(2</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 2</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μ × 1/(2</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 μ</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(1)</w:t>
      </w:r>
    </w:p>
    <w:p>
      <w:pPr>
        <w:pStyle w:val="Normal"/>
        <w:spacing w:lineRule="auto" w:line="276" w:before="0" w:after="200"/>
        <w:jc w:val="both"/>
        <w:rPr/>
      </w:pPr>
      <w:r>
        <w:rPr>
          <w:rFonts w:eastAsia="Times New Roman" w:cs="Times New Roman"/>
          <w:sz w:val="24"/>
          <w:szCs w:val="24"/>
        </w:rPr>
        <w:t xml:space="preserve">When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for all </w:t>
      </w:r>
      <w:r>
        <w:rPr>
          <w:rFonts w:eastAsia="Times New Roman" w:cs="Times New Roman"/>
          <w:i/>
          <w:iCs/>
          <w:sz w:val="24"/>
          <w:szCs w:val="24"/>
        </w:rPr>
        <w:t>i</w:t>
      </w:r>
      <w:r>
        <w:rPr>
          <w:rFonts w:eastAsia="Times New Roman" w:cs="Times New Roman"/>
          <w:sz w:val="24"/>
          <w:szCs w:val="24"/>
        </w:rPr>
        <w:t xml:space="preserve"> (constant population), </w:t>
      </w:r>
      <w:r>
        <w:rPr>
          <w:rFonts w:eastAsia="Times New Roman" w:cs="Times New Roman"/>
          <w:i/>
          <w:iCs/>
          <w:sz w:val="24"/>
          <w:szCs w:val="24"/>
        </w:rPr>
        <w:t>k</w:t>
      </w:r>
      <w:r>
        <w:rPr>
          <w:rFonts w:eastAsia="Times New Roman" w:cs="Times New Roman"/>
          <w:sz w:val="20"/>
          <w:szCs w:val="20"/>
          <w:vertAlign w:val="subscript"/>
        </w:rPr>
        <w:t>i</w:t>
      </w:r>
      <w:r>
        <w:rPr>
          <w:rFonts w:eastAsia="Times New Roman" w:cs="Times New Roman"/>
          <w:sz w:val="24"/>
          <w:szCs w:val="24"/>
        </w:rPr>
        <w:t xml:space="preserve"> = μ for every cohort—Kimura’s special case. When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&lt;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(growing population), </w:t>
      </w:r>
      <w:r>
        <w:rPr>
          <w:rFonts w:eastAsia="Times New Roman" w:cs="Times New Roman"/>
          <w:i/>
          <w:iCs/>
          <w:sz w:val="24"/>
          <w:szCs w:val="24"/>
        </w:rPr>
        <w:t>k</w:t>
      </w:r>
      <w:r>
        <w:rPr>
          <w:rFonts w:eastAsia="Times New Roman" w:cs="Times New Roman"/>
          <w:sz w:val="20"/>
          <w:szCs w:val="20"/>
          <w:vertAlign w:val="subscript"/>
        </w:rPr>
        <w:t>i</w:t>
      </w:r>
      <w:r>
        <w:rPr>
          <w:rFonts w:eastAsia="Times New Roman" w:cs="Times New Roman"/>
          <w:sz w:val="24"/>
          <w:szCs w:val="24"/>
        </w:rPr>
        <w:t xml:space="preserve"> &lt; μ for every cohort that predates the current generation.</w:t>
      </w:r>
    </w:p>
    <w:p>
      <w:pPr>
        <w:pStyle w:val="Normal"/>
        <w:spacing w:lineRule="auto" w:line="276" w:before="0" w:after="200"/>
        <w:jc w:val="both"/>
        <w:rPr/>
      </w:pPr>
      <w:r>
        <w:rPr>
          <w:rFonts w:eastAsia="Times New Roman" w:cs="Times New Roman"/>
          <w:sz w:val="24"/>
          <w:szCs w:val="24"/>
        </w:rPr>
        <w:t>(4) Population-weighted average: The total substitution rate is the weighted mean across all contributing cohorts, weighted by each cohort’s mutation supply:</w:t>
      </w:r>
    </w:p>
    <w:p>
      <w:pPr>
        <w:pStyle w:val="Normal"/>
        <w:spacing w:lineRule="auto" w:line="276" w:before="0" w:after="200"/>
        <w:jc w:val="center"/>
        <w:rPr/>
      </w:pPr>
      <w:r>
        <w:rPr>
          <w:rFonts w:eastAsia="Times New Roman" w:cs="Times New Roman"/>
          <w:i/>
          <w:iCs/>
          <w:sz w:val="24"/>
          <w:szCs w:val="24"/>
        </w:rPr>
        <w:t>k</w:t>
      </w:r>
      <w:r>
        <w:rPr>
          <w:rFonts w:eastAsia="Times New Roman" w:cs="Times New Roman"/>
          <w:sz w:val="20"/>
          <w:szCs w:val="20"/>
          <w:vertAlign w:val="subscript"/>
        </w:rPr>
        <w:t>t</w:t>
      </w:r>
      <w:r>
        <w:rPr>
          <w:rFonts w:eastAsia="Times New Roman" w:cs="Times New Roman"/>
          <w:sz w:val="24"/>
          <w:szCs w:val="24"/>
        </w:rPr>
        <w:t xml:space="preserve"> = Σ(</w:t>
      </w:r>
      <w:r>
        <w:rPr>
          <w:rFonts w:eastAsia="Times New Roman" w:cs="Times New Roman"/>
          <w:i/>
          <w:iCs/>
          <w:sz w:val="24"/>
          <w:szCs w:val="24"/>
        </w:rPr>
        <w:t>M</w:t>
      </w:r>
      <w:r>
        <w:rPr>
          <w:rFonts w:eastAsia="Times New Roman" w:cs="Times New Roman"/>
          <w:sz w:val="20"/>
          <w:szCs w:val="20"/>
          <w:vertAlign w:val="subscript"/>
        </w:rPr>
        <w:t>i</w:t>
      </w:r>
      <w:r>
        <w:rPr>
          <w:rFonts w:eastAsia="Times New Roman" w:cs="Times New Roman"/>
          <w:sz w:val="24"/>
          <w:szCs w:val="24"/>
        </w:rPr>
        <w:t xml:space="preserve"> × </w:t>
      </w:r>
      <w:r>
        <w:rPr>
          <w:rFonts w:eastAsia="Times New Roman" w:cs="Times New Roman"/>
          <w:i/>
          <w:iCs/>
          <w:sz w:val="24"/>
          <w:szCs w:val="24"/>
        </w:rPr>
        <w:t>k</w:t>
      </w:r>
      <w:r>
        <w:rPr>
          <w:rFonts w:eastAsia="Times New Roman" w:cs="Times New Roman"/>
          <w:sz w:val="20"/>
          <w:szCs w:val="20"/>
          <w:vertAlign w:val="subscript"/>
        </w:rPr>
        <w:t>i</w:t>
      </w:r>
      <w:r>
        <w:rPr>
          <w:rFonts w:eastAsia="Times New Roman" w:cs="Times New Roman"/>
          <w:sz w:val="24"/>
          <w:szCs w:val="24"/>
        </w:rPr>
        <w:t>) / Σ</w:t>
      </w:r>
      <w:r>
        <w:rPr>
          <w:rFonts w:eastAsia="Times New Roman" w:cs="Times New Roman"/>
          <w:i/>
          <w:iCs/>
          <w:sz w:val="24"/>
          <w:szCs w:val="24"/>
        </w:rPr>
        <w:t>M</w:t>
      </w:r>
      <w:r>
        <w:rPr>
          <w:rFonts w:eastAsia="Times New Roman" w:cs="Times New Roman"/>
          <w:sz w:val="20"/>
          <w:szCs w:val="20"/>
          <w:vertAlign w:val="subscript"/>
        </w:rPr>
        <w:t>i</w:t>
      </w:r>
      <w:r>
        <w:rPr>
          <w:rFonts w:eastAsia="Times New Roman" w:cs="Times New Roman"/>
          <w:sz w:val="24"/>
          <w:szCs w:val="24"/>
        </w:rPr>
        <w:t xml:space="preserve"> = (μ/</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 (Σ</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² / Σ</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(2)</w:t>
      </w:r>
    </w:p>
    <w:p>
      <w:pPr>
        <w:pStyle w:val="Normal"/>
        <w:spacing w:lineRule="auto" w:line="276" w:before="0" w:after="200"/>
        <w:jc w:val="both"/>
        <w:rPr/>
      </w:pPr>
      <w:r>
        <w:rPr>
          <w:rFonts w:eastAsia="Times New Roman" w:cs="Times New Roman"/>
          <w:sz w:val="24"/>
          <w:szCs w:val="24"/>
        </w:rPr>
        <w:t xml:space="preserve">Equation (2) is the Real Rate of Molecular Evolution (RRME). It reduces to </w:t>
      </w:r>
      <w:r>
        <w:rPr>
          <w:rFonts w:eastAsia="Times New Roman" w:cs="Times New Roman"/>
          <w:i/>
          <w:iCs/>
          <w:sz w:val="24"/>
          <w:szCs w:val="24"/>
        </w:rPr>
        <w:t>k</w:t>
      </w:r>
      <w:r>
        <w:rPr>
          <w:rFonts w:eastAsia="Times New Roman" w:cs="Times New Roman"/>
          <w:sz w:val="24"/>
          <w:szCs w:val="24"/>
        </w:rPr>
        <w:t xml:space="preserve"> = μ if and only if every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Σ</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²/Σ</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 </w:t>
      </w:r>
      <w:r>
        <w:rPr>
          <w:rFonts w:eastAsia="Times New Roman" w:cs="Times New Roman"/>
          <w:i/>
          <w:iCs/>
          <w:sz w:val="24"/>
          <w:szCs w:val="24"/>
        </w:rPr>
        <w:t>gN</w:t>
      </w:r>
      <w:r>
        <w:rPr>
          <w:rFonts w:eastAsia="Times New Roman" w:cs="Times New Roman"/>
          <w:sz w:val="24"/>
          <w:szCs w:val="24"/>
        </w:rPr>
        <w:t>²/</w:t>
      </w:r>
      <w:r>
        <w:rPr>
          <w:rFonts w:eastAsia="Times New Roman" w:cs="Times New Roman"/>
          <w:i/>
          <w:iCs/>
          <w:sz w:val="24"/>
          <w:szCs w:val="24"/>
        </w:rPr>
        <w:t>gN</w:t>
      </w:r>
      <w:r>
        <w:rPr>
          <w:rFonts w:eastAsia="Times New Roman" w:cs="Times New Roman"/>
          <w:sz w:val="24"/>
          <w:szCs w:val="24"/>
        </w:rPr>
        <w:t xml:space="preserve"> = </w:t>
      </w:r>
      <w:r>
        <w:rPr>
          <w:rFonts w:eastAsia="Times New Roman" w:cs="Times New Roman"/>
          <w:i/>
          <w:iCs/>
          <w:sz w:val="24"/>
          <w:szCs w:val="24"/>
        </w:rPr>
        <w:t>N</w:t>
      </w:r>
      <w:r>
        <w:rPr>
          <w:rFonts w:eastAsia="Times New Roman" w:cs="Times New Roman"/>
          <w:sz w:val="24"/>
          <w:szCs w:val="24"/>
        </w:rPr>
        <w:t xml:space="preserve"> =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where </w:t>
      </w:r>
      <w:r>
        <w:rPr>
          <w:rFonts w:eastAsia="Times New Roman" w:cs="Times New Roman"/>
          <w:i/>
          <w:iCs/>
          <w:sz w:val="24"/>
          <w:szCs w:val="24"/>
        </w:rPr>
        <w:t>g</w:t>
      </w:r>
      <w:r>
        <w:rPr>
          <w:rFonts w:eastAsia="Times New Roman" w:cs="Times New Roman"/>
          <w:sz w:val="24"/>
          <w:szCs w:val="24"/>
        </w:rPr>
        <w:t xml:space="preserve"> is the number of contributing generations. For any growing population, Σ</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²/Σ</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&lt;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so </w:t>
      </w:r>
      <w:r>
        <w:rPr>
          <w:rFonts w:eastAsia="Times New Roman" w:cs="Times New Roman"/>
          <w:i/>
          <w:iCs/>
          <w:sz w:val="24"/>
          <w:szCs w:val="24"/>
        </w:rPr>
        <w:t>k</w:t>
      </w:r>
      <w:r>
        <w:rPr>
          <w:rFonts w:eastAsia="Times New Roman" w:cs="Times New Roman"/>
          <w:sz w:val="24"/>
          <w:szCs w:val="24"/>
        </w:rPr>
        <w:t xml:space="preserve"> &lt; μ. For any shrinking population, </w:t>
      </w:r>
      <w:r>
        <w:rPr>
          <w:rFonts w:eastAsia="Times New Roman" w:cs="Times New Roman"/>
          <w:i/>
          <w:iCs/>
          <w:sz w:val="24"/>
          <w:szCs w:val="24"/>
        </w:rPr>
        <w:t>k</w:t>
      </w:r>
      <w:r>
        <w:rPr>
          <w:rFonts w:eastAsia="Times New Roman" w:cs="Times New Roman"/>
          <w:sz w:val="24"/>
          <w:szCs w:val="24"/>
        </w:rPr>
        <w:t xml:space="preserve"> &gt; μ. The departure is systematic, predictable, and one-directional for any sustained demographic trend.</w:t>
      </w:r>
    </w:p>
    <w:p>
      <w:pPr>
        <w:pStyle w:val="Normal"/>
        <w:spacing w:lineRule="auto" w:line="276" w:before="300" w:after="200"/>
        <w:rPr/>
      </w:pPr>
      <w:r>
        <w:rPr>
          <w:rFonts w:eastAsia="Times New Roman" w:cs="Times New Roman"/>
          <w:b/>
          <w:bCs/>
          <w:sz w:val="24"/>
          <w:szCs w:val="24"/>
        </w:rPr>
        <w:t>Worked Example: Human Population, 1950–2025</w:t>
      </w:r>
    </w:p>
    <w:p>
      <w:pPr>
        <w:pStyle w:val="Normal"/>
        <w:spacing w:lineRule="auto" w:line="276" w:before="0" w:after="200"/>
        <w:jc w:val="both"/>
        <w:rPr/>
      </w:pPr>
      <w:r>
        <w:rPr>
          <w:rFonts w:eastAsia="Times New Roman" w:cs="Times New Roman"/>
          <w:sz w:val="24"/>
          <w:szCs w:val="24"/>
        </w:rPr>
        <w:t>We apply the RRME to four generations of known human census data, using the standard human per-site per-generation mutation rate μ = 1.2 × 10</w:t>
      </w:r>
      <w:r>
        <w:rPr>
          <w:rFonts w:eastAsia="Times New Roman" w:cs="Times New Roman"/>
          <w:sz w:val="20"/>
          <w:szCs w:val="20"/>
          <w:vertAlign w:val="superscript"/>
        </w:rPr>
        <w:t>−8</w:t>
      </w:r>
      <w:r>
        <w:rPr>
          <w:rFonts w:eastAsia="Times New Roman" w:cs="Times New Roman"/>
          <w:sz w:val="24"/>
          <w:szCs w:val="24"/>
        </w:rPr>
        <w:t xml:space="preserve"> (Kong et al. 2012) and a generation time of 25 years.</w:t>
      </w:r>
    </w:p>
    <w:p>
      <w:pPr>
        <w:pStyle w:val="Normal"/>
        <w:spacing w:before="0" w:after="100"/>
        <w:rPr/>
      </w:pPr>
      <w:r>
        <w:rPr/>
      </w:r>
    </w:p>
    <w:tbl>
      <w:tblPr>
        <w:tblW w:w="8600" w:type="dxa"/>
        <w:jc w:val="left"/>
        <w:tblInd w:w="0" w:type="dxa"/>
        <w:tblLayout w:type="fixed"/>
        <w:tblCellMar>
          <w:top w:w="40" w:type="dxa"/>
          <w:left w:w="80" w:type="dxa"/>
          <w:bottom w:w="40" w:type="dxa"/>
          <w:right w:w="80" w:type="dxa"/>
        </w:tblCellMar>
      </w:tblPr>
      <w:tblGrid>
        <w:gridCol w:w="1799"/>
        <w:gridCol w:w="1600"/>
        <w:gridCol w:w="1801"/>
        <w:gridCol w:w="1800"/>
        <w:gridCol w:w="1600"/>
      </w:tblGrid>
      <w:tr>
        <w:trPr/>
        <w:tc>
          <w:tcPr>
            <w:tcW w:w="1799" w:type="dxa"/>
            <w:tcBorders>
              <w:top w:val="single" w:sz="2" w:space="0" w:color="000000"/>
              <w:left w:val="single" w:sz="2" w:space="0" w:color="000000"/>
              <w:bottom w:val="single" w:sz="2" w:space="0" w:color="000000"/>
              <w:right w:val="single" w:sz="2" w:space="0" w:color="000000"/>
            </w:tcBorders>
            <w:shd w:fill="D9E2F3" w:val="clear"/>
          </w:tcPr>
          <w:p>
            <w:pPr>
              <w:pStyle w:val="Normal"/>
              <w:spacing w:lineRule="auto" w:line="240" w:before="0" w:after="0"/>
              <w:jc w:val="center"/>
              <w:rPr/>
            </w:pPr>
            <w:r>
              <w:rPr>
                <w:rFonts w:eastAsia="Times New Roman" w:cs="Times New Roman"/>
                <w:b/>
                <w:bCs/>
                <w:sz w:val="20"/>
                <w:szCs w:val="20"/>
              </w:rPr>
              <w:t>Generation</w:t>
            </w:r>
          </w:p>
        </w:tc>
        <w:tc>
          <w:tcPr>
            <w:tcW w:w="1600" w:type="dxa"/>
            <w:tcBorders>
              <w:top w:val="single" w:sz="2" w:space="0" w:color="000000"/>
              <w:left w:val="single" w:sz="2" w:space="0" w:color="000000"/>
              <w:bottom w:val="single" w:sz="2" w:space="0" w:color="000000"/>
              <w:right w:val="single" w:sz="2" w:space="0" w:color="000000"/>
            </w:tcBorders>
            <w:shd w:fill="D9E2F3" w:val="clear"/>
          </w:tcPr>
          <w:p>
            <w:pPr>
              <w:pStyle w:val="Normal"/>
              <w:spacing w:lineRule="auto" w:line="240" w:before="0" w:after="0"/>
              <w:jc w:val="center"/>
              <w:rPr/>
            </w:pPr>
            <w:r>
              <w:rPr>
                <w:rFonts w:eastAsia="Times New Roman" w:cs="Times New Roman"/>
                <w:b/>
                <w:bCs/>
                <w:sz w:val="20"/>
                <w:szCs w:val="20"/>
              </w:rPr>
              <w:t>Year</w:t>
            </w:r>
          </w:p>
        </w:tc>
        <w:tc>
          <w:tcPr>
            <w:tcW w:w="1801" w:type="dxa"/>
            <w:tcBorders>
              <w:top w:val="single" w:sz="2" w:space="0" w:color="000000"/>
              <w:left w:val="single" w:sz="2" w:space="0" w:color="000000"/>
              <w:bottom w:val="single" w:sz="2" w:space="0" w:color="000000"/>
              <w:right w:val="single" w:sz="2" w:space="0" w:color="000000"/>
            </w:tcBorders>
            <w:shd w:fill="D9E2F3" w:val="clear"/>
          </w:tcPr>
          <w:p>
            <w:pPr>
              <w:pStyle w:val="Normal"/>
              <w:spacing w:lineRule="auto" w:line="240" w:before="0" w:after="0"/>
              <w:jc w:val="center"/>
              <w:rPr/>
            </w:pPr>
            <w:r>
              <w:rPr>
                <w:rFonts w:eastAsia="Times New Roman" w:cs="Times New Roman"/>
                <w:b/>
                <w:bCs/>
                <w:i/>
                <w:iCs/>
                <w:sz w:val="20"/>
                <w:szCs w:val="20"/>
              </w:rPr>
              <w:t>N</w:t>
            </w:r>
            <w:r>
              <w:rPr>
                <w:rFonts w:eastAsia="Times New Roman" w:cs="Times New Roman"/>
                <w:sz w:val="20"/>
                <w:szCs w:val="20"/>
                <w:vertAlign w:val="subscript"/>
              </w:rPr>
              <w:t>i</w:t>
            </w:r>
            <w:r>
              <w:rPr>
                <w:rFonts w:eastAsia="Times New Roman" w:cs="Times New Roman"/>
                <w:b/>
                <w:bCs/>
                <w:sz w:val="20"/>
                <w:szCs w:val="20"/>
              </w:rPr>
              <w:t xml:space="preserve"> (billions)</w:t>
            </w:r>
          </w:p>
        </w:tc>
        <w:tc>
          <w:tcPr>
            <w:tcW w:w="1800" w:type="dxa"/>
            <w:tcBorders>
              <w:top w:val="single" w:sz="2" w:space="0" w:color="000000"/>
              <w:left w:val="single" w:sz="2" w:space="0" w:color="000000"/>
              <w:bottom w:val="single" w:sz="2" w:space="0" w:color="000000"/>
              <w:right w:val="single" w:sz="2" w:space="0" w:color="000000"/>
            </w:tcBorders>
            <w:shd w:fill="D9E2F3" w:val="clear"/>
          </w:tcPr>
          <w:p>
            <w:pPr>
              <w:pStyle w:val="Normal"/>
              <w:spacing w:lineRule="auto" w:line="240" w:before="0" w:after="0"/>
              <w:jc w:val="center"/>
              <w:rPr/>
            </w:pPr>
            <w:r>
              <w:rPr>
                <w:rFonts w:eastAsia="Times New Roman" w:cs="Times New Roman"/>
                <w:b/>
                <w:bCs/>
                <w:i/>
                <w:iCs/>
                <w:sz w:val="20"/>
                <w:szCs w:val="20"/>
              </w:rPr>
              <w:t>N</w:t>
            </w:r>
            <w:r>
              <w:rPr>
                <w:rFonts w:eastAsia="Times New Roman" w:cs="Times New Roman"/>
                <w:sz w:val="20"/>
                <w:szCs w:val="20"/>
                <w:vertAlign w:val="subscript"/>
              </w:rPr>
              <w:t>i</w:t>
            </w:r>
            <w:r>
              <w:rPr>
                <w:rFonts w:eastAsia="Times New Roman" w:cs="Times New Roman"/>
                <w:b/>
                <w:bCs/>
                <w:sz w:val="20"/>
                <w:szCs w:val="20"/>
              </w:rPr>
              <w:t>²</w:t>
            </w:r>
          </w:p>
        </w:tc>
        <w:tc>
          <w:tcPr>
            <w:tcW w:w="1600" w:type="dxa"/>
            <w:tcBorders>
              <w:top w:val="single" w:sz="2" w:space="0" w:color="000000"/>
              <w:left w:val="single" w:sz="2" w:space="0" w:color="000000"/>
              <w:bottom w:val="single" w:sz="2" w:space="0" w:color="000000"/>
              <w:right w:val="single" w:sz="2" w:space="0" w:color="000000"/>
            </w:tcBorders>
            <w:shd w:fill="D9E2F3" w:val="clear"/>
          </w:tcPr>
          <w:p>
            <w:pPr>
              <w:pStyle w:val="Normal"/>
              <w:spacing w:lineRule="auto" w:line="240" w:before="0" w:after="0"/>
              <w:jc w:val="center"/>
              <w:rPr/>
            </w:pPr>
            <w:r>
              <w:rPr>
                <w:rFonts w:eastAsia="Times New Roman" w:cs="Times New Roman"/>
                <w:b/>
                <w:bCs/>
                <w:i/>
                <w:iCs/>
                <w:sz w:val="20"/>
                <w:szCs w:val="20"/>
              </w:rPr>
              <w:t>k</w:t>
            </w:r>
            <w:r>
              <w:rPr>
                <w:rFonts w:eastAsia="Times New Roman" w:cs="Times New Roman"/>
                <w:sz w:val="20"/>
                <w:szCs w:val="20"/>
                <w:vertAlign w:val="subscript"/>
              </w:rPr>
              <w:t>i</w:t>
            </w:r>
            <w:r>
              <w:rPr>
                <w:rFonts w:eastAsia="Times New Roman" w:cs="Times New Roman"/>
                <w:b/>
                <w:bCs/>
                <w:sz w:val="20"/>
                <w:szCs w:val="20"/>
              </w:rPr>
              <w:t>/μ</w:t>
            </w:r>
          </w:p>
        </w:tc>
      </w:tr>
      <w:tr>
        <w:trPr/>
        <w:tc>
          <w:tcPr>
            <w:tcW w:w="179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0</w:t>
            </w:r>
          </w:p>
        </w:tc>
        <w:tc>
          <w:tcPr>
            <w:tcW w:w="16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1950</w:t>
            </w:r>
          </w:p>
        </w:tc>
        <w:tc>
          <w:tcPr>
            <w:tcW w:w="180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2.5</w:t>
            </w:r>
          </w:p>
        </w:tc>
        <w:tc>
          <w:tcPr>
            <w:tcW w:w="18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6.25</w:t>
            </w:r>
          </w:p>
        </w:tc>
        <w:tc>
          <w:tcPr>
            <w:tcW w:w="16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0.305</w:t>
            </w:r>
          </w:p>
        </w:tc>
      </w:tr>
      <w:tr>
        <w:trPr/>
        <w:tc>
          <w:tcPr>
            <w:tcW w:w="179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1</w:t>
            </w:r>
          </w:p>
        </w:tc>
        <w:tc>
          <w:tcPr>
            <w:tcW w:w="16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1975</w:t>
            </w:r>
          </w:p>
        </w:tc>
        <w:tc>
          <w:tcPr>
            <w:tcW w:w="180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4.0</w:t>
            </w:r>
          </w:p>
        </w:tc>
        <w:tc>
          <w:tcPr>
            <w:tcW w:w="18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16.00</w:t>
            </w:r>
          </w:p>
        </w:tc>
        <w:tc>
          <w:tcPr>
            <w:tcW w:w="16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0.488</w:t>
            </w:r>
          </w:p>
        </w:tc>
      </w:tr>
      <w:tr>
        <w:trPr/>
        <w:tc>
          <w:tcPr>
            <w:tcW w:w="179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2</w:t>
            </w:r>
          </w:p>
        </w:tc>
        <w:tc>
          <w:tcPr>
            <w:tcW w:w="16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2000</w:t>
            </w:r>
          </w:p>
        </w:tc>
        <w:tc>
          <w:tcPr>
            <w:tcW w:w="180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6.1</w:t>
            </w:r>
          </w:p>
        </w:tc>
        <w:tc>
          <w:tcPr>
            <w:tcW w:w="18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37.21</w:t>
            </w:r>
          </w:p>
        </w:tc>
        <w:tc>
          <w:tcPr>
            <w:tcW w:w="16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0.744</w:t>
            </w:r>
          </w:p>
        </w:tc>
      </w:tr>
      <w:tr>
        <w:trPr/>
        <w:tc>
          <w:tcPr>
            <w:tcW w:w="1799"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3</w:t>
            </w:r>
          </w:p>
        </w:tc>
        <w:tc>
          <w:tcPr>
            <w:tcW w:w="16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2025</w:t>
            </w:r>
          </w:p>
        </w:tc>
        <w:tc>
          <w:tcPr>
            <w:tcW w:w="1801"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8.2</w:t>
            </w:r>
          </w:p>
        </w:tc>
        <w:tc>
          <w:tcPr>
            <w:tcW w:w="18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67.24</w:t>
            </w:r>
          </w:p>
        </w:tc>
        <w:tc>
          <w:tcPr>
            <w:tcW w:w="1600" w:type="dxa"/>
            <w:tcBorders>
              <w:top w:val="single" w:sz="2" w:space="0" w:color="000000"/>
              <w:left w:val="single" w:sz="2" w:space="0" w:color="000000"/>
              <w:bottom w:val="single" w:sz="2" w:space="0" w:color="000000"/>
              <w:right w:val="single" w:sz="2" w:space="0" w:color="000000"/>
            </w:tcBorders>
          </w:tcPr>
          <w:p>
            <w:pPr>
              <w:pStyle w:val="Normal"/>
              <w:spacing w:lineRule="auto" w:line="240" w:before="0" w:after="0"/>
              <w:jc w:val="center"/>
              <w:rPr/>
            </w:pPr>
            <w:r>
              <w:rPr>
                <w:rFonts w:eastAsia="Times New Roman" w:cs="Times New Roman"/>
                <w:sz w:val="20"/>
                <w:szCs w:val="20"/>
              </w:rPr>
              <w:t>1.000</w:t>
            </w:r>
          </w:p>
        </w:tc>
      </w:tr>
      <w:tr>
        <w:trPr/>
        <w:tc>
          <w:tcPr>
            <w:tcW w:w="1799" w:type="dxa"/>
            <w:tcBorders>
              <w:top w:val="single" w:sz="2" w:space="0" w:color="000000"/>
              <w:left w:val="single" w:sz="2" w:space="0" w:color="000000"/>
              <w:bottom w:val="single" w:sz="2" w:space="0" w:color="000000"/>
              <w:right w:val="single" w:sz="2" w:space="0" w:color="000000"/>
            </w:tcBorders>
            <w:shd w:fill="F2F2F2" w:val="clear"/>
          </w:tcPr>
          <w:p>
            <w:pPr>
              <w:pStyle w:val="Normal"/>
              <w:spacing w:lineRule="auto" w:line="240" w:before="0" w:after="0"/>
              <w:jc w:val="center"/>
              <w:rPr/>
            </w:pPr>
            <w:r>
              <w:rPr>
                <w:rFonts w:eastAsia="Times New Roman" w:cs="Times New Roman"/>
                <w:b/>
                <w:bCs/>
                <w:sz w:val="20"/>
                <w:szCs w:val="20"/>
              </w:rPr>
              <w:t>Sum</w:t>
            </w:r>
          </w:p>
        </w:tc>
        <w:tc>
          <w:tcPr>
            <w:tcW w:w="1600" w:type="dxa"/>
            <w:tcBorders>
              <w:top w:val="single" w:sz="2" w:space="0" w:color="000000"/>
              <w:left w:val="single" w:sz="2" w:space="0" w:color="000000"/>
              <w:bottom w:val="single" w:sz="2" w:space="0" w:color="000000"/>
              <w:right w:val="single" w:sz="2" w:space="0" w:color="000000"/>
            </w:tcBorders>
            <w:shd w:fill="F2F2F2" w:val="clear"/>
          </w:tcPr>
          <w:p>
            <w:pPr>
              <w:pStyle w:val="Normal"/>
              <w:spacing w:lineRule="auto" w:line="240" w:before="0" w:after="0"/>
              <w:jc w:val="center"/>
              <w:rPr/>
            </w:pPr>
            <w:r>
              <w:rPr/>
            </w:r>
          </w:p>
        </w:tc>
        <w:tc>
          <w:tcPr>
            <w:tcW w:w="1801" w:type="dxa"/>
            <w:tcBorders>
              <w:top w:val="single" w:sz="2" w:space="0" w:color="000000"/>
              <w:left w:val="single" w:sz="2" w:space="0" w:color="000000"/>
              <w:bottom w:val="single" w:sz="2" w:space="0" w:color="000000"/>
              <w:right w:val="single" w:sz="2" w:space="0" w:color="000000"/>
            </w:tcBorders>
            <w:shd w:fill="F2F2F2" w:val="clear"/>
          </w:tcPr>
          <w:p>
            <w:pPr>
              <w:pStyle w:val="Normal"/>
              <w:spacing w:lineRule="auto" w:line="240" w:before="0" w:after="0"/>
              <w:jc w:val="center"/>
              <w:rPr/>
            </w:pPr>
            <w:r>
              <w:rPr>
                <w:rFonts w:eastAsia="Times New Roman" w:cs="Times New Roman"/>
                <w:b/>
                <w:bCs/>
                <w:sz w:val="20"/>
                <w:szCs w:val="20"/>
              </w:rPr>
              <w:t>20.8</w:t>
            </w:r>
          </w:p>
        </w:tc>
        <w:tc>
          <w:tcPr>
            <w:tcW w:w="1800" w:type="dxa"/>
            <w:tcBorders>
              <w:top w:val="single" w:sz="2" w:space="0" w:color="000000"/>
              <w:left w:val="single" w:sz="2" w:space="0" w:color="000000"/>
              <w:bottom w:val="single" w:sz="2" w:space="0" w:color="000000"/>
              <w:right w:val="single" w:sz="2" w:space="0" w:color="000000"/>
            </w:tcBorders>
            <w:shd w:fill="F2F2F2" w:val="clear"/>
          </w:tcPr>
          <w:p>
            <w:pPr>
              <w:pStyle w:val="Normal"/>
              <w:spacing w:lineRule="auto" w:line="240" w:before="0" w:after="0"/>
              <w:jc w:val="center"/>
              <w:rPr/>
            </w:pPr>
            <w:r>
              <w:rPr>
                <w:rFonts w:eastAsia="Times New Roman" w:cs="Times New Roman"/>
                <w:b/>
                <w:bCs/>
                <w:sz w:val="20"/>
                <w:szCs w:val="20"/>
              </w:rPr>
              <w:t>126.70</w:t>
            </w:r>
          </w:p>
        </w:tc>
        <w:tc>
          <w:tcPr>
            <w:tcW w:w="1600" w:type="dxa"/>
            <w:tcBorders>
              <w:top w:val="single" w:sz="2" w:space="0" w:color="000000"/>
              <w:left w:val="single" w:sz="2" w:space="0" w:color="000000"/>
              <w:bottom w:val="single" w:sz="2" w:space="0" w:color="000000"/>
              <w:right w:val="single" w:sz="2" w:space="0" w:color="000000"/>
            </w:tcBorders>
            <w:shd w:fill="F2F2F2" w:val="clear"/>
          </w:tcPr>
          <w:p>
            <w:pPr>
              <w:pStyle w:val="Normal"/>
              <w:spacing w:lineRule="auto" w:line="240" w:before="0" w:after="0"/>
              <w:jc w:val="center"/>
              <w:rPr/>
            </w:pPr>
            <w:r>
              <w:rPr/>
            </w:r>
          </w:p>
        </w:tc>
      </w:tr>
    </w:tbl>
    <w:p>
      <w:pPr>
        <w:pStyle w:val="Normal"/>
        <w:spacing w:before="0" w:after="100"/>
        <w:rPr/>
      </w:pPr>
      <w:r>
        <w:rPr/>
      </w:r>
    </w:p>
    <w:p>
      <w:pPr>
        <w:pStyle w:val="Normal"/>
        <w:spacing w:lineRule="auto" w:line="276" w:before="0" w:after="200"/>
        <w:jc w:val="both"/>
        <w:rPr/>
      </w:pPr>
      <w:r>
        <w:rPr>
          <w:rFonts w:eastAsia="Times New Roman" w:cs="Times New Roman"/>
          <w:b/>
          <w:bCs/>
          <w:sz w:val="24"/>
          <w:szCs w:val="24"/>
        </w:rPr>
        <w:t>Table 1.</w:t>
      </w:r>
      <w:r>
        <w:rPr>
          <w:rFonts w:eastAsia="Times New Roman" w:cs="Times New Roman"/>
          <w:sz w:val="24"/>
          <w:szCs w:val="24"/>
        </w:rPr>
        <w:t xml:space="preserve"> Human census population by generational cohort, 1950–2025. </w:t>
      </w:r>
      <w:r>
        <w:rPr>
          <w:rFonts w:eastAsia="Times New Roman" w:cs="Times New Roman"/>
          <w:i/>
          <w:iCs/>
          <w:sz w:val="24"/>
          <w:szCs w:val="24"/>
        </w:rPr>
        <w:t>k</w:t>
      </w:r>
      <w:r>
        <w:rPr>
          <w:rFonts w:eastAsia="Times New Roman" w:cs="Times New Roman"/>
          <w:sz w:val="20"/>
          <w:szCs w:val="20"/>
          <w:vertAlign w:val="subscript"/>
        </w:rPr>
        <w:t>i</w:t>
      </w:r>
      <w:r>
        <w:rPr>
          <w:rFonts w:eastAsia="Times New Roman" w:cs="Times New Roman"/>
          <w:sz w:val="24"/>
          <w:szCs w:val="24"/>
        </w:rPr>
        <w:t xml:space="preserve">/μ =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is the substitution rate contributed by each cohort relative to μ.</w:t>
      </w:r>
    </w:p>
    <w:p>
      <w:pPr>
        <w:pStyle w:val="Normal"/>
        <w:spacing w:before="0" w:after="100"/>
        <w:rPr/>
      </w:pPr>
      <w:r>
        <w:rPr/>
      </w:r>
    </w:p>
    <w:p>
      <w:pPr>
        <w:pStyle w:val="Normal"/>
        <w:spacing w:lineRule="auto" w:line="276" w:before="0" w:after="200"/>
        <w:jc w:val="both"/>
        <w:rPr/>
      </w:pPr>
      <w:r>
        <w:rPr>
          <w:rFonts w:eastAsia="Times New Roman" w:cs="Times New Roman"/>
          <w:sz w:val="24"/>
          <w:szCs w:val="24"/>
        </w:rPr>
        <w:t>Applying Equation (2): Σ</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²/Σ</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 126.70/20.8 = 6.091 billion.</w:t>
      </w:r>
    </w:p>
    <w:p>
      <w:pPr>
        <w:pStyle w:val="Normal"/>
        <w:spacing w:lineRule="auto" w:line="276" w:before="0" w:after="200"/>
        <w:jc w:val="center"/>
        <w:rPr/>
      </w:pPr>
      <w:r>
        <w:rPr>
          <w:rFonts w:eastAsia="Times New Roman" w:cs="Times New Roman"/>
          <w:i/>
          <w:iCs/>
          <w:sz w:val="24"/>
          <w:szCs w:val="24"/>
        </w:rPr>
        <w:t>k</w:t>
      </w:r>
      <w:r>
        <w:rPr>
          <w:rFonts w:eastAsia="Times New Roman" w:cs="Times New Roman"/>
          <w:sz w:val="24"/>
          <w:szCs w:val="24"/>
        </w:rPr>
        <w:t xml:space="preserve"> = μ × 6.091/8.2 = </w:t>
      </w:r>
      <w:r>
        <w:rPr>
          <w:rFonts w:eastAsia="Times New Roman" w:cs="Times New Roman"/>
          <w:b/>
          <w:bCs/>
          <w:sz w:val="24"/>
          <w:szCs w:val="24"/>
        </w:rPr>
        <w:t>0.743μ</w:t>
      </w:r>
      <w:r>
        <w:rPr>
          <w:rFonts w:eastAsia="Times New Roman" w:cs="Times New Roman"/>
          <w:sz w:val="24"/>
          <w:szCs w:val="24"/>
        </w:rPr>
        <w:t xml:space="preserve">          (3)</w:t>
      </w:r>
    </w:p>
    <w:p>
      <w:pPr>
        <w:pStyle w:val="Normal"/>
        <w:spacing w:lineRule="auto" w:line="276" w:before="0" w:after="200"/>
        <w:jc w:val="both"/>
        <w:rPr/>
      </w:pPr>
      <w:r>
        <w:rPr>
          <w:rFonts w:eastAsia="Times New Roman" w:cs="Times New Roman"/>
          <w:sz w:val="24"/>
          <w:szCs w:val="24"/>
        </w:rPr>
        <w:t xml:space="preserve">The neutral substitution rate for the human population in 2025, computed from known census data, is 74.3% of the mutation rate—not 100%. The 25.7% shortfall is not an approximation error or a boundary effect; it is the mathematical consequence of computing </w:t>
      </w:r>
      <w:r>
        <w:rPr>
          <w:rFonts w:eastAsia="Times New Roman" w:cs="Times New Roman"/>
          <w:i/>
          <w:iCs/>
          <w:sz w:val="24"/>
          <w:szCs w:val="24"/>
        </w:rPr>
        <w:t>k</w:t>
      </w:r>
      <w:r>
        <w:rPr>
          <w:rFonts w:eastAsia="Times New Roman" w:cs="Times New Roman"/>
          <w:sz w:val="24"/>
          <w:szCs w:val="24"/>
        </w:rPr>
        <w:t xml:space="preserve"> from real population sizes rather than assuming constant </w:t>
      </w:r>
      <w:r>
        <w:rPr>
          <w:rFonts w:eastAsia="Times New Roman" w:cs="Times New Roman"/>
          <w:i/>
          <w:iCs/>
          <w:sz w:val="24"/>
          <w:szCs w:val="24"/>
        </w:rPr>
        <w:t>N</w:t>
      </w:r>
      <w:r>
        <w:rPr>
          <w:rFonts w:eastAsia="Times New Roman" w:cs="Times New Roman"/>
          <w:sz w:val="24"/>
          <w:szCs w:val="24"/>
        </w:rPr>
        <w:t xml:space="preserve">. Any species whose population has grown over the relevant timescale will show the same pattern: </w:t>
      </w:r>
      <w:r>
        <w:rPr>
          <w:rFonts w:eastAsia="Times New Roman" w:cs="Times New Roman"/>
          <w:i/>
          <w:iCs/>
          <w:sz w:val="24"/>
          <w:szCs w:val="24"/>
        </w:rPr>
        <w:t>k</w:t>
      </w:r>
      <w:r>
        <w:rPr>
          <w:rFonts w:eastAsia="Times New Roman" w:cs="Times New Roman"/>
          <w:sz w:val="24"/>
          <w:szCs w:val="24"/>
        </w:rPr>
        <w:t xml:space="preserve"> &lt; μ, with the magnitude of the departure depending on the rate and duration of growth.</w:t>
      </w:r>
    </w:p>
    <w:p>
      <w:pPr>
        <w:pStyle w:val="Normal"/>
        <w:spacing w:lineRule="auto" w:line="276" w:before="300" w:after="200"/>
        <w:rPr/>
      </w:pPr>
      <w:r>
        <w:rPr>
          <w:rFonts w:eastAsia="Times New Roman" w:cs="Times New Roman"/>
          <w:b/>
          <w:bCs/>
          <w:sz w:val="24"/>
          <w:szCs w:val="24"/>
        </w:rPr>
        <w:t>Relationship to Balloux and Lehmann (2012)</w:t>
      </w:r>
    </w:p>
    <w:p>
      <w:pPr>
        <w:pStyle w:val="Normal"/>
        <w:spacing w:lineRule="auto" w:line="276" w:before="0" w:after="200"/>
        <w:jc w:val="both"/>
        <w:rPr/>
      </w:pPr>
      <w:r>
        <w:rPr>
          <w:rFonts w:eastAsia="Times New Roman" w:cs="Times New Roman"/>
          <w:sz w:val="24"/>
          <w:szCs w:val="24"/>
        </w:rPr>
        <w:t xml:space="preserve">The RRME and the Balloux-Lehmann framework arrive at the same conclusion through different mathematical routes. Balloux and Lehmann model the substitution rate using Markov chain demographic transitions with explicit survival probabilities, showing that the product </w:t>
      </w:r>
      <w:r>
        <w:rPr>
          <w:rFonts w:eastAsia="Times New Roman" w:cs="Times New Roman"/>
          <w:i/>
          <w:iCs/>
          <w:sz w:val="24"/>
          <w:szCs w:val="24"/>
        </w:rPr>
        <w:t>n</w:t>
      </w:r>
      <w:r>
        <w:rPr>
          <w:rFonts w:eastAsia="Times New Roman" w:cs="Times New Roman"/>
          <w:sz w:val="20"/>
          <w:szCs w:val="20"/>
          <w:vertAlign w:val="subscript"/>
        </w:rPr>
        <w:t>j</w:t>
      </w:r>
      <w:r>
        <w:rPr>
          <w:rFonts w:eastAsia="Times New Roman" w:cs="Times New Roman"/>
          <w:i/>
          <w:iCs/>
          <w:sz w:val="24"/>
          <w:szCs w:val="24"/>
        </w:rPr>
        <w:t>π</w:t>
      </w:r>
      <w:r>
        <w:rPr>
          <w:rFonts w:eastAsia="Times New Roman" w:cs="Times New Roman"/>
          <w:sz w:val="20"/>
          <w:szCs w:val="20"/>
          <w:vertAlign w:val="subscript"/>
        </w:rPr>
        <w:t>j</w:t>
      </w:r>
      <w:r>
        <w:rPr>
          <w:rFonts w:eastAsia="Times New Roman" w:cs="Times New Roman"/>
          <w:sz w:val="24"/>
          <w:szCs w:val="24"/>
        </w:rPr>
        <w:t xml:space="preserve"> fails to cancel when generations overlap in a changing population. The RRME derives the same departure from </w:t>
      </w:r>
      <w:r>
        <w:rPr>
          <w:rFonts w:eastAsia="Times New Roman" w:cs="Times New Roman"/>
          <w:i/>
          <w:iCs/>
          <w:sz w:val="24"/>
          <w:szCs w:val="24"/>
        </w:rPr>
        <w:t>k</w:t>
      </w:r>
      <w:r>
        <w:rPr>
          <w:rFonts w:eastAsia="Times New Roman" w:cs="Times New Roman"/>
          <w:sz w:val="24"/>
          <w:szCs w:val="24"/>
        </w:rPr>
        <w:t xml:space="preserve"> = μ by tracking mutation supply and current frequency across cohorts using census data alone.</w:t>
      </w:r>
    </w:p>
    <w:p>
      <w:pPr>
        <w:pStyle w:val="Normal"/>
        <w:spacing w:lineRule="auto" w:line="276" w:before="0" w:after="200"/>
        <w:jc w:val="both"/>
        <w:rPr/>
      </w:pPr>
      <w:r>
        <w:rPr>
          <w:rFonts w:eastAsia="Times New Roman" w:cs="Times New Roman"/>
          <w:sz w:val="24"/>
          <w:szCs w:val="24"/>
        </w:rPr>
        <w:t xml:space="preserve">The two approaches are complementary. The Balloux-Lehmann framework is analytically more general, accommodating arbitrary demographic state spaces and survival schedules. The RRME is computationally direct: it requires only census population sizes at generational intervals and produces a numerical substitution rate without intermediary parameters. The convergence of two independent derivations strengthens the conclusion that </w:t>
      </w:r>
      <w:r>
        <w:rPr>
          <w:rFonts w:eastAsia="Times New Roman" w:cs="Times New Roman"/>
          <w:i/>
          <w:iCs/>
          <w:sz w:val="24"/>
          <w:szCs w:val="24"/>
        </w:rPr>
        <w:t>k</w:t>
      </w:r>
      <w:r>
        <w:rPr>
          <w:rFonts w:eastAsia="Times New Roman" w:cs="Times New Roman"/>
          <w:sz w:val="24"/>
          <w:szCs w:val="24"/>
        </w:rPr>
        <w:t xml:space="preserve"> = μ is a special case of a more general relationship, not a universal law.</w:t>
      </w:r>
    </w:p>
    <w:p>
      <w:pPr>
        <w:pStyle w:val="Normal"/>
        <w:spacing w:lineRule="auto" w:line="276" w:before="0" w:after="200"/>
        <w:jc w:val="both"/>
        <w:rPr/>
      </w:pPr>
      <w:r>
        <w:rPr>
          <w:rFonts w:eastAsia="Times New Roman" w:cs="Times New Roman"/>
          <w:sz w:val="24"/>
          <w:szCs w:val="24"/>
        </w:rPr>
        <w:t xml:space="preserve">Lehmann’s (2014) subsequent work argued that the substitution rate equals μ when measured in “units of average generation time” using the “effective mutation rate in newborns.” This redefinition does not dispute the census-measurable result. It demonstrates that one can construct an effective time unit in which </w:t>
      </w:r>
      <w:r>
        <w:rPr>
          <w:rFonts w:eastAsia="Times New Roman" w:cs="Times New Roman"/>
          <w:i/>
          <w:iCs/>
          <w:sz w:val="24"/>
          <w:szCs w:val="24"/>
        </w:rPr>
        <w:t>k</w:t>
      </w:r>
      <w:r>
        <w:rPr>
          <w:rFonts w:eastAsia="Times New Roman" w:cs="Times New Roman"/>
          <w:sz w:val="24"/>
          <w:szCs w:val="24"/>
        </w:rPr>
        <w:t xml:space="preserve"> = μ holds by definition—which is mathematically legitimate but biologically circular, as the effective time unit is not independently observable. The RRME is expressed in calendar generations and census-observable population sizes, quantities that require no theoretical framework to measure.</w:t>
      </w:r>
    </w:p>
    <w:p>
      <w:pPr>
        <w:pStyle w:val="Normal"/>
        <w:spacing w:lineRule="auto" w:line="276" w:before="300" w:after="200"/>
        <w:rPr/>
      </w:pPr>
      <w:r>
        <w:rPr>
          <w:rFonts w:eastAsia="Times New Roman" w:cs="Times New Roman"/>
          <w:b/>
          <w:bCs/>
          <w:sz w:val="24"/>
          <w:szCs w:val="24"/>
        </w:rPr>
        <w:t>Implications</w:t>
      </w:r>
    </w:p>
    <w:p>
      <w:pPr>
        <w:pStyle w:val="Normal"/>
        <w:spacing w:lineRule="auto" w:line="276" w:before="0" w:after="200"/>
        <w:jc w:val="both"/>
        <w:rPr/>
      </w:pPr>
      <w:r>
        <w:rPr>
          <w:rFonts w:eastAsia="Times New Roman" w:cs="Times New Roman"/>
          <w:sz w:val="24"/>
          <w:szCs w:val="24"/>
        </w:rPr>
        <w:t>The RRME has three immediate consequences.</w:t>
      </w:r>
    </w:p>
    <w:p>
      <w:pPr>
        <w:pStyle w:val="Normal"/>
        <w:spacing w:lineRule="auto" w:line="276" w:before="0" w:after="200"/>
        <w:jc w:val="both"/>
        <w:rPr/>
      </w:pPr>
      <w:r>
        <w:rPr>
          <w:rFonts w:eastAsia="Times New Roman" w:cs="Times New Roman"/>
          <w:sz w:val="24"/>
          <w:szCs w:val="24"/>
        </w:rPr>
        <w:t xml:space="preserve">First, molecular clock calibrations that assume </w:t>
      </w:r>
      <w:r>
        <w:rPr>
          <w:rFonts w:eastAsia="Times New Roman" w:cs="Times New Roman"/>
          <w:i/>
          <w:iCs/>
          <w:sz w:val="24"/>
          <w:szCs w:val="24"/>
        </w:rPr>
        <w:t>k</w:t>
      </w:r>
      <w:r>
        <w:rPr>
          <w:rFonts w:eastAsia="Times New Roman" w:cs="Times New Roman"/>
          <w:sz w:val="24"/>
          <w:szCs w:val="24"/>
        </w:rPr>
        <w:t xml:space="preserve"> = μ systematically overestimate the rate of neutral substitution in any species with a history of population growth. Since most species used in molecular clock studies—primates, mammals, birds—have experienced substantial population size changes over the timescales relevant to divergence, published divergence dates require recalibration. The direction of the error is always the same: the clock runs slower than assumed, and true divergence times are longer than reported.</w:t>
      </w:r>
    </w:p>
    <w:p>
      <w:pPr>
        <w:pStyle w:val="Normal"/>
        <w:spacing w:lineRule="auto" w:line="276" w:before="0" w:after="200"/>
        <w:jc w:val="both"/>
        <w:rPr/>
      </w:pPr>
      <w:r>
        <w:rPr>
          <w:rFonts w:eastAsia="Times New Roman" w:cs="Times New Roman"/>
          <w:sz w:val="24"/>
          <w:szCs w:val="24"/>
        </w:rPr>
        <w:t xml:space="preserve">Second, the effective population size </w:t>
      </w:r>
      <w:r>
        <w:rPr>
          <w:rFonts w:eastAsia="Times New Roman" w:cs="Times New Roman"/>
          <w:i/>
          <w:iCs/>
          <w:sz w:val="24"/>
          <w:szCs w:val="24"/>
        </w:rPr>
        <w:t>N</w:t>
      </w:r>
      <w:r>
        <w:rPr>
          <w:rFonts w:eastAsia="Times New Roman" w:cs="Times New Roman"/>
          <w:sz w:val="20"/>
          <w:szCs w:val="20"/>
          <w:vertAlign w:val="subscript"/>
        </w:rPr>
        <w:t>e</w:t>
      </w:r>
      <w:r>
        <w:rPr>
          <w:rFonts w:eastAsia="Times New Roman" w:cs="Times New Roman"/>
          <w:sz w:val="24"/>
          <w:szCs w:val="24"/>
        </w:rPr>
        <w:t xml:space="preserve"> inferred from genetic diversity under the assumption </w:t>
      </w:r>
      <w:r>
        <w:rPr>
          <w:rFonts w:eastAsia="Times New Roman" w:cs="Times New Roman"/>
          <w:i/>
          <w:iCs/>
          <w:sz w:val="24"/>
          <w:szCs w:val="24"/>
        </w:rPr>
        <w:t>k</w:t>
      </w:r>
      <w:r>
        <w:rPr>
          <w:rFonts w:eastAsia="Times New Roman" w:cs="Times New Roman"/>
          <w:sz w:val="24"/>
          <w:szCs w:val="24"/>
        </w:rPr>
        <w:t xml:space="preserve"> = μ absorbs the error introduced by the incorrect substitution rate. When </w:t>
      </w:r>
      <w:r>
        <w:rPr>
          <w:rFonts w:eastAsia="Times New Roman" w:cs="Times New Roman"/>
          <w:i/>
          <w:iCs/>
          <w:sz w:val="24"/>
          <w:szCs w:val="24"/>
        </w:rPr>
        <w:t>k</w:t>
      </w:r>
      <w:r>
        <w:rPr>
          <w:rFonts w:eastAsia="Times New Roman" w:cs="Times New Roman"/>
          <w:sz w:val="24"/>
          <w:szCs w:val="24"/>
        </w:rPr>
        <w:t xml:space="preserve"> &lt; μ but the model assumes </w:t>
      </w:r>
      <w:r>
        <w:rPr>
          <w:rFonts w:eastAsia="Times New Roman" w:cs="Times New Roman"/>
          <w:i/>
          <w:iCs/>
          <w:sz w:val="24"/>
          <w:szCs w:val="24"/>
        </w:rPr>
        <w:t>k</w:t>
      </w:r>
      <w:r>
        <w:rPr>
          <w:rFonts w:eastAsia="Times New Roman" w:cs="Times New Roman"/>
          <w:sz w:val="24"/>
          <w:szCs w:val="24"/>
        </w:rPr>
        <w:t xml:space="preserve"> = μ, the back-calculated </w:t>
      </w:r>
      <w:r>
        <w:rPr>
          <w:rFonts w:eastAsia="Times New Roman" w:cs="Times New Roman"/>
          <w:i/>
          <w:iCs/>
          <w:sz w:val="24"/>
          <w:szCs w:val="24"/>
        </w:rPr>
        <w:t>N</w:t>
      </w:r>
      <w:r>
        <w:rPr>
          <w:rFonts w:eastAsia="Times New Roman" w:cs="Times New Roman"/>
          <w:sz w:val="20"/>
          <w:szCs w:val="20"/>
          <w:vertAlign w:val="subscript"/>
        </w:rPr>
        <w:t>e</w:t>
      </w:r>
      <w:r>
        <w:rPr>
          <w:rFonts w:eastAsia="Times New Roman" w:cs="Times New Roman"/>
          <w:sz w:val="24"/>
          <w:szCs w:val="24"/>
        </w:rPr>
        <w:t xml:space="preserve"> must be smaller than the true effective size to compensate. This may partially explain the persistent and well-documented discrepancy between census population size and inferred </w:t>
      </w:r>
      <w:r>
        <w:rPr>
          <w:rFonts w:eastAsia="Times New Roman" w:cs="Times New Roman"/>
          <w:i/>
          <w:iCs/>
          <w:sz w:val="24"/>
          <w:szCs w:val="24"/>
        </w:rPr>
        <w:t>N</w:t>
      </w:r>
      <w:r>
        <w:rPr>
          <w:rFonts w:eastAsia="Times New Roman" w:cs="Times New Roman"/>
          <w:sz w:val="20"/>
          <w:szCs w:val="20"/>
          <w:vertAlign w:val="subscript"/>
        </w:rPr>
        <w:t>e</w:t>
      </w:r>
      <w:r>
        <w:rPr>
          <w:rFonts w:eastAsia="Times New Roman" w:cs="Times New Roman"/>
          <w:sz w:val="24"/>
          <w:szCs w:val="24"/>
        </w:rPr>
        <w:t xml:space="preserve"> in large mammals (Frankham 1995; Palstra and Ruzzante 2008).</w:t>
      </w:r>
    </w:p>
    <w:p>
      <w:pPr>
        <w:pStyle w:val="Normal"/>
        <w:spacing w:lineRule="auto" w:line="276" w:before="0" w:after="200"/>
        <w:jc w:val="both"/>
        <w:rPr/>
      </w:pPr>
      <w:r>
        <w:rPr>
          <w:rFonts w:eastAsia="Times New Roman" w:cs="Times New Roman"/>
          <w:sz w:val="24"/>
          <w:szCs w:val="24"/>
        </w:rPr>
        <w:t>Third, the RRME predicts an acceleration of the molecular clock in declining populations (</w:t>
      </w:r>
      <w:r>
        <w:rPr>
          <w:rFonts w:eastAsia="Times New Roman" w:cs="Times New Roman"/>
          <w:i/>
          <w:iCs/>
          <w:sz w:val="24"/>
          <w:szCs w:val="24"/>
        </w:rPr>
        <w:t>k</w:t>
      </w:r>
      <w:r>
        <w:rPr>
          <w:rFonts w:eastAsia="Times New Roman" w:cs="Times New Roman"/>
          <w:sz w:val="24"/>
          <w:szCs w:val="24"/>
        </w:rPr>
        <w:t xml:space="preserve"> &gt; μ when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&gt;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This may contribute to the elevated substitution rates observed in species that have undergone recent population bottlenecks—a pattern noted empirically (Ho et al. 2005; Soares et al. 2009) and attributed by Balloux and Lehmann (2012) to the demographic mechanism formalized here.</w:t>
      </w:r>
    </w:p>
    <w:p>
      <w:pPr>
        <w:pStyle w:val="Normal"/>
        <w:spacing w:lineRule="auto" w:line="276" w:before="300" w:after="200"/>
        <w:rPr/>
      </w:pPr>
      <w:r>
        <w:rPr>
          <w:rFonts w:eastAsia="Times New Roman" w:cs="Times New Roman"/>
          <w:b/>
          <w:bCs/>
          <w:sz w:val="24"/>
          <w:szCs w:val="24"/>
        </w:rPr>
        <w:t>Anticipated Objections</w:t>
      </w:r>
    </w:p>
    <w:p>
      <w:pPr>
        <w:pStyle w:val="Normal"/>
        <w:spacing w:lineRule="auto" w:line="276" w:before="0" w:after="200"/>
        <w:jc w:val="both"/>
        <w:rPr/>
      </w:pPr>
      <w:r>
        <w:rPr>
          <w:rFonts w:eastAsia="Times New Roman" w:cs="Times New Roman"/>
          <w:i/>
          <w:iCs/>
          <w:sz w:val="24"/>
          <w:szCs w:val="24"/>
        </w:rPr>
        <w:t>The fixation probability at birth is 1/(2N</w:t>
      </w:r>
      <w:r>
        <w:rPr>
          <w:rFonts w:eastAsia="Times New Roman" w:cs="Times New Roman"/>
          <w:sz w:val="20"/>
          <w:szCs w:val="20"/>
          <w:vertAlign w:val="subscript"/>
        </w:rPr>
        <w:t>i</w:t>
      </w:r>
      <w:r>
        <w:rPr>
          <w:rFonts w:eastAsia="Times New Roman" w:cs="Times New Roman"/>
          <w:i/>
          <w:iCs/>
          <w:sz w:val="24"/>
          <w:szCs w:val="24"/>
        </w:rPr>
        <w:t>), not 1/(2N</w:t>
      </w:r>
      <w:r>
        <w:rPr>
          <w:rFonts w:eastAsia="Times New Roman" w:cs="Times New Roman"/>
          <w:sz w:val="20"/>
          <w:szCs w:val="20"/>
          <w:vertAlign w:val="subscript"/>
        </w:rPr>
        <w:t>t</w:t>
      </w:r>
      <w:r>
        <w:rPr>
          <w:rFonts w:eastAsia="Times New Roman" w:cs="Times New Roman"/>
          <w:i/>
          <w:iCs/>
          <w:sz w:val="24"/>
          <w:szCs w:val="24"/>
        </w:rPr>
        <w:t>).</w:t>
      </w:r>
      <w:r>
        <w:rPr>
          <w:rFonts w:eastAsia="Times New Roman" w:cs="Times New Roman"/>
          <w:sz w:val="24"/>
          <w:szCs w:val="24"/>
        </w:rPr>
        <w:t xml:space="preserve"> This objection holds only in the Wright-Fisher model with discrete, non-overlapping generations. In that model, the entire population present at the time a mutation arises will be replaced before fixation can occur, so the relevant </w:t>
      </w:r>
      <w:r>
        <w:rPr>
          <w:rFonts w:eastAsia="Times New Roman" w:cs="Times New Roman"/>
          <w:i/>
          <w:iCs/>
          <w:sz w:val="24"/>
          <w:szCs w:val="24"/>
        </w:rPr>
        <w:t>N</w:t>
      </w:r>
      <w:r>
        <w:rPr>
          <w:rFonts w:eastAsia="Times New Roman" w:cs="Times New Roman"/>
          <w:sz w:val="24"/>
          <w:szCs w:val="24"/>
        </w:rPr>
        <w:t xml:space="preserve"> is the one at origin. In overlapping-generation populations, the mutation competes for fixation against a gene pool that includes survivors from previous generations carrying alleles sampled from a different frequency distribution. The relevant </w:t>
      </w:r>
      <w:r>
        <w:rPr>
          <w:rFonts w:eastAsia="Times New Roman" w:cs="Times New Roman"/>
          <w:i/>
          <w:iCs/>
          <w:sz w:val="24"/>
          <w:szCs w:val="24"/>
        </w:rPr>
        <w:t>N</w:t>
      </w:r>
      <w:r>
        <w:rPr>
          <w:rFonts w:eastAsia="Times New Roman" w:cs="Times New Roman"/>
          <w:sz w:val="24"/>
          <w:szCs w:val="24"/>
        </w:rPr>
        <w:t xml:space="preserve"> for computing current frequency—and therefore current fixation probability—is the current </w:t>
      </w:r>
      <w:r>
        <w:rPr>
          <w:rFonts w:eastAsia="Times New Roman" w:cs="Times New Roman"/>
          <w:i/>
          <w:iCs/>
          <w:sz w:val="24"/>
          <w:szCs w:val="24"/>
        </w:rPr>
        <w:t>N</w:t>
      </w:r>
      <w:r>
        <w:rPr>
          <w:rFonts w:eastAsia="Times New Roman" w:cs="Times New Roman"/>
          <w:sz w:val="20"/>
          <w:szCs w:val="20"/>
          <w:vertAlign w:val="subscript"/>
        </w:rPr>
        <w:t>t</w:t>
      </w:r>
      <w:r>
        <w:rPr>
          <w:rFonts w:eastAsia="Times New Roman" w:cs="Times New Roman"/>
          <w:sz w:val="24"/>
          <w:szCs w:val="24"/>
        </w:rPr>
        <w:t xml:space="preserve">, not the historical </w:t>
      </w:r>
      <w:r>
        <w:rPr>
          <w:rFonts w:eastAsia="Times New Roman" w:cs="Times New Roman"/>
          <w:i/>
          <w:iCs/>
          <w:sz w:val="24"/>
          <w:szCs w:val="24"/>
        </w:rPr>
        <w:t>N</w:t>
      </w:r>
      <w:r>
        <w:rPr>
          <w:rFonts w:eastAsia="Times New Roman" w:cs="Times New Roman"/>
          <w:sz w:val="20"/>
          <w:szCs w:val="20"/>
          <w:vertAlign w:val="subscript"/>
        </w:rPr>
        <w:t>i</w:t>
      </w:r>
      <w:r>
        <w:rPr>
          <w:rFonts w:eastAsia="Times New Roman" w:cs="Times New Roman"/>
          <w:sz w:val="24"/>
          <w:szCs w:val="24"/>
        </w:rPr>
        <w:t xml:space="preserve">. For a strictly neutral allele at frequency </w:t>
      </w:r>
      <w:r>
        <w:rPr>
          <w:rFonts w:eastAsia="Times New Roman" w:cs="Times New Roman"/>
          <w:i/>
          <w:iCs/>
          <w:sz w:val="24"/>
          <w:szCs w:val="24"/>
        </w:rPr>
        <w:t>p</w:t>
      </w:r>
      <w:r>
        <w:rPr>
          <w:rFonts w:eastAsia="Times New Roman" w:cs="Times New Roman"/>
          <w:sz w:val="24"/>
          <w:szCs w:val="24"/>
        </w:rPr>
        <w:t xml:space="preserve"> in the current population, the fixation probability is </w:t>
      </w:r>
      <w:r>
        <w:rPr>
          <w:rFonts w:eastAsia="Times New Roman" w:cs="Times New Roman"/>
          <w:i/>
          <w:iCs/>
          <w:sz w:val="24"/>
          <w:szCs w:val="24"/>
        </w:rPr>
        <w:t>p</w:t>
      </w:r>
      <w:r>
        <w:rPr>
          <w:rFonts w:eastAsia="Times New Roman" w:cs="Times New Roman"/>
          <w:sz w:val="24"/>
          <w:szCs w:val="24"/>
        </w:rPr>
        <w:t>, regardless of what the population size was when the allele first appeared.</w:t>
      </w:r>
    </w:p>
    <w:p>
      <w:pPr>
        <w:pStyle w:val="Normal"/>
        <w:spacing w:lineRule="auto" w:line="276" w:before="0" w:after="200"/>
        <w:jc w:val="both"/>
        <w:rPr/>
      </w:pPr>
      <w:r>
        <w:rPr>
          <w:rFonts w:eastAsia="Times New Roman" w:cs="Times New Roman"/>
          <w:i/>
          <w:iCs/>
          <w:sz w:val="24"/>
          <w:szCs w:val="24"/>
        </w:rPr>
        <w:t>The substitution rate resets each generation.</w:t>
      </w:r>
      <w:r>
        <w:rPr>
          <w:rFonts w:eastAsia="Times New Roman" w:cs="Times New Roman"/>
          <w:sz w:val="24"/>
          <w:szCs w:val="24"/>
        </w:rPr>
        <w:t xml:space="preserve"> This is the discrete-generation assumption itself. In a Wright-Fisher population, the gene pool is completely replaced each generation, so each generation’s mutations compete only against their contemporaries. In any population with overlapping generations, this is false. Mutations from generation 0 coexist in the 2025 gene pool with mutations from generations 1, 2, and 3. Their frequencies are diluted by the growth of the population around them. The substitution rate at any time </w:t>
      </w:r>
      <w:r>
        <w:rPr>
          <w:rFonts w:eastAsia="Times New Roman" w:cs="Times New Roman"/>
          <w:i/>
          <w:iCs/>
          <w:sz w:val="24"/>
          <w:szCs w:val="24"/>
        </w:rPr>
        <w:t>t</w:t>
      </w:r>
      <w:r>
        <w:rPr>
          <w:rFonts w:eastAsia="Times New Roman" w:cs="Times New Roman"/>
          <w:sz w:val="24"/>
          <w:szCs w:val="24"/>
        </w:rPr>
        <w:t xml:space="preserve"> depends on the accumulated history of mutation supply across all cohorts still contributing to the gene pool.</w:t>
      </w:r>
    </w:p>
    <w:p>
      <w:pPr>
        <w:pStyle w:val="Normal"/>
        <w:spacing w:lineRule="auto" w:line="276" w:before="0" w:after="200"/>
        <w:jc w:val="both"/>
        <w:rPr/>
      </w:pPr>
      <w:r>
        <w:rPr>
          <w:rFonts w:eastAsia="Times New Roman" w:cs="Times New Roman"/>
          <w:i/>
          <w:iCs/>
          <w:sz w:val="24"/>
          <w:szCs w:val="24"/>
        </w:rPr>
        <w:t>The per-generation-time measurement resolves the discrepancy.</w:t>
      </w:r>
      <w:r>
        <w:rPr>
          <w:rFonts w:eastAsia="Times New Roman" w:cs="Times New Roman"/>
          <w:sz w:val="24"/>
          <w:szCs w:val="24"/>
        </w:rPr>
        <w:t xml:space="preserve"> Lehmann (2014) showed that measuring in “units of average generation time” using “effective mutation rate in newborns” restores </w:t>
      </w:r>
      <w:r>
        <w:rPr>
          <w:rFonts w:eastAsia="Times New Roman" w:cs="Times New Roman"/>
          <w:i/>
          <w:iCs/>
          <w:sz w:val="24"/>
          <w:szCs w:val="24"/>
        </w:rPr>
        <w:t>k</w:t>
      </w:r>
      <w:r>
        <w:rPr>
          <w:rFonts w:eastAsia="Times New Roman" w:cs="Times New Roman"/>
          <w:sz w:val="24"/>
          <w:szCs w:val="24"/>
        </w:rPr>
        <w:t xml:space="preserve"> = μ. However, this restoration depends on redefining the time unit to absorb the very effect being measured. The RRME is expressed in calendar generations and census population sizes—quantities that can be independently verified without theoretical assumptions. Any “correction” that restores </w:t>
      </w:r>
      <w:r>
        <w:rPr>
          <w:rFonts w:eastAsia="Times New Roman" w:cs="Times New Roman"/>
          <w:i/>
          <w:iCs/>
          <w:sz w:val="24"/>
          <w:szCs w:val="24"/>
        </w:rPr>
        <w:t>k</w:t>
      </w:r>
      <w:r>
        <w:rPr>
          <w:rFonts w:eastAsia="Times New Roman" w:cs="Times New Roman"/>
          <w:sz w:val="24"/>
          <w:szCs w:val="24"/>
        </w:rPr>
        <w:t xml:space="preserve"> = μ by redefining the measurement unit has not resolved the discrepancy; it has renamed it.</w:t>
      </w:r>
    </w:p>
    <w:p>
      <w:pPr>
        <w:pStyle w:val="Normal"/>
        <w:spacing w:lineRule="auto" w:line="276" w:before="300" w:after="200"/>
        <w:rPr/>
      </w:pPr>
      <w:r>
        <w:rPr>
          <w:rFonts w:eastAsia="Times New Roman" w:cs="Times New Roman"/>
          <w:b/>
          <w:bCs/>
          <w:sz w:val="24"/>
          <w:szCs w:val="24"/>
        </w:rPr>
        <w:t>Conclusion</w:t>
      </w:r>
    </w:p>
    <w:p>
      <w:pPr>
        <w:pStyle w:val="Normal"/>
        <w:spacing w:lineRule="auto" w:line="276" w:before="0" w:after="200"/>
        <w:jc w:val="both"/>
        <w:rPr/>
      </w:pPr>
      <w:r>
        <w:rPr>
          <w:rFonts w:eastAsia="Times New Roman" w:cs="Times New Roman"/>
          <w:sz w:val="24"/>
          <w:szCs w:val="24"/>
        </w:rPr>
        <w:t xml:space="preserve">Balloux and Lehmann (2012) proved that the neutral substitution rate depends on population size when generations overlap and demography fluctuates. We have independently derived a closed-form expression—the RRME—that produces the same result from census data without requiring specification of demographic transition probabilities. Applied to human data, both approaches confirm that </w:t>
      </w:r>
      <w:r>
        <w:rPr>
          <w:rFonts w:eastAsia="Times New Roman" w:cs="Times New Roman"/>
          <w:i/>
          <w:iCs/>
          <w:sz w:val="24"/>
          <w:szCs w:val="24"/>
        </w:rPr>
        <w:t>k</w:t>
      </w:r>
      <w:r>
        <w:rPr>
          <w:rFonts w:eastAsia="Times New Roman" w:cs="Times New Roman"/>
          <w:sz w:val="24"/>
          <w:szCs w:val="24"/>
        </w:rPr>
        <w:t xml:space="preserve"> &lt; μ in growing populations. The celebrated identity </w:t>
      </w:r>
      <w:r>
        <w:rPr>
          <w:rFonts w:eastAsia="Times New Roman" w:cs="Times New Roman"/>
          <w:i/>
          <w:iCs/>
          <w:sz w:val="24"/>
          <w:szCs w:val="24"/>
        </w:rPr>
        <w:t>k</w:t>
      </w:r>
      <w:r>
        <w:rPr>
          <w:rFonts w:eastAsia="Times New Roman" w:cs="Times New Roman"/>
          <w:sz w:val="24"/>
          <w:szCs w:val="24"/>
        </w:rPr>
        <w:t xml:space="preserve"> = μ is a special case valid only for the idealized conditions of the Wright-Fisher model: constant population size and discrete, non-overlapping generations. Both conditions are violated in every natural population of interest. The correction is straightforward, requires only census data, and yields a number that differs from μ by a magnitude sufficient to affect molecular clock calibrations and </w:t>
      </w:r>
      <w:r>
        <w:rPr>
          <w:rFonts w:eastAsia="Times New Roman" w:cs="Times New Roman"/>
          <w:i/>
          <w:iCs/>
          <w:sz w:val="24"/>
          <w:szCs w:val="24"/>
        </w:rPr>
        <w:t>N</w:t>
      </w:r>
      <w:r>
        <w:rPr>
          <w:rFonts w:eastAsia="Times New Roman" w:cs="Times New Roman"/>
          <w:sz w:val="20"/>
          <w:szCs w:val="20"/>
          <w:vertAlign w:val="subscript"/>
        </w:rPr>
        <w:t>e</w:t>
      </w:r>
      <w:r>
        <w:rPr>
          <w:rFonts w:eastAsia="Times New Roman" w:cs="Times New Roman"/>
          <w:sz w:val="24"/>
          <w:szCs w:val="24"/>
        </w:rPr>
        <w:t xml:space="preserve"> inference across all taxa with overlapping generations and non-constant population sizes.</w:t>
      </w:r>
    </w:p>
    <w:p>
      <w:pPr>
        <w:pStyle w:val="Normal"/>
        <w:spacing w:lineRule="auto" w:line="276" w:before="400" w:after="200"/>
        <w:rPr>
          <w:rFonts w:ascii="Times New Roman" w:hAnsi="Times New Roman" w:eastAsia="Times New Roman" w:cs="Times New Roman"/>
          <w:b/>
          <w:bCs/>
          <w:sz w:val="24"/>
          <w:szCs w:val="24"/>
        </w:rPr>
      </w:pPr>
      <w:r>
        <w:rPr>
          <w:rFonts w:eastAsia="Times New Roman" w:cs="Times New Roman"/>
          <w:b/>
          <w:bCs/>
          <w:sz w:val="24"/>
          <w:szCs w:val="24"/>
        </w:rPr>
      </w:r>
      <w:r>
        <w:br w:type="page"/>
      </w:r>
    </w:p>
    <w:p>
      <w:pPr>
        <w:pStyle w:val="Normal"/>
        <w:spacing w:lineRule="auto" w:line="276" w:before="400" w:after="200"/>
        <w:rPr>
          <w:rFonts w:ascii="Times New Roman" w:hAnsi="Times New Roman" w:eastAsia="Times New Roman" w:cs="Times New Roman"/>
          <w:b/>
          <w:bCs/>
          <w:sz w:val="24"/>
          <w:szCs w:val="24"/>
        </w:rPr>
      </w:pPr>
      <w:r>
        <w:rPr>
          <w:rFonts w:eastAsia="Times New Roman" w:cs="Times New Roman"/>
          <w:b/>
          <w:bCs/>
          <w:sz w:val="24"/>
          <w:szCs w:val="24"/>
        </w:rPr>
        <w:t>References</w:t>
      </w:r>
    </w:p>
    <w:p>
      <w:pPr>
        <w:pStyle w:val="Normal"/>
        <w:spacing w:lineRule="auto" w:line="240" w:before="0" w:after="120"/>
        <w:ind w:hanging="360" w:left="360"/>
        <w:rPr/>
      </w:pPr>
      <w:r>
        <w:rPr>
          <w:rFonts w:eastAsia="Times New Roman" w:cs="Times New Roman"/>
          <w:sz w:val="20"/>
          <w:szCs w:val="20"/>
        </w:rPr>
        <w:t>Balloux, F. &amp; Lehmann, L. Substitution rates at neutral genes depend on population size under fluctuating demography and overlapping generations. Evolution 66, 605–611 (2012).</w:t>
      </w:r>
    </w:p>
    <w:p>
      <w:pPr>
        <w:pStyle w:val="Normal"/>
        <w:spacing w:lineRule="auto" w:line="240" w:before="0" w:after="120"/>
        <w:ind w:hanging="360" w:left="360"/>
        <w:rPr/>
      </w:pPr>
      <w:r>
        <w:rPr>
          <w:rFonts w:eastAsia="Times New Roman" w:cs="Times New Roman"/>
          <w:sz w:val="20"/>
          <w:szCs w:val="20"/>
        </w:rPr>
        <w:t>Charlesworth, B. Evolution in Age-Structured Populations (2nd edn). Cambridge University Press (1994).</w:t>
      </w:r>
    </w:p>
    <w:p>
      <w:pPr>
        <w:pStyle w:val="Normal"/>
        <w:spacing w:lineRule="auto" w:line="240" w:before="0" w:after="120"/>
        <w:ind w:hanging="360" w:left="360"/>
        <w:rPr/>
      </w:pPr>
      <w:r>
        <w:rPr>
          <w:rFonts w:eastAsia="Times New Roman" w:cs="Times New Roman"/>
          <w:sz w:val="20"/>
          <w:szCs w:val="20"/>
        </w:rPr>
        <w:t>Day, V. &amp; Athos, C. The Selective Turnover Coefficient. Zenodo (2025). doi:10.5281/zenodo.14629683</w:t>
      </w:r>
    </w:p>
    <w:p>
      <w:pPr>
        <w:pStyle w:val="Normal"/>
        <w:spacing w:lineRule="auto" w:line="240" w:before="0" w:after="120"/>
        <w:ind w:hanging="360" w:left="360"/>
        <w:rPr/>
      </w:pPr>
      <w:r>
        <w:rPr>
          <w:rFonts w:eastAsia="Times New Roman" w:cs="Times New Roman"/>
          <w:sz w:val="20"/>
          <w:szCs w:val="20"/>
        </w:rPr>
        <w:t>Frankham, R. Effective population size/adult population size ratios in wildlife: a review. Genet. Res. 66, 95–107 (1995).</w:t>
      </w:r>
    </w:p>
    <w:p>
      <w:pPr>
        <w:pStyle w:val="Normal"/>
        <w:spacing w:lineRule="auto" w:line="240" w:before="0" w:after="120"/>
        <w:ind w:hanging="360" w:left="360"/>
        <w:rPr/>
      </w:pPr>
      <w:r>
        <w:rPr>
          <w:rFonts w:eastAsia="Times New Roman" w:cs="Times New Roman"/>
          <w:sz w:val="20"/>
          <w:szCs w:val="20"/>
        </w:rPr>
        <w:t>Ho, S. Y. W., Phillips, M. J., Cooper, A. &amp; Drummond, A. J. Time dependency of molecular rate estimates and systematic overestimation of recent divergence times. Mol. Biol. Evol. 22, 1561–1568 (2005).</w:t>
      </w:r>
    </w:p>
    <w:p>
      <w:pPr>
        <w:pStyle w:val="Normal"/>
        <w:spacing w:lineRule="auto" w:line="240" w:before="0" w:after="120"/>
        <w:ind w:hanging="360" w:left="360"/>
        <w:rPr/>
      </w:pPr>
      <w:r>
        <w:rPr>
          <w:rFonts w:eastAsia="Times New Roman" w:cs="Times New Roman"/>
          <w:sz w:val="20"/>
          <w:szCs w:val="20"/>
        </w:rPr>
        <w:t>Kimura, M. Evolutionary rate at the molecular level. Nature 217, 624–626 (1968).</w:t>
      </w:r>
    </w:p>
    <w:p>
      <w:pPr>
        <w:pStyle w:val="Normal"/>
        <w:spacing w:lineRule="auto" w:line="240" w:before="0" w:after="120"/>
        <w:ind w:hanging="360" w:left="360"/>
        <w:rPr/>
      </w:pPr>
      <w:r>
        <w:rPr>
          <w:rFonts w:eastAsia="Times New Roman" w:cs="Times New Roman"/>
          <w:sz w:val="20"/>
          <w:szCs w:val="20"/>
        </w:rPr>
        <w:t>Kimura, M. &amp; Ohta, T. On the rate of molecular evolution. J. Mol. Evol. 1, 1–17 (1971).</w:t>
      </w:r>
    </w:p>
    <w:p>
      <w:pPr>
        <w:pStyle w:val="Normal"/>
        <w:spacing w:lineRule="auto" w:line="240" w:before="0" w:after="120"/>
        <w:ind w:hanging="360" w:left="360"/>
        <w:rPr/>
      </w:pPr>
      <w:r>
        <w:rPr>
          <w:rFonts w:eastAsia="Times New Roman" w:cs="Times New Roman"/>
          <w:sz w:val="20"/>
          <w:szCs w:val="20"/>
        </w:rPr>
        <w:t>Kong, A. et al. Rate of de novo mutations and the importance of father’s age to disease risk. Nature 488, 471–475 (2012).</w:t>
      </w:r>
    </w:p>
    <w:p>
      <w:pPr>
        <w:pStyle w:val="Normal"/>
        <w:spacing w:lineRule="auto" w:line="240" w:before="0" w:after="120"/>
        <w:ind w:hanging="360" w:left="360"/>
        <w:rPr/>
      </w:pPr>
      <w:r>
        <w:rPr>
          <w:rFonts w:eastAsia="Times New Roman" w:cs="Times New Roman"/>
          <w:sz w:val="20"/>
          <w:szCs w:val="20"/>
        </w:rPr>
        <w:t>Lehmann, L. Stochastic demography and the neutral substitution rate in class-structured populations. Genetics 197, 351–360 (2014).</w:t>
      </w:r>
    </w:p>
    <w:p>
      <w:pPr>
        <w:pStyle w:val="Normal"/>
        <w:spacing w:lineRule="auto" w:line="240" w:before="0" w:after="120"/>
        <w:ind w:hanging="360" w:left="360"/>
        <w:rPr/>
      </w:pPr>
      <w:r>
        <w:rPr>
          <w:rFonts w:eastAsia="Times New Roman" w:cs="Times New Roman"/>
          <w:sz w:val="20"/>
          <w:szCs w:val="20"/>
        </w:rPr>
        <w:t>Palstra, F. P. &amp; Ruzzante, D. E. Genetic estimates of contemporary effective population size: what can they tell us about the importance of genetic stochasticity for wild population persistence? Mol. Ecol. 17, 3428–3447 (2008).</w:t>
      </w:r>
    </w:p>
    <w:p>
      <w:pPr>
        <w:pStyle w:val="Normal"/>
        <w:spacing w:lineRule="auto" w:line="240" w:before="0" w:after="120"/>
        <w:ind w:hanging="360" w:left="360"/>
        <w:rPr/>
      </w:pPr>
      <w:r>
        <w:rPr>
          <w:rFonts w:eastAsia="Times New Roman" w:cs="Times New Roman"/>
          <w:sz w:val="20"/>
          <w:szCs w:val="20"/>
        </w:rPr>
        <w:t>Soares, P. et al. Correcting for purifying selection: an improved human mitochondrial molecular clock. Am. J. Hum. Genet. 84, 740–759 (2009).</w:t>
      </w:r>
    </w:p>
    <w:p>
      <w:pPr>
        <w:pStyle w:val="Normal"/>
        <w:spacing w:lineRule="auto" w:line="240" w:before="0" w:after="120"/>
        <w:ind w:hanging="360" w:left="360"/>
        <w:rPr/>
      </w:pPr>
      <w:r>
        <w:rPr>
          <w:rFonts w:eastAsia="Times New Roman" w:cs="Times New Roman"/>
          <w:sz w:val="20"/>
          <w:szCs w:val="20"/>
        </w:rPr>
        <w:t>Yu, N. et al. Low nucleotide diversity in chimpanzees and bonobos. Genetics 164, 1511–1518 (2003).</w:t>
      </w:r>
    </w:p>
    <w:p>
      <w:pPr>
        <w:pStyle w:val="Normal"/>
        <w:spacing w:lineRule="auto" w:line="240" w:before="0" w:after="120"/>
        <w:ind w:hanging="360" w:left="360"/>
        <w:rPr/>
      </w:pPr>
      <w:r>
        <w:rPr>
          <w:rFonts w:eastAsia="Times New Roman" w:cs="Times New Roman"/>
          <w:sz w:val="20"/>
          <w:szCs w:val="20"/>
        </w:rPr>
        <w:t>Zuckerkandl, E. &amp; Pauling, L. Molecular disease, evolution, and genic heterogeneity. In Horizons in Biochemistry (eds Kasha, M. &amp; Pullman, B.) 189–225 (Academic Press, 1962).</w:t>
      </w:r>
    </w:p>
    <w:sectPr>
      <w:type w:val="nextPage"/>
      <w:pgSz w:w="12240" w:h="15840"/>
      <w:pgMar w:left="1440" w:right="1440" w:gutter="0" w:header="0" w:top="1440" w:footer="0" w:bottom="144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14"/>
  <w:defaultTabStop w:val="720"/>
  <w:autoHyphenation w:val="true"/>
  <w:hyphenationZone w:val="0"/>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sz w:val="24"/>
        <w:szCs w:val="24"/>
        <w:lang w:val="en-US" w:eastAsia="zh-CN" w:bidi="hi-IN"/>
      </w:rPr>
    </w:rPrDefault>
    <w:pPrDefault>
      <w:pPr>
        <w:suppressAutoHyphens w:val="true"/>
      </w:pPr>
    </w:pPrDefault>
  </w:docDefaults>
  <w:style w:type="paragraph" w:styleId="Normal">
    <w:name w:val="Normal"/>
    <w:qFormat/>
    <w:pPr>
      <w:widowControl/>
      <w:bidi w:val="0"/>
      <w:spacing w:before="0" w:after="0"/>
      <w:jc w:val="left"/>
    </w:pPr>
    <w:rPr>
      <w:rFonts w:ascii="Times New Roman" w:hAnsi="Times New Roman" w:eastAsia="Times New Roman" w:cs="Times New Roman"/>
      <w:color w:val="auto"/>
      <w:kern w:val="0"/>
      <w:sz w:val="24"/>
      <w:szCs w:val="24"/>
      <w:lang w:val="en-US" w:eastAsia="zh-CN" w:bidi="hi-IN"/>
    </w:rPr>
  </w:style>
  <w:style w:type="paragraph" w:styleId="Heading1">
    <w:name w:val="heading 1"/>
    <w:basedOn w:val="Heading"/>
    <w:qFormat/>
    <w:pPr/>
    <w:rPr>
      <w:color w:val="2E74B5"/>
      <w:sz w:val="32"/>
      <w:szCs w:val="32"/>
    </w:rPr>
  </w:style>
  <w:style w:type="paragraph" w:styleId="Heading2">
    <w:name w:val="heading 2"/>
    <w:basedOn w:val="Heading"/>
    <w:qFormat/>
    <w:pPr/>
    <w:rPr>
      <w:color w:val="2E74B5"/>
      <w:sz w:val="26"/>
      <w:szCs w:val="26"/>
    </w:rPr>
  </w:style>
  <w:style w:type="paragraph" w:styleId="Heading3">
    <w:name w:val="heading 3"/>
    <w:basedOn w:val="Heading"/>
    <w:qFormat/>
    <w:pPr/>
    <w:rPr>
      <w:color w:val="1F4D78"/>
      <w:sz w:val="24"/>
      <w:szCs w:val="24"/>
    </w:rPr>
  </w:style>
  <w:style w:type="paragraph" w:styleId="Heading4">
    <w:name w:val="heading 4"/>
    <w:basedOn w:val="Heading"/>
    <w:qFormat/>
    <w:pPr/>
    <w:rPr>
      <w:i/>
      <w:iCs/>
      <w:color w:val="2E74B5"/>
    </w:rPr>
  </w:style>
  <w:style w:type="paragraph" w:styleId="Heading5">
    <w:name w:val="heading 5"/>
    <w:basedOn w:val="Heading"/>
    <w:qFormat/>
    <w:pPr/>
    <w:rPr>
      <w:color w:val="2E74B5"/>
    </w:rPr>
  </w:style>
  <w:style w:type="paragraph" w:styleId="Heading6">
    <w:name w:val="heading 6"/>
    <w:basedOn w:val="Heading"/>
    <w:qFormat/>
    <w:pPr/>
    <w:rPr>
      <w:color w:val="1F4D78"/>
    </w:rPr>
  </w:style>
  <w:style w:type="character" w:styleId="Hyperlink">
    <w:name w:val="Hyperlink"/>
    <w:uiPriority w:val="99"/>
    <w:unhideWhenUsed/>
    <w:rPr>
      <w:color w:val="0563C1"/>
      <w:u w:val="single"/>
    </w:rPr>
  </w:style>
  <w:style w:type="character" w:styleId="FootnoteCharacters">
    <w:name w:val="Footnote Characters"/>
    <w:uiPriority w:val="99"/>
    <w:semiHidden/>
    <w:unhideWhenUsed/>
    <w:qFormat/>
    <w:rPr>
      <w:vertAlign w:val="superscript"/>
    </w:rPr>
  </w:style>
  <w:style w:type="character" w:styleId="FootnoteReference">
    <w:name w:val="footnote reference"/>
    <w:rPr>
      <w:vertAlign w:val="superscript"/>
    </w:rPr>
  </w:style>
  <w:style w:type="character" w:styleId="FootnoteTextChar">
    <w:name w:val="Footnote Text Char"/>
    <w:link w:val="FootnoteText"/>
    <w:uiPriority w:val="99"/>
    <w:semiHidden/>
    <w:unhideWhenUsed/>
    <w:qFormat/>
    <w:rPr>
      <w:sz w:val="20"/>
      <w:szCs w:val="20"/>
    </w:rPr>
  </w:style>
  <w:style w:type="paragraph" w:styleId="Heading">
    <w:name w:val="Heading"/>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rPr>
  </w:style>
  <w:style w:type="paragraph" w:styleId="Title">
    <w:name w:val="Title"/>
    <w:basedOn w:val="Heading"/>
    <w:qFormat/>
    <w:pPr/>
    <w:rPr>
      <w:sz w:val="56"/>
      <w:szCs w:val="56"/>
    </w:rPr>
  </w:style>
  <w:style w:type="paragraph" w:styleId="StrongEmphasis">
    <w:name w:val="Strong Emphasis"/>
    <w:qFormat/>
    <w:pPr>
      <w:widowControl/>
      <w:bidi w:val="0"/>
      <w:spacing w:before="0" w:after="0"/>
      <w:jc w:val="left"/>
    </w:pPr>
    <w:rPr>
      <w:rFonts w:ascii="Times New Roman" w:hAnsi="Times New Roman" w:eastAsia="Times New Roman" w:cs="Times New Roman"/>
      <w:b/>
      <w:bCs/>
      <w:color w:val="auto"/>
      <w:kern w:val="0"/>
      <w:sz w:val="24"/>
      <w:szCs w:val="24"/>
      <w:lang w:val="en-US" w:eastAsia="zh-CN" w:bidi="hi-IN"/>
    </w:rPr>
  </w:style>
  <w:style w:type="paragraph" w:styleId="ListParagraph">
    <w:name w:val="List Paragraph"/>
    <w:qFormat/>
    <w:pPr>
      <w:widowControl/>
      <w:bidi w:val="0"/>
      <w:spacing w:before="0" w:after="0"/>
      <w:jc w:val="left"/>
    </w:pPr>
    <w:rPr>
      <w:rFonts w:ascii="Times New Roman" w:hAnsi="Times New Roman" w:eastAsia="Times New Roman" w:cs="Times New Roman"/>
      <w:color w:val="auto"/>
      <w:kern w:val="0"/>
      <w:sz w:val="24"/>
      <w:szCs w:val="24"/>
      <w:lang w:val="en-US" w:eastAsia="zh-CN" w:bidi="hi-IN"/>
    </w:rPr>
  </w:style>
  <w:style w:type="paragraph" w:styleId="FootnoteText">
    <w:name w:val="footnote text"/>
    <w:basedOn w:val="Normal"/>
    <w:link w:val="FootnoteTextChar"/>
    <w:uiPriority w:val="99"/>
    <w:semiHidden/>
    <w:unhideWhenUsed/>
    <w:pPr>
      <w:spacing w:lineRule="auto" w:line="240" w:before="0" w:after="0"/>
    </w:pPr>
    <w:rPr>
      <w:sz w:val="20"/>
      <w:szCs w:val="2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LibreOffice/25.2.7.2$Windows_X86_64 LibreOffice_project/5cbfd1ab6520636bb5f7b99185aa69bd7456825d</Application>
  <AppVersion>15.0000</AppVersion>
  <Pages>6</Pages>
  <Words>2260</Words>
  <Characters>12594</Characters>
  <CharactersWithSpaces>14761</CharactersWithSpaces>
  <Paragraphs>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2026-02-08T12:53:10Z</dcterms:created>
  <dc:creator>Un-named</dc:creator>
  <dc:description/>
  <dc:language>en-US</dc:language>
  <cp:lastModifiedBy/>
  <dcterms:modified xsi:type="dcterms:W3CDTF">2026-02-08T14:09:30Z</dcterms:modified>
  <cp:revision>2</cp:revision>
  <dc:subject/>
  <dc:title/>
</cp:coreProperties>
</file>