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32"/>
        </w:rPr>
        <w:t>Control vs Oligomycin miRNA analysis (excluding sample 2)</w:t>
      </w:r>
    </w:p>
    <w:p>
      <w:pPr>
        <w:jc w:val="center"/>
      </w:pPr>
      <w:r>
        <w:t>Computational summary based on the 'without_sample2' pipeline outputs.</w:t>
      </w:r>
    </w:p>
    <w:p/>
    <w:p>
      <w:pPr>
        <w:pStyle w:val="Heading1"/>
      </w:pPr>
      <w:r>
        <w:t>Materials and Methods</w:t>
      </w:r>
    </w:p>
    <w:p>
      <w:r>
        <w:t>Input data consisted of a miRNA count matrix (2067 detected miRNAs) with samples labeled Ctrl_1, Ctrl_3, Ctrl_4, Olig_1, Olig_3, Olig_4. One control and one oligomycin sample (suffix '_2') were excluded from downstream analyses, and all reported results correspond to this filtered dataset.</w:t>
      </w:r>
    </w:p>
    <w:p>
      <w:pPr>
        <w:pStyle w:val="Heading2"/>
      </w:pPr>
      <w:r>
        <w:t>Quality control and pre-processing</w:t>
      </w:r>
    </w:p>
    <w:p>
      <w:r>
        <w:t>Raw counts were inspected using quantile-quantile (Q-Q) plots, relative log expression (RLE) plots and principal component analysis (PCA) to evaluate global distributional differences and sample structure prior to differential expression testing.</w:t>
      </w:r>
    </w:p>
    <w:p>
      <w:pPr>
        <w:pStyle w:val="Heading2"/>
      </w:pPr>
      <w:r>
        <w:t>Normalization and unwanted variation correction</w:t>
      </w:r>
    </w:p>
    <w:p>
      <w:r>
        <w:t>To reduce technical and other unwanted variation, counts were normalized and adjusted using RUVSeq with the RUVr procedure (k = 1), which estimates latent factors of unwanted variation from model residuals and incorporates them into normalization [1,2].</w:t>
      </w:r>
    </w:p>
    <w:p>
      <w:pPr>
        <w:pStyle w:val="Heading2"/>
      </w:pPr>
      <w:r>
        <w:t>Differential expression analysis</w:t>
      </w:r>
    </w:p>
    <w:p>
      <w:r>
        <w:t>Differential expression between oligomycin and control was assessed with edgeR using the negative binomial model and exact test (non-paired analysis) [3]. P-values were adjusted to control the false discovery rate (FDR) using the Benjamini-Hochberg procedure [4]. Unless otherwise indicated, miRNAs were considered differentially expressed at FDR &lt; 0.05 and |log2 fold change| &gt; 1. A paired generalized linear model (GLM), including a pair factor derived from the sample suffix, was additionally run as a sensitivity analysis.</w:t>
      </w:r>
    </w:p>
    <w:p>
      <w:pPr>
        <w:pStyle w:val="Heading2"/>
      </w:pPr>
      <w:r>
        <w:t>Visualization</w:t>
      </w:r>
    </w:p>
    <w:p>
      <w:r>
        <w:t>Significant miRNAs were visualized as a clustered heatmap using log2(normalized counts + 1) and a viridis color scale. Volcano plots were generated with EnhancedVolcano [5].</w:t>
      </w:r>
    </w:p>
    <w:p>
      <w:pPr>
        <w:pStyle w:val="Heading2"/>
      </w:pPr>
      <w:r>
        <w:t>Target annotation and functional enrichment</w:t>
      </w:r>
    </w:p>
    <w:p>
      <w:r>
        <w:t>Putative and validated miRNA-target interactions were retrieved using multiMiR, which integrates multiple external miRNA-target databases [6]. Functional enrichment of target gene sets was performed with g:Profiler through the gprofiler2 R package (GO:BP, GO:MF, TF and Reactome sources; multiple testing correction by g:Profiler) [7,8]. Enrichment outputs were further summarized into presence/absence heatmaps and a ranked table of immune-related pathways across miRNAs.</w:t>
      </w:r>
    </w:p>
    <w:p>
      <w:pPr>
        <w:pStyle w:val="Heading2"/>
      </w:pPr>
      <w:r>
        <w:t>Cross-species seed conservation and mouse target analysis</w:t>
      </w:r>
    </w:p>
    <w:p>
      <w:r>
        <w:t>To evaluate seed conservation and generate mouse hypotheses, mature sequences and Seed+m8 annotations were mapped using TargetScan miRNA family data. Canonical site types (8mer and 7mer-m8) were defined following TargetScan and related benchmarking work [9,10]. Putative mouse targets were derived by scanning mouse 3'UTRs (mm10) for canonical seed matches; the union of predicted mouse targets was then tested for GO:BP and Reactome enrichment using g:Profiler (organism = mmusculus) [7,8].</w:t>
      </w:r>
    </w:p>
    <w:p/>
    <w:p>
      <w:pPr>
        <w:pStyle w:val="Heading2"/>
      </w:pPr>
      <w:r>
        <w:t>Dataset summary (without_sample2)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</w:tcPr>
          <w:p>
            <w:r>
              <w:t>Group</w:t>
            </w:r>
          </w:p>
        </w:tc>
        <w:tc>
          <w:tcPr>
            <w:tcW w:type="dxa" w:w="4680"/>
          </w:tcPr>
          <w:p>
            <w:r>
              <w:t>Samples</w:t>
            </w:r>
          </w:p>
        </w:tc>
      </w:tr>
      <w:tr>
        <w:tc>
          <w:tcPr>
            <w:tcW w:type="dxa" w:w="4680"/>
          </w:tcPr>
          <w:p>
            <w:r>
              <w:t>Control</w:t>
            </w:r>
          </w:p>
        </w:tc>
        <w:tc>
          <w:tcPr>
            <w:tcW w:type="dxa" w:w="4680"/>
          </w:tcPr>
          <w:p>
            <w:r>
              <w:t>Ctrl_1, Ctrl_3, Ctrl_4</w:t>
            </w:r>
          </w:p>
        </w:tc>
      </w:tr>
      <w:tr>
        <w:tc>
          <w:tcPr>
            <w:tcW w:type="dxa" w:w="4680"/>
          </w:tcPr>
          <w:p>
            <w:r>
              <w:t>Oligomycin</w:t>
            </w:r>
          </w:p>
        </w:tc>
        <w:tc>
          <w:tcPr>
            <w:tcW w:type="dxa" w:w="4680"/>
          </w:tcPr>
          <w:p>
            <w:r>
              <w:t>Olig_1, Olig_3, Olig_4</w:t>
            </w:r>
          </w:p>
        </w:tc>
      </w:tr>
    </w:tbl>
    <w:p>
      <w:pPr>
        <w:pStyle w:val="Heading1"/>
      </w:pPr>
      <w:r>
        <w:t>Results</w:t>
      </w:r>
    </w:p>
    <w:p>
      <w:r>
        <w:t>After RUVr adjustment, RLE distributions were largely centered around zero, indicating improved between-sample comparability. PCA showed that the dominant axis of variation (PC1 = 76.33%) captured treatment-associated differences, with oligomycin samples generally shifted relative to controls, although one oligomycin replicate remained closer to the control cluster.</w:t>
      </w:r>
    </w:p>
    <w:p>
      <w:r>
        <w:t>Across 2067 tested miRNAs, the non-paired edgeR analysis identified 141 differentially expressed miRNAs at FDR &lt; 0.05 and |log2FC| &gt; 1.0 (up in oligomycin: 131; down: 10). The paired GLM sensitivity analysis yielded 188 differentially expressed miRNAs (up: 162; down: 26). Most signals were shared between approaches (overlap: 137 miRNAs), with strong concordance of effect sizes (Pearson r = 0.96 for overlapping differentially expressed miRNAs).</w:t>
      </w:r>
    </w:p>
    <w:p/>
    <w:p>
      <w:pPr>
        <w:pStyle w:val="Heading2"/>
      </w:pPr>
      <w:r>
        <w:t>Differential expression summary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340"/>
        <w:gridCol w:w="2340"/>
        <w:gridCol w:w="2340"/>
        <w:gridCol w:w="2340"/>
      </w:tblGrid>
      <w:tr>
        <w:tc>
          <w:tcPr>
            <w:tcW w:type="dxa" w:w="2340"/>
          </w:tcPr>
          <w:p>
            <w:r>
              <w:t>Analysis</w:t>
            </w:r>
          </w:p>
        </w:tc>
        <w:tc>
          <w:tcPr>
            <w:tcW w:type="dxa" w:w="2340"/>
          </w:tcPr>
          <w:p>
            <w:r>
              <w:t>DE miRNAs</w:t>
            </w:r>
          </w:p>
        </w:tc>
        <w:tc>
          <w:tcPr>
            <w:tcW w:type="dxa" w:w="2340"/>
          </w:tcPr>
          <w:p>
            <w:r>
              <w:t>Up</w:t>
            </w:r>
          </w:p>
        </w:tc>
        <w:tc>
          <w:tcPr>
            <w:tcW w:type="dxa" w:w="2340"/>
          </w:tcPr>
          <w:p>
            <w:r>
              <w:t>Down</w:t>
            </w:r>
          </w:p>
        </w:tc>
      </w:tr>
      <w:tr>
        <w:tc>
          <w:tcPr>
            <w:tcW w:type="dxa" w:w="2340"/>
          </w:tcPr>
          <w:p>
            <w:r>
              <w:t>Non-paired (exact test)</w:t>
            </w:r>
          </w:p>
        </w:tc>
        <w:tc>
          <w:tcPr>
            <w:tcW w:type="dxa" w:w="2340"/>
          </w:tcPr>
          <w:p>
            <w:r>
              <w:t>141</w:t>
            </w:r>
          </w:p>
        </w:tc>
        <w:tc>
          <w:tcPr>
            <w:tcW w:type="dxa" w:w="2340"/>
          </w:tcPr>
          <w:p>
            <w:r>
              <w:t>131</w:t>
            </w:r>
          </w:p>
        </w:tc>
        <w:tc>
          <w:tcPr>
            <w:tcW w:type="dxa" w:w="2340"/>
          </w:tcPr>
          <w:p>
            <w:r>
              <w:t>10</w:t>
            </w:r>
          </w:p>
        </w:tc>
      </w:tr>
      <w:tr>
        <w:tc>
          <w:tcPr>
            <w:tcW w:type="dxa" w:w="2340"/>
          </w:tcPr>
          <w:p>
            <w:r>
              <w:t>Paired (GLM)</w:t>
            </w:r>
          </w:p>
        </w:tc>
        <w:tc>
          <w:tcPr>
            <w:tcW w:type="dxa" w:w="2340"/>
          </w:tcPr>
          <w:p>
            <w:r>
              <w:t>188</w:t>
            </w:r>
          </w:p>
        </w:tc>
        <w:tc>
          <w:tcPr>
            <w:tcW w:type="dxa" w:w="2340"/>
          </w:tcPr>
          <w:p>
            <w:r>
              <w:t>162</w:t>
            </w:r>
          </w:p>
        </w:tc>
        <w:tc>
          <w:tcPr>
            <w:tcW w:type="dxa" w:w="2340"/>
          </w:tcPr>
          <w:p>
            <w:r>
              <w:t>26</w:t>
            </w:r>
          </w:p>
        </w:tc>
      </w:tr>
    </w:tbl>
    <w:p>
      <w:r>
        <w:t>Unsupervised clustering of significant miRNAs in the heatmap separated oligomycin from control samples, consistent with a coordinated expression shift under oligomycin. The volcano plot similarly showed a strong asymmetry toward positive log2 fold changes, reflecting the predominance of upregulated miRNAs in the oligomycin condition.</w:t>
      </w:r>
    </w:p>
    <w:p>
      <w:r>
        <w:t>Among the strongest induced miRNAs were miR-365a-5p (log2FC 8.95, FDR 3.57e-05), miR-3681-5p (log2FC 5.26, FDR 2.72e-04), miR-4478 (log2FC 5.92, FDR 0.003), miR-6081 (log2FC 3.70, FDR 0.003), miR-193a-3p (log2FC 3.45, FDR 0.008). Among the few repressed miRNAs were miR-3064-5p (log2FC -3.54, FDR 0.010), miR-4684-5p (log2FC -2.18, FDR 0.008), miR-622 (log2FC -2.52, FDR 0.030).</w:t>
      </w:r>
    </w:p>
    <w:p>
      <w:r>
        <w:t>Using multiMiR, 24,643 miRNA-target records were retrieved across 76 miRNAs, representing 10,233 unique target genes. Enrichment analyses of these target sets highlighted cell cycle and cytoskeletal processes (e.g., cytokinesis-related terms) and multiple immune-associated signatures, including antigen processing and MHC class I presentation, regulation of immune system processes, leukocyte/lymphocyte activation and differentiation, and cytokine-related pathways.</w:t>
      </w:r>
    </w:p>
    <w:p/>
    <w:p>
      <w:pPr>
        <w:pStyle w:val="Heading2"/>
      </w:pPr>
      <w:r>
        <w:t>Enrichment highlights (human target sets)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3120"/>
        <w:gridCol w:w="3120"/>
        <w:gridCol w:w="3120"/>
      </w:tblGrid>
      <w:tr>
        <w:tc>
          <w:tcPr>
            <w:tcW w:type="dxa" w:w="3120"/>
          </w:tcPr>
          <w:p>
            <w:r>
              <w:t>Source</w:t>
            </w:r>
          </w:p>
        </w:tc>
        <w:tc>
          <w:tcPr>
            <w:tcW w:type="dxa" w:w="3120"/>
          </w:tcPr>
          <w:p>
            <w:r>
              <w:t>Term</w:t>
            </w:r>
          </w:p>
        </w:tc>
        <w:tc>
          <w:tcPr>
            <w:tcW w:type="dxa" w:w="3120"/>
          </w:tcPr>
          <w:p>
            <w:r>
              <w:t>Best adjusted P</w:t>
            </w:r>
          </w:p>
        </w:tc>
      </w:tr>
      <w:tr>
        <w:tc>
          <w:tcPr>
            <w:tcW w:type="dxa" w:w="3120"/>
          </w:tcPr>
          <w:p>
            <w:r>
              <w:t>REAC</w:t>
            </w:r>
          </w:p>
        </w:tc>
        <w:tc>
          <w:tcPr>
            <w:tcW w:type="dxa" w:w="3120"/>
          </w:tcPr>
          <w:p>
            <w:r>
              <w:t>Antigen processing: Ubiquitination &amp; Proteasome degradation</w:t>
            </w:r>
          </w:p>
        </w:tc>
        <w:tc>
          <w:tcPr>
            <w:tcW w:type="dxa" w:w="3120"/>
          </w:tcPr>
          <w:p>
            <w:r>
              <w:t>9.30e-06</w:t>
            </w:r>
          </w:p>
        </w:tc>
      </w:tr>
      <w:tr>
        <w:tc>
          <w:tcPr>
            <w:tcW w:type="dxa" w:w="3120"/>
          </w:tcPr>
          <w:p>
            <w:r>
              <w:t>REAC</w:t>
            </w:r>
          </w:p>
        </w:tc>
        <w:tc>
          <w:tcPr>
            <w:tcW w:type="dxa" w:w="3120"/>
          </w:tcPr>
          <w:p>
            <w:r>
              <w:t>Class I MHC mediated antigen processing &amp; presentation</w:t>
            </w:r>
          </w:p>
        </w:tc>
        <w:tc>
          <w:tcPr>
            <w:tcW w:type="dxa" w:w="3120"/>
          </w:tcPr>
          <w:p>
            <w:r>
              <w:t>1.91e-05</w:t>
            </w:r>
          </w:p>
        </w:tc>
      </w:tr>
      <w:tr>
        <w:tc>
          <w:tcPr>
            <w:tcW w:type="dxa" w:w="3120"/>
          </w:tcPr>
          <w:p>
            <w:r>
              <w:t>REAC</w:t>
            </w:r>
          </w:p>
        </w:tc>
        <w:tc>
          <w:tcPr>
            <w:tcW w:type="dxa" w:w="3120"/>
          </w:tcPr>
          <w:p>
            <w:r>
              <w:t>Toll Like Receptor 3 (TLR3) Cascade</w:t>
            </w:r>
          </w:p>
        </w:tc>
        <w:tc>
          <w:tcPr>
            <w:tcW w:type="dxa" w:w="3120"/>
          </w:tcPr>
          <w:p>
            <w:r>
              <w:t>8.74e-04</w:t>
            </w:r>
          </w:p>
        </w:tc>
      </w:tr>
      <w:tr>
        <w:tc>
          <w:tcPr>
            <w:tcW w:type="dxa" w:w="3120"/>
          </w:tcPr>
          <w:p>
            <w:r>
              <w:t>REAC</w:t>
            </w:r>
          </w:p>
        </w:tc>
        <w:tc>
          <w:tcPr>
            <w:tcW w:type="dxa" w:w="3120"/>
          </w:tcPr>
          <w:p>
            <w:r>
              <w:t>Interleukin-17 signaling</w:t>
            </w:r>
          </w:p>
        </w:tc>
        <w:tc>
          <w:tcPr>
            <w:tcW w:type="dxa" w:w="3120"/>
          </w:tcPr>
          <w:p>
            <w:r>
              <w:t>9.74e-04</w:t>
            </w:r>
          </w:p>
        </w:tc>
      </w:tr>
      <w:tr>
        <w:tc>
          <w:tcPr>
            <w:tcW w:type="dxa" w:w="3120"/>
          </w:tcPr>
          <w:p>
            <w:r>
              <w:t>GO:BP</w:t>
            </w:r>
          </w:p>
        </w:tc>
        <w:tc>
          <w:tcPr>
            <w:tcW w:type="dxa" w:w="3120"/>
          </w:tcPr>
          <w:p>
            <w:r>
              <w:t>cytokinesis</w:t>
            </w:r>
          </w:p>
        </w:tc>
        <w:tc>
          <w:tcPr>
            <w:tcW w:type="dxa" w:w="3120"/>
          </w:tcPr>
          <w:p>
            <w:r>
              <w:t>8.35e-13</w:t>
            </w:r>
          </w:p>
        </w:tc>
      </w:tr>
      <w:tr>
        <w:tc>
          <w:tcPr>
            <w:tcW w:type="dxa" w:w="3120"/>
          </w:tcPr>
          <w:p>
            <w:r>
              <w:t>GO:BP</w:t>
            </w:r>
          </w:p>
        </w:tc>
        <w:tc>
          <w:tcPr>
            <w:tcW w:type="dxa" w:w="3120"/>
          </w:tcPr>
          <w:p>
            <w:r>
              <w:t>mitotic cytokinesis</w:t>
            </w:r>
          </w:p>
        </w:tc>
        <w:tc>
          <w:tcPr>
            <w:tcW w:type="dxa" w:w="3120"/>
          </w:tcPr>
          <w:p>
            <w:r>
              <w:t>2.46e-08</w:t>
            </w:r>
          </w:p>
        </w:tc>
      </w:tr>
      <w:tr>
        <w:tc>
          <w:tcPr>
            <w:tcW w:type="dxa" w:w="3120"/>
          </w:tcPr>
          <w:p>
            <w:r>
              <w:t>GO:BP</w:t>
            </w:r>
          </w:p>
        </w:tc>
        <w:tc>
          <w:tcPr>
            <w:tcW w:type="dxa" w:w="3120"/>
          </w:tcPr>
          <w:p>
            <w:r>
              <w:t>substrate adhesion-dependent cell spreading</w:t>
            </w:r>
          </w:p>
        </w:tc>
        <w:tc>
          <w:tcPr>
            <w:tcW w:type="dxa" w:w="3120"/>
          </w:tcPr>
          <w:p>
            <w:r>
              <w:t>3.32e-08</w:t>
            </w:r>
          </w:p>
        </w:tc>
      </w:tr>
      <w:tr>
        <w:tc>
          <w:tcPr>
            <w:tcW w:type="dxa" w:w="3120"/>
          </w:tcPr>
          <w:p>
            <w:r>
              <w:t>GO:BP</w:t>
            </w:r>
          </w:p>
        </w:tc>
        <w:tc>
          <w:tcPr>
            <w:tcW w:type="dxa" w:w="3120"/>
          </w:tcPr>
          <w:p>
            <w:r>
              <w:t>cytoskeleton-dependent cytokinesis</w:t>
            </w:r>
          </w:p>
        </w:tc>
        <w:tc>
          <w:tcPr>
            <w:tcW w:type="dxa" w:w="3120"/>
          </w:tcPr>
          <w:p>
            <w:r>
              <w:t>5.63e-08</w:t>
            </w:r>
          </w:p>
        </w:tc>
      </w:tr>
      <w:tr>
        <w:tc>
          <w:tcPr>
            <w:tcW w:type="dxa" w:w="3120"/>
          </w:tcPr>
          <w:p>
            <w:r>
              <w:t>GO:BP</w:t>
            </w:r>
          </w:p>
        </w:tc>
        <w:tc>
          <w:tcPr>
            <w:tcW w:type="dxa" w:w="3120"/>
          </w:tcPr>
          <w:p>
            <w:r>
              <w:t>regulation of cytokinesis</w:t>
            </w:r>
          </w:p>
        </w:tc>
        <w:tc>
          <w:tcPr>
            <w:tcW w:type="dxa" w:w="3120"/>
          </w:tcPr>
          <w:p>
            <w:r>
              <w:t>5.15e-07</w:t>
            </w:r>
          </w:p>
        </w:tc>
      </w:tr>
    </w:tbl>
    <w:p>
      <w:r>
        <w:t>In cross-species analyses of upregulated miRNAs (n = 131), 28 miRNAs had at least one mouse miRNA sharing an identical Seed+m8. Canonical seed scanning in mouse predicted 18,320 unique gene targets (union), and enrichment of this union was dominated by immune regulation and cytokine/inflammatory response terms; this should be interpreted as hypothesis-generating given the breadth of seed-based predictions.</w:t>
      </w:r>
    </w:p>
    <w:p/>
    <w:p>
      <w:pPr>
        <w:pStyle w:val="Heading2"/>
      </w:pPr>
      <w:r>
        <w:t>Mouse enrichment (immune-focused terms; seed-scan target union)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340"/>
        <w:gridCol w:w="2340"/>
        <w:gridCol w:w="2340"/>
        <w:gridCol w:w="2340"/>
      </w:tblGrid>
      <w:tr>
        <w:tc>
          <w:tcPr>
            <w:tcW w:type="dxa" w:w="2340"/>
          </w:tcPr>
          <w:p>
            <w:r>
              <w:t>Term</w:t>
            </w:r>
          </w:p>
        </w:tc>
        <w:tc>
          <w:tcPr>
            <w:tcW w:type="dxa" w:w="2340"/>
          </w:tcPr>
          <w:p>
            <w:r>
              <w:t>Source</w:t>
            </w:r>
          </w:p>
        </w:tc>
        <w:tc>
          <w:tcPr>
            <w:tcW w:type="dxa" w:w="2340"/>
          </w:tcPr>
          <w:p>
            <w:r>
              <w:t>Adjusted P</w:t>
            </w:r>
          </w:p>
        </w:tc>
        <w:tc>
          <w:tcPr>
            <w:tcW w:type="dxa" w:w="2340"/>
          </w:tcPr>
          <w:p>
            <w:r>
              <w:t>Intersection size</w:t>
            </w:r>
          </w:p>
        </w:tc>
      </w:tr>
      <w:tr>
        <w:tc>
          <w:tcPr>
            <w:tcW w:type="dxa" w:w="2340"/>
          </w:tcPr>
          <w:p>
            <w:r>
              <w:t>regulation of immune system process</w:t>
            </w:r>
          </w:p>
        </w:tc>
        <w:tc>
          <w:tcPr>
            <w:tcW w:type="dxa" w:w="2340"/>
          </w:tcPr>
          <w:p>
            <w:r>
              <w:t>GO:BP</w:t>
            </w:r>
          </w:p>
        </w:tc>
        <w:tc>
          <w:tcPr>
            <w:tcW w:type="dxa" w:w="2340"/>
          </w:tcPr>
          <w:p>
            <w:r>
              <w:t>6.45e-157</w:t>
            </w:r>
          </w:p>
        </w:tc>
        <w:tc>
          <w:tcPr>
            <w:tcW w:type="dxa" w:w="2340"/>
          </w:tcPr>
          <w:p>
            <w:r>
              <w:t>1480</w:t>
            </w:r>
          </w:p>
        </w:tc>
      </w:tr>
      <w:tr>
        <w:tc>
          <w:tcPr>
            <w:tcW w:type="dxa" w:w="2340"/>
          </w:tcPr>
          <w:p>
            <w:r>
              <w:t>positive regulation of immune system process</w:t>
            </w:r>
          </w:p>
        </w:tc>
        <w:tc>
          <w:tcPr>
            <w:tcW w:type="dxa" w:w="2340"/>
          </w:tcPr>
          <w:p>
            <w:r>
              <w:t>GO:BP</w:t>
            </w:r>
          </w:p>
        </w:tc>
        <w:tc>
          <w:tcPr>
            <w:tcW w:type="dxa" w:w="2340"/>
          </w:tcPr>
          <w:p>
            <w:r>
              <w:t>3.66e-109</w:t>
            </w:r>
          </w:p>
        </w:tc>
        <w:tc>
          <w:tcPr>
            <w:tcW w:type="dxa" w:w="2340"/>
          </w:tcPr>
          <w:p>
            <w:r>
              <w:t>1036</w:t>
            </w:r>
          </w:p>
        </w:tc>
      </w:tr>
      <w:tr>
        <w:tc>
          <w:tcPr>
            <w:tcW w:type="dxa" w:w="2340"/>
          </w:tcPr>
          <w:p>
            <w:r>
              <w:t>immune system process</w:t>
            </w:r>
          </w:p>
        </w:tc>
        <w:tc>
          <w:tcPr>
            <w:tcW w:type="dxa" w:w="2340"/>
          </w:tcPr>
          <w:p>
            <w:r>
              <w:t>GO:BP</w:t>
            </w:r>
          </w:p>
        </w:tc>
        <w:tc>
          <w:tcPr>
            <w:tcW w:type="dxa" w:w="2340"/>
          </w:tcPr>
          <w:p>
            <w:r>
              <w:t>1.23e-103</w:t>
            </w:r>
          </w:p>
        </w:tc>
        <w:tc>
          <w:tcPr>
            <w:tcW w:type="dxa" w:w="2340"/>
          </w:tcPr>
          <w:p>
            <w:r>
              <w:t>2368</w:t>
            </w:r>
          </w:p>
        </w:tc>
      </w:tr>
      <w:tr>
        <w:tc>
          <w:tcPr>
            <w:tcW w:type="dxa" w:w="2340"/>
          </w:tcPr>
          <w:p>
            <w:r>
              <w:t>leukocyte activation</w:t>
            </w:r>
          </w:p>
        </w:tc>
        <w:tc>
          <w:tcPr>
            <w:tcW w:type="dxa" w:w="2340"/>
          </w:tcPr>
          <w:p>
            <w:r>
              <w:t>GO:BP</w:t>
            </w:r>
          </w:p>
        </w:tc>
        <w:tc>
          <w:tcPr>
            <w:tcW w:type="dxa" w:w="2340"/>
          </w:tcPr>
          <w:p>
            <w:r>
              <w:t>7.68e-94</w:t>
            </w:r>
          </w:p>
        </w:tc>
        <w:tc>
          <w:tcPr>
            <w:tcW w:type="dxa" w:w="2340"/>
          </w:tcPr>
          <w:p>
            <w:r>
              <w:t>939</w:t>
            </w:r>
          </w:p>
        </w:tc>
      </w:tr>
      <w:tr>
        <w:tc>
          <w:tcPr>
            <w:tcW w:type="dxa" w:w="2340"/>
          </w:tcPr>
          <w:p>
            <w:r>
              <w:t>regulation of immune response</w:t>
            </w:r>
          </w:p>
        </w:tc>
        <w:tc>
          <w:tcPr>
            <w:tcW w:type="dxa" w:w="2340"/>
          </w:tcPr>
          <w:p>
            <w:r>
              <w:t>GO:BP</w:t>
            </w:r>
          </w:p>
        </w:tc>
        <w:tc>
          <w:tcPr>
            <w:tcW w:type="dxa" w:w="2340"/>
          </w:tcPr>
          <w:p>
            <w:r>
              <w:t>9.73e-79</w:t>
            </w:r>
          </w:p>
        </w:tc>
        <w:tc>
          <w:tcPr>
            <w:tcW w:type="dxa" w:w="2340"/>
          </w:tcPr>
          <w:p>
            <w:r>
              <w:t>849</w:t>
            </w:r>
          </w:p>
        </w:tc>
      </w:tr>
    </w:tbl>
    <w:p>
      <w:r>
        <w:br w:type="page"/>
      </w:r>
    </w:p>
    <w:p>
      <w:pPr>
        <w:pStyle w:val="Heading1"/>
      </w:pPr>
      <w:r>
        <w:t>References</w:t>
      </w:r>
    </w:p>
    <w:p>
      <w:r>
        <w:t>[1] Risso D, Schwartz K, Sherlock G, Dudoit S. Normalization of RNA-seq data using factor analysis of control genes or samples. Nature Biotechnology. 2014.</w:t>
      </w:r>
    </w:p>
    <w:p>
      <w:r>
        <w:t>[2] RUVSeq: Remove Unwanted Variation from RNA-Seq Data (Bioconductor package documentation).</w:t>
      </w:r>
    </w:p>
    <w:p>
      <w:r>
        <w:t>[3] Robinson MD, McCarthy DJ, Smyth GK. edgeR: a Bioconductor package for differential expression analysis of digital gene expression data. Bioinformatics. 2010;26(1):139-140.</w:t>
      </w:r>
    </w:p>
    <w:p>
      <w:r>
        <w:t>[4] Benjamini Y, Hochberg Y. Controlling the false discovery rate: a practical and powerful approach to multiple testing. Journal of the Royal Statistical Society Series B. 1995;57(1):289-300.</w:t>
      </w:r>
    </w:p>
    <w:p>
      <w:r>
        <w:t>[5] Blighe K, Rana S, Lewis M. EnhancedVolcano: Publication-ready volcano plots with enhanced colouring and labeling (R package).</w:t>
      </w:r>
    </w:p>
    <w:p>
      <w:r>
        <w:t>[6] Ru Y, Kechris KJ, Tabakoff B, et al. The multiMiR R package and database: integration of microRNA-target interactions along with their disease and drug associations. Nucleic Acids Research. 2014;42(17):e133.</w:t>
      </w:r>
    </w:p>
    <w:p>
      <w:r>
        <w:t>[7] Raudvere U, Kolberg L, Kuzmin I, et al. g:Profiler: a web server for functional enrichment analysis and conversions of gene lists (2019 update). Nucleic Acids Research. 2019;47(W1):W191-W198.</w:t>
      </w:r>
    </w:p>
    <w:p>
      <w:r>
        <w:t>[8] Kolberg L, Raudvere U, Kuzmin I, et al. gprofiler2 -- an R package for gene list functional enrichment analysis and namespace conversion toolset g:Profiler. F1000Research. 2020;9:ELIXIR-709. doi:10.12688/f1000research.24956.2.</w:t>
      </w:r>
    </w:p>
    <w:p>
      <w:r>
        <w:t>[9] Agarwal V, Bell GW, Nam J-W, Bartel DP. Predicting effective microRNA target sites in mammalian mRNAs. eLife. 2015;4:e05005.</w:t>
      </w:r>
    </w:p>
    <w:p>
      <w:r>
        <w:t>[10] TargetScan documentation: definitions of 8mer and 7mer-m8 seed sites.</w:t>
      </w:r>
    </w:p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 w:eastAsia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