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F097D" w14:textId="77777777" w:rsidR="007758C1" w:rsidRDefault="00166C25">
      <w:pPr>
        <w:jc w:val="center"/>
      </w:pPr>
      <w:r>
        <w:rPr>
          <w:b/>
          <w:sz w:val="32"/>
        </w:rPr>
        <w:t>The Kinetic Architecture of Return: Empirical Validation of the Quantum Boomerang Effect in Institutional Bifurcation</w:t>
      </w:r>
    </w:p>
    <w:p w14:paraId="26FBCBB7" w14:textId="12357F0E" w:rsidR="007758C1" w:rsidRDefault="00166C25">
      <w:pPr>
        <w:jc w:val="center"/>
      </w:pPr>
      <w:r>
        <w:t>Alessandro Grassini</w:t>
      </w:r>
      <w:r w:rsidR="007578DC">
        <w:t xml:space="preserve"> </w:t>
      </w:r>
      <w:proofErr w:type="spellStart"/>
      <w:r w:rsidR="007578DC">
        <w:t>Gimaldi</w:t>
      </w:r>
      <w:proofErr w:type="spellEnd"/>
    </w:p>
    <w:p w14:paraId="24C2F403" w14:textId="77777777" w:rsidR="007758C1" w:rsidRDefault="00166C25">
      <w:pPr>
        <w:jc w:val="center"/>
      </w:pPr>
      <w:r>
        <w:t>Independent Researcher</w:t>
      </w:r>
    </w:p>
    <w:p w14:paraId="6617EA55" w14:textId="77777777" w:rsidR="007758C1" w:rsidRDefault="00166C25">
      <w:pPr>
        <w:jc w:val="center"/>
      </w:pPr>
      <w:r>
        <w:t>London, United Kingdom</w:t>
      </w:r>
    </w:p>
    <w:p w14:paraId="3E85B784" w14:textId="77777777" w:rsidR="007758C1" w:rsidRDefault="007758C1"/>
    <w:p w14:paraId="2ADE075D" w14:textId="77777777" w:rsidR="007758C1" w:rsidRDefault="00166C25">
      <w:r>
        <w:rPr>
          <w:b/>
          <w:sz w:val="28"/>
        </w:rPr>
        <w:t>Abstract</w:t>
      </w:r>
    </w:p>
    <w:p w14:paraId="22CD4E68" w14:textId="77777777" w:rsidR="007758C1" w:rsidRDefault="00166C25">
      <w:r>
        <w:t>This paper serves as the sequential analytical companion to The Oxford Paradox. Whilst previous studies documented the structural bifurcation of a single subject into an intellectual asset and an administrative liability, this paper analyses the kinetic consequences of that split. It presents live empirical validation of the Quantum Boomerang theory in an institutional setting. The central argument posits that when an institution displaces structural risk onto a coherent subject, it does not dissipate that energy but stores it. If the subject refuses to absorb the entropy, acting instead as a reflective surface, the displaced energy obeys a form of Anderson localisation and returns to its origin. This case study demonstrates how Oxford University's attempt to externalise procedural failure triggered an involuntary symmetry restoration, transforming the subject from a passive applicant into an active counterparty without hostile action.</w:t>
      </w:r>
    </w:p>
    <w:p w14:paraId="3945BA88" w14:textId="77777777" w:rsidR="007758C1" w:rsidRDefault="007758C1"/>
    <w:p w14:paraId="4311C993" w14:textId="77777777" w:rsidR="007758C1" w:rsidRDefault="00166C25">
      <w:r>
        <w:rPr>
          <w:b/>
          <w:sz w:val="28"/>
        </w:rPr>
        <w:t>Introduction: The Failure of Entropy in the Cellophane State</w:t>
      </w:r>
    </w:p>
    <w:p w14:paraId="1C6EE1E6" w14:textId="77777777" w:rsidR="007758C1" w:rsidRDefault="00166C25">
      <w:r>
        <w:t>In the architecture of the Cellophane State, institutions rely on a specific physical property of their subjects: permeability. The bureaucracy assumes that when it offloads confusion, delay, or rejection onto an individual, the individual will absorb this energy. They will fatigue. They will dissipate. They will drift away into the horizontal time of acceptance and silence.</w:t>
      </w:r>
    </w:p>
    <w:p w14:paraId="64DCF1B2" w14:textId="77777777" w:rsidR="007758C1" w:rsidRDefault="00166C25">
      <w:r>
        <w:t>This assumption relies on the individual acting as a disordered medium. However, recent observations within the Oxford University case study present a deviation from this standard model. We are witnessing what happens when the displaced energy hits a surface that is not permeable but coherent.</w:t>
      </w:r>
    </w:p>
    <w:p w14:paraId="0B311BE6" w14:textId="77777777" w:rsidR="007758C1" w:rsidRDefault="00166C25">
      <w:r>
        <w:t xml:space="preserve">This paper documents the transition from the Oxford Paradox, the static state of simultaneous acceptance and rejection, to the Quantum Boomerang, which is the dynamic return of excluded energy. It argues that the institution has inadvertently </w:t>
      </w:r>
      <w:r>
        <w:lastRenderedPageBreak/>
        <w:t>validated the very physics it sought to ignore. By attempting to flatten a vertical time agent, they created the conditions for a high velocity return.</w:t>
      </w:r>
    </w:p>
    <w:p w14:paraId="7607FF0C" w14:textId="77777777" w:rsidR="007758C1" w:rsidRDefault="007758C1"/>
    <w:p w14:paraId="2BD06DEA" w14:textId="77777777" w:rsidR="007758C1" w:rsidRDefault="00166C25">
      <w:r>
        <w:rPr>
          <w:b/>
          <w:sz w:val="28"/>
        </w:rPr>
        <w:t>Methodology: Documentation as Experimental Apparatus</w:t>
      </w:r>
    </w:p>
    <w:p w14:paraId="76157BE7" w14:textId="77777777" w:rsidR="007758C1" w:rsidRDefault="00166C25">
      <w:r>
        <w:t>This study does not rely on retrospective interviews. It utilises Live Kinetic Documentation.</w:t>
      </w:r>
    </w:p>
    <w:p w14:paraId="313F3B37" w14:textId="77777777" w:rsidR="007758C1" w:rsidRDefault="00166C25">
      <w:r>
        <w:t>The subject maintained a rigid refusal to internalise institutional confusion. Every email, rejection, delay, and contradiction was immediately logged, analysed against the Turing Theory framework, and returned to the institution as a structured data point.</w:t>
      </w:r>
    </w:p>
    <w:p w14:paraId="61CF6ED7" w14:textId="77777777" w:rsidR="007758C1" w:rsidRDefault="00166C25">
      <w:r>
        <w:t>This systematic, real time documentation served as the experimental apparatus. It functioned as the reflective surface required for the Quantum Boomerang effect to occur. Without this coherent observation, the event would have decayed into standard grievance; with it, the event became a structural diagnostic.</w:t>
      </w:r>
    </w:p>
    <w:p w14:paraId="6DDC2158" w14:textId="77777777" w:rsidR="007758C1" w:rsidRDefault="007758C1"/>
    <w:p w14:paraId="30F814BF" w14:textId="77777777" w:rsidR="007758C1" w:rsidRDefault="00166C25">
      <w:r>
        <w:rPr>
          <w:b/>
          <w:sz w:val="28"/>
        </w:rPr>
        <w:t>The Physics of Displacement and Storage</w:t>
      </w:r>
    </w:p>
    <w:p w14:paraId="3840ACE4" w14:textId="77777777" w:rsidR="007758C1" w:rsidRDefault="00166C25">
      <w:r>
        <w:t>To understand the current institutional recoil, we must first define the energy that was displaced. The Quantum Boomerang architecture of human energetics posits that surplus and deficit are not abstract moral concepts but conserved quantities.</w:t>
      </w:r>
    </w:p>
    <w:p w14:paraId="243587F0" w14:textId="77777777" w:rsidR="007758C1" w:rsidRDefault="00166C25">
      <w:r>
        <w:t>In December 2025, Oxford University attempted to displace a significant deficit onto the researcher. They presented a procedural rejection that contradicted their simultaneous intellectual engagement with the researcher's work. In standard bureaucratic physics, this contradiction is entropy. It is noise. The institution expects the applicant to carry this noise, to internalise the confusion, and to quietly exit the system.</w:t>
      </w:r>
    </w:p>
    <w:p w14:paraId="34ACC540" w14:textId="77777777" w:rsidR="007758C1" w:rsidRDefault="00166C25">
      <w:r>
        <w:t>This expectation is the Law of the Dead Asset in operation. The institution seeks to render the agent inert so it can safely harvest the intellectual value.</w:t>
      </w:r>
    </w:p>
    <w:p w14:paraId="6317F187" w14:textId="77777777" w:rsidR="007758C1" w:rsidRDefault="00166C25">
      <w:r>
        <w:t>However, the Quantum Boomerang effect predicts that in a disordered material, in this case a disordered administrative system, a particle pushed away from its origin does not drift endlessly if it retains its wave function. It interferes with itself and reverses.</w:t>
      </w:r>
    </w:p>
    <w:p w14:paraId="2899BA9C" w14:textId="77777777" w:rsidR="007758C1" w:rsidRDefault="00166C25">
      <w:r>
        <w:t>Oxford created the disorder through contradictory policies where the intellectual subsystem accepted the work whilst the administrative subsystem rejected the author. They assumed the particle, the researcher, would lose coherence. Instead, the researcher maintained absolute coherence through systematic documentation and theoretical framing.</w:t>
      </w:r>
    </w:p>
    <w:p w14:paraId="2C98C219" w14:textId="77777777" w:rsidR="007758C1" w:rsidRDefault="007758C1"/>
    <w:p w14:paraId="7B5B013C" w14:textId="77777777" w:rsidR="007758C1" w:rsidRDefault="00166C25">
      <w:r>
        <w:rPr>
          <w:b/>
          <w:sz w:val="28"/>
        </w:rPr>
        <w:t>The Physics of Trapped Accountability: Anderson Localisation</w:t>
      </w:r>
    </w:p>
    <w:p w14:paraId="6D4B57ED" w14:textId="77777777" w:rsidR="007758C1" w:rsidRDefault="00166C25">
      <w:r>
        <w:t>In condensed matter physics, Anderson localisation describes a phenomenon where disorder in a medium halts the propagation of a wave, causing it to become trapped in a specific region rather than dissipating. The wave interferes with itself through multiple scattering events, creating a standing pattern of high amplitude.</w:t>
      </w:r>
    </w:p>
    <w:p w14:paraId="7E7905F9" w14:textId="77777777" w:rsidR="007758C1" w:rsidRDefault="00166C25">
      <w:r>
        <w:t>Oxford's institutional behaviour created the perfect disordered medium for this effect. The contradiction between the Intellectual Subsystem, which validated the work, and the Administrative Subsystem, which rejected the person, acted as the scattering boundaries.</w:t>
      </w:r>
    </w:p>
    <w:p w14:paraId="03E70A70" w14:textId="77777777" w:rsidR="007758C1" w:rsidRDefault="00166C25">
      <w:r>
        <w:t>Normally, an applicant's energy dissipates into the silence of rejection. However, the subject acted as a coherent wave function. By refusing to absorb the entropy and instead documenting every contradiction in real time, the subject caused the institutional energy to interfere with itself.</w:t>
      </w:r>
    </w:p>
    <w:p w14:paraId="51880A3B" w14:textId="77777777" w:rsidR="007758C1" w:rsidRDefault="00166C25">
      <w:r>
        <w:t>The result: the risk was not dispersed; it was localised. The institution is now trapped in a high amplitude standing wave of its own making, a localised pocket of legal and reputational accountability that cannot diffuse because the subject refuses to be permeable.</w:t>
      </w:r>
    </w:p>
    <w:p w14:paraId="6AFD6554" w14:textId="77777777" w:rsidR="007758C1" w:rsidRDefault="007758C1"/>
    <w:p w14:paraId="162536F0" w14:textId="77777777" w:rsidR="007758C1" w:rsidRDefault="00166C25">
      <w:r>
        <w:rPr>
          <w:b/>
          <w:sz w:val="28"/>
        </w:rPr>
        <w:t>The Reflective Surface: Coherence as Resistance</w:t>
      </w:r>
    </w:p>
    <w:p w14:paraId="2CB94C90" w14:textId="77777777" w:rsidR="007758C1" w:rsidRDefault="00166C25">
      <w:r>
        <w:t>The pivot point of this case study is the nature of the resistance. It is critical to note that the boomerang effect was not triggered by an attack. It was triggered by a refusal to absorb.</w:t>
      </w:r>
    </w:p>
    <w:p w14:paraId="5BBAECB4" w14:textId="77777777" w:rsidR="007758C1" w:rsidRDefault="00166C25">
      <w:r>
        <w:t>As noted in the theoretical framework, a Surplus Mind operating in vertical time generates high intensity output. When this mind encounters the Cellophane State, it usually suffers from energetic debt. The system extracts energy and returns nothing.</w:t>
      </w:r>
    </w:p>
    <w:p w14:paraId="2D179EAB" w14:textId="77777777" w:rsidR="007758C1" w:rsidRDefault="00166C25">
      <w:r>
        <w:t>In this specific instance, the researcher refused the debt. By documenting the bifurcation and analysing it in real time, the researcher transformed himself from a porous vessel into a reflective surface.</w:t>
      </w:r>
    </w:p>
    <w:p w14:paraId="7E2EC176" w14:textId="77777777" w:rsidR="007758C1" w:rsidRDefault="00166C25">
      <w:r>
        <w:t>The displacement occurred when Oxford sent a rejection based on procedural rigidity. The refusal occurred when the researcher did not accept the rejection as a judgement of merit but documented it as a data point of failure. The coherence was maintained by placing the rejection inside a theoretical framework, The Turing Theory, which prevented the energy from dissipating into shame or silence.</w:t>
      </w:r>
    </w:p>
    <w:p w14:paraId="62C0C6AC" w14:textId="77777777" w:rsidR="007758C1" w:rsidRDefault="00166C25">
      <w:r>
        <w:lastRenderedPageBreak/>
        <w:t>When displaced energy hits a coherent surface, it cannot pass through. It must conserve itself. The only vector remaining is the return path.</w:t>
      </w:r>
    </w:p>
    <w:p w14:paraId="1892A99A" w14:textId="77777777" w:rsidR="007758C1" w:rsidRDefault="007758C1"/>
    <w:p w14:paraId="4D8128C0" w14:textId="77777777" w:rsidR="007758C1" w:rsidRDefault="00166C25">
      <w:r>
        <w:rPr>
          <w:b/>
          <w:sz w:val="28"/>
        </w:rPr>
        <w:t>Symmetry Restoration and Structural Parity</w:t>
      </w:r>
    </w:p>
    <w:p w14:paraId="6F05233E" w14:textId="77777777" w:rsidR="007758C1" w:rsidRDefault="00166C25">
      <w:r>
        <w:t>The result of this dynamic is what we may term symmetry restoration.</w:t>
      </w:r>
    </w:p>
    <w:p w14:paraId="3325E508" w14:textId="77777777" w:rsidR="007758C1" w:rsidRDefault="00166C25">
      <w:r>
        <w:t>For the majority of the interaction, the relationship was asymmetrical. Oxford held the prestige, the timeline, and the decision making power. The applicant held only the request. This is the standard architecture of the Cellophane State where the institution is opaque and the user is transparent.</w:t>
      </w:r>
    </w:p>
    <w:p w14:paraId="4FD01FC6" w14:textId="77777777" w:rsidR="007758C1" w:rsidRDefault="00166C25">
      <w:r>
        <w:t>The activation of the Quantum Boomerang has inverted this architecture. Because the institution could not make the applicant disappear, and because the applicant held the mirror of their own contradictions up to them, the system forced itself into a state of parity.</w:t>
      </w:r>
    </w:p>
    <w:p w14:paraId="7E5FCDC9" w14:textId="77777777" w:rsidR="007758C1" w:rsidRDefault="00166C25">
      <w:r>
        <w:t>We observe this in the shift from administrative dismissal to legal engagement. The institution can no longer operate on brochure time or horizontal time. They are forced to engage with the specific, vertical timeline of the case.</w:t>
      </w:r>
    </w:p>
    <w:p w14:paraId="3C669693" w14:textId="77777777" w:rsidR="007758C1" w:rsidRDefault="00166C25">
      <w:r>
        <w:t>This is not vengeance. It is physics. It is the restoration of an equation that was left unbalanced. The institution attempted to externalise a cost, the cost of assessing a nonstandard candidate. The candidate returned the cost, the cost of defending a discriminatory procedure. The ledger is balancing itself.</w:t>
      </w:r>
    </w:p>
    <w:p w14:paraId="46AB574D" w14:textId="77777777" w:rsidR="007758C1" w:rsidRDefault="007758C1"/>
    <w:p w14:paraId="3640ECE8" w14:textId="77777777" w:rsidR="007758C1" w:rsidRDefault="00166C25">
      <w:r>
        <w:rPr>
          <w:b/>
          <w:sz w:val="28"/>
        </w:rPr>
        <w:t>The Reciprocal Cost Architecture</w:t>
      </w:r>
    </w:p>
    <w:p w14:paraId="73CD4224" w14:textId="77777777" w:rsidR="007758C1" w:rsidRDefault="00166C25">
      <w:r>
        <w:t>The Quantum Boomerang enforces a strict conservation of energy regarding cost.</w:t>
      </w:r>
    </w:p>
    <w:p w14:paraId="246F5252" w14:textId="77777777" w:rsidR="007758C1" w:rsidRDefault="00166C25">
      <w:r>
        <w:t>The institution attempted to externalise the cost of assessment. By claiming that reviewing a nonstandard portfolio was an unreasonable burden (Pollini, 2025), the administration sought to save the marginal caloric and temporal expense of reading complex work.</w:t>
      </w:r>
    </w:p>
    <w:p w14:paraId="5DB5D533" w14:textId="77777777" w:rsidR="007758C1" w:rsidRDefault="00166C25">
      <w:r>
        <w:t>However, because the subject refused to accept this debt, the cost returned with interest. The institution is now expending resources that exceed the initial assessment cost by orders of magnitude:</w:t>
      </w:r>
    </w:p>
    <w:p w14:paraId="23C0F553" w14:textId="77777777" w:rsidR="007758C1" w:rsidRDefault="00166C25">
      <w:r>
        <w:t>Initial Avoided Cost: approximately 2 hours of academic assessment time.</w:t>
      </w:r>
    </w:p>
    <w:p w14:paraId="3C9024EE" w14:textId="77777777" w:rsidR="007758C1" w:rsidRDefault="00166C25">
      <w:r>
        <w:lastRenderedPageBreak/>
        <w:t>Current Incurred Cost: Senior Legal Services engagement, data retrieval (GAR AH 1153), retrospective auditing, and potential reputational damage control.</w:t>
      </w:r>
    </w:p>
    <w:p w14:paraId="00E585A6" w14:textId="77777777" w:rsidR="007758C1" w:rsidRDefault="00166C25">
      <w:r>
        <w:t>The system attempted to save pennies in Horizontal Time and is now paying pounds in Vertical Time. This confirms that the exclusion of surplus cognition is not an efficiency saving; it is a deferred liability.</w:t>
      </w:r>
    </w:p>
    <w:p w14:paraId="0044D3DA" w14:textId="77777777" w:rsidR="007758C1" w:rsidRDefault="00166C25">
      <w:r>
        <w:t>The institution's attempt to exclude complexity through procedural simplification has forced it into precisely the complexity it sought to avoid, but now in an adversarial rather than collaborative frame.</w:t>
      </w:r>
    </w:p>
    <w:p w14:paraId="6B7FFB8E" w14:textId="77777777" w:rsidR="007758C1" w:rsidRDefault="007758C1"/>
    <w:p w14:paraId="27E2661E" w14:textId="77777777" w:rsidR="007758C1" w:rsidRDefault="00166C25">
      <w:r>
        <w:rPr>
          <w:b/>
          <w:sz w:val="28"/>
        </w:rPr>
        <w:t>The Collapse of the Turing Trap</w:t>
      </w:r>
    </w:p>
    <w:p w14:paraId="33744DB6" w14:textId="77777777" w:rsidR="007758C1" w:rsidRDefault="00166C25">
      <w:r>
        <w:t>This validation has profound implications for the Turing Theory. Historically, the cycle of Sanctified Erasure, extraction, rejection, appropriation, relied on the destruction of the living agent. Alan Turing could not trigger a quantum boomerang because the state successfully destroyed his coherence before the return could occur.</w:t>
      </w:r>
    </w:p>
    <w:p w14:paraId="0FD61D88" w14:textId="77777777" w:rsidR="007758C1" w:rsidRDefault="00166C25">
      <w:r>
        <w:t>The Oxford case demonstrates that a living, coherent agent can short circuit this cycle. By diagnosing the erasure whilst it is happening, the agent prevents the settlement event of death or silence.</w:t>
      </w:r>
    </w:p>
    <w:p w14:paraId="243798CA" w14:textId="77777777" w:rsidR="007758C1" w:rsidRDefault="00166C25">
      <w:r>
        <w:t>We are witnessing a live Turing event. The institution wants the theory through extraction but rejects the person through rejection. However, because the person refuses to be rendered inert, the appropriation phase cannot proceed smoothly. The dead asset refuses to die.</w:t>
      </w:r>
    </w:p>
    <w:p w14:paraId="03ED4192" w14:textId="77777777" w:rsidR="007758C1" w:rsidRDefault="00166C25">
      <w:r>
        <w:t>This jams the machine. The institution cannot wash the history because the history is still writing itself. The statue cannot be built because the model is still speaking.</w:t>
      </w:r>
    </w:p>
    <w:p w14:paraId="3FF93CC1" w14:textId="77777777" w:rsidR="007758C1" w:rsidRDefault="007758C1"/>
    <w:p w14:paraId="579C933A" w14:textId="77777777" w:rsidR="007758C1" w:rsidRDefault="00166C25">
      <w:r>
        <w:rPr>
          <w:b/>
          <w:sz w:val="28"/>
        </w:rPr>
        <w:t>Predictive Validation: Markers of the Boomerang</w:t>
      </w:r>
    </w:p>
    <w:p w14:paraId="2CC8ED1E" w14:textId="77777777" w:rsidR="007758C1" w:rsidRDefault="00166C25">
      <w:r>
        <w:t>If the Quantum Boomerang theory holds true as a structural law rather than a metaphorical device, we should observe specific, falsifiable markers in the institution's response. This case study validates four distinct phases:</w:t>
      </w:r>
    </w:p>
    <w:p w14:paraId="333D5198" w14:textId="77777777" w:rsidR="007758C1" w:rsidRDefault="00166C25">
      <w:r>
        <w:t>Escalating Resource Allocation: The shift from automated rejection to Senior Legal intervention.</w:t>
      </w:r>
    </w:p>
    <w:p w14:paraId="527008D0" w14:textId="77777777" w:rsidR="007758C1" w:rsidRDefault="00166C25">
      <w:r>
        <w:t>Involuntary Transparency: The forced release of internal data (Dataset GAR AH 1153) that contradicts public policy.</w:t>
      </w:r>
    </w:p>
    <w:p w14:paraId="2F0EF02D" w14:textId="77777777" w:rsidR="007758C1" w:rsidRDefault="00166C25">
      <w:r>
        <w:lastRenderedPageBreak/>
        <w:t>Timeline Compression: The institution is forced out of its slow, bureaucratic tempo into the urgent, deadline driven tempo of the subject (Vertical Time processing).</w:t>
      </w:r>
    </w:p>
    <w:p w14:paraId="6B20B54D" w14:textId="77777777" w:rsidR="007758C1" w:rsidRDefault="00166C25">
      <w:r>
        <w:t>Defensive Symmetry: The institution is forced to generate a volume of paperwork to defend the exclusion that matches or exceeds the volume of the original application.</w:t>
      </w:r>
    </w:p>
    <w:p w14:paraId="60D84BB3" w14:textId="77777777" w:rsidR="007758C1" w:rsidRDefault="007758C1"/>
    <w:p w14:paraId="64DCEE1D" w14:textId="77777777" w:rsidR="007758C1" w:rsidRDefault="00166C25">
      <w:r>
        <w:rPr>
          <w:b/>
          <w:sz w:val="28"/>
        </w:rPr>
        <w:t>Conclusion: The Grotesque Precision of the Return</w:t>
      </w:r>
    </w:p>
    <w:p w14:paraId="0AA7B172" w14:textId="77777777" w:rsidR="007758C1" w:rsidRDefault="00166C25">
      <w:r>
        <w:t>The Quantum Boomerang is not a metaphor for karma. It is a description of institutional mechanics. When a system relies on the silence of its parts to function, speech becomes a structural shock.</w:t>
      </w:r>
    </w:p>
    <w:p w14:paraId="5E4F0CE6" w14:textId="77777777" w:rsidR="007758C1" w:rsidRDefault="00166C25">
      <w:r>
        <w:t>Oxford University provided the energy for this return. They provided the contradiction. They provided the evidence. All the researcher did was provide the geometry, the straight, vertical line that refused to bend to the horizontal pressure.</w:t>
      </w:r>
    </w:p>
    <w:p w14:paraId="19AEAD06" w14:textId="77777777" w:rsidR="007758C1" w:rsidRDefault="00166C25">
      <w:r>
        <w:t>The boomerang has returned. The bifurcation is no longer a tool of exclusion but a mechanism of entrapment for the institution itself. They are now locked in a room with the consequences of their own logic.</w:t>
      </w:r>
    </w:p>
    <w:p w14:paraId="5D306E02" w14:textId="77777777" w:rsidR="007758C1" w:rsidRDefault="00166C25">
      <w:r>
        <w:t>As predicted by the Equilibrium Ledger, the system is attempting to correct its deficit. Whether this correction manifests as settlement, admission, or further defensive posturing is irrelevant to the physics. The vector has reversed. The observer has become the operator.</w:t>
      </w:r>
    </w:p>
    <w:p w14:paraId="25F930B9" w14:textId="77777777" w:rsidR="007758C1" w:rsidRDefault="00166C25">
      <w:r>
        <w:t>The paradox is resolved not by the institution answering the applicant, but by the institution having to answer itself.</w:t>
      </w:r>
    </w:p>
    <w:p w14:paraId="63CEF58F" w14:textId="77777777" w:rsidR="007758C1" w:rsidRDefault="007758C1"/>
    <w:p w14:paraId="15AF4C50" w14:textId="77777777" w:rsidR="007758C1" w:rsidRDefault="00166C25">
      <w:r>
        <w:rPr>
          <w:b/>
          <w:sz w:val="28"/>
        </w:rPr>
        <w:t>Appendix A: Empirical Timeline of the Kinetic Return</w:t>
      </w:r>
    </w:p>
    <w:p w14:paraId="010F58FB" w14:textId="77777777" w:rsidR="007758C1" w:rsidRDefault="00166C25">
      <w:r>
        <w:t>08 December 2025 (The Displacement): Administrative rejection issued citing standard credential deficits. The institution attempts to offload the cost of complexity onto the applicant.</w:t>
      </w:r>
    </w:p>
    <w:p w14:paraId="44D54656" w14:textId="77777777" w:rsidR="007758C1" w:rsidRDefault="00166C25">
      <w:r>
        <w:t>12 December 2025 (The Friction): Subject files formal Equality Act request regarding assessment methods.</w:t>
      </w:r>
    </w:p>
    <w:p w14:paraId="44F83114" w14:textId="77777777" w:rsidR="007758C1" w:rsidRDefault="00166C25">
      <w:r>
        <w:t>23 December 2025 (The Scattering Event): Director of Graduate Admissions confirms refusal to assess, citing unreasonable burden. This admission provides the disorder required for localisation.</w:t>
      </w:r>
    </w:p>
    <w:p w14:paraId="007F976C" w14:textId="77777777" w:rsidR="007758C1" w:rsidRDefault="00166C25">
      <w:r>
        <w:lastRenderedPageBreak/>
        <w:t>19 January 2026 (The Localisation): Senior Legal Services takes carriage of the file.</w:t>
      </w:r>
    </w:p>
    <w:p w14:paraId="39E0C4D4" w14:textId="77777777" w:rsidR="007758C1" w:rsidRDefault="00166C25">
      <w:r>
        <w:t>19 January 2026 (The Involuntary Transparency): Institution discloses internal dataset GAR AH 1153, statistically confirming the Zero Variance exclusion policy.</w:t>
      </w:r>
    </w:p>
    <w:p w14:paraId="7EEBD480" w14:textId="77777777" w:rsidR="007758C1" w:rsidRDefault="00166C25">
      <w:r>
        <w:t>Current State: Active pre action engagement under the Equality Act 2010. The energy has fully returned to the originator.</w:t>
      </w:r>
    </w:p>
    <w:p w14:paraId="3054390B" w14:textId="77777777" w:rsidR="007578DC" w:rsidRDefault="007578DC"/>
    <w:p w14:paraId="3A5ECB7F" w14:textId="0CE65888" w:rsidR="007578DC" w:rsidRDefault="007578DC">
      <w:r>
        <w:rPr>
          <w:noProof/>
        </w:rPr>
        <w:drawing>
          <wp:anchor distT="0" distB="0" distL="114300" distR="114300" simplePos="0" relativeHeight="251659264" behindDoc="0" locked="0" layoutInCell="1" allowOverlap="1" wp14:anchorId="7BDF17E5" wp14:editId="3CF74DF1">
            <wp:simplePos x="0" y="0"/>
            <wp:positionH relativeFrom="column">
              <wp:posOffset>-178435</wp:posOffset>
            </wp:positionH>
            <wp:positionV relativeFrom="paragraph">
              <wp:posOffset>602615</wp:posOffset>
            </wp:positionV>
            <wp:extent cx="5725160" cy="3122930"/>
            <wp:effectExtent l="0" t="0" r="2540" b="1270"/>
            <wp:wrapTopAndBottom/>
            <wp:docPr id="1494417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17076" name=""/>
                    <pic:cNvPicPr/>
                  </pic:nvPicPr>
                  <pic:blipFill>
                    <a:blip r:embed="rId6"/>
                    <a:stretch>
                      <a:fillRect/>
                    </a:stretch>
                  </pic:blipFill>
                  <pic:spPr>
                    <a:xfrm>
                      <a:off x="0" y="0"/>
                      <a:ext cx="5725160" cy="3122930"/>
                    </a:xfrm>
                    <a:prstGeom prst="rect">
                      <a:avLst/>
                    </a:prstGeom>
                  </pic:spPr>
                </pic:pic>
              </a:graphicData>
            </a:graphic>
            <wp14:sizeRelH relativeFrom="margin">
              <wp14:pctWidth>0</wp14:pctWidth>
            </wp14:sizeRelH>
            <wp14:sizeRelV relativeFrom="margin">
              <wp14:pctHeight>0</wp14:pctHeight>
            </wp14:sizeRelV>
          </wp:anchor>
        </w:drawing>
      </w:r>
    </w:p>
    <w:p w14:paraId="50D06404" w14:textId="77777777" w:rsidR="00F124BC" w:rsidRDefault="00F124BC"/>
    <w:p w14:paraId="5B2E2F7F" w14:textId="4C40FF9A" w:rsidR="00F124BC" w:rsidRDefault="00F124BC">
      <w:r>
        <w:rPr>
          <w:noProof/>
        </w:rPr>
        <w:lastRenderedPageBreak/>
        <w:drawing>
          <wp:anchor distT="0" distB="0" distL="114300" distR="114300" simplePos="0" relativeHeight="251661312" behindDoc="0" locked="0" layoutInCell="1" allowOverlap="1" wp14:anchorId="749A8684" wp14:editId="33207BE6">
            <wp:simplePos x="0" y="0"/>
            <wp:positionH relativeFrom="column">
              <wp:posOffset>-332105</wp:posOffset>
            </wp:positionH>
            <wp:positionV relativeFrom="paragraph">
              <wp:posOffset>1715135</wp:posOffset>
            </wp:positionV>
            <wp:extent cx="6321425" cy="3450590"/>
            <wp:effectExtent l="0" t="0" r="3175" b="3810"/>
            <wp:wrapTopAndBottom/>
            <wp:docPr id="8853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1906" name=""/>
                    <pic:cNvPicPr/>
                  </pic:nvPicPr>
                  <pic:blipFill>
                    <a:blip r:embed="rId7"/>
                    <a:stretch>
                      <a:fillRect/>
                    </a:stretch>
                  </pic:blipFill>
                  <pic:spPr>
                    <a:xfrm>
                      <a:off x="0" y="0"/>
                      <a:ext cx="6321425" cy="3450590"/>
                    </a:xfrm>
                    <a:prstGeom prst="rect">
                      <a:avLst/>
                    </a:prstGeom>
                  </pic:spPr>
                </pic:pic>
              </a:graphicData>
            </a:graphic>
            <wp14:sizeRelH relativeFrom="margin">
              <wp14:pctWidth>0</wp14:pctWidth>
            </wp14:sizeRelH>
            <wp14:sizeRelV relativeFrom="margin">
              <wp14:pctHeight>0</wp14:pctHeight>
            </wp14:sizeRelV>
          </wp:anchor>
        </w:drawing>
      </w:r>
    </w:p>
    <w:sectPr w:rsidR="00F124B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auto"/>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ourier">
    <w:panose1 w:val="020B060402020202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88086832">
    <w:abstractNumId w:val="8"/>
  </w:num>
  <w:num w:numId="2" w16cid:durableId="1689139582">
    <w:abstractNumId w:val="6"/>
  </w:num>
  <w:num w:numId="3" w16cid:durableId="1659574634">
    <w:abstractNumId w:val="5"/>
  </w:num>
  <w:num w:numId="4" w16cid:durableId="1939369617">
    <w:abstractNumId w:val="4"/>
  </w:num>
  <w:num w:numId="5" w16cid:durableId="321009146">
    <w:abstractNumId w:val="7"/>
  </w:num>
  <w:num w:numId="6" w16cid:durableId="726413395">
    <w:abstractNumId w:val="3"/>
  </w:num>
  <w:num w:numId="7" w16cid:durableId="402025231">
    <w:abstractNumId w:val="2"/>
  </w:num>
  <w:num w:numId="8" w16cid:durableId="420376108">
    <w:abstractNumId w:val="1"/>
  </w:num>
  <w:num w:numId="9" w16cid:durableId="16318637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1"/>
  <w:proofState w:spelling="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166C25"/>
    <w:rsid w:val="0029639D"/>
    <w:rsid w:val="00326F90"/>
    <w:rsid w:val="003D6362"/>
    <w:rsid w:val="007578DC"/>
    <w:rsid w:val="007758C1"/>
    <w:rsid w:val="00AA1D8D"/>
    <w:rsid w:val="00B23507"/>
    <w:rsid w:val="00B47730"/>
    <w:rsid w:val="00CB0664"/>
    <w:rsid w:val="00DF00F1"/>
    <w:rsid w:val="00F124BC"/>
    <w:rsid w:val="00F57C62"/>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A466B85"/>
  <w14:defaultImageDpi w14:val="300"/>
  <w15:docId w15:val="{AF187D38-6A40-774A-8834-46686E4CE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Times New Roman" w:hAnsi="Times New Roman"/>
      <w:sz w:val="24"/>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1968</Words>
  <Characters>11219</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13161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alessandro grassini</cp:lastModifiedBy>
  <cp:revision>5</cp:revision>
  <dcterms:created xsi:type="dcterms:W3CDTF">2013-12-23T23:15:00Z</dcterms:created>
  <dcterms:modified xsi:type="dcterms:W3CDTF">2026-01-25T19:49:00Z</dcterms:modified>
  <cp:category/>
</cp:coreProperties>
</file>