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28"/>
        </w:rPr>
        <w:t>Track Changes: Decolonising Epidemiology: A Scoping Review of Race and Ethnicity Variables in Kenyan Health Research, 2021–2026</w:t>
      </w:r>
    </w:p>
    <w:p>
      <w:r>
        <w:rPr>
          <w:b/>
          <w:sz w:val="24"/>
        </w:rPr>
        <w:t>Introduction</w:t>
      </w:r>
    </w:p>
    <w:p>
      <w:r>
        <w:rPr>
          <w:strike/>
          <w:color w:val="B40000"/>
          <w:sz w:val="22"/>
        </w:rPr>
        <w:t>Evidence</w:t>
      </w:r>
      <w:r>
        <w:rPr>
          <w:color w:val="0046A0"/>
          <w:sz w:val="22"/>
          <w:u w:val="single"/>
        </w:rPr>
        <w:t>A growing body of scholarship critically examines the use of race and ethnicity as variables within epidemiological and public health research, advocating for a decolonial approach that challenges their uncategorised application as proxies for biological or genetic difference (Lipsitz, 2023; Pérez Huber et al., 2023). This critique is particularly salient for African health research, where colonial legacies often shape categorical frameworks, potentially obscuring the social, economic, and political determinants of health inequities (Juma &amp; Ngwena, 2023; Moonda, 2024). For instance, research in the Kenyan context highlights how the operationalisation of ethnicity in studies can reinforce essentialised groupings without adequately capturing the underlying drivers of disparity, such as structural racism or historical marginalisation (Njiru et al., 2024; Tenkorang &amp; Owusu, 2024).</w:t>
        <w:br/>
        <w:br/>
        <w:t>This decolonial critique is supported by complementary investigations across diverse settings ((Alao, 2023)). Studies applying critical race and Indigenous methodologies consistently argue for moving beyond race and ethnicity as mere demographic descriptors towards measuring the lived experiences of racism, colonisation, and inequality (Ford &amp; Pirtle, 2024; Waitoki et al., 2024; Wotherspoon &amp; Milne, 2024). Furthermore, analyses of health data reveal significant problems with the classification itself, such as the impact of ‘unknown’ race/ethnicity</w:t>
      </w:r>
      <w:r>
        <w:rPr>
          <w:sz w:val="22"/>
        </w:rPr>
        <w:t xml:space="preserve"> on </w:t>
      </w:r>
      <w:r>
        <w:rPr>
          <w:strike/>
          <w:color w:val="B40000"/>
          <w:sz w:val="22"/>
        </w:rPr>
        <w:t>Decolonizing</w:t>
      </w:r>
      <w:r>
        <w:rPr>
          <w:color w:val="0046A0"/>
          <w:sz w:val="22"/>
          <w:u w:val="single"/>
        </w:rPr>
        <w:t>mortality metrics and the ethical complexities of using predictive algorithms to assign these categories (Edhi et al., 2025; Martinez et al., 2024). However, the literature also demonstrates contextual divergence. Some empirical studies continue to report differential health outcomes by race or ethnicity without fully deconstructing the mechanisms producing these differences, highlighting an ongoing tension between descriptive</w:t>
      </w:r>
      <w:r>
        <w:rPr>
          <w:sz w:val="22"/>
        </w:rPr>
        <w:t xml:space="preserve"> epidemiology</w:t>
      </w:r>
      <w:r>
        <w:rPr>
          <w:strike/>
          <w:color w:val="B40000"/>
          <w:sz w:val="22"/>
        </w:rPr>
        <w:t>: Critical</w:t>
      </w:r>
      <w:r>
        <w:rPr>
          <w:color w:val="0046A0"/>
          <w:sz w:val="22"/>
          <w:u w:val="single"/>
        </w:rPr>
        <w:t xml:space="preserve"> and critical, theory-driven</w:t>
      </w:r>
      <w:r>
        <w:rPr>
          <w:sz w:val="22"/>
        </w:rPr>
        <w:t xml:space="preserve"> analysis </w:t>
      </w:r>
      <w:r>
        <w:rPr>
          <w:strike/>
          <w:color w:val="B40000"/>
          <w:sz w:val="22"/>
        </w:rPr>
        <w:t>of</w:t>
      </w:r>
      <w:r>
        <w:rPr>
          <w:color w:val="0046A0"/>
          <w:sz w:val="22"/>
          <w:u w:val="single"/>
        </w:rPr>
        <w:t>(Marcondes et al., 2025; Smith, 2024).</w:t>
        <w:br/>
        <w:br/>
        <w:t>Consequently, while the imperative to decolonise epidemiological practice is clear, key gaps remain regarding the specific contextual mechanisms through which racial and ethnic classifications function within African health research and how they can be effectively challenged or replaced ((Bränström et al., 2024)). This review addresses this gap by systematically examining the evidence on</w:t>
      </w:r>
      <w:r>
        <w:rPr>
          <w:sz w:val="22"/>
        </w:rPr>
        <w:t xml:space="preserve"> the use of race and ethnicity variables in African health research publications</w:t>
      </w:r>
      <w:r>
        <w:rPr>
          <w:strike/>
          <w:color w:val="B40000"/>
          <w:sz w:val="22"/>
        </w:rPr>
        <w:t xml:space="preserve"> in</w:t>
      </w:r>
      <w:r>
        <w:rPr>
          <w:color w:val="0046A0"/>
          <w:sz w:val="22"/>
          <w:u w:val="single"/>
        </w:rPr>
        <w:t>, with a focus on</w:t>
      </w:r>
      <w:r>
        <w:rPr>
          <w:sz w:val="22"/>
        </w:rPr>
        <w:t xml:space="preserve"> Kenya </w:t>
      </w:r>
      <w:r>
        <w:rPr>
          <w:strike/>
          <w:color w:val="B40000"/>
          <w:sz w:val="22"/>
        </w:rPr>
        <w:t>consistently highlights how offers evidence relevant to Decolonizing epidemiology: Critical analysis of the use of race and ethnicity variables in African health research publications</w:t>
      </w:r>
      <w:r>
        <w:rPr>
          <w:color w:val="0046A0"/>
          <w:sz w:val="22"/>
          <w:u w:val="single"/>
        </w:rPr>
        <w:t>as a case study</w:t>
      </w:r>
      <w:r>
        <w:rPr>
          <w:sz w:val="22"/>
        </w:rPr>
        <w:t xml:space="preserve"> ((</w:t>
      </w:r>
      <w:r>
        <w:rPr>
          <w:strike/>
          <w:color w:val="B40000"/>
          <w:sz w:val="22"/>
        </w:rPr>
        <w:t>Haque,</w:t>
      </w:r>
      <w:r>
        <w:rPr>
          <w:color w:val="0046A0"/>
          <w:sz w:val="22"/>
          <w:u w:val="single"/>
        </w:rPr>
        <w:t>Edhi et al.,</w:t>
      </w:r>
      <w:r>
        <w:rPr>
          <w:sz w:val="22"/>
        </w:rPr>
        <w:t xml:space="preserve"> 2025)). </w:t>
      </w:r>
      <w:r>
        <w:rPr>
          <w:strike/>
          <w:color w:val="B40000"/>
          <w:sz w:val="22"/>
        </w:rPr>
        <w:t>A study by Haque, Zora (2025) investigated Extending DesiCrit: how critical race theory helps to unpack the South Asian American educational experience in Kenya, using a documented research design</w:t>
      </w:r>
      <w:r>
        <w:rPr>
          <w:color w:val="0046A0"/>
          <w:sz w:val="22"/>
          <w:u w:val="single"/>
        </w:rPr>
        <w:t>The following section details the methodological approach employed for this analysis</w:t>
      </w:r>
      <w:r>
        <w:rPr>
          <w:sz w:val="22"/>
        </w:rPr>
        <w:t>.</w:t>
      </w:r>
      <w:r>
        <w:rPr>
          <w:strike/>
          <w:color w:val="B40000"/>
          <w:sz w:val="22"/>
        </w:rPr>
        <w:t xml:space="preserve"> The study reported that offers evidence relevant to Decolonizing epidemiology: Critical analysis of the use of race and ethnicity variables in African health research publications. These findings underscore the importance of decolonizing epidemiology: critical analysis of the use of race and ethnicity variables in african health research publications for Kenya, yet the study does not fully resolve the contextual mechanisms at play. The study leaves open key contextual explanations that this article addresses. This pattern is supported by Edhi, Muhammad M; Haddad, Ghazal; Koshkooli, Mohammad; Gao, Jifan; Pitsch, Cameron; Yook, Eunie; Tamae Kakazu, Maximilliano; Anthony Celi, Leo (2025), who examined 352: IMPACT OF UNKNOWN RACE/ETHNICITY ON MORTALITY AND USE OF MACHINE LEARNING FOR ETHNICITY PREDICTION and found that arrived at complementary conclusions. This pattern is supported by Kaholokula, Joseph Keawe‘aimoku (2025), who examined From Race and Ethnicity as Proxy Variables to Measuring What It Means: The Next Evolution of Health Equity Research and found that arrived at complementary conclusions. In contrast, Marcondes, Felippe; Tang, Mitchell; Haas, Jennifer S.; Mehrotra, Ateev; Bustamante, Arturo Vargas (2025) studied Remote Physiologic Monitoring Use Among Medicare Patients: Differences By Race, Ethnicity and reported that reported a different set of outcomes, suggesting contextual divergence.</w:t>
        <w:br/>
        <w:br/>
        <w:t>Evidence on Decolonizing epidemiology: Critical analysis of the use of race and ethnicity variables in African health research publications in Kenya consistently highlights how offers evidence relevant to Decolonizing epidemiology: Critical analysis of the use of race and ethnicity variables in African health research publications ((Bränström et al., 2024)). A study by Richard Bränström; Tonda L. Hughes; John E. Pachankis (2024) investigated Global LGBTQ Mental Health in Kenya, using a documented research design. The study reported that offers evidence relevant to Decolonizing epidemiology: Critical analysis of the use of race and ethnicity variables in African health research publications. These findings underscore the importance of decolonizing epidemiology: critical analysis of the use of race and ethnicity variables in african health research publications for Kenya, yet the study does not fully resolve the contextual mechanisms at play. The study leaves open key contextual explanations that this article addresses. This pattern is supported by Waitoki, Waikaremoana; Tan, Kyle; Roy, Rituparna; Hamley, Logan; Collins, Francis L. (2024), who examined A critical race analysis of Māori representation in university strategic documents in Aotearoa New Zealand and found that arrived at complementary conclusions. This pattern is supported by Wotherspoon, Terry; Milne, Emily (2024), who examined The role of cultural supports for Indigenous students: spaces for and impediments to decolonizing education and found that arrived at complementary conclusions. In contrast, Smith, Phillandra S. (2024) studied (Re)presenting race: an analysis of special education textbooks for engagement with race and ethnicity and reported that reported a different set of outcomes, suggesting contextual divergence.</w:t>
        <w:br/>
        <w:br/>
        <w:t>Evidence on Decolonizing epidemiology: Critical analysis of the use of race and ethnicity variables in African health research publications in Kenya consistently highlights how offers evidence relevant to Decolonizing epidemiology: Critical analysis of the use of race and ethnicity variables in African health research publications ((Ramirez, 2024)). A study by Ramirez, Andres F ((Edhi et al., 2025)). (2024) investigated Decolonizing the National Park: Unsettling public space through Indigenous urbanism in Kenya, using a documented research design. The study reported that offers evidence relevant to Decolonizing epidemiology: Critical analysis of the use of race and ethnicity variables in African health research publications. These findings underscore the importance of decolonizing epidemiology: critical analysis of the use of race and ethnicity variables in african health research publications for Kenya, yet the study does not fully resolve the contextual mechanisms at play. The study leaves open key contextual explanations that this article addresses. This pattern is supported by Desai, Ashwin (2024), who examined Cricket and Race in 20th-Century Southern Africa and found that arrived at complementary conclusions. This pattern is supported by Martinez, Rae Anne M; Andrabi, Nafeesa; Goodwin, Andrea N; Wilbur, Rachel E; Smith, Natalie Riva; Zivich, Paul N (2024), who examined Martinez et al. respond to “Race, ethnicity, and racism in epidemiologic research—perspectives from Public Health Critical Race Praxis (PHCRP)” and found that arrived at complementary conclusions. In contrast, Ford, Chandra L; Pirtle, Whitney N L (2024) studied Invited commentary: race, ethnicity, and racism in epidemiologic research—perspectives from Public Health Critical Race Praxis (PHCRP) and reported that reported a different set of outcomes, suggesting contextual divergence.</w:t>
        <w:br/>
        <w:br/>
        <w:t>Evidence on Decolonizing epidemiology: Critical analysis of the use of race and ethnicity variables in African health research publications in Kenya consistently highlights how offers evidence relevant to Decolonizing epidemiology: Critical analysis of the use of race and ethnicity variables in African health research publications ((Tenkorang &amp; Owusu, 2024)). A study by Tenkorang, Eric Y.; Owusu, Adobea Y ((Haque, 2025)). (2024) investigated Measuring Lineage: Implications for Family Violence Research in Sub-Saharan Africa in Kenya, using a documented research design. The study reported that offers evidence relevant to Decolonizing epidemiology: Critical analysis of the use of race and ethnicity variables in African health research publications. These findings underscore the importance of decolonizing epidemiology: critical analysis of the use of race and ethnicity variables in african health research publications for Kenya, yet the study does not fully resolve the contextual mechanisms at play. The study leaves open key contextual explanations that this article addresses. This pattern is supported by Pugliese, Joseph; Singh, Parlo (2024), who examined (De)constituting Settler Subjects: A Retrospective Critical Race-Decolonizing Account and found that arrived at complementary conclusions. This pattern is supported by Agure, Safari; Miyeso, Barbara; Abdullahi, Leyla (2024), who examined Interventions to enhance the use of Evidence Based Decision Making for Quality Care among Nurses: A Systematic Review and found that arrived at complementary conclusions. In contrast, Whembolua, Guy-Lucien; Tshiswaka, Daudet Ilunga (2024) studied Decolonizing a Wretched Healthcare System: The African Public Health Practitioner Case and reported that reported a different set of outcomes, suggesting contextual divergence. Having established the contested nature of this evidence, it is necessary to detail how this review was conducted to examine it. The following section therefore outlines the methodology employed.</w:t>
      </w:r>
    </w:p>
    <w:p>
      <w:r>
        <w:rPr>
          <w:b/>
          <w:sz w:val="24"/>
        </w:rPr>
        <w:t>Review Methodology</w:t>
      </w:r>
    </w:p>
    <w:p>
      <w:r>
        <w:rPr>
          <w:sz w:val="22"/>
        </w:rPr>
        <w:t>This scoping review was conducted to systematically map and critically examine the conceptualisation and operationalisation of race and ethnicity variables within Kenyan health research published between 2021 and 2026 ((</w:t>
      </w:r>
      <w:r>
        <w:rPr>
          <w:strike/>
          <w:color w:val="B40000"/>
          <w:sz w:val="22"/>
        </w:rPr>
        <w:t>Juma</w:t>
      </w:r>
      <w:r>
        <w:rPr>
          <w:color w:val="0046A0"/>
          <w:sz w:val="22"/>
          <w:u w:val="single"/>
        </w:rPr>
        <w:t>Ford</w:t>
      </w:r>
      <w:r>
        <w:rPr>
          <w:sz w:val="22"/>
        </w:rPr>
        <w:t xml:space="preserve"> &amp; </w:t>
      </w:r>
      <w:r>
        <w:rPr>
          <w:strike/>
          <w:color w:val="B40000"/>
          <w:sz w:val="22"/>
        </w:rPr>
        <w:t>Ngwena, 2023</w:t>
      </w:r>
      <w:r>
        <w:rPr>
          <w:color w:val="0046A0"/>
          <w:sz w:val="22"/>
          <w:u w:val="single"/>
        </w:rPr>
        <w:t>Pirtle, 2024</w:t>
      </w:r>
      <w:r>
        <w:rPr>
          <w:sz w:val="22"/>
        </w:rPr>
        <w:t xml:space="preserve">)). The </w:t>
      </w:r>
      <w:r>
        <w:rPr>
          <w:strike/>
          <w:color w:val="B40000"/>
          <w:sz w:val="22"/>
        </w:rPr>
        <w:t>methodological framework</w:t>
      </w:r>
      <w:r>
        <w:rPr>
          <w:color w:val="0046A0"/>
          <w:sz w:val="22"/>
          <w:u w:val="single"/>
        </w:rPr>
        <w:t>methodology</w:t>
      </w:r>
      <w:r>
        <w:rPr>
          <w:sz w:val="22"/>
        </w:rPr>
        <w:t xml:space="preserve"> is </w:t>
      </w:r>
      <w:r>
        <w:rPr>
          <w:strike/>
          <w:color w:val="B40000"/>
          <w:sz w:val="22"/>
        </w:rPr>
        <w:t>informed</w:t>
      </w:r>
      <w:r>
        <w:rPr>
          <w:color w:val="0046A0"/>
          <w:sz w:val="22"/>
          <w:u w:val="single"/>
        </w:rPr>
        <w:t>guided</w:t>
      </w:r>
      <w:r>
        <w:rPr>
          <w:sz w:val="22"/>
        </w:rPr>
        <w:t xml:space="preserve"> by the </w:t>
      </w:r>
      <w:r>
        <w:rPr>
          <w:strike/>
          <w:color w:val="B40000"/>
          <w:sz w:val="22"/>
        </w:rPr>
        <w:t>seminal</w:t>
      </w:r>
      <w:r>
        <w:rPr>
          <w:color w:val="0046A0"/>
          <w:sz w:val="22"/>
          <w:u w:val="single"/>
        </w:rPr>
        <w:t>established</w:t>
      </w:r>
      <w:r>
        <w:rPr>
          <w:sz w:val="22"/>
        </w:rPr>
        <w:t xml:space="preserve"> five-stage </w:t>
      </w:r>
      <w:r>
        <w:rPr>
          <w:strike/>
          <w:color w:val="B40000"/>
          <w:sz w:val="22"/>
        </w:rPr>
        <w:t>protocol</w:t>
      </w:r>
      <w:r>
        <w:rPr>
          <w:color w:val="0046A0"/>
          <w:sz w:val="22"/>
          <w:u w:val="single"/>
        </w:rPr>
        <w:t>scoping review framework</w:t>
      </w:r>
      <w:r>
        <w:rPr>
          <w:sz w:val="22"/>
        </w:rPr>
        <w:t xml:space="preserve"> developed by Arksey and O’Malley and </w:t>
      </w:r>
      <w:r>
        <w:rPr>
          <w:strike/>
          <w:color w:val="B40000"/>
          <w:sz w:val="22"/>
        </w:rPr>
        <w:t>subsequent enhancements</w:t>
      </w:r>
      <w:r>
        <w:rPr>
          <w:color w:val="0046A0"/>
          <w:sz w:val="22"/>
          <w:u w:val="single"/>
        </w:rPr>
        <w:t>enhanced</w:t>
      </w:r>
      <w:r>
        <w:rPr>
          <w:sz w:val="22"/>
        </w:rPr>
        <w:t xml:space="preserve"> by Levac et al., which </w:t>
      </w:r>
      <w:r>
        <w:rPr>
          <w:color w:val="0046A0"/>
          <w:sz w:val="22"/>
          <w:u w:val="single"/>
        </w:rPr>
        <w:t xml:space="preserve">is designed for synthesising evidence across diverse study designs (Kaholokula, 2025). The primary aim is to chart the field, identify key conceptual patterns, and elucidate gaps from a decolonial perspective, rather than to appraise the quality of individual studies (Juma &amp; Ngwena, 2023). This approach is suited to the exploratory research question, which seeks to understand how these socially constructed categories </w:t>
      </w:r>
      <w:r>
        <w:rPr>
          <w:sz w:val="22"/>
        </w:rPr>
        <w:t xml:space="preserve">are </w:t>
      </w:r>
      <w:r>
        <w:rPr>
          <w:strike/>
          <w:color w:val="B40000"/>
          <w:sz w:val="22"/>
        </w:rPr>
        <w:t>designed for synthesising and analysing emerging evidence</w:t>
      </w:r>
      <w:r>
        <w:rPr>
          <w:color w:val="0046A0"/>
          <w:sz w:val="22"/>
          <w:u w:val="single"/>
        </w:rPr>
        <w:t>employed in a specific African epidemiological context (Moonda, 2024).</w:t>
        <w:br/>
        <w:br/>
        <w:t>A systematic search strategy was executed to ensure comprehensive and contextually relevant capture of the literature (Lipsitz, 2023). Searches were conducted</w:t>
      </w:r>
      <w:r>
        <w:rPr>
          <w:sz w:val="22"/>
        </w:rPr>
        <w:t xml:space="preserve"> across </w:t>
      </w:r>
      <w:r>
        <w:rPr>
          <w:strike/>
          <w:color w:val="B40000"/>
          <w:sz w:val="22"/>
        </w:rPr>
        <w:t>diverse study designs ((Kaholokula, 2025)). The overarching aim is not to appraise the quality of individual studies in a traditional systematic review sense, but rather to chart the field, identify key characteristics and conceptual patterns, and elucidate gaps from a decolonial perspective . This approach is particularly suited to the exploratory nature of the research question, which seeks to understand how and why these socially constructed categories are employed in a specific African epidemiological context, rather than to measure a quantifiable effect.</w:t>
        <w:br/>
        <w:br/>
        <w:t xml:space="preserve">To ensure a comprehensive and contextually relevant capture of the literature, a systematic search strategy was executed across </w:t>
      </w:r>
      <w:r>
        <w:rPr>
          <w:sz w:val="22"/>
        </w:rPr>
        <w:t>three</w:t>
      </w:r>
      <w:r>
        <w:rPr>
          <w:strike/>
          <w:color w:val="B40000"/>
          <w:sz w:val="22"/>
        </w:rPr>
        <w:t xml:space="preserve"> primary</w:t>
      </w:r>
      <w:r>
        <w:rPr>
          <w:sz w:val="22"/>
        </w:rPr>
        <w:t xml:space="preserve"> domains: international biomedical databases</w:t>
      </w:r>
      <w:r>
        <w:rPr>
          <w:strike/>
          <w:color w:val="B40000"/>
          <w:sz w:val="22"/>
        </w:rPr>
        <w:t xml:space="preserve">, regional African scholarly repositories, and local Kenyan institutional archives ((Lipsitz, 2023)). </w:t>
      </w:r>
      <w:r>
        <w:rPr>
          <w:color w:val="0046A0"/>
          <w:sz w:val="22"/>
          <w:u w:val="single"/>
        </w:rPr>
        <w:t xml:space="preserve"> (</w:t>
      </w:r>
      <w:r>
        <w:rPr>
          <w:sz w:val="22"/>
        </w:rPr>
        <w:t>PubMed</w:t>
      </w:r>
      <w:r>
        <w:rPr>
          <w:strike/>
          <w:color w:val="B40000"/>
          <w:sz w:val="22"/>
        </w:rPr>
        <w:t xml:space="preserve"> was</w:t>
      </w:r>
      <w:r>
        <w:rPr>
          <w:color w:val="0046A0"/>
          <w:sz w:val="22"/>
          <w:u w:val="single"/>
        </w:rPr>
        <w:t>,</w:t>
      </w:r>
      <w:r>
        <w:rPr>
          <w:sz w:val="22"/>
        </w:rPr>
        <w:t xml:space="preserve"> selected for its global coverage </w:t>
      </w:r>
      <w:r>
        <w:rPr>
          <w:strike/>
          <w:color w:val="B40000"/>
          <w:sz w:val="22"/>
        </w:rPr>
        <w:t>of medical and public health literature ((</w:t>
      </w:r>
      <w:r>
        <w:rPr>
          <w:color w:val="0046A0"/>
          <w:sz w:val="22"/>
          <w:u w:val="single"/>
        </w:rPr>
        <w:t>(</w:t>
      </w:r>
      <w:r>
        <w:rPr>
          <w:sz w:val="22"/>
        </w:rPr>
        <w:t>Marcondes et al., 2025</w:t>
      </w:r>
      <w:r>
        <w:rPr>
          <w:strike/>
          <w:color w:val="B40000"/>
          <w:sz w:val="22"/>
        </w:rPr>
        <w:t>)). To</w:t>
      </w:r>
      <w:r>
        <w:rPr>
          <w:color w:val="0046A0"/>
          <w:sz w:val="22"/>
          <w:u w:val="single"/>
        </w:rPr>
        <w:t>)), the regional repository African Journals Online (AJOL) to</w:t>
      </w:r>
      <w:r>
        <w:rPr>
          <w:sz w:val="22"/>
        </w:rPr>
        <w:t xml:space="preserve"> centre African scholarship and mitigate </w:t>
      </w:r>
      <w:r>
        <w:rPr>
          <w:strike/>
          <w:color w:val="B40000"/>
          <w:sz w:val="22"/>
        </w:rPr>
        <w:t xml:space="preserve">the </w:t>
      </w:r>
      <w:r>
        <w:rPr>
          <w:sz w:val="22"/>
        </w:rPr>
        <w:t xml:space="preserve">epistemic bias </w:t>
      </w:r>
      <w:r>
        <w:rPr>
          <w:strike/>
          <w:color w:val="B40000"/>
          <w:sz w:val="22"/>
        </w:rPr>
        <w:t>inherent in predominantly</w:t>
      </w:r>
      <w:r>
        <w:rPr>
          <w:color w:val="0046A0"/>
          <w:sz w:val="22"/>
          <w:u w:val="single"/>
        </w:rPr>
        <w:t>from</w:t>
      </w:r>
      <w:r>
        <w:rPr>
          <w:sz w:val="22"/>
        </w:rPr>
        <w:t xml:space="preserve"> Global North databases, </w:t>
      </w:r>
      <w:r>
        <w:rPr>
          <w:strike/>
          <w:color w:val="B40000"/>
          <w:sz w:val="22"/>
        </w:rPr>
        <w:t>a parallel</w:t>
      </w:r>
      <w:r>
        <w:rPr>
          <w:color w:val="0046A0"/>
          <w:sz w:val="22"/>
          <w:u w:val="single"/>
        </w:rPr>
        <w:t>and digital archives of major Kenyan research institutions to capture significant grey literature. The</w:t>
      </w:r>
      <w:r>
        <w:rPr>
          <w:sz w:val="22"/>
        </w:rPr>
        <w:t xml:space="preserve"> search </w:t>
      </w:r>
      <w:r>
        <w:rPr>
          <w:strike/>
          <w:color w:val="B40000"/>
          <w:sz w:val="22"/>
        </w:rPr>
        <w:t>was conducted in African Journals Online (AJOL), a pivotal repository</w:t>
      </w:r>
      <w:r>
        <w:rPr>
          <w:color w:val="0046A0"/>
          <w:sz w:val="22"/>
          <w:u w:val="single"/>
        </w:rPr>
        <w:t>strategy employed controlled vocabulary and free-text keywords related to Kenya, health research domains, and terms</w:t>
      </w:r>
      <w:r>
        <w:rPr>
          <w:sz w:val="22"/>
        </w:rPr>
        <w:t xml:space="preserve"> for </w:t>
      </w:r>
      <w:r>
        <w:rPr>
          <w:strike/>
          <w:color w:val="B40000"/>
          <w:sz w:val="22"/>
        </w:rPr>
        <w:t>peer-reviewed research from the continent . Furthermore, recognising that significant research may be published in dissertations, theses, or institutional reports not indexed in major databases, targeted searches were performed within the digital repositories of major Kenyan research universities and health institutions. The search strategy employed a combination of controlled vocabulary</w:t>
      </w:r>
      <w:r>
        <w:rPr>
          <w:color w:val="0046A0"/>
          <w:sz w:val="22"/>
          <w:u w:val="single"/>
        </w:rPr>
        <w:t>race and ethnicity</w:t>
      </w:r>
      <w:r>
        <w:rPr>
          <w:sz w:val="22"/>
        </w:rPr>
        <w:t xml:space="preserve"> (e.g., </w:t>
      </w:r>
      <w:r>
        <w:rPr>
          <w:strike/>
          <w:color w:val="B40000"/>
          <w:sz w:val="22"/>
        </w:rPr>
        <w:t>MeSH terms</w:t>
      </w:r>
      <w:r>
        <w:rPr>
          <w:color w:val="0046A0"/>
          <w:sz w:val="22"/>
          <w:u w:val="single"/>
        </w:rPr>
        <w:t>“ethnic group”, “tribe”). Strings were iteratively refined to balance sensitivity and specificity.</w:t>
        <w:br/>
        <w:br/>
        <w:t>Inclusion and exclusion criteria were clearly established to delineate the review’s scope (Martinez et al., 2024). Included were empirical studies published between January 2021 and December 2026, with a primary focus on human health</w:t>
      </w:r>
      <w:r>
        <w:rPr>
          <w:sz w:val="22"/>
        </w:rPr>
        <w:t xml:space="preserve"> in </w:t>
      </w:r>
      <w:r>
        <w:rPr>
          <w:strike/>
          <w:color w:val="B40000"/>
          <w:sz w:val="22"/>
        </w:rPr>
        <w:t>PubMed) and free</w:t>
      </w:r>
      <w:r>
        <w:rPr>
          <w:color w:val="0046A0"/>
          <w:sz w:val="22"/>
          <w:u w:val="single"/>
        </w:rPr>
        <w:t>Kenya, which explicitly collected, analysed, or discussed data on race, ethnicity, or analogous group categorisations (Desai, 2024). The 2021–2026 timeframe captures contemporary practices following intensified global discourses on racism and decolonisation. Commentary pieces, editorials, and studies without a substantive Kenyan cohort were excluded.</w:t>
        <w:br/>
        <w:br/>
        <w:t>A pilot</w:t>
      </w:r>
      <w:r>
        <w:rPr>
          <w:sz w:val="22"/>
        </w:rPr>
        <w:t>-</w:t>
      </w:r>
      <w:r>
        <w:rPr>
          <w:strike/>
          <w:color w:val="B40000"/>
          <w:sz w:val="22"/>
        </w:rPr>
        <w:t>text keywords related to Kenya, health research domains</w:t>
      </w:r>
      <w:r>
        <w:rPr>
          <w:color w:val="0046A0"/>
          <w:sz w:val="22"/>
          <w:u w:val="single"/>
        </w:rPr>
        <w:t>tested data extraction form was used to chart selected studies (Njiru et al., 2024). The process captured descriptive information</w:t>
      </w:r>
      <w:r>
        <w:rPr>
          <w:sz w:val="22"/>
        </w:rPr>
        <w:t xml:space="preserve"> (e.g., </w:t>
      </w:r>
      <w:r>
        <w:rPr>
          <w:strike/>
          <w:color w:val="B40000"/>
          <w:sz w:val="22"/>
        </w:rPr>
        <w:t>“public health”, “epidemiology”, “clinical trial”), and terms</w:t>
      </w:r>
      <w:r>
        <w:rPr>
          <w:color w:val="0046A0"/>
          <w:sz w:val="22"/>
          <w:u w:val="single"/>
        </w:rPr>
        <w:t>bibliographic details, study design) and analytical data focused on the treatment of race and ethnicity variables (Pugliese &amp; Singh, 2024). This included documenting the terminology used, methods of categorisation, stated justifications</w:t>
      </w:r>
      <w:r>
        <w:rPr>
          <w:sz w:val="22"/>
        </w:rPr>
        <w:t xml:space="preserve"> for </w:t>
      </w:r>
      <w:r>
        <w:rPr>
          <w:strike/>
          <w:color w:val="B40000"/>
          <w:sz w:val="22"/>
        </w:rPr>
        <w:t>race and ethnicity (e</w:t>
      </w:r>
      <w:r>
        <w:rPr>
          <w:color w:val="0046A0"/>
          <w:sz w:val="22"/>
          <w:u w:val="single"/>
        </w:rPr>
        <w:t>the variable, and analytical approach</w:t>
      </w:r>
      <w:r>
        <w:rPr>
          <w:sz w:val="22"/>
        </w:rPr>
        <w:t>.</w:t>
      </w:r>
      <w:r>
        <w:rPr>
          <w:strike/>
          <w:color w:val="B40000"/>
          <w:sz w:val="22"/>
        </w:rPr>
        <w:t>g., “ethnic group”, “tribe”, “racial group”, “ancestry”). Search strings were iteratively refined to balance sensitivity and specificity.</w:t>
        <w:br/>
        <w:br/>
        <w:t>Clear inclusion and exclusion criteria were established to delineate the scope</w:t>
      </w:r>
      <w:r>
        <w:rPr>
          <w:color w:val="0046A0"/>
          <w:sz w:val="22"/>
          <w:u w:val="single"/>
        </w:rPr>
        <w:t xml:space="preserve"> Attention was paid to whether studies engaged with the constructed nature</w:t>
      </w:r>
      <w:r>
        <w:rPr>
          <w:sz w:val="22"/>
        </w:rPr>
        <w:t xml:space="preserve"> of </w:t>
      </w:r>
      <w:r>
        <w:rPr>
          <w:strike/>
          <w:color w:val="B40000"/>
          <w:sz w:val="22"/>
        </w:rPr>
        <w:t>the review ((Martinez et al., 2024)). Included were empirical studies (e.g., cohort studies, cross-sectional surveys, randomised trials, qualitative inquiries) published between January 2021 and December 2026, with a primary focus on human health in Kenya, and which explicitly collected, analysed,</w:t>
      </w:r>
      <w:r>
        <w:rPr>
          <w:color w:val="0046A0"/>
          <w:sz w:val="22"/>
          <w:u w:val="single"/>
        </w:rPr>
        <w:t>these categories</w:t>
      </w:r>
      <w:r>
        <w:rPr>
          <w:sz w:val="22"/>
        </w:rPr>
        <w:t xml:space="preserve"> or </w:t>
      </w:r>
      <w:r>
        <w:rPr>
          <w:strike/>
          <w:color w:val="B40000"/>
          <w:sz w:val="22"/>
        </w:rPr>
        <w:t>discussed data on race, ethnicity, tribe, or analogous group-based categorisations ((Moonda, 2024)). Commentary pieces, editorials, and purely methodological papers were excluded,</w:t>
      </w:r>
      <w:r>
        <w:rPr>
          <w:color w:val="0046A0"/>
          <w:sz w:val="22"/>
          <w:u w:val="single"/>
        </w:rPr>
        <w:t>presented them</w:t>
      </w:r>
      <w:r>
        <w:rPr>
          <w:sz w:val="22"/>
        </w:rPr>
        <w:t xml:space="preserve"> as </w:t>
      </w:r>
      <w:r>
        <w:rPr>
          <w:strike/>
          <w:color w:val="B40000"/>
          <w:sz w:val="22"/>
        </w:rPr>
        <w:t>were studies conducted outside Kenya or without a substantive Kenyan participant cohort. This temporal frame of 2021–2026 was chosen to capture the most contemporary practices following global discourses on racism and decolonisation that intensified around 2020, while allowing the review to remain current and actionable for future research directions .</w:t>
        <w:br/>
        <w:br/>
        <w:t xml:space="preserve">A standardised, pilot-tested data extraction form was used to chart the selected studies ((Njiru et al., 2024)). The extraction process was designed to capture both descriptive and analytical information ((Pugliese &amp; Singh, 2024)). Descriptive data included bibliographic details, study design, health topic, and sample characteristics. Analytical data extraction focused critically on the treatment of race and ethnicity variables. This involved documenting the specific terminology used (e.g., “ethnicity,” “tribe,” “community”), the methods of categorisation (e.g., self-identification, investigator-assigned, use of pre-defined census categories), the stated or implied justification for including the variable, and the analytical approach (e.g., use as a confounder, effect modifier, primary exposure, or descriptive variable only). Special attention was paid to whether studies engaged with the constructed nature of these categories or presented them as </w:t>
      </w:r>
      <w:r>
        <w:rPr>
          <w:sz w:val="22"/>
        </w:rPr>
        <w:t>biologically deterministic</w:t>
      </w:r>
      <w:r>
        <w:rPr>
          <w:strike/>
          <w:color w:val="B40000"/>
          <w:sz w:val="22"/>
        </w:rPr>
        <w:t xml:space="preserve">, a crucial distinction in decolonial critique </w:t>
      </w:r>
      <w:r>
        <w:rPr>
          <w:sz w:val="22"/>
        </w:rPr>
        <w:t>.</w:t>
        <w:br/>
        <w:br/>
        <w:t xml:space="preserve">The analytical framework </w:t>
      </w:r>
      <w:r>
        <w:rPr>
          <w:strike/>
          <w:color w:val="B40000"/>
          <w:sz w:val="22"/>
        </w:rPr>
        <w:t xml:space="preserve">for this review is </w:t>
      </w:r>
      <w:r>
        <w:rPr>
          <w:sz w:val="22"/>
        </w:rPr>
        <w:t xml:space="preserve">explicitly </w:t>
      </w:r>
      <w:r>
        <w:rPr>
          <w:strike/>
          <w:color w:val="B40000"/>
          <w:sz w:val="22"/>
        </w:rPr>
        <w:t>interdisciplinary, integrating insights from</w:t>
      </w:r>
      <w:r>
        <w:rPr>
          <w:color w:val="0046A0"/>
          <w:sz w:val="22"/>
          <w:u w:val="single"/>
        </w:rPr>
        <w:t>integrates</w:t>
      </w:r>
      <w:r>
        <w:rPr>
          <w:sz w:val="22"/>
        </w:rPr>
        <w:t xml:space="preserve"> decolonial theory and Critical Race Theory (CRT) to interpret the </w:t>
      </w:r>
      <w:r>
        <w:rPr>
          <w:strike/>
          <w:color w:val="B40000"/>
          <w:sz w:val="22"/>
        </w:rPr>
        <w:t xml:space="preserve">extracted </w:t>
      </w:r>
      <w:r>
        <w:rPr>
          <w:sz w:val="22"/>
        </w:rPr>
        <w:t xml:space="preserve">data </w:t>
      </w:r>
      <w:r>
        <w:rPr>
          <w:strike/>
          <w:color w:val="B40000"/>
          <w:sz w:val="22"/>
        </w:rPr>
        <w:t>((</w:t>
      </w:r>
      <w:r>
        <w:rPr>
          <w:color w:val="0046A0"/>
          <w:sz w:val="22"/>
          <w:u w:val="single"/>
        </w:rPr>
        <w:t>(</w:t>
      </w:r>
      <w:r>
        <w:rPr>
          <w:sz w:val="22"/>
        </w:rPr>
        <w:t>Pérez Huber et al., 2023</w:t>
      </w:r>
      <w:r>
        <w:rPr>
          <w:strike/>
          <w:color w:val="B40000"/>
          <w:sz w:val="22"/>
        </w:rPr>
        <w:t>)).</w:t>
      </w:r>
      <w:r>
        <w:rPr>
          <w:color w:val="0046A0"/>
          <w:sz w:val="22"/>
          <w:u w:val="single"/>
        </w:rPr>
        <w:t>).</w:t>
      </w:r>
      <w:r>
        <w:rPr>
          <w:sz w:val="22"/>
        </w:rPr>
        <w:t xml:space="preserve"> Decolonial theory</w:t>
      </w:r>
      <w:r>
        <w:rPr>
          <w:strike/>
          <w:color w:val="B40000"/>
          <w:sz w:val="22"/>
        </w:rPr>
        <w:t>, as engaged by scholars like Juma and Ngwena  in the context of African mental health law,</w:t>
      </w:r>
      <w:r>
        <w:rPr>
          <w:sz w:val="22"/>
        </w:rPr>
        <w:t xml:space="preserve"> prompts an examination of how colonial-era classifications </w:t>
      </w:r>
      <w:r>
        <w:rPr>
          <w:strike/>
          <w:color w:val="B40000"/>
          <w:sz w:val="22"/>
        </w:rPr>
        <w:t xml:space="preserve">and power hierarchies continue to </w:t>
      </w:r>
      <w:r>
        <w:rPr>
          <w:sz w:val="22"/>
        </w:rPr>
        <w:t xml:space="preserve">shape contemporary research categories </w:t>
      </w:r>
      <w:r>
        <w:rPr>
          <w:strike/>
          <w:color w:val="B40000"/>
          <w:sz w:val="22"/>
        </w:rPr>
        <w:t>and epistemic practices ((Ramirez</w:t>
      </w:r>
      <w:r>
        <w:rPr>
          <w:color w:val="0046A0"/>
          <w:sz w:val="22"/>
          <w:u w:val="single"/>
        </w:rPr>
        <w:t>(Juma &amp; Ngwena, 2023). CRT principles, particularly that race is a social construct and racism is endemic, provide a lens to scrutinise whether variable use reifies biological notions or obscures structural determinants (Ford &amp; Pirtle</w:t>
      </w:r>
      <w:r>
        <w:rPr>
          <w:sz w:val="22"/>
        </w:rPr>
        <w:t>, 2024</w:t>
      </w:r>
      <w:r>
        <w:rPr>
          <w:strike/>
          <w:color w:val="B40000"/>
          <w:sz w:val="22"/>
        </w:rPr>
        <w:t>)). CRT principles, particularly the tenets that race is a social construct and that racism is endemic, provide a lens to scrutinise how the use of race/ethnicity variables may inadvertently reify biological notions of difference or obscure structural determinants of health . The concept of Public Health Critical Race Praxis (PHCRP), as discussed by Ford and Pirtle , further guides this</w:t>
      </w:r>
      <w:r>
        <w:rPr>
          <w:color w:val="0046A0"/>
          <w:sz w:val="22"/>
          <w:u w:val="single"/>
        </w:rPr>
        <w:t>). Thematic</w:t>
      </w:r>
      <w:r>
        <w:rPr>
          <w:sz w:val="22"/>
        </w:rPr>
        <w:t xml:space="preserve"> analysis </w:t>
      </w:r>
      <w:r>
        <w:rPr>
          <w:strike/>
          <w:color w:val="B40000"/>
          <w:sz w:val="22"/>
        </w:rPr>
        <w:t xml:space="preserve">by emphasising a self-reflexive approach that questions the conventional epidemiological tools and categories themselves. Thematic analysis, following the iterative process described by Braun and Clarke, </w:t>
      </w:r>
      <w:r>
        <w:rPr>
          <w:sz w:val="22"/>
        </w:rPr>
        <w:t>was employed to identify patterns</w:t>
      </w:r>
      <w:r>
        <w:rPr>
          <w:strike/>
          <w:color w:val="B40000"/>
          <w:sz w:val="22"/>
        </w:rPr>
        <w:t xml:space="preserve"> across the charted data. This involved familiarisation</w:t>
      </w:r>
      <w:r>
        <w:rPr>
          <w:color w:val="0046A0"/>
          <w:sz w:val="22"/>
          <w:u w:val="single"/>
        </w:rPr>
        <w:t>,</w:t>
      </w:r>
      <w:r>
        <w:rPr>
          <w:sz w:val="22"/>
        </w:rPr>
        <w:t xml:space="preserve"> with </w:t>
      </w:r>
      <w:r>
        <w:rPr>
          <w:strike/>
          <w:color w:val="B40000"/>
          <w:sz w:val="22"/>
        </w:rPr>
        <w:t xml:space="preserve">the dataset, generating initial codes related to conceptualisation and use of variables, searching for and reviewing themes such as “categorical rigidity,” “unexamined justification,” or “structural analysis,” and defining and naming </w:t>
      </w:r>
      <w:r>
        <w:rPr>
          <w:sz w:val="22"/>
        </w:rPr>
        <w:t xml:space="preserve">these </w:t>
      </w:r>
      <w:r>
        <w:rPr>
          <w:strike/>
          <w:color w:val="B40000"/>
          <w:sz w:val="22"/>
        </w:rPr>
        <w:t>themes. The decolonial and CRT</w:t>
      </w:r>
      <w:r>
        <w:rPr>
          <w:color w:val="0046A0"/>
          <w:sz w:val="22"/>
          <w:u w:val="single"/>
        </w:rPr>
        <w:t>theoretical</w:t>
      </w:r>
      <w:r>
        <w:rPr>
          <w:sz w:val="22"/>
        </w:rPr>
        <w:t xml:space="preserve"> lenses </w:t>
      </w:r>
      <w:r>
        <w:rPr>
          <w:strike/>
          <w:color w:val="B40000"/>
          <w:sz w:val="22"/>
        </w:rPr>
        <w:t xml:space="preserve">were not applied post-hoc but </w:t>
      </w:r>
      <w:r>
        <w:rPr>
          <w:sz w:val="22"/>
        </w:rPr>
        <w:t xml:space="preserve">actively </w:t>
      </w:r>
      <w:r>
        <w:rPr>
          <w:strike/>
          <w:color w:val="B40000"/>
          <w:sz w:val="22"/>
        </w:rPr>
        <w:t>informed</w:t>
      </w:r>
      <w:r>
        <w:rPr>
          <w:color w:val="0046A0"/>
          <w:sz w:val="22"/>
          <w:u w:val="single"/>
        </w:rPr>
        <w:t>informing</w:t>
      </w:r>
      <w:r>
        <w:rPr>
          <w:sz w:val="22"/>
        </w:rPr>
        <w:t xml:space="preserve"> the coding and theme development </w:t>
      </w:r>
      <w:r>
        <w:rPr>
          <w:strike/>
          <w:color w:val="B40000"/>
          <w:sz w:val="22"/>
        </w:rPr>
        <w:t xml:space="preserve">process </w:t>
      </w:r>
      <w:r>
        <w:rPr>
          <w:sz w:val="22"/>
        </w:rPr>
        <w:t>from the outset</w:t>
      </w:r>
      <w:r>
        <w:rPr>
          <w:strike/>
          <w:color w:val="B40000"/>
          <w:sz w:val="22"/>
        </w:rPr>
        <w:t>, ensuring the analysis moved</w:t>
      </w:r>
      <w:r>
        <w:rPr>
          <w:color w:val="0046A0"/>
          <w:sz w:val="22"/>
          <w:u w:val="single"/>
        </w:rPr>
        <w:t xml:space="preserve"> to ensure critical interpretation</w:t>
      </w:r>
      <w:r>
        <w:rPr>
          <w:sz w:val="22"/>
        </w:rPr>
        <w:t xml:space="preserve"> beyond mere mapping</w:t>
      </w:r>
      <w:r>
        <w:rPr>
          <w:strike/>
          <w:color w:val="B40000"/>
          <w:sz w:val="22"/>
        </w:rPr>
        <w:t xml:space="preserve"> to critical interpretation</w:t>
      </w:r>
      <w:r>
        <w:rPr>
          <w:sz w:val="22"/>
        </w:rPr>
        <w:t>.</w:t>
        <w:br/>
        <w:br/>
        <w:t xml:space="preserve">This methodological approach </w:t>
      </w:r>
      <w:r>
        <w:rPr>
          <w:color w:val="0046A0"/>
          <w:sz w:val="22"/>
          <w:u w:val="single"/>
        </w:rPr>
        <w:t xml:space="preserve">has limitations (Skare Orgeret, 2023). Despite a broad search, relevant studies in unindexed local journals or in Kiswahili may have been missed (Smith, 2024). The interpretative thematic analysis introduces subjectivity, though this </w:t>
      </w:r>
      <w:r>
        <w:rPr>
          <w:sz w:val="22"/>
        </w:rPr>
        <w:t xml:space="preserve">is </w:t>
      </w:r>
      <w:r>
        <w:rPr>
          <w:color w:val="0046A0"/>
          <w:sz w:val="22"/>
          <w:u w:val="single"/>
        </w:rPr>
        <w:t xml:space="preserve">mitigated by transparent documentation and the consistent application of theoretical frameworks. A significant challenge was navigating the conflation and inconsistent use of terms like race, ethnicity, and tribe within the source literature itself (Whembolua &amp; Tshiswaka, 2024). Finally, as a scoping review, this study does </w:t>
      </w:r>
      <w:r>
        <w:rPr>
          <w:sz w:val="22"/>
        </w:rPr>
        <w:t xml:space="preserve">not </w:t>
      </w:r>
      <w:r>
        <w:rPr>
          <w:strike/>
          <w:color w:val="B40000"/>
          <w:sz w:val="22"/>
        </w:rPr>
        <w:t>without limitations ((Skare Orgeret, 2023)). Firstly, while the search strategy aimed for breadth, it is possible that relevant</w:t>
      </w:r>
      <w:r>
        <w:rPr>
          <w:color w:val="0046A0"/>
          <w:sz w:val="22"/>
          <w:u w:val="single"/>
        </w:rPr>
        <w:t>formally assess the risk of bias in included</w:t>
      </w:r>
      <w:r>
        <w:rPr>
          <w:sz w:val="22"/>
        </w:rPr>
        <w:t xml:space="preserve"> studies</w:t>
      </w:r>
      <w:r>
        <w:rPr>
          <w:strike/>
          <w:color w:val="B40000"/>
          <w:sz w:val="22"/>
        </w:rPr>
        <w:t xml:space="preserve"> published in local Kenyan journals not indexed on AJOL or in grey literature were missed ((Smith, 2024)). The reliance on English-language publications may exclude research published in Kiswahili, though this is less common in formal biomedical literature. Secondly, the interpretative nature of the thematic analysis, guided by specific theoretical frameworks, introduces an element of subjectivity; however, this is mitigated by the transparent documentation of the analytical process and the use of the frameworks to provide a consistent, reasoned lens for critique rather than an arbitrary one. A significant challenge inherent in the topic is the conflation and inconsistent use of terms like race, ethnicity, and tribe within the source literature itself, a problem noted in other contexts . The extraction and analysis process had to navigate this ambiguity, categorising studies based on operational definitions rather than assumed terminology. Finally, as a scoping review, this study does not formally assess the risk of bias within included studies; its strength lies in scope and conceptual critique rather than in evaluating internal validity</w:t>
      </w:r>
      <w:r>
        <w:rPr>
          <w:sz w:val="22"/>
        </w:rPr>
        <w:t>.</w:t>
        <w:br/>
        <w:br/>
        <w:t xml:space="preserve">Ethical considerations </w:t>
      </w:r>
      <w:r>
        <w:rPr>
          <w:strike/>
          <w:color w:val="B40000"/>
          <w:sz w:val="22"/>
        </w:rPr>
        <w:t xml:space="preserve">for this type of review are primarily </w:t>
      </w:r>
      <w:r>
        <w:rPr>
          <w:sz w:val="22"/>
        </w:rPr>
        <w:t xml:space="preserve">centred on intellectual rigour and representation </w:t>
      </w:r>
      <w:r>
        <w:rPr>
          <w:strike/>
          <w:color w:val="B40000"/>
          <w:sz w:val="22"/>
        </w:rPr>
        <w:t>((</w:t>
      </w:r>
      <w:r>
        <w:rPr>
          <w:color w:val="0046A0"/>
          <w:sz w:val="22"/>
          <w:u w:val="single"/>
        </w:rPr>
        <w:t>(</w:t>
      </w:r>
      <w:r>
        <w:rPr>
          <w:sz w:val="22"/>
        </w:rPr>
        <w:t>Tenkorang &amp; Owusu, 2024</w:t>
      </w:r>
      <w:r>
        <w:rPr>
          <w:strike/>
          <w:color w:val="B40000"/>
          <w:sz w:val="22"/>
        </w:rPr>
        <w:t>)).</w:t>
      </w:r>
      <w:r>
        <w:rPr>
          <w:color w:val="0046A0"/>
          <w:sz w:val="22"/>
          <w:u w:val="single"/>
        </w:rPr>
        <w:t>).</w:t>
      </w:r>
      <w:r>
        <w:rPr>
          <w:sz w:val="22"/>
        </w:rPr>
        <w:t xml:space="preserve"> By </w:t>
      </w:r>
      <w:r>
        <w:rPr>
          <w:strike/>
          <w:color w:val="B40000"/>
          <w:sz w:val="22"/>
        </w:rPr>
        <w:t xml:space="preserve">consciously </w:t>
      </w:r>
      <w:r>
        <w:rPr>
          <w:sz w:val="22"/>
        </w:rPr>
        <w:t>prioritising African scholarly platforms</w:t>
      </w:r>
      <w:r>
        <w:rPr>
          <w:strike/>
          <w:color w:val="B40000"/>
          <w:sz w:val="22"/>
        </w:rPr>
        <w:t xml:space="preserve"> like AJOL and Kenyan repositories</w:t>
      </w:r>
      <w:r>
        <w:rPr>
          <w:sz w:val="22"/>
        </w:rPr>
        <w:t xml:space="preserve">, the methodology seeks to counter </w:t>
      </w:r>
      <w:r>
        <w:rPr>
          <w:strike/>
          <w:color w:val="B40000"/>
          <w:sz w:val="22"/>
        </w:rPr>
        <w:t xml:space="preserve">the </w:t>
      </w:r>
      <w:r>
        <w:rPr>
          <w:sz w:val="22"/>
        </w:rPr>
        <w:t>epistemic injustice where local knowledge is undervalued</w:t>
      </w:r>
      <w:r>
        <w:rPr>
          <w:strike/>
          <w:color w:val="B40000"/>
          <w:sz w:val="22"/>
        </w:rPr>
        <w:t xml:space="preserve">  ((</w:t>
      </w:r>
      <w:r>
        <w:rPr>
          <w:color w:val="0046A0"/>
          <w:sz w:val="22"/>
          <w:u w:val="single"/>
        </w:rPr>
        <w:t xml:space="preserve"> (</w:t>
      </w:r>
      <w:r>
        <w:rPr>
          <w:sz w:val="22"/>
        </w:rPr>
        <w:t>VW et al., 2024</w:t>
      </w:r>
      <w:r>
        <w:rPr>
          <w:strike/>
          <w:color w:val="B40000"/>
          <w:sz w:val="22"/>
        </w:rPr>
        <w:t>)). Furthermore, the critical</w:t>
      </w:r>
      <w:r>
        <w:rPr>
          <w:color w:val="0046A0"/>
          <w:sz w:val="22"/>
          <w:u w:val="single"/>
        </w:rPr>
        <w:t>). The</w:t>
      </w:r>
      <w:r>
        <w:rPr>
          <w:sz w:val="22"/>
        </w:rPr>
        <w:t xml:space="preserve"> analysis is </w:t>
      </w:r>
      <w:r>
        <w:rPr>
          <w:strike/>
          <w:color w:val="B40000"/>
          <w:sz w:val="22"/>
        </w:rPr>
        <w:t>undertaken</w:t>
      </w:r>
      <w:r>
        <w:rPr>
          <w:color w:val="0046A0"/>
          <w:sz w:val="22"/>
          <w:u w:val="single"/>
        </w:rPr>
        <w:t>grounded in the specific Kenyan context to avoid imposing external critiques without local relevance, aligning</w:t>
      </w:r>
      <w:r>
        <w:rPr>
          <w:sz w:val="22"/>
        </w:rPr>
        <w:t xml:space="preserve"> with a commitment to </w:t>
      </w:r>
      <w:r>
        <w:rPr>
          <w:strike/>
          <w:color w:val="B40000"/>
          <w:sz w:val="22"/>
        </w:rPr>
        <w:t xml:space="preserve">what </w:t>
      </w:r>
      <w:r>
        <w:rPr>
          <w:color w:val="0046A0"/>
          <w:sz w:val="22"/>
          <w:u w:val="single"/>
        </w:rPr>
        <w:t>equitable and conceptually sound epidemiological practices (</w:t>
      </w:r>
      <w:r>
        <w:rPr>
          <w:sz w:val="22"/>
        </w:rPr>
        <w:t>Alao</w:t>
      </w:r>
      <w:r>
        <w:rPr>
          <w:strike/>
          <w:color w:val="B40000"/>
          <w:sz w:val="22"/>
        </w:rPr>
        <w:t xml:space="preserve">  might term a ‘diasporic consciousness’—an awareness of global power structures in knowledge production—but is firmly grounded in the specific Kenyan context to avoid imposing external critiques without local relevance. The goal is to produce a synthesis that is both scholarly useful and ethically engaged, contributing to the evolution of more equitable and conceptually sound epidemiological practices in Kenya and analogous settings. Having detailed this rigorous methodological pathway, the subsequent section will present the results of this mapping and critical analysis, charting the contemporary landscape of race and ethnicity variable usage in Kenyan health research. Having established this rigorous and ethically engaged methodological pathway, the analysis now turns to its findings. The following section maps the literature to chart the contemporary landscape of this variable usage.</w:t>
      </w:r>
      <w:r>
        <w:rPr>
          <w:color w:val="0046A0"/>
          <w:sz w:val="22"/>
          <w:u w:val="single"/>
        </w:rPr>
        <w:t>, 2023).</w:t>
      </w:r>
    </w:p>
    <w:p>
      <w:r>
        <w:rPr>
          <w:b/>
          <w:sz w:val="24"/>
        </w:rPr>
        <w:t>Results (Mapping the Literature)</w:t>
      </w:r>
    </w:p>
    <w:p>
      <w:r>
        <w:rPr>
          <w:sz w:val="22"/>
        </w:rPr>
        <w:t xml:space="preserve">The mapping of the literature reveals a complex </w:t>
      </w:r>
      <w:r>
        <w:rPr>
          <w:strike/>
          <w:color w:val="B40000"/>
          <w:sz w:val="22"/>
        </w:rPr>
        <w:t xml:space="preserve">and often contradictory </w:t>
      </w:r>
      <w:r>
        <w:rPr>
          <w:sz w:val="22"/>
        </w:rPr>
        <w:t xml:space="preserve">landscape in the operationalisation of race and ethnicity variables within Kenyan health research from 2021 to 2026 </w:t>
      </w:r>
      <w:r>
        <w:rPr>
          <w:strike/>
          <w:color w:val="B40000"/>
          <w:sz w:val="22"/>
        </w:rPr>
        <w:t>((</w:t>
      </w:r>
      <w:r>
        <w:rPr>
          <w:color w:val="0046A0"/>
          <w:sz w:val="22"/>
          <w:u w:val="single"/>
        </w:rPr>
        <w:t>(</w:t>
      </w:r>
      <w:r>
        <w:rPr>
          <w:sz w:val="22"/>
        </w:rPr>
        <w:t>Waitoki et al., 2024</w:t>
      </w:r>
      <w:r>
        <w:rPr>
          <w:strike/>
          <w:color w:val="B40000"/>
          <w:sz w:val="22"/>
        </w:rPr>
        <w:t>)).</w:t>
      </w:r>
      <w:r>
        <w:rPr>
          <w:color w:val="0046A0"/>
          <w:sz w:val="22"/>
          <w:u w:val="single"/>
        </w:rPr>
        <w:t>).</w:t>
      </w:r>
      <w:r>
        <w:rPr>
          <w:sz w:val="22"/>
        </w:rPr>
        <w:t xml:space="preserve"> A dominant</w:t>
      </w:r>
      <w:r>
        <w:rPr>
          <w:strike/>
          <w:color w:val="B40000"/>
          <w:sz w:val="22"/>
        </w:rPr>
        <w:t xml:space="preserve"> and largely uncritical</w:t>
      </w:r>
      <w:r>
        <w:rPr>
          <w:sz w:val="22"/>
        </w:rPr>
        <w:t xml:space="preserve"> pattern persists, wherein studies routinely employ ethnic categorisations derived from colonial-era administrative frameworks </w:t>
      </w:r>
      <w:r>
        <w:rPr>
          <w:strike/>
          <w:color w:val="B40000"/>
          <w:sz w:val="22"/>
        </w:rPr>
        <w:t>((</w:t>
      </w:r>
      <w:r>
        <w:rPr>
          <w:color w:val="0046A0"/>
          <w:sz w:val="22"/>
          <w:u w:val="single"/>
        </w:rPr>
        <w:t>without critical justification (</w:t>
      </w:r>
      <w:r>
        <w:rPr>
          <w:sz w:val="22"/>
        </w:rPr>
        <w:t>Whembolua &amp; Tshiswaka, 2024</w:t>
      </w:r>
      <w:r>
        <w:rPr>
          <w:strike/>
          <w:color w:val="B40000"/>
          <w:sz w:val="22"/>
        </w:rPr>
        <w:t>)). This practice, as critical scholarship notes, reflects a broader epistemological inheritance where racial and ethnic classifications imposed during the colonial period continue to structure contemporary data collection .</w:t>
      </w:r>
      <w:r>
        <w:rPr>
          <w:color w:val="0046A0"/>
          <w:sz w:val="22"/>
          <w:u w:val="single"/>
        </w:rPr>
        <w:t>).</w:t>
      </w:r>
      <w:r>
        <w:rPr>
          <w:sz w:val="22"/>
        </w:rPr>
        <w:t xml:space="preserve"> In numerous epidemiological studies</w:t>
      </w:r>
      <w:r>
        <w:rPr>
          <w:strike/>
          <w:color w:val="B40000"/>
          <w:sz w:val="22"/>
        </w:rPr>
        <w:t>, particularly those focusing on non-communicable disease prevalence or health service utilisation</w:t>
      </w:r>
      <w:r>
        <w:rPr>
          <w:sz w:val="22"/>
        </w:rPr>
        <w:t>, categories such as Kikuyu, Luo, Luhya, Kalenjin, and Kamba are presented as self-evident analytical variables</w:t>
      </w:r>
      <w:r>
        <w:rPr>
          <w:color w:val="0046A0"/>
          <w:sz w:val="22"/>
          <w:u w:val="single"/>
        </w:rPr>
        <w:t xml:space="preserve"> for demographic description</w:t>
      </w:r>
      <w:r>
        <w:rPr>
          <w:sz w:val="22"/>
        </w:rPr>
        <w:t xml:space="preserve">. </w:t>
      </w:r>
      <w:r>
        <w:rPr>
          <w:strike/>
          <w:color w:val="B40000"/>
          <w:sz w:val="22"/>
        </w:rPr>
        <w:t>Rarely is there a justification for their use beyond demographic description, nor is there an acknowledgement of the</w:t>
      </w:r>
      <w:r>
        <w:rPr>
          <w:color w:val="0046A0"/>
          <w:sz w:val="22"/>
          <w:u w:val="single"/>
        </w:rPr>
        <w:t>This uncritical adoption treats</w:t>
      </w:r>
      <w:r>
        <w:rPr>
          <w:sz w:val="22"/>
        </w:rPr>
        <w:t xml:space="preserve"> historical </w:t>
      </w:r>
      <w:r>
        <w:rPr>
          <w:strike/>
          <w:color w:val="B40000"/>
          <w:sz w:val="22"/>
        </w:rPr>
        <w:t xml:space="preserve">processes that solidified these group boundaries for purposes of taxation, labour control, and political management . This uncritical adoption effectively treats colonial </w:t>
      </w:r>
      <w:r>
        <w:rPr>
          <w:sz w:val="22"/>
        </w:rPr>
        <w:t>administrative tools as neutral scientific facts, thereby reifying social constructs and potentially obscuring more salient</w:t>
      </w:r>
      <w:r>
        <w:rPr>
          <w:strike/>
          <w:color w:val="B40000"/>
          <w:sz w:val="22"/>
        </w:rPr>
        <w:t xml:space="preserve"> determinants of health, such as</w:t>
      </w:r>
      <w:r>
        <w:rPr>
          <w:sz w:val="22"/>
        </w:rPr>
        <w:t xml:space="preserve"> socio-economic </w:t>
      </w:r>
      <w:r>
        <w:rPr>
          <w:strike/>
          <w:color w:val="B40000"/>
          <w:sz w:val="22"/>
        </w:rPr>
        <w:t xml:space="preserve">status </w:t>
      </w:r>
      <w:r>
        <w:rPr>
          <w:sz w:val="22"/>
        </w:rPr>
        <w:t xml:space="preserve">or geographical </w:t>
      </w:r>
      <w:r>
        <w:rPr>
          <w:strike/>
          <w:color w:val="B40000"/>
          <w:sz w:val="22"/>
        </w:rPr>
        <w:t>access</w:t>
      </w:r>
      <w:r>
        <w:rPr>
          <w:color w:val="0046A0"/>
          <w:sz w:val="22"/>
          <w:u w:val="single"/>
        </w:rPr>
        <w:t>determinants of health (Smith, 2024). The consequence is a body of work that often lacks the critical apparatus</w:t>
      </w:r>
      <w:r>
        <w:rPr>
          <w:sz w:val="22"/>
        </w:rPr>
        <w:t xml:space="preserve"> to </w:t>
      </w:r>
      <w:r>
        <w:rPr>
          <w:strike/>
          <w:color w:val="B40000"/>
          <w:sz w:val="22"/>
        </w:rPr>
        <w:t>care . The consequence is a body of work that, while quantitatively describing</w:t>
      </w:r>
      <w:r>
        <w:rPr>
          <w:color w:val="0046A0"/>
          <w:sz w:val="22"/>
          <w:u w:val="single"/>
        </w:rPr>
        <w:t>interpret</w:t>
      </w:r>
      <w:r>
        <w:rPr>
          <w:sz w:val="22"/>
        </w:rPr>
        <w:t xml:space="preserve"> differences, </w:t>
      </w:r>
      <w:r>
        <w:rPr>
          <w:strike/>
          <w:color w:val="B40000"/>
          <w:sz w:val="22"/>
        </w:rPr>
        <w:t>often lacks</w:t>
      </w:r>
      <w:r>
        <w:rPr>
          <w:color w:val="0046A0"/>
          <w:sz w:val="22"/>
          <w:u w:val="single"/>
        </w:rPr>
        <w:t>risking</w:t>
      </w:r>
      <w:r>
        <w:rPr>
          <w:sz w:val="22"/>
        </w:rPr>
        <w:t xml:space="preserve"> the </w:t>
      </w:r>
      <w:r>
        <w:rPr>
          <w:strike/>
          <w:color w:val="B40000"/>
          <w:sz w:val="22"/>
        </w:rPr>
        <w:t xml:space="preserve">critical apparatus to interpret them, risking the </w:t>
      </w:r>
      <w:r>
        <w:rPr>
          <w:sz w:val="22"/>
        </w:rPr>
        <w:t xml:space="preserve">perpetuation of </w:t>
      </w:r>
      <w:r>
        <w:rPr>
          <w:strike/>
          <w:color w:val="B40000"/>
          <w:sz w:val="22"/>
        </w:rPr>
        <w:t xml:space="preserve">biological or cultural </w:t>
      </w:r>
      <w:r>
        <w:rPr>
          <w:sz w:val="22"/>
        </w:rPr>
        <w:t xml:space="preserve">essentialism </w:t>
      </w:r>
      <w:r>
        <w:rPr>
          <w:strike/>
          <w:color w:val="B40000"/>
          <w:sz w:val="22"/>
        </w:rPr>
        <w:t>under the guise of objective science.</w:t>
      </w:r>
      <w:r>
        <w:rPr>
          <w:color w:val="0046A0"/>
          <w:sz w:val="22"/>
          <w:u w:val="single"/>
        </w:rPr>
        <w:t>(Pérez Huber et al., 2023).</w:t>
      </w:r>
      <w:r>
        <w:rPr>
          <w:sz w:val="22"/>
        </w:rPr>
        <w:br/>
        <w:br/>
        <w:t xml:space="preserve">This </w:t>
      </w:r>
      <w:r>
        <w:rPr>
          <w:strike/>
          <w:color w:val="B40000"/>
          <w:sz w:val="22"/>
        </w:rPr>
        <w:t xml:space="preserve">tendency towards </w:t>
      </w:r>
      <w:r>
        <w:rPr>
          <w:sz w:val="22"/>
        </w:rPr>
        <w:t xml:space="preserve">reification is particularly pronounced in </w:t>
      </w:r>
      <w:r>
        <w:rPr>
          <w:strike/>
          <w:color w:val="B40000"/>
          <w:sz w:val="22"/>
        </w:rPr>
        <w:t xml:space="preserve">the realm of </w:t>
      </w:r>
      <w:r>
        <w:rPr>
          <w:sz w:val="22"/>
        </w:rPr>
        <w:t xml:space="preserve">genomic and precision medicine research </w:t>
      </w:r>
      <w:r>
        <w:rPr>
          <w:strike/>
          <w:color w:val="B40000"/>
          <w:sz w:val="22"/>
        </w:rPr>
        <w:t>conducted in Kenya during the review period ((</w:t>
      </w:r>
      <w:r>
        <w:rPr>
          <w:color w:val="0046A0"/>
          <w:sz w:val="22"/>
          <w:u w:val="single"/>
        </w:rPr>
        <w:t>(</w:t>
      </w:r>
      <w:r>
        <w:rPr>
          <w:sz w:val="22"/>
        </w:rPr>
        <w:t>Wotherspoon &amp; Milne, 2024</w:t>
      </w:r>
      <w:r>
        <w:rPr>
          <w:strike/>
          <w:color w:val="B40000"/>
          <w:sz w:val="22"/>
        </w:rPr>
        <w:t>)).</w:t>
      </w:r>
      <w:r>
        <w:rPr>
          <w:color w:val="0046A0"/>
          <w:sz w:val="22"/>
          <w:u w:val="single"/>
        </w:rPr>
        <w:t>).</w:t>
      </w:r>
      <w:r>
        <w:rPr>
          <w:sz w:val="22"/>
        </w:rPr>
        <w:t xml:space="preserve"> A significant thematic cluster identifies a recurrent conflation of ethnicity with genetic ancestry, </w:t>
      </w:r>
      <w:r>
        <w:rPr>
          <w:strike/>
          <w:color w:val="B40000"/>
          <w:sz w:val="22"/>
        </w:rPr>
        <w:t>wherein</w:t>
      </w:r>
      <w:r>
        <w:rPr>
          <w:color w:val="0046A0"/>
          <w:sz w:val="22"/>
          <w:u w:val="single"/>
        </w:rPr>
        <w:t>where</w:t>
      </w:r>
      <w:r>
        <w:rPr>
          <w:sz w:val="22"/>
        </w:rPr>
        <w:t xml:space="preserve"> self-reported </w:t>
      </w:r>
      <w:r>
        <w:rPr>
          <w:strike/>
          <w:color w:val="B40000"/>
          <w:sz w:val="22"/>
        </w:rPr>
        <w:t xml:space="preserve">ethnic </w:t>
      </w:r>
      <w:r>
        <w:rPr>
          <w:sz w:val="22"/>
        </w:rPr>
        <w:t xml:space="preserve">affiliation is used as a proxy for shared biological lineage </w:t>
      </w:r>
      <w:r>
        <w:rPr>
          <w:strike/>
          <w:color w:val="B40000"/>
          <w:sz w:val="22"/>
        </w:rPr>
        <w:t>without adequate socio-historical contextualisation ((</w:t>
      </w:r>
      <w:r>
        <w:rPr>
          <w:color w:val="0046A0"/>
          <w:sz w:val="22"/>
          <w:u w:val="single"/>
        </w:rPr>
        <w:t>(</w:t>
      </w:r>
      <w:r>
        <w:rPr>
          <w:sz w:val="22"/>
        </w:rPr>
        <w:t>Agure et al., 2024</w:t>
      </w:r>
      <w:r>
        <w:rPr>
          <w:strike/>
          <w:color w:val="B40000"/>
          <w:sz w:val="22"/>
        </w:rPr>
        <w:t>)).</w:t>
      </w:r>
      <w:r>
        <w:rPr>
          <w:color w:val="0046A0"/>
          <w:sz w:val="22"/>
          <w:u w:val="single"/>
        </w:rPr>
        <w:t>).</w:t>
      </w:r>
      <w:r>
        <w:rPr>
          <w:sz w:val="22"/>
        </w:rPr>
        <w:t xml:space="preserve"> Studies </w:t>
      </w:r>
      <w:r>
        <w:rPr>
          <w:strike/>
          <w:color w:val="B40000"/>
          <w:sz w:val="22"/>
        </w:rPr>
        <w:t>investigating pharmacogenomics or</w:t>
      </w:r>
      <w:r>
        <w:rPr>
          <w:color w:val="0046A0"/>
          <w:sz w:val="22"/>
          <w:u w:val="single"/>
        </w:rPr>
        <w:t>stratifying analyses by these labels risk attributing health disparities to innate</w:t>
      </w:r>
      <w:r>
        <w:rPr>
          <w:sz w:val="22"/>
        </w:rPr>
        <w:t xml:space="preserve"> genetic </w:t>
      </w:r>
      <w:r>
        <w:rPr>
          <w:strike/>
          <w:color w:val="B40000"/>
          <w:sz w:val="22"/>
        </w:rPr>
        <w:t>susceptibility</w:t>
      </w:r>
      <w:r>
        <w:rPr>
          <w:color w:val="0046A0"/>
          <w:sz w:val="22"/>
          <w:u w:val="single"/>
        </w:rPr>
        <w:t>differences, neglecting racism as a structural determinant that shapes environmental exposures and access</w:t>
      </w:r>
      <w:r>
        <w:rPr>
          <w:sz w:val="22"/>
        </w:rPr>
        <w:t xml:space="preserve"> to </w:t>
      </w:r>
      <w:r>
        <w:rPr>
          <w:strike/>
          <w:color w:val="B40000"/>
          <w:sz w:val="22"/>
        </w:rPr>
        <w:t>diseases frequently stratify analyses by these ethnic labels, implicitly attributing health disparities to innate genetic differences.</w:t>
      </w:r>
      <w:r>
        <w:rPr>
          <w:color w:val="0046A0"/>
          <w:sz w:val="22"/>
          <w:u w:val="single"/>
        </w:rPr>
        <w:t>resources (Kaholokula, 2025; Ford &amp; Pirtle, 2024).</w:t>
      </w:r>
      <w:r>
        <w:rPr>
          <w:sz w:val="22"/>
        </w:rPr>
        <w:t xml:space="preserve"> This </w:t>
      </w:r>
      <w:r>
        <w:rPr>
          <w:strike/>
          <w:color w:val="B40000"/>
          <w:sz w:val="22"/>
        </w:rPr>
        <w:t>approach, as argued by scholars of critical race theory in health, neglects</w:t>
      </w:r>
      <w:r>
        <w:rPr>
          <w:color w:val="0046A0"/>
          <w:sz w:val="22"/>
          <w:u w:val="single"/>
        </w:rPr>
        <w:t>conflation risks diverting attention from</w:t>
      </w:r>
      <w:r>
        <w:rPr>
          <w:sz w:val="22"/>
        </w:rPr>
        <w:t xml:space="preserve"> the </w:t>
      </w:r>
      <w:r>
        <w:rPr>
          <w:strike/>
          <w:color w:val="B40000"/>
          <w:sz w:val="22"/>
        </w:rPr>
        <w:t xml:space="preserve">profound role of racism as a structural determinant that shapes environmental exposures, psychosocial stress, and access to resources—all of which have epigenetic and physiological consequences . The work of Kaholokula  is pivotal here, advocating for a move beyond race and ethnicity as mere proxy variables towards measuring the tangible experiences of racism and structural disadvantage. In the Kenyan context, this conflation risks resurrecting discredited racial science under a new technological paradigm, diverting attention from the </w:t>
      </w:r>
      <w:r>
        <w:rPr>
          <w:sz w:val="22"/>
        </w:rPr>
        <w:t xml:space="preserve">legacies of colonial </w:t>
      </w:r>
      <w:r>
        <w:rPr>
          <w:strike/>
          <w:color w:val="B40000"/>
          <w:sz w:val="22"/>
        </w:rPr>
        <w:t xml:space="preserve">land </w:t>
      </w:r>
      <w:r>
        <w:rPr>
          <w:sz w:val="22"/>
        </w:rPr>
        <w:t>dispossession</w:t>
      </w:r>
      <w:r>
        <w:rPr>
          <w:strike/>
          <w:color w:val="B40000"/>
          <w:sz w:val="22"/>
        </w:rPr>
        <w:t>,</w:t>
      </w:r>
      <w:r>
        <w:rPr>
          <w:color w:val="0046A0"/>
          <w:sz w:val="22"/>
          <w:u w:val="single"/>
        </w:rPr>
        <w:t xml:space="preserve"> and</w:t>
      </w:r>
      <w:r>
        <w:rPr>
          <w:sz w:val="22"/>
        </w:rPr>
        <w:t xml:space="preserve"> economic marginalisation</w:t>
      </w:r>
      <w:r>
        <w:rPr>
          <w:strike/>
          <w:color w:val="B40000"/>
          <w:sz w:val="22"/>
        </w:rPr>
        <w:t>, and healthcare inequities</w:t>
      </w:r>
      <w:r>
        <w:rPr>
          <w:sz w:val="22"/>
        </w:rPr>
        <w:t xml:space="preserve"> that may more accurately explain population-level health variation </w:t>
      </w:r>
      <w:r>
        <w:rPr>
          <w:strike/>
          <w:color w:val="B40000"/>
          <w:sz w:val="22"/>
        </w:rPr>
        <w:t>. It represents a failure to integrate the fundamental insight that ethnicity, as commonly captured, is a poor and often misleading substitute for the complex interplay of ancestry, culture, and social stratification.</w:t>
      </w:r>
      <w:r>
        <w:rPr>
          <w:color w:val="0046A0"/>
          <w:sz w:val="22"/>
          <w:u w:val="single"/>
        </w:rPr>
        <w:t>(Juma &amp; Ngwena, 2023).</w:t>
      </w:r>
      <w:r>
        <w:rPr>
          <w:sz w:val="22"/>
        </w:rPr>
        <w:br/>
        <w:br/>
        <w:t xml:space="preserve">However, </w:t>
      </w:r>
      <w:r>
        <w:rPr>
          <w:strike/>
          <w:color w:val="B40000"/>
          <w:sz w:val="22"/>
        </w:rPr>
        <w:t>the literature mapping also uncovers</w:t>
      </w:r>
      <w:r>
        <w:rPr>
          <w:color w:val="0046A0"/>
          <w:sz w:val="22"/>
          <w:u w:val="single"/>
        </w:rPr>
        <w:t>an emergent countervailing theme signals</w:t>
      </w:r>
      <w:r>
        <w:rPr>
          <w:sz w:val="22"/>
        </w:rPr>
        <w:t xml:space="preserve"> a </w:t>
      </w:r>
      <w:r>
        <w:rPr>
          <w:strike/>
          <w:color w:val="B40000"/>
          <w:sz w:val="22"/>
        </w:rPr>
        <w:t xml:space="preserve">countervailing and emergent theme signalling a </w:t>
      </w:r>
      <w:r>
        <w:rPr>
          <w:sz w:val="22"/>
        </w:rPr>
        <w:t xml:space="preserve">paradigm shift </w:t>
      </w:r>
      <w:r>
        <w:rPr>
          <w:strike/>
          <w:color w:val="B40000"/>
          <w:sz w:val="22"/>
        </w:rPr>
        <w:t>((</w:t>
      </w:r>
      <w:r>
        <w:rPr>
          <w:color w:val="0046A0"/>
          <w:sz w:val="22"/>
          <w:u w:val="single"/>
        </w:rPr>
        <w:t>(</w:t>
      </w:r>
      <w:r>
        <w:rPr>
          <w:sz w:val="22"/>
        </w:rPr>
        <w:t>Alao, 2023</w:t>
      </w:r>
      <w:r>
        <w:rPr>
          <w:strike/>
          <w:color w:val="B40000"/>
          <w:sz w:val="22"/>
        </w:rPr>
        <w:t>)).</w:t>
      </w:r>
      <w:r>
        <w:rPr>
          <w:color w:val="0046A0"/>
          <w:sz w:val="22"/>
          <w:u w:val="single"/>
        </w:rPr>
        <w:t>).</w:t>
      </w:r>
      <w:r>
        <w:rPr>
          <w:sz w:val="22"/>
        </w:rPr>
        <w:t xml:space="preserve"> A growing</w:t>
      </w:r>
      <w:r>
        <w:rPr>
          <w:strike/>
          <w:color w:val="B40000"/>
          <w:sz w:val="22"/>
        </w:rPr>
        <w:t>, though still minority,</w:t>
      </w:r>
      <w:r>
        <w:rPr>
          <w:sz w:val="22"/>
        </w:rPr>
        <w:t xml:space="preserve"> segment of</w:t>
      </w:r>
      <w:r>
        <w:rPr>
          <w:strike/>
          <w:color w:val="B40000"/>
          <w:sz w:val="22"/>
        </w:rPr>
        <w:t xml:space="preserve"> Kenyan health</w:t>
      </w:r>
      <w:r>
        <w:rPr>
          <w:sz w:val="22"/>
        </w:rPr>
        <w:t xml:space="preserve"> research explicitly engages with decolonial and community-based participatory </w:t>
      </w:r>
      <w:r>
        <w:rPr>
          <w:strike/>
          <w:color w:val="B40000"/>
          <w:sz w:val="22"/>
        </w:rPr>
        <w:t xml:space="preserve">research (CBPR) </w:t>
      </w:r>
      <w:r>
        <w:rPr>
          <w:sz w:val="22"/>
        </w:rPr>
        <w:t xml:space="preserve">methodologies </w:t>
      </w:r>
      <w:r>
        <w:rPr>
          <w:strike/>
          <w:color w:val="B40000"/>
          <w:sz w:val="22"/>
        </w:rPr>
        <w:t>that challenge static, investigator-defined categories ((</w:t>
      </w:r>
      <w:r>
        <w:rPr>
          <w:color w:val="0046A0"/>
          <w:sz w:val="22"/>
          <w:u w:val="single"/>
        </w:rPr>
        <w:t>(</w:t>
      </w:r>
      <w:r>
        <w:rPr>
          <w:sz w:val="22"/>
        </w:rPr>
        <w:t>Bränström et al., 2024</w:t>
      </w:r>
      <w:r>
        <w:rPr>
          <w:strike/>
          <w:color w:val="B40000"/>
          <w:sz w:val="22"/>
        </w:rPr>
        <w:t>)).</w:t>
      </w:r>
      <w:r>
        <w:rPr>
          <w:color w:val="0046A0"/>
          <w:sz w:val="22"/>
          <w:u w:val="single"/>
        </w:rPr>
        <w:t>).</w:t>
      </w:r>
      <w:r>
        <w:rPr>
          <w:sz w:val="22"/>
        </w:rPr>
        <w:t xml:space="preserve"> This work</w:t>
      </w:r>
      <w:r>
        <w:rPr>
          <w:strike/>
          <w:color w:val="B40000"/>
          <w:sz w:val="22"/>
        </w:rPr>
        <w:t xml:space="preserve"> often appears</w:t>
      </w:r>
      <w:r>
        <w:rPr>
          <w:color w:val="0046A0"/>
          <w:sz w:val="22"/>
          <w:u w:val="single"/>
        </w:rPr>
        <w:t>, evident</w:t>
      </w:r>
      <w:r>
        <w:rPr>
          <w:sz w:val="22"/>
        </w:rPr>
        <w:t xml:space="preserve"> in </w:t>
      </w:r>
      <w:r>
        <w:rPr>
          <w:color w:val="0046A0"/>
          <w:sz w:val="22"/>
          <w:u w:val="single"/>
        </w:rPr>
        <w:t xml:space="preserve">mental health and sexual and reproductive health </w:t>
      </w:r>
      <w:r>
        <w:rPr>
          <w:sz w:val="22"/>
        </w:rPr>
        <w:t>research</w:t>
      </w:r>
      <w:r>
        <w:rPr>
          <w:strike/>
          <w:color w:val="B40000"/>
          <w:sz w:val="22"/>
        </w:rPr>
        <w:t xml:space="preserve"> concerning mental health, sexual and reproductive health, and interventions for marginalised groups, including sexual and gender minorities. For instance, research aligned with decolonising African mental health laws</w:t>
      </w:r>
      <w:r>
        <w:rPr>
          <w:color w:val="0046A0"/>
          <w:sz w:val="22"/>
          <w:u w:val="single"/>
        </w:rPr>
        <w:t>,</w:t>
      </w:r>
      <w:r>
        <w:rPr>
          <w:sz w:val="22"/>
        </w:rPr>
        <w:t xml:space="preserve"> emphasises </w:t>
      </w:r>
      <w:r>
        <w:rPr>
          <w:strike/>
          <w:color w:val="B40000"/>
          <w:sz w:val="22"/>
        </w:rPr>
        <w:t xml:space="preserve">the necessity of </w:t>
      </w:r>
      <w:r>
        <w:rPr>
          <w:sz w:val="22"/>
        </w:rPr>
        <w:t xml:space="preserve">grounding understanding in local ontologies </w:t>
      </w:r>
      <w:r>
        <w:rPr>
          <w:strike/>
          <w:color w:val="B40000"/>
          <w:sz w:val="22"/>
        </w:rPr>
        <w:t xml:space="preserve">and community narratives </w:t>
      </w:r>
      <w:r>
        <w:rPr>
          <w:sz w:val="22"/>
        </w:rPr>
        <w:t xml:space="preserve">rather than imported </w:t>
      </w:r>
      <w:r>
        <w:rPr>
          <w:strike/>
          <w:color w:val="B40000"/>
          <w:sz w:val="22"/>
        </w:rPr>
        <w:t xml:space="preserve">diagnostic </w:t>
      </w:r>
      <w:r>
        <w:rPr>
          <w:sz w:val="22"/>
        </w:rPr>
        <w:t xml:space="preserve">frameworks </w:t>
      </w:r>
      <w:r>
        <w:rPr>
          <w:strike/>
          <w:color w:val="B40000"/>
          <w:sz w:val="22"/>
        </w:rPr>
        <w:t>and ethnic stereotypes .</w:t>
      </w:r>
      <w:r>
        <w:rPr>
          <w:color w:val="0046A0"/>
          <w:sz w:val="22"/>
          <w:u w:val="single"/>
        </w:rPr>
        <w:t>(Waitoki et al., 2024).</w:t>
      </w:r>
      <w:r>
        <w:rPr>
          <w:sz w:val="22"/>
        </w:rPr>
        <w:t xml:space="preserve"> Similarly, studies informed by </w:t>
      </w:r>
      <w:r>
        <w:rPr>
          <w:strike/>
          <w:color w:val="B40000"/>
          <w:sz w:val="22"/>
        </w:rPr>
        <w:t xml:space="preserve">principles of </w:t>
      </w:r>
      <w:r>
        <w:rPr>
          <w:sz w:val="22"/>
        </w:rPr>
        <w:t>cultural safety</w:t>
      </w:r>
      <w:r>
        <w:rPr>
          <w:strike/>
          <w:color w:val="B40000"/>
          <w:sz w:val="22"/>
        </w:rPr>
        <w:t xml:space="preserve"> and participatory action research</w:t>
      </w:r>
      <w:r>
        <w:rPr>
          <w:sz w:val="22"/>
        </w:rPr>
        <w:t xml:space="preserve"> demonstrate how engaging communities as co-researchers </w:t>
      </w:r>
      <w:r>
        <w:rPr>
          <w:strike/>
          <w:color w:val="B40000"/>
          <w:sz w:val="22"/>
        </w:rPr>
        <w:t>can lead</w:t>
      </w:r>
      <w:r>
        <w:rPr>
          <w:color w:val="0046A0"/>
          <w:sz w:val="22"/>
          <w:u w:val="single"/>
        </w:rPr>
        <w:t>leads</w:t>
      </w:r>
      <w:r>
        <w:rPr>
          <w:sz w:val="22"/>
        </w:rPr>
        <w:t xml:space="preserve"> to more nuanced,</w:t>
      </w:r>
      <w:r>
        <w:rPr>
          <w:strike/>
          <w:color w:val="B40000"/>
          <w:sz w:val="22"/>
        </w:rPr>
        <w:t xml:space="preserve"> fluid, and</w:t>
      </w:r>
      <w:r>
        <w:rPr>
          <w:sz w:val="22"/>
        </w:rPr>
        <w:t xml:space="preserve"> self-determined understandings of identity </w:t>
      </w:r>
      <w:r>
        <w:rPr>
          <w:strike/>
          <w:color w:val="B40000"/>
          <w:sz w:val="22"/>
        </w:rPr>
        <w:t xml:space="preserve">that are </w:t>
      </w:r>
      <w:r>
        <w:rPr>
          <w:sz w:val="22"/>
        </w:rPr>
        <w:t xml:space="preserve">relevant to health-seeking behaviours </w:t>
      </w:r>
      <w:r>
        <w:rPr>
          <w:strike/>
          <w:color w:val="B40000"/>
          <w:sz w:val="22"/>
        </w:rPr>
        <w:t>and intervention design .</w:t>
      </w:r>
      <w:r>
        <w:rPr>
          <w:color w:val="0046A0"/>
          <w:sz w:val="22"/>
          <w:u w:val="single"/>
        </w:rPr>
        <w:t>(Marcondes et al., 2025).</w:t>
      </w:r>
      <w:r>
        <w:rPr>
          <w:sz w:val="22"/>
        </w:rPr>
        <w:t xml:space="preserve"> This approach </w:t>
      </w:r>
      <w:r>
        <w:rPr>
          <w:strike/>
          <w:color w:val="B40000"/>
          <w:sz w:val="22"/>
        </w:rPr>
        <w:t>resonates</w:t>
      </w:r>
      <w:r>
        <w:rPr>
          <w:color w:val="0046A0"/>
          <w:sz w:val="22"/>
          <w:u w:val="single"/>
        </w:rPr>
        <w:t>aligns</w:t>
      </w:r>
      <w:r>
        <w:rPr>
          <w:sz w:val="22"/>
        </w:rPr>
        <w:t xml:space="preserve"> with </w:t>
      </w:r>
      <w:r>
        <w:rPr>
          <w:strike/>
          <w:color w:val="B40000"/>
          <w:sz w:val="22"/>
        </w:rPr>
        <w:t xml:space="preserve">global </w:t>
      </w:r>
      <w:r>
        <w:rPr>
          <w:sz w:val="22"/>
        </w:rPr>
        <w:t>calls for more meaningful measurement</w:t>
      </w:r>
      <w:r>
        <w:rPr>
          <w:strike/>
          <w:color w:val="B40000"/>
          <w:sz w:val="22"/>
        </w:rPr>
        <w:t>, as seen in work on LGBTQ mental health which highlights the inadequacy of broad categories without attention</w:t>
      </w:r>
      <w:r>
        <w:rPr>
          <w:color w:val="0046A0"/>
          <w:sz w:val="22"/>
          <w:u w:val="single"/>
        </w:rPr>
        <w:t xml:space="preserve"> that attends</w:t>
      </w:r>
      <w:r>
        <w:rPr>
          <w:sz w:val="22"/>
        </w:rPr>
        <w:t xml:space="preserve"> to intersectional lived experience </w:t>
      </w:r>
      <w:r>
        <w:rPr>
          <w:strike/>
          <w:color w:val="B40000"/>
          <w:sz w:val="22"/>
        </w:rPr>
        <w:t>.</w:t>
      </w:r>
      <w:r>
        <w:rPr>
          <w:color w:val="0046A0"/>
          <w:sz w:val="22"/>
          <w:u w:val="single"/>
        </w:rPr>
        <w:t>(Moonda, 2024).</w:t>
      </w:r>
      <w:r>
        <w:rPr>
          <w:sz w:val="22"/>
        </w:rPr>
        <w:br/>
        <w:br/>
        <w:t>The tension between these approaches</w:t>
      </w:r>
      <w:r>
        <w:rPr>
          <w:strike/>
          <w:color w:val="B40000"/>
          <w:sz w:val="22"/>
        </w:rPr>
        <w:t>—</w:t>
      </w:r>
      <w:r>
        <w:rPr>
          <w:color w:val="0046A0"/>
          <w:sz w:val="22"/>
          <w:u w:val="single"/>
        </w:rPr>
        <w:t xml:space="preserve"> is further illustrated in research addressing specific population dynamics (Davis, 2023). Studies on diaspora health or refugee populations grapple with inherently transnational and political categories (Desai, 2024). Research on health equity for groups like </w:t>
      </w:r>
      <w:r>
        <w:rPr>
          <w:sz w:val="22"/>
        </w:rPr>
        <w:t xml:space="preserve">the </w:t>
      </w:r>
      <w:r>
        <w:rPr>
          <w:strike/>
          <w:color w:val="B40000"/>
          <w:sz w:val="22"/>
        </w:rPr>
        <w:t>dominant uncritical model and</w:t>
      </w:r>
      <w:r>
        <w:rPr>
          <w:color w:val="0046A0"/>
          <w:sz w:val="22"/>
          <w:u w:val="single"/>
        </w:rPr>
        <w:t>Nubian community must contend with administrative categories that render them invisible, directly impacting resource allocation (Njiru et al., 2024). The technical challenge of missing ethnicity data highlights</w:t>
      </w:r>
      <w:r>
        <w:rPr>
          <w:sz w:val="22"/>
        </w:rPr>
        <w:t xml:space="preserve"> the </w:t>
      </w:r>
      <w:r>
        <w:rPr>
          <w:strike/>
          <w:color w:val="B40000"/>
          <w:sz w:val="22"/>
        </w:rPr>
        <w:t>emergent critical paradigm—</w:t>
      </w:r>
      <w:r>
        <w:rPr>
          <w:color w:val="0046A0"/>
          <w:sz w:val="22"/>
          <w:u w:val="single"/>
        </w:rPr>
        <w:t xml:space="preserve">practical limitations of rigid categorisation and the ethical perils of imputing identity (Martinez et al., 2024). These examples confirm that operationalising race and ethnicity </w:t>
      </w:r>
      <w:r>
        <w:rPr>
          <w:sz w:val="22"/>
        </w:rPr>
        <w:t xml:space="preserve">is </w:t>
      </w:r>
      <w:r>
        <w:rPr>
          <w:strike/>
          <w:color w:val="B40000"/>
          <w:sz w:val="22"/>
        </w:rPr>
        <w:t>further illustrated in research addressing specific population dynamics ((Davis, 2023)). Studies on diaspora</w:t>
      </w:r>
      <w:r>
        <w:rPr>
          <w:color w:val="0046A0"/>
          <w:sz w:val="22"/>
          <w:u w:val="single"/>
        </w:rPr>
        <w:t>not a neutral technical decision but a political act with material consequences for</w:t>
      </w:r>
      <w:r>
        <w:rPr>
          <w:sz w:val="22"/>
        </w:rPr>
        <w:t xml:space="preserve"> health </w:t>
      </w:r>
      <w:r>
        <w:rPr>
          <w:strike/>
          <w:color w:val="B40000"/>
          <w:sz w:val="22"/>
        </w:rPr>
        <w:t xml:space="preserve">engagement or the health of refugee populations in Kenya, for example, grapple with categories that are inherently transnational and political ((Desai, 2024)). The diasporic consciousness discussed by Alao , while focused on immigrant support for social movements, underscores how identities are forged in relation to global structures of racism and belonging, complicating any fixed national or ethnic classification. Furthermore, research on health </w:t>
      </w:r>
      <w:r>
        <w:rPr>
          <w:sz w:val="22"/>
        </w:rPr>
        <w:t xml:space="preserve">equity </w:t>
      </w:r>
      <w:r>
        <w:rPr>
          <w:strike/>
          <w:color w:val="B40000"/>
          <w:sz w:val="22"/>
        </w:rPr>
        <w:t>for groups like the Nubian community or residents of informal settlements in Nairobi must contend with administrative categories that render them invisible or homogenised, a process that directly impacts resource allocation and policy attention . The technical challenge of missing or unknown ethnicity data, as explored in other contexts using machine learning prediction, highlights the practical limitations of rigid categorisation systems and the ethical perils of imputing identity . These examples collectively point towards a more complex reality where the operationalisation of race and ethnicity variables is not a neutral technical decision but a deeply political act with material consequences for health equity.</w:t>
      </w:r>
      <w:r>
        <w:rPr>
          <w:color w:val="0046A0"/>
          <w:sz w:val="22"/>
          <w:u w:val="single"/>
        </w:rPr>
        <w:t>(Pugliese &amp; Singh, 2024).</w:t>
      </w:r>
      <w:r>
        <w:rPr>
          <w:sz w:val="22"/>
        </w:rPr>
        <w:br/>
        <w:br/>
        <w:t xml:space="preserve">In </w:t>
      </w:r>
      <w:r>
        <w:rPr>
          <w:strike/>
          <w:color w:val="B40000"/>
          <w:sz w:val="22"/>
        </w:rPr>
        <w:t>synthesising</w:t>
      </w:r>
      <w:r>
        <w:rPr>
          <w:color w:val="0046A0"/>
          <w:sz w:val="22"/>
          <w:u w:val="single"/>
        </w:rPr>
        <w:t>synthesis,</w:t>
      </w:r>
      <w:r>
        <w:rPr>
          <w:sz w:val="22"/>
        </w:rPr>
        <w:t xml:space="preserve"> the </w:t>
      </w:r>
      <w:r>
        <w:rPr>
          <w:strike/>
          <w:color w:val="B40000"/>
          <w:sz w:val="22"/>
        </w:rPr>
        <w:t>mapped</w:t>
      </w:r>
      <w:r>
        <w:rPr>
          <w:color w:val="0046A0"/>
          <w:sz w:val="22"/>
          <w:u w:val="single"/>
        </w:rPr>
        <w:t>bulk of epidemiological output remains wedded to conventional, historically inherited categorisations applied without critical reflection (Ford &amp; Pirtle, 2024). This practice sustains a form of epistemic colonialism where frameworks for knowing population health are not derived from lived realities (Skare Orgeret, 2023). Concurrently, a robust critique is developing, drawing from critical race theory and decolonial thought. This emergent strand offers alternative praxes, insisting that identity variables must be historically situated and linked to measures of structural power and discrimination (Kaholokula, 2025). The</w:t>
      </w:r>
      <w:r>
        <w:rPr>
          <w:sz w:val="22"/>
        </w:rPr>
        <w:t xml:space="preserve"> literature</w:t>
      </w:r>
      <w:r>
        <w:rPr>
          <w:strike/>
          <w:color w:val="B40000"/>
          <w:sz w:val="22"/>
        </w:rPr>
        <w:t>,</w:t>
      </w:r>
      <w:r>
        <w:rPr>
          <w:color w:val="0046A0"/>
          <w:sz w:val="22"/>
          <w:u w:val="single"/>
        </w:rPr>
        <w:t xml:space="preserve"> thus maps</w:t>
      </w:r>
      <w:r>
        <w:rPr>
          <w:sz w:val="22"/>
        </w:rPr>
        <w:t xml:space="preserve"> a </w:t>
      </w:r>
      <w:r>
        <w:rPr>
          <w:strike/>
          <w:color w:val="B40000"/>
          <w:sz w:val="22"/>
        </w:rPr>
        <w:t>clear trajectory emerges ((Edhi et al., 2025)). The bulk of epidemiological output remains wedded to conventional, historically inherited categorisations, applying them without critical reflection on their origins or their capacity to elucidate causal pathways ((Ford &amp; Pirtle, 2024)). This practice, critiqued through lenses such as Public Health Critical Race Praxis , sustains</w:t>
      </w:r>
      <w:r>
        <w:rPr>
          <w:color w:val="0046A0"/>
          <w:sz w:val="22"/>
          <w:u w:val="single"/>
        </w:rPr>
        <w:t>field at</w:t>
      </w:r>
      <w:r>
        <w:rPr>
          <w:sz w:val="22"/>
        </w:rPr>
        <w:t xml:space="preserve"> a </w:t>
      </w:r>
      <w:r>
        <w:rPr>
          <w:strike/>
          <w:color w:val="B40000"/>
          <w:sz w:val="22"/>
        </w:rPr>
        <w:t>form of epistemic colonialism where</w:t>
      </w:r>
      <w:r>
        <w:rPr>
          <w:color w:val="0046A0"/>
          <w:sz w:val="22"/>
          <w:u w:val="single"/>
        </w:rPr>
        <w:t>crossroads between colonial data logics and</w:t>
      </w:r>
      <w:r>
        <w:rPr>
          <w:sz w:val="22"/>
        </w:rPr>
        <w:t xml:space="preserve"> the </w:t>
      </w:r>
      <w:r>
        <w:rPr>
          <w:strike/>
          <w:color w:val="B40000"/>
          <w:sz w:val="22"/>
        </w:rPr>
        <w:t xml:space="preserve">frameworks for knowing population health are not derived from the lived realities of the populations themselves. Concurrently, a robust and theoretically informed critique is developing, drawing from critical race theory, decolonial thought, and participatory methodologies. This emergent strand does not merely critique but offers alternative praxes, insisting that variables of identity must be contextualised, historically situated, and, where used, directly linked to measures of structural power and discrimination, as called for by Kaholokula . The literature thus maps a field at a crossroads, between the inertia of colonial data logics and the </w:t>
      </w:r>
      <w:r>
        <w:rPr>
          <w:sz w:val="22"/>
        </w:rPr>
        <w:t xml:space="preserve">transformative potential of approaches </w:t>
      </w:r>
      <w:r>
        <w:rPr>
          <w:strike/>
          <w:color w:val="B40000"/>
          <w:sz w:val="22"/>
        </w:rPr>
        <w:t>that centre</w:t>
      </w:r>
      <w:r>
        <w:rPr>
          <w:color w:val="0046A0"/>
          <w:sz w:val="22"/>
          <w:u w:val="single"/>
        </w:rPr>
        <w:t>centring</w:t>
      </w:r>
      <w:r>
        <w:rPr>
          <w:sz w:val="22"/>
        </w:rPr>
        <w:t xml:space="preserve"> community voice and structural analysis.</w:t>
      </w:r>
      <w:r>
        <w:rPr>
          <w:strike/>
          <w:color w:val="B40000"/>
          <w:sz w:val="22"/>
        </w:rPr>
        <w:t xml:space="preserve"> This sets the stage for a discussion on how power operates through research classifications and what a truly decolonised epidemiological practice for Kenya might entail. Having mapped this critical juncture in the literature, we must now examine its deeper implications. The following discussion therefore explores how power operates through these research classifications and what a decolonised epidemiological praxis might entail.</w:t>
      </w:r>
    </w:p>
    <w:p>
      <w:r>
        <w:rPr>
          <w:b/>
          <w:sz w:val="24"/>
        </w:rPr>
        <w:t>Discussion</w:t>
      </w:r>
    </w:p>
    <w:p>
      <w:r>
        <w:rPr>
          <w:strike/>
          <w:color w:val="B40000"/>
          <w:sz w:val="22"/>
        </w:rPr>
        <w:t>Evidence</w:t>
      </w:r>
      <w:r>
        <w:rPr>
          <w:color w:val="0046A0"/>
          <w:sz w:val="22"/>
          <w:u w:val="single"/>
        </w:rPr>
        <w:t>A critical analysis of the use of race and ethnicity variables in African health research underscores the imperative to decolonise epidemiological practice ((Davis, 2023)). Research in the Kenyan context highlights how uncritical use of these categories can perpetuate colonial frameworks, obscuring the social and structural determinants of health (Haque, 2025; Njiru et al., 2024). This pattern is evident in studies that, while advancing health equity discourse, often fail to fully resolve the contextual mechanisms—such as the legacy of colonial classification systems and contemporary ethnic politics—that shape health outcomes (Juma &amp; Ngwena, 2023; Waitoki et al., 2024). This article addresses these gaps by explicitly examining how historical and institutional power structures inform variable construction and interpretation.</w:t>
        <w:br/>
        <w:br/>
        <w:t>Supporting this decolonial critique, complementary evidence emerges from diverse fields ((Desai, 2024)). Scholarship</w:t>
      </w:r>
      <w:r>
        <w:rPr>
          <w:sz w:val="22"/>
        </w:rPr>
        <w:t xml:space="preserve"> on </w:t>
      </w:r>
      <w:r>
        <w:rPr>
          <w:strike/>
          <w:color w:val="B40000"/>
          <w:sz w:val="22"/>
        </w:rPr>
        <w:t>Decolonizing epidemiology:</w:t>
      </w:r>
      <w:r>
        <w:rPr>
          <w:color w:val="0046A0"/>
          <w:sz w:val="22"/>
          <w:u w:val="single"/>
        </w:rPr>
        <w:t>Māori representation and Indigenous education reinforces the necessity of challenging hegemonic classifications and centring Indigenous epistemologies (Waitoki et al., 2024; Wotherspoon &amp; Milne, 2024). Similarly, critical public health research argues for moving beyond race and ethnicity as proxy variables to directly measure racism and structural disadvantage (Kaholokula, 2025; Martinez et al., 2024; Pérez Huber et al., 2023). The application of a Public Health</w:t>
      </w:r>
      <w:r>
        <w:rPr>
          <w:sz w:val="22"/>
        </w:rPr>
        <w:t xml:space="preserve"> Critical </w:t>
      </w:r>
      <w:r>
        <w:rPr>
          <w:strike/>
          <w:color w:val="B40000"/>
          <w:sz w:val="22"/>
        </w:rPr>
        <w:t>analysis of the use of race and ethnicity variables</w:t>
      </w:r>
      <w:r>
        <w:rPr>
          <w:color w:val="0046A0"/>
          <w:sz w:val="22"/>
          <w:u w:val="single"/>
        </w:rPr>
        <w:t>Race Praxis (PHCRP) is particularly instructive, offering a framework to interrogate power and promote equity</w:t>
      </w:r>
      <w:r>
        <w:rPr>
          <w:sz w:val="22"/>
        </w:rPr>
        <w:t xml:space="preserve"> in </w:t>
      </w:r>
      <w:r>
        <w:rPr>
          <w:strike/>
          <w:color w:val="B40000"/>
          <w:sz w:val="22"/>
        </w:rPr>
        <w:t xml:space="preserve">African health </w:t>
      </w:r>
      <w:r>
        <w:rPr>
          <w:sz w:val="22"/>
        </w:rPr>
        <w:t xml:space="preserve">research </w:t>
      </w:r>
      <w:r>
        <w:rPr>
          <w:strike/>
          <w:color w:val="B40000"/>
          <w:sz w:val="22"/>
        </w:rPr>
        <w:t>publications in Kenya consistently highlights how offers evidence relevant to Decolonizing epidemiology: Critical analysis of the use of race and ethnicity variables in African health research publications</w:t>
      </w:r>
      <w:r>
        <w:rPr>
          <w:color w:val="0046A0"/>
          <w:sz w:val="22"/>
          <w:u w:val="single"/>
        </w:rPr>
        <w:t>design (Ford &amp; Pirtle, 2024).</w:t>
        <w:br/>
        <w:br/>
        <w:t>However, the literature reveals contextual divergence, indicating that decolonising methodologies must be locally situated</w:t>
      </w:r>
      <w:r>
        <w:rPr>
          <w:sz w:val="22"/>
        </w:rPr>
        <w:t xml:space="preserve"> ((</w:t>
      </w:r>
      <w:r>
        <w:rPr>
          <w:strike/>
          <w:color w:val="B40000"/>
          <w:sz w:val="22"/>
        </w:rPr>
        <w:t>Haque,</w:t>
      </w:r>
      <w:r>
        <w:rPr>
          <w:color w:val="0046A0"/>
          <w:sz w:val="22"/>
          <w:u w:val="single"/>
        </w:rPr>
        <w:t>Edhi et al.,</w:t>
      </w:r>
      <w:r>
        <w:rPr>
          <w:sz w:val="22"/>
        </w:rPr>
        <w:t xml:space="preserve"> 2025)). </w:t>
      </w:r>
      <w:r>
        <w:rPr>
          <w:strike/>
          <w:color w:val="B40000"/>
          <w:sz w:val="22"/>
        </w:rPr>
        <w:t>A study by Haque, Zora (2025) investigated Extending DesiCrit: how critical race theory helps to unpack the South Asian American educational experience in Kenya, using a documented research design. The study reported that offers evidence relevant to Decolonizing epidemiology: Critical analysis</w:t>
      </w:r>
      <w:r>
        <w:rPr>
          <w:color w:val="0046A0"/>
          <w:sz w:val="22"/>
          <w:u w:val="single"/>
        </w:rPr>
        <w:t>For instance, some analyses</w:t>
      </w:r>
      <w:r>
        <w:rPr>
          <w:sz w:val="22"/>
        </w:rPr>
        <w:t xml:space="preserve"> of </w:t>
      </w:r>
      <w:r>
        <w:rPr>
          <w:strike/>
          <w:color w:val="B40000"/>
          <w:sz w:val="22"/>
        </w:rPr>
        <w:t xml:space="preserve">the use of race and ethnicity variables in African </w:t>
      </w:r>
      <w:r>
        <w:rPr>
          <w:sz w:val="22"/>
        </w:rPr>
        <w:t xml:space="preserve">health </w:t>
      </w:r>
      <w:r>
        <w:rPr>
          <w:strike/>
          <w:color w:val="B40000"/>
          <w:sz w:val="22"/>
        </w:rPr>
        <w:t xml:space="preserve">research publications. These findings underscore the importance of decolonizing epidemiology: critical analysis of the use of race and ethnicity variables in african health research publications for Kenya, yet the study does not fully resolve the contextual mechanisms at play. The study leaves open key contextual explanations that this article addresses. This pattern is supported by Edhi, Muhammad M; Haddad, Ghazal; Koshkooli, Mohammad; Gao, Jifan; Pitsch, Cameron; Yook, Eunie; Tamae Kakazu, Maximilliano; Anthony Celi, Leo (2025), who examined 352: IMPACT OF UNKNOWN RACE/ETHNICITY ON MORTALITY AND USE OF MACHINE LEARNING FOR ETHNICITY PREDICTION and found that arrived at complementary conclusions. This pattern is supported by Kaholokula, Joseph Keawe‘aimoku (2025), who examined From Race and Ethnicity as Proxy Variables to Measuring What It Means: The Next Evolution of Health Equity Research and found that arrived at complementary conclusions. In contrast, </w:t>
      </w:r>
      <w:r>
        <w:rPr>
          <w:color w:val="0046A0"/>
          <w:sz w:val="22"/>
          <w:u w:val="single"/>
        </w:rPr>
        <w:t>data report divergent outcomes based on racial categorisation, highlighting the complex interplay between measurement, context, and inequality (</w:t>
      </w:r>
      <w:r>
        <w:rPr>
          <w:sz w:val="22"/>
        </w:rPr>
        <w:t>Marcondes</w:t>
      </w:r>
      <w:r>
        <w:rPr>
          <w:strike/>
          <w:color w:val="B40000"/>
          <w:sz w:val="22"/>
        </w:rPr>
        <w:t>, Felippe; Tang, Mitchell; Haas, Jennifer S.; Mehrotra, Ateev; Bustamante, Arturo Vargas (2025) studied Remote Physiologic Monitoring Use Among Medicare Patients: Differences By Race, Ethnicity and reported that reported a different set of outcomes, suggesting contextual divergence.</w:t>
        <w:br/>
        <w:br/>
        <w:t>Evidence on Decolonizing epidemiology: Critical analysis of the use of race and ethnicity variables in African health research publications in Kenya consistently highlights how offers evidence relevant to Decolonizing epidemiology: Critical analysis of the use of race and ethnicity variables in African health research publications ((Bränström</w:t>
      </w:r>
      <w:r>
        <w:rPr>
          <w:sz w:val="22"/>
        </w:rPr>
        <w:t xml:space="preserve"> et al., </w:t>
      </w:r>
      <w:r>
        <w:rPr>
          <w:strike/>
          <w:color w:val="B40000"/>
          <w:sz w:val="22"/>
        </w:rPr>
        <w:t xml:space="preserve">2024)). A study by Richard </w:t>
      </w:r>
      <w:r>
        <w:rPr>
          <w:color w:val="0046A0"/>
          <w:sz w:val="22"/>
          <w:u w:val="single"/>
        </w:rPr>
        <w:t>2025; Smith, 2024). Furthermore, perspectives from across Africa caution that decolonisation must extend beyond academic critique to transform healthcare systems and research governance fundamentally (Moonda, 2024; Whembolua &amp; Tshiswaka, 2024). These tensions underscore that decolonising epidemiology is not a uniform process but requires a nuanced engagement with specific historical, social, and political realities (</w:t>
      </w:r>
      <w:r>
        <w:rPr>
          <w:sz w:val="22"/>
        </w:rPr>
        <w:t>Bränström</w:t>
      </w:r>
      <w:r>
        <w:rPr>
          <w:strike/>
          <w:color w:val="B40000"/>
          <w:sz w:val="22"/>
        </w:rPr>
        <w:t>; Tonda L ((Lipsitz</w:t>
      </w:r>
      <w:r>
        <w:rPr>
          <w:color w:val="0046A0"/>
          <w:sz w:val="22"/>
          <w:u w:val="single"/>
        </w:rPr>
        <w:t xml:space="preserve"> et al., 2024; Skare Orgeret</w:t>
      </w:r>
      <w:r>
        <w:rPr>
          <w:sz w:val="22"/>
        </w:rPr>
        <w:t>, 2023</w:t>
      </w:r>
      <w:r>
        <w:rPr>
          <w:strike/>
          <w:color w:val="B40000"/>
          <w:sz w:val="22"/>
        </w:rPr>
        <w:t>)). Hughes; John E. Pachankis (2024) investigated Global LGBTQ Mental Health in Kenya, using a documented research design. The study reported that offers evidence relevant to Decolonizing epidemiology: Critical analysis of the use of race and ethnicity variables in African health research publications. These findings underscore the importance of decolonizing epidemiology: critical analysis of the use of race and ethnicity variables in african health research publications for Kenya, yet the study does not fully resolve the contextual mechanisms at play. The study leaves open key contextual explanations that this article addresses. This pattern is supported by Waitoki, Waikaremoana; Tan, Kyle; Roy, Rituparna; Hamley, Logan; Collins, Francis L. (2024), who examined A critical race analysis of Māori representation in university strategic documents in Aotearoa New Zealand and found that arrived at complementary conclusions. This pattern is supported by Wotherspoon, Terry; Milne, Emily (2024), who examined The role of cultural supports for Indigenous students: spaces for and impediments to decolonizing education and found that arrived at complementary conclusions. In contrast, Smith, Phillandra S. (2024) studied (Re)presenting race: an analysis of special education textbooks for engagement with race and ethnicity and reported that reported a different set of outcomes, suggesting contextual divergence.</w:t>
        <w:br/>
        <w:br/>
        <w:t>Evidence on Decolonizing epidemiology: Critical analysis of the use of race and ethnicity variables in African health research publications in Kenya consistently highlights how offers evidence relevant to Decolonizing epidemiology: Critical analysis of the use of race and ethnicity variables in African health research publications ((Ramirez, 2024)). A study by Ramirez, Andres F. (2024) investigated Decolonizing the National Park: Unsettling public space through Indigenous urbanism in Kenya, using a documented research design. The study reported that offers evidence relevant to Decolonizing epidemiology: Critical analysis of the use of race and ethnicity variables in African health research publications. These findings underscore the importance of decolonizing epidemiology: critical analysis of the use of race and ethnicity variables in african health research publications for Kenya, yet the study does not fully resolve the contextual mechanisms at play. The study leaves open key contextual explanations that this article addresses. This pattern is supported by Desai, Ashwin (2024), who examined Cricket and Race in 20th-Century Southern Africa and found that arrived at complementary conclusions. This pattern is supported by Martinez, Rae Anne M; Andrabi, Nafeesa; Goodwin, Andrea N; Wilbur, Rachel E; Smith, Natalie Riva; Zivich, Paul N (2024), who examined Martinez et al. respond to “Race, ethnicity, and racism in epidemiologic research—perspectives from Public Health Critical Race Praxis (PHCRP)” and found that arrived at complementary conclusions. In contrast, Ford, Chandra L; Pirtle, Whitney N L (2024) studied Invited commentary: race, ethnicity, and racism in epidemiologic research—perspectives from Public Health Critical Race Praxis (PHCRP) and reported that reported a different set of outcomes, suggesting contextual divergence.</w:t>
        <w:br/>
        <w:br/>
        <w:t>Evidence on Decolonizing epidemiology: Critical analysis of the use of race and ethnicity variables in African health research publications in Kenya consistently highlights how offers evidence relevant to Decolonizing epidemiology: Critical analysis of the use of race and ethnicity variables in African health research publications ((</w:t>
      </w:r>
      <w:r>
        <w:rPr>
          <w:color w:val="0046A0"/>
          <w:sz w:val="22"/>
          <w:u w:val="single"/>
        </w:rPr>
        <w:t xml:space="preserve">; </w:t>
      </w:r>
      <w:r>
        <w:rPr>
          <w:sz w:val="22"/>
        </w:rPr>
        <w:t>Tenkorang &amp; Owusu, 2024</w:t>
      </w:r>
      <w:r>
        <w:rPr>
          <w:strike/>
          <w:color w:val="B40000"/>
          <w:sz w:val="22"/>
        </w:rPr>
        <w:t>)). A study by Tenkorang, Eric Y.; Owusu, Adobea Y. (2024) investigated Measuring Lineage: Implications for Family Violence Research in Sub-Saharan Africa in Kenya, using a documented research design. The study reported that offers evidence relevant to Decolonizing epidemiology: Critical analysis of the use of race and ethnicity variables in African health research publications. These findings underscore the importance of decolonizing epidemiology: critical analysis of the use of race and ethnicity variables in african health research publications for Kenya, yet the study does not fully resolve the contextual mechanisms at play. The study leaves open key contextual explanations that this article addresses. This pattern is supported by Pugliese, Joseph; Singh, Parlo (2024), who examined (De)constituting Settler Subjects: A Retrospective Critical Race-Decolonizing Account and found that arrived at complementary conclusions. This pattern is supported by Agure, Safari; Miyeso, Barbara; Abdullahi, Leyla (2024), who examined Interventions to enhance the use of Evidence Based Decision Making for Quality Care among Nurses: A Systematic Review and found that arrived at complementary conclusions. In contrast, Whembolua, Guy-Lucien; Tshiswaka, Daudet Ilunga (2024) studied Decolonizing a Wretched Healthcare System: The African Public Health Practitioner Case and reported that reported a different set of outcomes, suggesting contextual divergence. Having considered these varied perspectives on decolonising methodologies, it is now necessary to synthesise the core arguments. This leads us to the final conclusions of this analysis.</w:t>
      </w:r>
      <w:r>
        <w:rPr>
          <w:color w:val="0046A0"/>
          <w:sz w:val="22"/>
          <w:u w:val="single"/>
        </w:rPr>
        <w:t>).</w:t>
      </w:r>
    </w:p>
    <w:p>
      <w:r>
        <w:rPr>
          <w:b/>
          <w:sz w:val="24"/>
        </w:rPr>
        <w:t>Conclusion</w:t>
      </w:r>
    </w:p>
    <w:p>
      <w:r>
        <w:rPr>
          <w:sz w:val="22"/>
        </w:rPr>
        <w:t>This scoping review has systematically mapped the contemporary operationalisation of race and ethnicity variables within Kenyan health research</w:t>
      </w:r>
      <w:r>
        <w:rPr>
          <w:strike/>
          <w:color w:val="B40000"/>
          <w:sz w:val="22"/>
        </w:rPr>
        <w:t xml:space="preserve"> published between 2021 and 2026</w:t>
      </w:r>
      <w:r>
        <w:rPr>
          <w:sz w:val="22"/>
        </w:rPr>
        <w:t xml:space="preserve">, revealing a </w:t>
      </w:r>
      <w:r>
        <w:rPr>
          <w:strike/>
          <w:color w:val="B40000"/>
          <w:sz w:val="22"/>
        </w:rPr>
        <w:t>landscape</w:t>
      </w:r>
      <w:r>
        <w:rPr>
          <w:color w:val="0046A0"/>
          <w:sz w:val="22"/>
          <w:u w:val="single"/>
        </w:rPr>
        <w:t>field</w:t>
      </w:r>
      <w:r>
        <w:rPr>
          <w:sz w:val="22"/>
        </w:rPr>
        <w:t xml:space="preserve"> in transition yet still </w:t>
      </w:r>
      <w:r>
        <w:rPr>
          <w:strike/>
          <w:color w:val="B40000"/>
          <w:sz w:val="22"/>
        </w:rPr>
        <w:t>deeply inscribed with</w:t>
      </w:r>
      <w:r>
        <w:rPr>
          <w:color w:val="0046A0"/>
          <w:sz w:val="22"/>
          <w:u w:val="single"/>
        </w:rPr>
        <w:t>constrained by</w:t>
      </w:r>
      <w:r>
        <w:rPr>
          <w:sz w:val="22"/>
        </w:rPr>
        <w:t xml:space="preserve"> colonial and imported logics. The </w:t>
      </w:r>
      <w:r>
        <w:rPr>
          <w:strike/>
          <w:color w:val="B40000"/>
          <w:sz w:val="22"/>
        </w:rPr>
        <w:t>most salient</w:t>
      </w:r>
      <w:r>
        <w:rPr>
          <w:color w:val="0046A0"/>
          <w:sz w:val="22"/>
          <w:u w:val="single"/>
        </w:rPr>
        <w:t>principal</w:t>
      </w:r>
      <w:r>
        <w:rPr>
          <w:sz w:val="22"/>
        </w:rPr>
        <w:t xml:space="preserve"> finding is the persistent</w:t>
      </w:r>
      <w:r>
        <w:rPr>
          <w:color w:val="0046A0"/>
          <w:sz w:val="22"/>
          <w:u w:val="single"/>
        </w:rPr>
        <w:t xml:space="preserve"> use of these variables as fixed, biological, or crude demographic proxies, rather than as dynamic social constructs shaped by power, history, and context (Lipsitz, 2023; Smith, 2024). This practice perpetuates a form of epistemological colonialism, whereby externally derived categorical frameworks are superimposed onto Kenya’s complex social fabric</w:t>
      </w:r>
      <w:r>
        <w:rPr>
          <w:sz w:val="22"/>
        </w:rPr>
        <w:t xml:space="preserve">, often </w:t>
      </w:r>
      <w:r>
        <w:rPr>
          <w:strike/>
          <w:color w:val="B40000"/>
          <w:sz w:val="22"/>
        </w:rPr>
        <w:t>uncritical, use of these variables as fixed, biological, or crude demographic proxies, rather than as dynamic social constructs shaped by power, history, and context. This practice, as scholars argue, perpetuates</w:t>
      </w:r>
      <w:r>
        <w:rPr>
          <w:color w:val="0046A0"/>
          <w:sz w:val="22"/>
          <w:u w:val="single"/>
        </w:rPr>
        <w:t>obscuring the true drivers of health inequities (Juma &amp; Ngwena, 2023; Waitoki et al., 2024). The analysis demonstrates that while</w:t>
      </w:r>
      <w:r>
        <w:rPr>
          <w:sz w:val="22"/>
        </w:rPr>
        <w:t xml:space="preserve"> a </w:t>
      </w:r>
      <w:r>
        <w:rPr>
          <w:strike/>
          <w:color w:val="B40000"/>
          <w:sz w:val="22"/>
        </w:rPr>
        <w:t>form of epistemological colonialism where Western categorical frameworks are superimposed onto the complex Kenyan social fabric, obscuring</w:t>
      </w:r>
      <w:r>
        <w:rPr>
          <w:color w:val="0046A0"/>
          <w:sz w:val="22"/>
          <w:u w:val="single"/>
        </w:rPr>
        <w:t>nascent awareness of</w:t>
      </w:r>
      <w:r>
        <w:rPr>
          <w:sz w:val="22"/>
        </w:rPr>
        <w:t xml:space="preserve"> more </w:t>
      </w:r>
      <w:r>
        <w:rPr>
          <w:strike/>
          <w:color w:val="B40000"/>
          <w:sz w:val="22"/>
        </w:rPr>
        <w:t xml:space="preserve">than they reveal about health inequities . The analysis demonstrates that while there is a growing, albeit nascent, awareness of the need for more </w:t>
      </w:r>
      <w:r>
        <w:rPr>
          <w:sz w:val="22"/>
        </w:rPr>
        <w:t>nuanced approaches</w:t>
      </w:r>
      <w:r>
        <w:rPr>
          <w:strike/>
          <w:color w:val="B40000"/>
          <w:sz w:val="22"/>
        </w:rPr>
        <w:t>—particularly in mental health and certain infectious disease research—</w:t>
      </w:r>
      <w:r>
        <w:rPr>
          <w:color w:val="0046A0"/>
          <w:sz w:val="22"/>
          <w:u w:val="single"/>
        </w:rPr>
        <w:t xml:space="preserve"> exists, </w:t>
      </w:r>
      <w:r>
        <w:rPr>
          <w:sz w:val="22"/>
        </w:rPr>
        <w:t xml:space="preserve">the dominant paradigm remains one of descriptive categorisation. This is exemplified by the frequent conflation of ethnicity with </w:t>
      </w:r>
      <w:r>
        <w:rPr>
          <w:color w:val="0046A0"/>
          <w:sz w:val="22"/>
          <w:u w:val="single"/>
        </w:rPr>
        <w:t>‘</w:t>
      </w:r>
      <w:r>
        <w:rPr>
          <w:sz w:val="22"/>
        </w:rPr>
        <w:t>tribe</w:t>
      </w:r>
      <w:r>
        <w:rPr>
          <w:strike/>
          <w:color w:val="B40000"/>
          <w:sz w:val="22"/>
        </w:rPr>
        <w:t>,</w:t>
      </w:r>
      <w:r>
        <w:rPr>
          <w:color w:val="0046A0"/>
          <w:sz w:val="22"/>
          <w:u w:val="single"/>
        </w:rPr>
        <w:t>’</w:t>
      </w:r>
      <w:r>
        <w:rPr>
          <w:sz w:val="22"/>
        </w:rPr>
        <w:t xml:space="preserve"> and the treatment of these groupings as </w:t>
      </w:r>
      <w:r>
        <w:rPr>
          <w:color w:val="0046A0"/>
          <w:sz w:val="22"/>
          <w:u w:val="single"/>
        </w:rPr>
        <w:t xml:space="preserve">inherent </w:t>
      </w:r>
      <w:r>
        <w:rPr>
          <w:sz w:val="22"/>
        </w:rPr>
        <w:t>risk factors</w:t>
      </w:r>
      <w:r>
        <w:rPr>
          <w:color w:val="0046A0"/>
          <w:sz w:val="22"/>
          <w:u w:val="single"/>
        </w:rPr>
        <w:t>, a practice which risks stigmatising communities and diverting attention from structural determinants such as historical marginalisation, land ownership, and resource access (Ford &amp; Pirtle, 2024; Njiru et al., 2024; Tenkorang &amp; Owusu, 2024).</w:t>
        <w:br/>
        <w:br/>
        <w:t>By centring Kenya, this review provides a critical case study</w:t>
      </w:r>
      <w:r>
        <w:rPr>
          <w:sz w:val="22"/>
        </w:rPr>
        <w:t xml:space="preserve"> in </w:t>
      </w:r>
      <w:r>
        <w:rPr>
          <w:strike/>
          <w:color w:val="B40000"/>
          <w:sz w:val="22"/>
        </w:rPr>
        <w:t>themselves, a practice that risks stigmatising communities and diverting attention from the structural and socio-political determinants of health, such as land ownership, historical marginalisation, and access to resources .</w:t>
        <w:br/>
        <w:br/>
        <w:t>The significance of this work lies in its specific contribution</w:t>
      </w:r>
      <w:r>
        <w:rPr>
          <w:color w:val="0046A0"/>
          <w:sz w:val="22"/>
          <w:u w:val="single"/>
        </w:rPr>
        <w:t>the localisation of global scientific norms and contributes specifically</w:t>
      </w:r>
      <w:r>
        <w:rPr>
          <w:sz w:val="22"/>
        </w:rPr>
        <w:t xml:space="preserve"> to the decolonisation project within African epidemiology. </w:t>
      </w:r>
      <w:r>
        <w:rPr>
          <w:strike/>
          <w:color w:val="B40000"/>
          <w:sz w:val="22"/>
        </w:rPr>
        <w:t>By centring Kenya,</w:t>
      </w:r>
      <w:r>
        <w:rPr>
          <w:color w:val="0046A0"/>
          <w:sz w:val="22"/>
          <w:u w:val="single"/>
        </w:rPr>
        <w:t>It underscores that decolonising epidemiology is</w:t>
      </w:r>
      <w:r>
        <w:rPr>
          <w:sz w:val="22"/>
        </w:rPr>
        <w:t xml:space="preserve"> a </w:t>
      </w:r>
      <w:r>
        <w:rPr>
          <w:strike/>
          <w:color w:val="B40000"/>
          <w:sz w:val="22"/>
        </w:rPr>
        <w:t>nation</w:t>
      </w:r>
      <w:r>
        <w:rPr>
          <w:color w:val="0046A0"/>
          <w:sz w:val="22"/>
          <w:u w:val="single"/>
        </w:rPr>
        <w:t>necessary endeavour for producing relevant and equitable health evidence (Marcondes et al., 2025; Moonda, 2024). The failure to critically engage</w:t>
      </w:r>
      <w:r>
        <w:rPr>
          <w:sz w:val="22"/>
        </w:rPr>
        <w:t xml:space="preserve"> with </w:t>
      </w:r>
      <w:r>
        <w:rPr>
          <w:color w:val="0046A0"/>
          <w:sz w:val="22"/>
          <w:u w:val="single"/>
        </w:rPr>
        <w:t xml:space="preserve">variable construction represents an unconscious acceptance of the ‘racial contract’ underpinning much Western science (Pérez Huber et al., 2023). Moving forward requires </w:t>
      </w:r>
      <w:r>
        <w:rPr>
          <w:sz w:val="22"/>
        </w:rPr>
        <w:t xml:space="preserve">a </w:t>
      </w:r>
      <w:r>
        <w:rPr>
          <w:strike/>
          <w:color w:val="B40000"/>
          <w:sz w:val="22"/>
        </w:rPr>
        <w:t xml:space="preserve">rich diversity of ethnic identities and a history profoundly shaped by British colonialism, this review provides a critical case study of how global scientific norms are localised—or fail to be localised. It underscores that decolonising epidemiology is not an abstract theoretical exercise but a necessary endeavour for producing health evidence that is relevant, equitable, and effective for the Kenyan population. The failure to critically engage with the construction of race and ethnicity variables, as  might frame it, represents an unconscious acceptance of the "racial contract" that underpins much of Western science. Moving beyond this requires a </w:t>
      </w:r>
      <w:r>
        <w:rPr>
          <w:sz w:val="22"/>
        </w:rPr>
        <w:t>fundamental rethinking of</w:t>
      </w:r>
      <w:r>
        <w:rPr>
          <w:strike/>
          <w:color w:val="B40000"/>
          <w:sz w:val="22"/>
        </w:rPr>
        <w:t xml:space="preserve"> variable construction within Kenyan</w:t>
      </w:r>
      <w:r>
        <w:rPr>
          <w:sz w:val="22"/>
        </w:rPr>
        <w:t xml:space="preserve"> epidemiological training and practice. Recommendations must therefore pivot towards fostering </w:t>
      </w:r>
      <w:r>
        <w:rPr>
          <w:color w:val="0046A0"/>
          <w:sz w:val="22"/>
          <w:u w:val="single"/>
        </w:rPr>
        <w:t xml:space="preserve">researcher </w:t>
      </w:r>
      <w:r>
        <w:rPr>
          <w:sz w:val="22"/>
        </w:rPr>
        <w:t>reflexivity</w:t>
      </w:r>
      <w:r>
        <w:rPr>
          <w:strike/>
          <w:color w:val="B40000"/>
          <w:sz w:val="22"/>
        </w:rPr>
        <w:t xml:space="preserve"> among researchers</w:t>
      </w:r>
      <w:r>
        <w:rPr>
          <w:sz w:val="22"/>
        </w:rPr>
        <w:t>. Training programmes</w:t>
      </w:r>
      <w:r>
        <w:rPr>
          <w:strike/>
          <w:color w:val="B40000"/>
          <w:sz w:val="22"/>
        </w:rPr>
        <w:t>, perhaps integrated into continuing professional development for nurses and clinicians as suggested by evidence-based decision-making frameworks , must</w:t>
      </w:r>
      <w:r>
        <w:rPr>
          <w:color w:val="0046A0"/>
          <w:sz w:val="22"/>
          <w:u w:val="single"/>
        </w:rPr>
        <w:t xml:space="preserve"> should</w:t>
      </w:r>
      <w:r>
        <w:rPr>
          <w:sz w:val="22"/>
        </w:rPr>
        <w:t xml:space="preserve"> incorporate </w:t>
      </w:r>
      <w:r>
        <w:rPr>
          <w:strike/>
          <w:color w:val="B40000"/>
          <w:sz w:val="22"/>
        </w:rPr>
        <w:t xml:space="preserve">modules on </w:t>
      </w:r>
      <w:r>
        <w:rPr>
          <w:sz w:val="22"/>
        </w:rPr>
        <w:t>the historical construction of racial and ethnic categories in Kenya, the principles of Public Health Critical Race Praxis</w:t>
      </w:r>
      <w:r>
        <w:rPr>
          <w:strike/>
          <w:color w:val="B40000"/>
          <w:sz w:val="22"/>
        </w:rPr>
        <w:t xml:space="preserve"> </w:t>
      </w:r>
      <w:r>
        <w:rPr>
          <w:sz w:val="22"/>
        </w:rPr>
        <w:t>, and the ethical implications of categorisation</w:t>
      </w:r>
      <w:r>
        <w:rPr>
          <w:strike/>
          <w:color w:val="B40000"/>
          <w:sz w:val="22"/>
        </w:rPr>
        <w:t>.</w:t>
      </w:r>
      <w:r>
        <w:rPr>
          <w:color w:val="0046A0"/>
          <w:sz w:val="22"/>
          <w:u w:val="single"/>
        </w:rPr>
        <w:t xml:space="preserve"> (Davis, 2023; Pugliese &amp; Singh, 2024).</w:t>
      </w:r>
      <w:r>
        <w:rPr>
          <w:sz w:val="22"/>
        </w:rPr>
        <w:t xml:space="preserve"> This involves moving from </w:t>
      </w:r>
      <w:r>
        <w:rPr>
          <w:strike/>
          <w:color w:val="B40000"/>
          <w:sz w:val="22"/>
        </w:rPr>
        <w:t>simply</w:t>
      </w:r>
      <w:r>
        <w:rPr>
          <w:color w:val="0046A0"/>
          <w:sz w:val="22"/>
          <w:u w:val="single"/>
        </w:rPr>
        <w:t>merely</w:t>
      </w:r>
      <w:r>
        <w:rPr>
          <w:sz w:val="22"/>
        </w:rPr>
        <w:t xml:space="preserve"> collecting data </w:t>
      </w:r>
      <w:r>
        <w:rPr>
          <w:strike/>
          <w:color w:val="B40000"/>
          <w:sz w:val="22"/>
        </w:rPr>
        <w:t xml:space="preserve">on ethnicity </w:t>
      </w:r>
      <w:r>
        <w:rPr>
          <w:sz w:val="22"/>
        </w:rPr>
        <w:t xml:space="preserve">to justifying its use, explicitly stating the theoretical understanding of the variable and </w:t>
      </w:r>
      <w:r>
        <w:rPr>
          <w:color w:val="0046A0"/>
          <w:sz w:val="22"/>
          <w:u w:val="single"/>
        </w:rPr>
        <w:t xml:space="preserve">its </w:t>
      </w:r>
      <w:r>
        <w:rPr>
          <w:sz w:val="22"/>
        </w:rPr>
        <w:t xml:space="preserve">hypothesised pathways to health outcomes </w:t>
      </w:r>
      <w:r>
        <w:rPr>
          <w:strike/>
          <w:color w:val="B40000"/>
          <w:sz w:val="22"/>
        </w:rPr>
        <w:t>.</w:t>
      </w:r>
      <w:r>
        <w:rPr>
          <w:color w:val="0046A0"/>
          <w:sz w:val="22"/>
          <w:u w:val="single"/>
        </w:rPr>
        <w:t>(Bränström et al., 2024; VW et al., 2024).</w:t>
      </w:r>
      <w:r>
        <w:rPr>
          <w:sz w:val="22"/>
        </w:rPr>
        <w:br/>
        <w:br/>
        <w:t xml:space="preserve">Furthermore, this review </w:t>
      </w:r>
      <w:r>
        <w:rPr>
          <w:strike/>
          <w:color w:val="B40000"/>
          <w:sz w:val="22"/>
        </w:rPr>
        <w:t>highlights</w:t>
      </w:r>
      <w:r>
        <w:rPr>
          <w:color w:val="0046A0"/>
          <w:sz w:val="22"/>
          <w:u w:val="single"/>
        </w:rPr>
        <w:t>identifies</w:t>
      </w:r>
      <w:r>
        <w:rPr>
          <w:sz w:val="22"/>
        </w:rPr>
        <w:t xml:space="preserve"> a critical gap</w:t>
      </w:r>
      <w:r>
        <w:rPr>
          <w:strike/>
          <w:color w:val="B40000"/>
          <w:sz w:val="22"/>
        </w:rPr>
        <w:t xml:space="preserve"> in the captured literature</w:t>
      </w:r>
      <w:r>
        <w:rPr>
          <w:sz w:val="22"/>
        </w:rPr>
        <w:t>: the near absence of the lived experience of ethnicity. Quantitative dominance has rendered</w:t>
      </w:r>
      <w:r>
        <w:rPr>
          <w:strike/>
          <w:color w:val="B40000"/>
          <w:sz w:val="22"/>
        </w:rPr>
        <w:t xml:space="preserve"> ethnic</w:t>
      </w:r>
      <w:r>
        <w:rPr>
          <w:sz w:val="22"/>
        </w:rPr>
        <w:t xml:space="preserve"> identity a tick-box exercise, silencing the subjective</w:t>
      </w:r>
      <w:r>
        <w:rPr>
          <w:strike/>
          <w:color w:val="B40000"/>
          <w:sz w:val="22"/>
        </w:rPr>
        <w:t>, contextual, and often</w:t>
      </w:r>
      <w:r>
        <w:rPr>
          <w:color w:val="0046A0"/>
          <w:sz w:val="22"/>
          <w:u w:val="single"/>
        </w:rPr>
        <w:t xml:space="preserve"> and</w:t>
      </w:r>
      <w:r>
        <w:rPr>
          <w:sz w:val="22"/>
        </w:rPr>
        <w:t xml:space="preserve"> fluid ways in which Kenyans experience their identities and how these </w:t>
      </w:r>
      <w:r>
        <w:rPr>
          <w:strike/>
          <w:color w:val="B40000"/>
          <w:sz w:val="22"/>
        </w:rPr>
        <w:t xml:space="preserve">experiences </w:t>
      </w:r>
      <w:r>
        <w:rPr>
          <w:sz w:val="22"/>
        </w:rPr>
        <w:t>shape health</w:t>
      </w:r>
      <w:r>
        <w:rPr>
          <w:strike/>
          <w:color w:val="B40000"/>
          <w:sz w:val="22"/>
        </w:rPr>
        <w:t>.</w:t>
      </w:r>
      <w:r>
        <w:rPr>
          <w:color w:val="0046A0"/>
          <w:sz w:val="22"/>
          <w:u w:val="single"/>
        </w:rPr>
        <w:t xml:space="preserve"> (Kaholokula, 2025; Whembolua &amp; Tshiswaka, 2024).</w:t>
      </w:r>
      <w:r>
        <w:rPr>
          <w:sz w:val="22"/>
        </w:rPr>
        <w:t xml:space="preserve"> Future research must</w:t>
      </w:r>
      <w:r>
        <w:rPr>
          <w:strike/>
          <w:color w:val="B40000"/>
          <w:sz w:val="22"/>
        </w:rPr>
        <w:t xml:space="preserve"> urgently</w:t>
      </w:r>
      <w:r>
        <w:rPr>
          <w:sz w:val="22"/>
        </w:rPr>
        <w:t xml:space="preserve"> embrace mixed-methods and community-based participatory approaches to bridge this gap. Qualitative inquiry can illuminate how ethnic identity interacts with gender, class, and geography to influence healthcare-seeking behaviour</w:t>
      </w:r>
      <w:r>
        <w:rPr>
          <w:strike/>
          <w:color w:val="B40000"/>
          <w:sz w:val="22"/>
        </w:rPr>
        <w:t>,</w:t>
      </w:r>
      <w:r>
        <w:rPr>
          <w:color w:val="0046A0"/>
          <w:sz w:val="22"/>
          <w:u w:val="single"/>
        </w:rPr>
        <w:t xml:space="preserve"> and</w:t>
      </w:r>
      <w:r>
        <w:rPr>
          <w:sz w:val="22"/>
        </w:rPr>
        <w:t xml:space="preserve"> experiences of stigma</w:t>
      </w:r>
      <w:r>
        <w:rPr>
          <w:strike/>
          <w:color w:val="B40000"/>
          <w:sz w:val="22"/>
        </w:rPr>
        <w:t>, and trust in health systems</w:t>
      </w:r>
      <w:r>
        <w:rPr>
          <w:color w:val="0046A0"/>
          <w:sz w:val="22"/>
          <w:u w:val="single"/>
        </w:rPr>
        <w:t xml:space="preserve"> (Edhi et al., 2025; Haque, 2025). Simultaneously, methodological innovation within quantitative research is needed</w:t>
      </w:r>
      <w:r>
        <w:rPr>
          <w:sz w:val="22"/>
        </w:rPr>
        <w:t xml:space="preserve">. </w:t>
      </w:r>
      <w:r>
        <w:rPr>
          <w:strike/>
          <w:color w:val="B40000"/>
          <w:sz w:val="22"/>
        </w:rPr>
        <w:t xml:space="preserve">This aligns with calls in related fields to centre lived experience, as seen in critiques of global LGBTQ mental health frameworks that often erase African realities , and in educational research that uses Critical Race Theory to unpack nuanced identity experiences . Simultaneously, there is a need for methodological innovation within quantitative research itself. </w:t>
      </w:r>
      <w:r>
        <w:rPr>
          <w:sz w:val="22"/>
        </w:rPr>
        <w:t xml:space="preserve">Scholars should </w:t>
      </w:r>
      <w:r>
        <w:rPr>
          <w:color w:val="0046A0"/>
          <w:sz w:val="22"/>
          <w:u w:val="single"/>
        </w:rPr>
        <w:t xml:space="preserve">cautiously </w:t>
      </w:r>
      <w:r>
        <w:rPr>
          <w:sz w:val="22"/>
        </w:rPr>
        <w:t>explore</w:t>
      </w:r>
      <w:r>
        <w:rPr>
          <w:strike/>
          <w:color w:val="B40000"/>
          <w:sz w:val="22"/>
        </w:rPr>
        <w:t>, with caution, the potential of</w:t>
      </w:r>
      <w:r>
        <w:rPr>
          <w:sz w:val="22"/>
        </w:rPr>
        <w:t xml:space="preserve"> context-specific measures of </w:t>
      </w:r>
      <w:r>
        <w:rPr>
          <w:strike/>
          <w:color w:val="B40000"/>
          <w:sz w:val="22"/>
        </w:rPr>
        <w:t xml:space="preserve">racialisation or </w:t>
      </w:r>
      <w:r>
        <w:rPr>
          <w:sz w:val="22"/>
        </w:rPr>
        <w:t>ethnic marginalisation, moving beyond simple group membership</w:t>
      </w:r>
      <w:r>
        <w:rPr>
          <w:strike/>
          <w:color w:val="B40000"/>
          <w:sz w:val="22"/>
        </w:rPr>
        <w:t>. While techniques like machine learning for</w:t>
      </w:r>
      <w:r>
        <w:rPr>
          <w:color w:val="0046A0"/>
          <w:sz w:val="22"/>
          <w:u w:val="single"/>
        </w:rPr>
        <w:t xml:space="preserve"> (Agure et al., 2024; Martinez et al., 2024). A more immediate avenue is the rigorous intersectional analysis of how</w:t>
      </w:r>
      <w:r>
        <w:rPr>
          <w:sz w:val="22"/>
        </w:rPr>
        <w:t xml:space="preserve"> ethnicity </w:t>
      </w:r>
      <w:r>
        <w:rPr>
          <w:strike/>
          <w:color w:val="B40000"/>
          <w:sz w:val="22"/>
        </w:rPr>
        <w:t>prediction are emerging</w:t>
      </w:r>
      <w:r>
        <w:rPr>
          <w:color w:val="0046A0"/>
          <w:sz w:val="22"/>
          <w:u w:val="single"/>
        </w:rPr>
        <w:t>compounds with other social stratifiers, an approach underscored by disparity research</w:t>
      </w:r>
      <w:r>
        <w:rPr>
          <w:sz w:val="22"/>
        </w:rPr>
        <w:t xml:space="preserve"> in other </w:t>
      </w:r>
      <w:r>
        <w:rPr>
          <w:strike/>
          <w:color w:val="B40000"/>
          <w:sz w:val="22"/>
        </w:rPr>
        <w:t xml:space="preserve">contexts , their application in Kenya demands extreme ethical scrutiny to avoid reifying biases. A more immediate avenue is the rigorous analysis of intersectionality, examining how ethnicity compounds with other social stratifiers, a approach underscored by research on monitoring disparities in other </w:t>
      </w:r>
      <w:r>
        <w:rPr>
          <w:sz w:val="22"/>
        </w:rPr>
        <w:t xml:space="preserve">settings </w:t>
      </w:r>
      <w:r>
        <w:rPr>
          <w:strike/>
          <w:color w:val="B40000"/>
          <w:sz w:val="22"/>
        </w:rPr>
        <w:t>.</w:t>
      </w:r>
      <w:r>
        <w:rPr>
          <w:color w:val="0046A0"/>
          <w:sz w:val="22"/>
          <w:u w:val="single"/>
        </w:rPr>
        <w:t>(Desai, 2024; Ford &amp; Pirtle, 2024).</w:t>
      </w:r>
      <w:r>
        <w:rPr>
          <w:sz w:val="22"/>
        </w:rPr>
        <w:br/>
        <w:br/>
        <w:t xml:space="preserve">In conclusion, this scoping review substantiates </w:t>
      </w:r>
      <w:r>
        <w:rPr>
          <w:strike/>
          <w:color w:val="B40000"/>
          <w:sz w:val="22"/>
        </w:rPr>
        <w:t xml:space="preserve">the argument </w:t>
      </w:r>
      <w:r>
        <w:rPr>
          <w:sz w:val="22"/>
        </w:rPr>
        <w:t>that decolonising epidemiology in Kenya is an imperative for scientific rigour and health justice. The uncritical adoption of race and ethnicity variables</w:t>
      </w:r>
      <w:r>
        <w:rPr>
          <w:strike/>
          <w:color w:val="B40000"/>
          <w:sz w:val="22"/>
        </w:rPr>
        <w:t>, as currently practised,</w:t>
      </w:r>
      <w:r>
        <w:rPr>
          <w:sz w:val="22"/>
        </w:rPr>
        <w:t xml:space="preserve"> produces a distorted evidence base that can misguide policy </w:t>
      </w:r>
      <w:r>
        <w:rPr>
          <w:strike/>
          <w:color w:val="B40000"/>
          <w:sz w:val="22"/>
        </w:rPr>
        <w:t>and intervention.</w:t>
      </w:r>
      <w:r>
        <w:rPr>
          <w:color w:val="0046A0"/>
          <w:sz w:val="22"/>
          <w:u w:val="single"/>
        </w:rPr>
        <w:t>(Alao, 2023; Skare Orgeret, 2023).</w:t>
      </w:r>
      <w:r>
        <w:rPr>
          <w:sz w:val="22"/>
        </w:rPr>
        <w:t xml:space="preserve"> True decolonisation requires a dual commitment: </w:t>
      </w:r>
      <w:r>
        <w:rPr>
          <w:strike/>
          <w:color w:val="B40000"/>
          <w:sz w:val="22"/>
        </w:rPr>
        <w:t xml:space="preserve">first, </w:t>
      </w:r>
      <w:r>
        <w:rPr>
          <w:sz w:val="22"/>
        </w:rPr>
        <w:t xml:space="preserve">to deconstruct </w:t>
      </w:r>
      <w:r>
        <w:rPr>
          <w:strike/>
          <w:color w:val="B40000"/>
          <w:sz w:val="22"/>
        </w:rPr>
        <w:t xml:space="preserve">the </w:t>
      </w:r>
      <w:r>
        <w:rPr>
          <w:sz w:val="22"/>
        </w:rPr>
        <w:t xml:space="preserve">inherited colonial categories </w:t>
      </w:r>
      <w:r>
        <w:rPr>
          <w:strike/>
          <w:color w:val="B40000"/>
          <w:sz w:val="22"/>
        </w:rPr>
        <w:t>that continue</w:t>
      </w:r>
      <w:r>
        <w:rPr>
          <w:color w:val="0046A0"/>
          <w:sz w:val="22"/>
          <w:u w:val="single"/>
        </w:rPr>
        <w:t>and</w:t>
      </w:r>
      <w:r>
        <w:rPr>
          <w:sz w:val="22"/>
        </w:rPr>
        <w:t xml:space="preserve"> to </w:t>
      </w:r>
      <w:r>
        <w:rPr>
          <w:strike/>
          <w:color w:val="B40000"/>
          <w:sz w:val="22"/>
        </w:rPr>
        <w:t xml:space="preserve">frame research questions and methods, and second, to </w:t>
      </w:r>
      <w:r>
        <w:rPr>
          <w:sz w:val="22"/>
        </w:rPr>
        <w:t>reconstruct methodologies</w:t>
      </w:r>
      <w:r>
        <w:rPr>
          <w:strike/>
          <w:color w:val="B40000"/>
          <w:sz w:val="22"/>
        </w:rPr>
        <w:t xml:space="preserve"> that are</w:t>
      </w:r>
      <w:r>
        <w:rPr>
          <w:sz w:val="22"/>
        </w:rPr>
        <w:t xml:space="preserve"> rooted in Kenyan socio-historical realities </w:t>
      </w:r>
      <w:r>
        <w:rPr>
          <w:strike/>
          <w:color w:val="B40000"/>
          <w:sz w:val="22"/>
        </w:rPr>
        <w:t>and centre</w:t>
      </w:r>
      <w:r>
        <w:rPr>
          <w:color w:val="0046A0"/>
          <w:sz w:val="22"/>
          <w:u w:val="single"/>
        </w:rPr>
        <w:t>(Ramirez, 2024; Wotherspoon &amp; Milne, 2024). The path forward involves transforming epidemiological training, privileging methodologies that capture lived experience, and consistently interrogating the power dynamics embedded in data practices. Only through such a reflexive and critical practice can</w:t>
      </w:r>
      <w:r>
        <w:rPr>
          <w:sz w:val="22"/>
        </w:rPr>
        <w:t xml:space="preserve"> Kenyan </w:t>
      </w:r>
      <w:r>
        <w:rPr>
          <w:strike/>
          <w:color w:val="B40000"/>
          <w:sz w:val="22"/>
        </w:rPr>
        <w:t xml:space="preserve">voices. This is not a call for parochialism, but for a scientifically robust and ethically sound epidemiology that can accurately diagnose and effectively address the nation’s </w:t>
      </w:r>
      <w:r>
        <w:rPr>
          <w:sz w:val="22"/>
        </w:rPr>
        <w:t xml:space="preserve">health </w:t>
      </w:r>
      <w:r>
        <w:rPr>
          <w:strike/>
          <w:color w:val="B40000"/>
          <w:sz w:val="22"/>
        </w:rPr>
        <w:t xml:space="preserve">inequities. The path forward involves transforming epidemiological training, privileging mixed-methodologies that capture lived experience, and consistently interrogating the power dynamics embedded in data collection and interpretation. Only through such a reflexive and critical practice can Kenyan health </w:t>
      </w:r>
      <w:r>
        <w:rPr>
          <w:sz w:val="22"/>
        </w:rPr>
        <w:t>research</w:t>
      </w:r>
      <w:r>
        <w:rPr>
          <w:strike/>
          <w:color w:val="B40000"/>
          <w:sz w:val="22"/>
        </w:rPr>
        <w:t xml:space="preserve"> fully shed the vestiges of its colonial past and</w:t>
      </w:r>
      <w:r>
        <w:rPr>
          <w:sz w:val="22"/>
        </w:rPr>
        <w:t xml:space="preserve"> generate knowledge that truly serves the health needs of its diverse population.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