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sz w:val="28"/>
        </w:rPr>
        <w:t>Track Changes: A Qualitative Study of Mental Health and Psychosocial Support for Ugandan Health Workers: Lessons from the 2022 Ebola Outbreak</w:t>
      </w:r>
    </w:p>
    <w:p>
      <w:r>
        <w:rPr>
          <w:b/>
          <w:sz w:val="24"/>
        </w:rPr>
        <w:t>Introduction</w:t>
      </w:r>
    </w:p>
    <w:p>
      <w:r>
        <w:rPr>
          <w:strike/>
          <w:color w:val="B40000"/>
          <w:sz w:val="22"/>
        </w:rPr>
        <w:t>Evidence</w:t>
      </w:r>
      <w:r>
        <w:rPr>
          <w:color w:val="0046A0"/>
          <w:sz w:val="22"/>
          <w:u w:val="single"/>
        </w:rPr>
        <w:t>The 2022 Ebola outbreak in Uganda underscored the severe mental health and psychosocial risks faced by frontline health workers, including trauma, burnout, and stigma (Nakkazi, 2025; Zaman et al., 2024). Emerging evidence consistently highlights the critical need for tailored mental health and psychosocial support (MHPSS) interventions for this cohort during and after infectious disease crises (Wirsiy et al., 2024; Wachekwa et al., 2024). For instance, studies</w:t>
      </w:r>
      <w:r>
        <w:rPr>
          <w:sz w:val="22"/>
        </w:rPr>
        <w:t xml:space="preserve"> on </w:t>
      </w:r>
      <w:r>
        <w:rPr>
          <w:strike/>
          <w:color w:val="B40000"/>
          <w:sz w:val="22"/>
        </w:rPr>
        <w:t>Mental health and psychosocial</w:t>
      </w:r>
      <w:r>
        <w:rPr>
          <w:color w:val="0046A0"/>
          <w:sz w:val="22"/>
          <w:u w:val="single"/>
        </w:rPr>
        <w:t>the Ugandan Ebola response affirm that</w:t>
      </w:r>
      <w:r>
        <w:rPr>
          <w:sz w:val="22"/>
        </w:rPr>
        <w:t xml:space="preserve"> support for health workers </w:t>
      </w:r>
      <w:r>
        <w:rPr>
          <w:strike/>
          <w:color w:val="B40000"/>
          <w:sz w:val="22"/>
        </w:rPr>
        <w:t>following infectious disease</w:t>
      </w:r>
      <w:r>
        <w:rPr>
          <w:color w:val="0046A0"/>
          <w:sz w:val="22"/>
          <w:u w:val="single"/>
        </w:rPr>
        <w:t>is vital for sustaining a resilient health system (Branda et al., 2025; Obol &amp; Nzedibe, 2024). Similarly, research from other</w:t>
      </w:r>
      <w:r>
        <w:rPr>
          <w:sz w:val="22"/>
        </w:rPr>
        <w:t xml:space="preserve"> outbreaks</w:t>
      </w:r>
      <w:r>
        <w:rPr>
          <w:strike/>
          <w:color w:val="B40000"/>
          <w:sz w:val="22"/>
        </w:rPr>
        <w:t>: Lessons from the 2022 Ebola outbreak in Uganda in Uganda consistently highlights how offers evidence relevant to Mental health and psychosocial support for health workers following infectious disease outbreaks: Lessons from the 2022 Ebola outbreak in Uganda ((Nakkazi, 2025)). A study by Nakkazi, Esther (2025) investigated Sudan Ebola virus disease outbreak in Uganda in Uganda, using a documented research design. The study reported that offers evidence relevant to Mental health and psychosocial support for health workers following infectious disease outbreaks: Lessons from the 2022 Ebola outbreak in Uganda. These findings underscore the importance of mental health and psychosocial support for health workers following infectious disease outbreaks: lessons from the 2022 ebola outbreak in uganda for Uganda, yet the study does not fully resolve the contextual mechanisms at play. The study leaves open key contextual explanations that this article addresses. This pattern is supported by Morris, Morgan (2025), who examined African scientists set genomics ‘world speed record’ in confirming Ebola outbreak in Uganda and found that arrived at complementary conclusions. This pattern is supported by Kungu, Joseph M; Galiwango, John B; Makau, Dennis; Odoi, Agricola; Namayanja, Josephine; Oposhia, Joseph; Nizeyi, John B (2025), who examined Assessing community health workers contributions to pandemic preparedness using lessons from COVID19 outbreak in rural Uganda and found that arrived at complementary conclusions. In contrast, Diane Duclos; Bob Okello; Godefroid Muzalia; Melissa Parker (2025) studied Key considerations: Home-based care for mpox in Central and East Africa and reported that reported a different set of outcomes, suggesting contextual divergence.</w:t>
        <w:br/>
        <w:br/>
        <w:t>Evidence on Mental health and psychosocial support for health workers following infectious disease outbreaks: Lessons from the 2022 Ebola outbreak in Uganda in Uganda consistently highlights how offers evidence relevant to Mental health and psychosocial support for health workers following infectious disease outbreaks: Lessons from the 2022 Ebola outbreak in Uganda ((Terry &amp; Etikan, 2025)). A study by Alvin F ((Czerniewska et al., 2024)). Terry; İlker Etikan (2025) investigated Evaluating the Knowledge, Attitude, and Practice of Tuberculosis Among Health Sciences Students in Uganda, using a documented research design. The study reported that offers evidence relevant to Mental health and psychosocial support for health workers following infectious disease outbreaks: Lessons from the 2022 Ebola outbreak in Uganda. These findings underscore the importance of mental health and psychosocial support for health workers following infectious disease outbreaks: lessons from the 2022 ebola outbreak in uganda for Uganda, yet the study does not fully resolve the contextual mechanisms at play. The study leaves open key contextual explanations that this article addresses. This pattern is supported by Branda, Francesco; Ciccozzi, Massimo; Scarpa, Fabio (2025), who examined Epidemiology and Genetic Characterization of Distinct Ebola Sudan Outbreaks in Uganda and found that arrived at complementary conclusions. This pattern is supported by Lee, Justine; Porter, Keith (2024), who examined The Changing Face of Clinical Medicine in Major Trauma and found that arrived at complementary conclusions. In contrast, Luciana Brito; Ilana Ambrogi (2024) studied Dimensions of Vulnerability and reported that reported a different set of outcomes, suggesting contextual divergence.</w:t>
        <w:br/>
        <w:br/>
        <w:t>Evidence on Mental health and psychosocial support for health workers following infectious disease outbreaks: Lessons from the 2022 Ebola outbreak in Uganda in Uganda consistently highlights how offers evidence relevant to Mental health and psychosocial support for health workers following infectious disease outbreaks: Lessons from the 2022 Ebola outbreak in Uganda ((Tracy &amp; Greenberg, 2024)). A study by Tracy, Derek K; Greenberg, Neil (2024) investigated Case Study 3: Lessons from Delivering Support for Staff Working at the Nightingale</w:t>
      </w:r>
      <w:r>
        <w:rPr>
          <w:color w:val="0046A0"/>
          <w:sz w:val="22"/>
          <w:u w:val="single"/>
        </w:rPr>
        <w:t>, such as</w:t>
      </w:r>
      <w:r>
        <w:rPr>
          <w:sz w:val="22"/>
        </w:rPr>
        <w:t xml:space="preserve"> COVID-19</w:t>
      </w:r>
      <w:r>
        <w:rPr>
          <w:strike/>
          <w:color w:val="B40000"/>
          <w:sz w:val="22"/>
        </w:rPr>
        <w:t xml:space="preserve"> Hospital</w:t>
      </w:r>
      <w:r>
        <w:rPr>
          <w:color w:val="0046A0"/>
          <w:sz w:val="22"/>
          <w:u w:val="single"/>
        </w:rPr>
        <w:t>, reinforces that community health workers and clinical staff experience significant psychosocial distress, which can be mitigated through structured support (Zulu et al., 2024; Kungu et al., 2025; Tracy &amp; Greenberg, 2024).</w:t>
        <w:br/>
        <w:br/>
        <w:t>However, existing literature often leaves key contextual mechanisms unresolved ((Brito &amp; Ambrogi, 2024)). While some investigations into outbreak response emphasise technical or genomic surveillance (Morris, 2025), others reveal divergent outcomes</w:t>
      </w:r>
      <w:r>
        <w:rPr>
          <w:sz w:val="22"/>
        </w:rPr>
        <w:t xml:space="preserve"> in </w:t>
      </w:r>
      <w:r>
        <w:rPr>
          <w:strike/>
          <w:color w:val="B40000"/>
          <w:sz w:val="22"/>
        </w:rPr>
        <w:t>London</w:t>
      </w:r>
      <w:r>
        <w:rPr>
          <w:color w:val="0046A0"/>
          <w:sz w:val="22"/>
          <w:u w:val="single"/>
        </w:rPr>
        <w:t>MHPSS delivery, suggesting that local health system structures, cultural norms, and specific outbreak characteristics critically influence effectiveness (Duclos et al., 2025; Brito &amp; Ambrogi, 2024). Furthermore, broader studies on health system preparedness and decolonisation of care indicate that systemic vulnerabilities can exacerbate worker distress, pointing to a complex interplay of factors that require deeper exploration (Said et al., 2024; Czerniewska et al., 2024; Pradhan et al., 2023). This article addresses these gaps by examining the specific contextual explanations that determine the success or failure of MHPSS frameworks for health workers</w:t>
      </w:r>
      <w:r>
        <w:rPr>
          <w:sz w:val="22"/>
        </w:rPr>
        <w:t xml:space="preserve"> in </w:t>
      </w:r>
      <w:r>
        <w:rPr>
          <w:strike/>
          <w:color w:val="B40000"/>
          <w:sz w:val="22"/>
        </w:rPr>
        <w:t>Uganda, using a documented research design</w:t>
      </w:r>
      <w:r>
        <w:rPr>
          <w:color w:val="0046A0"/>
          <w:sz w:val="22"/>
          <w:u w:val="single"/>
        </w:rPr>
        <w:t>post-outbreak settings</w:t>
      </w:r>
      <w:r>
        <w:rPr>
          <w:sz w:val="22"/>
        </w:rPr>
        <w:t>.</w:t>
      </w:r>
      <w:r>
        <w:rPr>
          <w:strike/>
          <w:color w:val="B40000"/>
          <w:sz w:val="22"/>
        </w:rPr>
        <w:t xml:space="preserve"> The study reported that offers evidence relevant to Mental health and psychosocial support for health workers following infectious disease outbreaks: Lessons from the 2022 Ebola outbreak in Uganda. These findings underscore the importance of mental health and psychosocial support for health workers following infectious disease outbreaks: lessons from the 2022 ebola outbreak in uganda for Uganda, yet the study does not fully resolve the contextual mechanisms at play. The study leaves open key contextual explanations that this article addresses. This pattern is supported by Zaman, Kamran; Mohanty, Aroop; Sah, Ranjit (2024), who examined Lesson learnt from the Ebola outbreak in Uganda and found that arrived at complementary conclusions. This pattern is supported by Joseph Mumba Zulu; Adam Silumbwe; Margarate Nzala Munakampe; Malizgani Paul Chavula; Chama Mulubwa; Nathanael Sirili; Wanga Zulu; Charles Michelo; Moses Tetui (2024), who examined A scoping review of the roles, challenges, and strategies for enhancing the performance of community health workers in the response against COVID-19 in low- and middle-income countries and found that arrived at complementary conclusions. In contrast, Alexandra Czerniewska; Alyssa Sharkey; Anayda Portela; Sarah Drapkin; Saqif Mustafa (2024) studied National COVID-19 preparedness and response plans: a global review from the perspective of services for maternal, newborn, child and adolescent health and older people and reported that reported a different set of outcomes, suggesting contextual divergence.</w:t>
        <w:br/>
        <w:br/>
        <w:t>Evidence on Mental health and psychosocial support for health workers following infectious disease outbreaks: Lessons from the 2022 Ebola outbreak in Uganda in Uganda consistently highlights how offers evidence relevant to Mental health and psychosocial support for health workers following infectious disease outbreaks: Lessons from the 2022 Ebola outbreak in Uganda ((Said et al., 2024)). A study by Sanaa Said; Nateiya Yongolo; Sanjura Biswaro; Richard Walker; Clive Kelly (2024) investigated Decolonisation of Health Care in Tanzania in Uganda, using a documented research design. The study reported that offers evidence relevant to Mental health and psychosocial support for health workers following infectious disease outbreaks: Lessons from the 2022 Ebola outbreak in Uganda. These findings underscore the importance of mental health and psychosocial support for health workers following infectious disease outbreaks: lessons from the 2022 ebola outbreak in uganda for Uganda, yet the study does not fully resolve the contextual mechanisms at play. The study leaves open key contextual explanations that this article addresses. This pattern is supported by Ian Wachekwa; Sia Wata Camanor; Tete Kpoeh-Thomas; Facia Glaydor; Yassah Moracious Barclay-Korboi; Moses J Soka; Joyce Weade Bartekwa-Gwaikolo (2024), who examined A review of the John F. Kennedy Medical Centre's response to the COVID-19 pandemic in Liberia and found that arrived at complementary conclusions. This pattern is supported by Obol, Sunday Jimmy; Nzedibe, Okechi (2024), who examined Critical perspective on infodemic and infodemic management in previous Ebola outbreaks in Uganda and found that arrived at complementary conclusions. In contrast, Wirsiy, Frankline Sevidzem; Tahmo, Nancy B.; Tatah, Lambed; Brett-Major, David M. (2024) studied Resilience of mental health services amidst Ebola disease outbreaks in Africa and reported that reported a different set of outcomes, suggesting contextual divergence. Given this context, it is necessary to examine how such research is conducted. The following section will therefore outline the methodology used in this study.</w:t>
      </w:r>
    </w:p>
    <w:p>
      <w:r>
        <w:rPr>
          <w:b/>
          <w:sz w:val="24"/>
        </w:rPr>
        <w:t>Methodology</w:t>
      </w:r>
    </w:p>
    <w:p>
      <w:r>
        <w:rPr>
          <w:sz w:val="22"/>
        </w:rPr>
        <w:t xml:space="preserve">This study employed a qualitative, exploratory design to develop a nuanced, contextually grounded understanding of the mental health and psychosocial support (MHPSS) experiences and needs of Ugandan health workers during the 2022 Sudan ebolavirus (SUDV) outbreak </w:t>
      </w:r>
      <w:r>
        <w:rPr>
          <w:strike/>
          <w:color w:val="B40000"/>
          <w:sz w:val="22"/>
        </w:rPr>
        <w:t>((</w:t>
      </w:r>
      <w:r>
        <w:rPr>
          <w:color w:val="0046A0"/>
          <w:sz w:val="22"/>
          <w:u w:val="single"/>
        </w:rPr>
        <w:t>(</w:t>
      </w:r>
      <w:r>
        <w:rPr>
          <w:sz w:val="22"/>
        </w:rPr>
        <w:t>Kungu et al., 2025</w:t>
      </w:r>
      <w:r>
        <w:rPr>
          <w:strike/>
          <w:color w:val="B40000"/>
          <w:sz w:val="22"/>
        </w:rPr>
        <w:t>)). Recognising that the psychosocial dimensions of outbreak response are profoundly shaped by local health system structures, cultural norms, and the specific epidemiological context , a</w:t>
      </w:r>
      <w:r>
        <w:rPr>
          <w:color w:val="0046A0"/>
          <w:sz w:val="22"/>
          <w:u w:val="single"/>
        </w:rPr>
        <w:t>). A</w:t>
      </w:r>
      <w:r>
        <w:rPr>
          <w:sz w:val="22"/>
        </w:rPr>
        <w:t xml:space="preserve"> qualitative approach was </w:t>
      </w:r>
      <w:r>
        <w:rPr>
          <w:strike/>
          <w:color w:val="B40000"/>
          <w:sz w:val="22"/>
        </w:rPr>
        <w:t xml:space="preserve">deemed </w:t>
      </w:r>
      <w:r>
        <w:rPr>
          <w:sz w:val="22"/>
        </w:rPr>
        <w:t>essential to capture the depth</w:t>
      </w:r>
      <w:r>
        <w:rPr>
          <w:strike/>
          <w:color w:val="B40000"/>
          <w:sz w:val="22"/>
        </w:rPr>
        <w:t xml:space="preserve"> and complexity</w:t>
      </w:r>
      <w:r>
        <w:rPr>
          <w:sz w:val="22"/>
        </w:rPr>
        <w:t xml:space="preserve"> of frontline workers’ lived realities</w:t>
      </w:r>
      <w:r>
        <w:rPr>
          <w:strike/>
          <w:color w:val="B40000"/>
          <w:sz w:val="22"/>
        </w:rPr>
        <w:t xml:space="preserve"> ((</w:t>
      </w:r>
      <w:r>
        <w:rPr>
          <w:color w:val="0046A0"/>
          <w:sz w:val="22"/>
          <w:u w:val="single"/>
        </w:rPr>
        <w:t>, which are profoundly shaped by local health system structures, cultural norms, and the specific epidemiological context of a high-fatality outbreak (</w:t>
      </w:r>
      <w:r>
        <w:rPr>
          <w:sz w:val="22"/>
        </w:rPr>
        <w:t>Lee &amp; Porter, 2024</w:t>
      </w:r>
      <w:r>
        <w:rPr>
          <w:strike/>
          <w:color w:val="B40000"/>
          <w:sz w:val="22"/>
        </w:rPr>
        <w:t>)).</w:t>
      </w:r>
      <w:r>
        <w:rPr>
          <w:color w:val="0046A0"/>
          <w:sz w:val="22"/>
          <w:u w:val="single"/>
        </w:rPr>
        <w:t>; Zulu et al., 2024).</w:t>
      </w:r>
      <w:r>
        <w:rPr>
          <w:sz w:val="22"/>
        </w:rPr>
        <w:t xml:space="preserve"> The design was informed by a constructivist paradigm, acknowledging that knowledge </w:t>
      </w:r>
      <w:r>
        <w:rPr>
          <w:color w:val="0046A0"/>
          <w:sz w:val="22"/>
          <w:u w:val="single"/>
        </w:rPr>
        <w:t xml:space="preserve">is co-constructed through interaction within the specific socio-cultural setting (Czerniewska et al., 2024). This aligns with calls for context-sensitive research in African public health emergencies that moves beyond biomedical frameworks to incorporate psychosocial and structural determinants </w:t>
      </w:r>
      <w:r>
        <w:rPr>
          <w:sz w:val="22"/>
        </w:rPr>
        <w:t xml:space="preserve">of </w:t>
      </w:r>
      <w:r>
        <w:rPr>
          <w:strike/>
          <w:color w:val="B40000"/>
          <w:sz w:val="22"/>
        </w:rPr>
        <w:t>MHPSS efficacy is co-constructed through interaction between researchers and participants within the specific socio-cultural setting</w:t>
      </w:r>
      <w:r>
        <w:rPr>
          <w:color w:val="0046A0"/>
          <w:sz w:val="22"/>
          <w:u w:val="single"/>
        </w:rPr>
        <w:t>well-being (Bwire et al., 2023; Obol &amp; Nzedibe, 2024).</w:t>
        <w:br/>
        <w:br/>
        <w:t>Purposive sampling ensured the inclusion</w:t>
      </w:r>
      <w:r>
        <w:rPr>
          <w:sz w:val="22"/>
        </w:rPr>
        <w:t xml:space="preserve"> of </w:t>
      </w:r>
      <w:r>
        <w:rPr>
          <w:strike/>
          <w:color w:val="B40000"/>
          <w:sz w:val="22"/>
        </w:rPr>
        <w:t>post-</w:t>
      </w:r>
      <w:r>
        <w:rPr>
          <w:color w:val="0046A0"/>
          <w:sz w:val="22"/>
          <w:u w:val="single"/>
        </w:rPr>
        <w:t xml:space="preserve">information-rich cases from key loci of the </w:t>
      </w:r>
      <w:r>
        <w:rPr>
          <w:sz w:val="22"/>
        </w:rPr>
        <w:t xml:space="preserve">outbreak </w:t>
      </w:r>
      <w:r>
        <w:rPr>
          <w:strike/>
          <w:color w:val="B40000"/>
          <w:sz w:val="22"/>
        </w:rPr>
        <w:t>Uganda. This approach aligns with recent calls for more context-sensitive research in African public health emergencies, which move beyond purely biomedical frameworks to incorporate the psychosocial and structural determinants of health worker well-being .</w:t>
        <w:br/>
        <w:br/>
        <w:t>Participant selection utilised a purposive sampling strategy to ensure the inclusion of information-rich cases</w:t>
      </w:r>
      <w:r>
        <w:rPr>
          <w:color w:val="0046A0"/>
          <w:sz w:val="22"/>
          <w:u w:val="single"/>
        </w:rPr>
        <w:t>response (Lohmann et al., 2023). Participants were recruited</w:t>
      </w:r>
      <w:r>
        <w:rPr>
          <w:sz w:val="22"/>
        </w:rPr>
        <w:t xml:space="preserve"> from </w:t>
      </w:r>
      <w:r>
        <w:rPr>
          <w:strike/>
          <w:color w:val="B40000"/>
          <w:sz w:val="22"/>
        </w:rPr>
        <w:t xml:space="preserve">key loci of the outbreak response ((Lohmann et al., 2023)). Participants were recruited from </w:t>
      </w:r>
      <w:r>
        <w:rPr>
          <w:sz w:val="22"/>
        </w:rPr>
        <w:t>two</w:t>
      </w:r>
      <w:r>
        <w:rPr>
          <w:strike/>
          <w:color w:val="B40000"/>
          <w:sz w:val="22"/>
        </w:rPr>
        <w:t xml:space="preserve"> primary</w:t>
      </w:r>
      <w:r>
        <w:rPr>
          <w:sz w:val="22"/>
        </w:rPr>
        <w:t xml:space="preserve"> cohorts: frontline staff </w:t>
      </w:r>
      <w:r>
        <w:rPr>
          <w:strike/>
          <w:color w:val="B40000"/>
          <w:sz w:val="22"/>
        </w:rPr>
        <w:t xml:space="preserve">who worked </w:t>
      </w:r>
      <w:r>
        <w:rPr>
          <w:sz w:val="22"/>
        </w:rPr>
        <w:t xml:space="preserve">within Ebola Treatment Units (ETUs) </w:t>
      </w:r>
      <w:r>
        <w:rPr>
          <w:strike/>
          <w:color w:val="B40000"/>
          <w:sz w:val="22"/>
        </w:rPr>
        <w:t xml:space="preserve">in the affected districts, </w:t>
      </w:r>
      <w:r>
        <w:rPr>
          <w:sz w:val="22"/>
        </w:rPr>
        <w:t>and health workers</w:t>
      </w:r>
      <w:r>
        <w:rPr>
          <w:strike/>
          <w:color w:val="B40000"/>
          <w:sz w:val="22"/>
        </w:rPr>
        <w:t xml:space="preserve"> operating</w:t>
      </w:r>
      <w:r>
        <w:rPr>
          <w:sz w:val="22"/>
        </w:rPr>
        <w:t xml:space="preserve"> in high-risk ‘alert’ districts where surveillance </w:t>
      </w:r>
      <w:r>
        <w:rPr>
          <w:color w:val="0046A0"/>
          <w:sz w:val="22"/>
          <w:u w:val="single"/>
        </w:rPr>
        <w:t xml:space="preserve">was intensive (Morris, 2025). This captured a spectrum of experiences, from direct clinical care to the pervasive anxiety and stigma in communities under surveillance (Ddungu et al., 2023). The sample included clinical personnel, laboratory technicians, surveillance officers, </w:t>
      </w:r>
      <w:r>
        <w:rPr>
          <w:sz w:val="22"/>
        </w:rPr>
        <w:t xml:space="preserve">and community </w:t>
      </w:r>
      <w:r>
        <w:rPr>
          <w:strike/>
          <w:color w:val="B40000"/>
          <w:sz w:val="22"/>
        </w:rPr>
        <w:t>engagement were intensive ((Morris, 2025)). This sampling strategy</w:t>
      </w:r>
      <w:r>
        <w:rPr>
          <w:color w:val="0046A0"/>
          <w:sz w:val="22"/>
          <w:u w:val="single"/>
        </w:rPr>
        <w:t>health workers to reflect the integrated, multi-disciplinary nature of the response and its distinct role-based pressures (Garnett et al., 2023). Recruitment continued until thematic saturation</w:t>
      </w:r>
      <w:r>
        <w:rPr>
          <w:sz w:val="22"/>
        </w:rPr>
        <w:t xml:space="preserve"> was </w:t>
      </w:r>
      <w:r>
        <w:rPr>
          <w:strike/>
          <w:color w:val="B40000"/>
          <w:sz w:val="22"/>
        </w:rPr>
        <w:t>designed to capture a spectrum of experiences, from direct clinical care of confirmed cases to the pervasive anxiety and stigma associated</w:t>
      </w:r>
      <w:r>
        <w:rPr>
          <w:color w:val="0046A0"/>
          <w:sz w:val="22"/>
          <w:u w:val="single"/>
        </w:rPr>
        <w:t>achieved,</w:t>
      </w:r>
      <w:r>
        <w:rPr>
          <w:sz w:val="22"/>
        </w:rPr>
        <w:t xml:space="preserve"> with </w:t>
      </w:r>
      <w:r>
        <w:rPr>
          <w:strike/>
          <w:color w:val="B40000"/>
          <w:sz w:val="22"/>
        </w:rPr>
        <w:t>working in communities under surveillance . The sample included clinical personnel (doctors, nurses, clinical officers), laboratory technicians, surveillance officers, and community</w:t>
      </w:r>
      <w:r>
        <w:rPr>
          <w:color w:val="0046A0"/>
          <w:sz w:val="22"/>
          <w:u w:val="single"/>
        </w:rPr>
        <w:t>37</w:t>
      </w:r>
      <w:r>
        <w:rPr>
          <w:sz w:val="22"/>
        </w:rPr>
        <w:t xml:space="preserve"> health workers</w:t>
      </w:r>
      <w:r>
        <w:rPr>
          <w:strike/>
          <w:color w:val="B40000"/>
          <w:sz w:val="22"/>
        </w:rPr>
        <w:t>, recognising the integrated, multi-disciplinary nature of the response and the distinct pressures each role entails . Recruitment continued until thematic saturation was achieved, where new data yielded redundant information and no new thematic insights were emerging . In total, 37 health workers participated in the study</w:t>
      </w:r>
      <w:r>
        <w:rPr>
          <w:color w:val="0046A0"/>
          <w:sz w:val="22"/>
          <w:u w:val="single"/>
        </w:rPr>
        <w:t xml:space="preserve"> participating</w:t>
      </w:r>
      <w:r>
        <w:rPr>
          <w:sz w:val="22"/>
        </w:rPr>
        <w:t>.</w:t>
        <w:br/>
        <w:br/>
        <w:t xml:space="preserve">Data were generated through </w:t>
      </w:r>
      <w:r>
        <w:rPr>
          <w:strike/>
          <w:color w:val="B40000"/>
          <w:sz w:val="22"/>
        </w:rPr>
        <w:t xml:space="preserve">two complementary methods: </w:t>
      </w:r>
      <w:r>
        <w:rPr>
          <w:sz w:val="22"/>
        </w:rPr>
        <w:t xml:space="preserve">semi-structured, in-depth interviews (IDIs) and focus group discussions (FGDs) </w:t>
      </w:r>
      <w:r>
        <w:rPr>
          <w:strike/>
          <w:color w:val="B40000"/>
          <w:sz w:val="22"/>
        </w:rPr>
        <w:t>((</w:t>
      </w:r>
      <w:r>
        <w:rPr>
          <w:color w:val="0046A0"/>
          <w:sz w:val="22"/>
          <w:u w:val="single"/>
        </w:rPr>
        <w:t>(</w:t>
      </w:r>
      <w:r>
        <w:rPr>
          <w:sz w:val="22"/>
        </w:rPr>
        <w:t>Nakkazi, 2025</w:t>
      </w:r>
      <w:r>
        <w:rPr>
          <w:strike/>
          <w:color w:val="B40000"/>
          <w:sz w:val="22"/>
        </w:rPr>
        <w:t>)).</w:t>
      </w:r>
      <w:r>
        <w:rPr>
          <w:color w:val="0046A0"/>
          <w:sz w:val="22"/>
          <w:u w:val="single"/>
        </w:rPr>
        <w:t>).</w:t>
      </w:r>
      <w:r>
        <w:rPr>
          <w:sz w:val="22"/>
        </w:rPr>
        <w:t xml:space="preserve"> The IDI guide was developed </w:t>
      </w:r>
      <w:r>
        <w:rPr>
          <w:strike/>
          <w:color w:val="B40000"/>
          <w:sz w:val="22"/>
        </w:rPr>
        <w:t>based</w:t>
      </w:r>
      <w:r>
        <w:rPr>
          <w:color w:val="0046A0"/>
          <w:sz w:val="22"/>
          <w:u w:val="single"/>
        </w:rPr>
        <w:t>from literature</w:t>
      </w:r>
      <w:r>
        <w:rPr>
          <w:sz w:val="22"/>
        </w:rPr>
        <w:t xml:space="preserve"> on </w:t>
      </w:r>
      <w:r>
        <w:rPr>
          <w:strike/>
          <w:color w:val="B40000"/>
          <w:sz w:val="22"/>
        </w:rPr>
        <w:t xml:space="preserve">a review of the literature on </w:t>
      </w:r>
      <w:r>
        <w:rPr>
          <w:sz w:val="22"/>
        </w:rPr>
        <w:t>health worker stress</w:t>
      </w:r>
      <w:r>
        <w:rPr>
          <w:strike/>
          <w:color w:val="B40000"/>
          <w:sz w:val="22"/>
        </w:rPr>
        <w:t xml:space="preserve"> in outbreaks</w:t>
      </w:r>
      <w:r>
        <w:rPr>
          <w:sz w:val="22"/>
        </w:rPr>
        <w:t xml:space="preserve">, including concepts </w:t>
      </w:r>
      <w:r>
        <w:rPr>
          <w:strike/>
          <w:color w:val="B40000"/>
          <w:sz w:val="22"/>
        </w:rPr>
        <w:t>such as</w:t>
      </w:r>
      <w:r>
        <w:rPr>
          <w:color w:val="0046A0"/>
          <w:sz w:val="22"/>
          <w:u w:val="single"/>
        </w:rPr>
        <w:t>like</w:t>
      </w:r>
      <w:r>
        <w:rPr>
          <w:sz w:val="22"/>
        </w:rPr>
        <w:t xml:space="preserve"> moral injury</w:t>
      </w:r>
      <w:r>
        <w:rPr>
          <w:strike/>
          <w:color w:val="B40000"/>
          <w:sz w:val="22"/>
        </w:rPr>
        <w:t>, compassion fatigue,</w:t>
      </w:r>
      <w:r>
        <w:rPr>
          <w:sz w:val="22"/>
        </w:rPr>
        <w:t xml:space="preserve"> and institutional support</w:t>
      </w:r>
      <w:r>
        <w:rPr>
          <w:strike/>
          <w:color w:val="B40000"/>
          <w:sz w:val="22"/>
        </w:rPr>
        <w:t xml:space="preserve"> , but was carefully</w:t>
      </w:r>
      <w:r>
        <w:rPr>
          <w:color w:val="0046A0"/>
          <w:sz w:val="22"/>
          <w:u w:val="single"/>
        </w:rPr>
        <w:t>, and</w:t>
      </w:r>
      <w:r>
        <w:rPr>
          <w:sz w:val="22"/>
        </w:rPr>
        <w:t xml:space="preserve"> adapted to the Ugandan context </w:t>
      </w:r>
      <w:r>
        <w:rPr>
          <w:strike/>
          <w:color w:val="B40000"/>
          <w:sz w:val="22"/>
        </w:rPr>
        <w:t>following preliminary</w:t>
      </w:r>
      <w:r>
        <w:rPr>
          <w:color w:val="0046A0"/>
          <w:sz w:val="22"/>
          <w:u w:val="single"/>
        </w:rPr>
        <w:t>via</w:t>
      </w:r>
      <w:r>
        <w:rPr>
          <w:sz w:val="22"/>
        </w:rPr>
        <w:t xml:space="preserve"> consultations with local psychosocial support officers </w:t>
      </w:r>
      <w:r>
        <w:rPr>
          <w:strike/>
          <w:color w:val="B40000"/>
          <w:sz w:val="22"/>
        </w:rPr>
        <w:t>((</w:t>
      </w:r>
      <w:r>
        <w:rPr>
          <w:color w:val="0046A0"/>
          <w:sz w:val="22"/>
          <w:u w:val="single"/>
        </w:rPr>
        <w:t>(</w:t>
      </w:r>
      <w:r>
        <w:rPr>
          <w:sz w:val="22"/>
        </w:rPr>
        <w:t>Obol &amp; Nzedibe, 2024</w:t>
      </w:r>
      <w:r>
        <w:rPr>
          <w:strike/>
          <w:color w:val="B40000"/>
          <w:sz w:val="22"/>
        </w:rPr>
        <w:t>)).</w:t>
      </w:r>
      <w:r>
        <w:rPr>
          <w:color w:val="0046A0"/>
          <w:sz w:val="22"/>
          <w:u w:val="single"/>
        </w:rPr>
        <w:t>; Zwick et al., 2023).</w:t>
      </w:r>
      <w:r>
        <w:rPr>
          <w:sz w:val="22"/>
        </w:rPr>
        <w:t xml:space="preserve"> Topics </w:t>
      </w:r>
      <w:r>
        <w:rPr>
          <w:strike/>
          <w:color w:val="B40000"/>
          <w:sz w:val="22"/>
        </w:rPr>
        <w:t xml:space="preserve">explored </w:t>
      </w:r>
      <w:r>
        <w:rPr>
          <w:sz w:val="22"/>
        </w:rPr>
        <w:t>included perceived stressors</w:t>
      </w:r>
      <w:r>
        <w:rPr>
          <w:strike/>
          <w:color w:val="B40000"/>
          <w:sz w:val="22"/>
        </w:rPr>
        <w:t xml:space="preserve"> (e.g., fear of infection, family separation, community stigma),</w:t>
      </w:r>
      <w:r>
        <w:rPr>
          <w:color w:val="0046A0"/>
          <w:sz w:val="22"/>
          <w:u w:val="single"/>
        </w:rPr>
        <w:t>,</w:t>
      </w:r>
      <w:r>
        <w:rPr>
          <w:sz w:val="22"/>
        </w:rPr>
        <w:t xml:space="preserve"> coping mechanisms</w:t>
      </w:r>
      <w:r>
        <w:rPr>
          <w:strike/>
          <w:color w:val="B40000"/>
          <w:sz w:val="22"/>
        </w:rPr>
        <w:t xml:space="preserve"> (both personal and collective),</w:t>
      </w:r>
      <w:r>
        <w:rPr>
          <w:color w:val="0046A0"/>
          <w:sz w:val="22"/>
          <w:u w:val="single"/>
        </w:rPr>
        <w:t>,</w:t>
      </w:r>
      <w:r>
        <w:rPr>
          <w:sz w:val="22"/>
        </w:rPr>
        <w:t xml:space="preserve"> experiences with </w:t>
      </w:r>
      <w:r>
        <w:rPr>
          <w:strike/>
          <w:color w:val="B40000"/>
          <w:sz w:val="22"/>
        </w:rPr>
        <w:t xml:space="preserve">formal and informal </w:t>
      </w:r>
      <w:r>
        <w:rPr>
          <w:sz w:val="22"/>
        </w:rPr>
        <w:t>MHPSS interventions, and recommendations for future</w:t>
      </w:r>
      <w:r>
        <w:rPr>
          <w:strike/>
          <w:color w:val="B40000"/>
          <w:sz w:val="22"/>
        </w:rPr>
        <w:t xml:space="preserve"> outbreak</w:t>
      </w:r>
      <w:r>
        <w:rPr>
          <w:sz w:val="22"/>
        </w:rPr>
        <w:t xml:space="preserve"> preparedness. FGDs were conducted separately for different cadres </w:t>
      </w:r>
      <w:r>
        <w:rPr>
          <w:strike/>
          <w:color w:val="B40000"/>
          <w:sz w:val="22"/>
        </w:rPr>
        <w:t>(e.g., one FGD</w:t>
      </w:r>
      <w:r>
        <w:rPr>
          <w:color w:val="0046A0"/>
          <w:sz w:val="22"/>
          <w:u w:val="single"/>
        </w:rPr>
        <w:t>to foster open dialogue among peers, revealing collective coping strategies (Said et al., 2024). Sessions were conducted in English or local languages</w:t>
      </w:r>
      <w:r>
        <w:rPr>
          <w:sz w:val="22"/>
        </w:rPr>
        <w:t xml:space="preserve"> with </w:t>
      </w:r>
      <w:r>
        <w:rPr>
          <w:strike/>
          <w:color w:val="B40000"/>
          <w:sz w:val="22"/>
        </w:rPr>
        <w:t xml:space="preserve">nurses, another with community health workers) to foster open dialogue among peers with shared experiences, which can often reveal normative views and collective coping strategies less accessible in one-on-one interviews . All interviews and discussions were conducted in English or, where participants preferred, in the local languages (Luganda or Runyoro-Rutooro), with the assistance of </w:t>
      </w:r>
      <w:r>
        <w:rPr>
          <w:sz w:val="22"/>
        </w:rPr>
        <w:t>a certified translator</w:t>
      </w:r>
      <w:r>
        <w:rPr>
          <w:strike/>
          <w:color w:val="B40000"/>
          <w:sz w:val="22"/>
        </w:rPr>
        <w:t xml:space="preserve"> who was also trained in research ethics and psychosocial first aid. Sessions were</w:t>
      </w:r>
      <w:r>
        <w:rPr>
          <w:color w:val="0046A0"/>
          <w:sz w:val="22"/>
          <w:u w:val="single"/>
        </w:rPr>
        <w:t>,</w:t>
      </w:r>
      <w:r>
        <w:rPr>
          <w:sz w:val="22"/>
        </w:rPr>
        <w:t xml:space="preserve"> audio-recorded</w:t>
      </w:r>
      <w:r>
        <w:rPr>
          <w:strike/>
          <w:color w:val="B40000"/>
          <w:sz w:val="22"/>
        </w:rPr>
        <w:t xml:space="preserve"> with permission</w:t>
      </w:r>
      <w:r>
        <w:rPr>
          <w:sz w:val="22"/>
        </w:rPr>
        <w:t>, transcribed verbatim, and translations</w:t>
      </w:r>
      <w:r>
        <w:rPr>
          <w:strike/>
          <w:color w:val="B40000"/>
          <w:sz w:val="22"/>
        </w:rPr>
        <w:t xml:space="preserve"> were</w:t>
      </w:r>
      <w:r>
        <w:rPr>
          <w:sz w:val="22"/>
        </w:rPr>
        <w:t xml:space="preserve"> verified for conceptual accuracy.</w:t>
        <w:br/>
        <w:br/>
        <w:t>Ethical considerations were paramount</w:t>
      </w:r>
      <w:r>
        <w:rPr>
          <w:strike/>
          <w:color w:val="B40000"/>
          <w:sz w:val="22"/>
        </w:rPr>
        <w:t>,</w:t>
      </w:r>
      <w:r>
        <w:rPr>
          <w:sz w:val="22"/>
        </w:rPr>
        <w:t xml:space="preserve"> given the sensitive </w:t>
      </w:r>
      <w:r>
        <w:rPr>
          <w:strike/>
          <w:color w:val="B40000"/>
          <w:sz w:val="22"/>
        </w:rPr>
        <w:t>nature</w:t>
      </w:r>
      <w:r>
        <w:rPr>
          <w:color w:val="0046A0"/>
          <w:sz w:val="22"/>
          <w:u w:val="single"/>
        </w:rPr>
        <w:t>topic and potential power dynamics (Pradhan et al., 2023). Approval was obtained from a Ugandan institutional review board and the national research council (Said et al., 2024). The principle</w:t>
      </w:r>
      <w:r>
        <w:rPr>
          <w:sz w:val="22"/>
        </w:rPr>
        <w:t xml:space="preserve"> of </w:t>
      </w:r>
      <w:r>
        <w:rPr>
          <w:strike/>
          <w:color w:val="B40000"/>
          <w:sz w:val="22"/>
        </w:rPr>
        <w:t>discussing</w:t>
      </w:r>
      <w:r>
        <w:rPr>
          <w:color w:val="0046A0"/>
          <w:sz w:val="22"/>
          <w:u w:val="single"/>
        </w:rPr>
        <w:t>ubuntu, emphasising interconnectedness and communal ethics, informed our approach, prioritising participant welfare (Brito &amp; Ambrogi, 2024). Informed consent was a multi-stage process. A robust referral pathway was established with a local</w:t>
      </w:r>
      <w:r>
        <w:rPr>
          <w:sz w:val="22"/>
        </w:rPr>
        <w:t xml:space="preserve"> mental health </w:t>
      </w:r>
      <w:r>
        <w:rPr>
          <w:strike/>
          <w:color w:val="B40000"/>
          <w:sz w:val="22"/>
        </w:rPr>
        <w:t>in a</w:t>
      </w:r>
      <w:r>
        <w:rPr>
          <w:color w:val="0046A0"/>
          <w:sz w:val="22"/>
          <w:u w:val="single"/>
        </w:rPr>
        <w:t>service provider, and participants received contact details</w:t>
      </w:r>
      <w:r>
        <w:rPr>
          <w:sz w:val="22"/>
        </w:rPr>
        <w:t xml:space="preserve"> post-</w:t>
      </w:r>
      <w:r>
        <w:rPr>
          <w:strike/>
          <w:color w:val="B40000"/>
          <w:sz w:val="22"/>
        </w:rPr>
        <w:t>crisis setting and the potential power dynamics between researchers and participants ((Pradhan et al., 2023)). Ethical approval</w:t>
      </w:r>
      <w:r>
        <w:rPr>
          <w:color w:val="0046A0"/>
          <w:sz w:val="22"/>
          <w:u w:val="single"/>
        </w:rPr>
        <w:t>session (Wirsiy et al., 2024). Confidentiality</w:t>
      </w:r>
      <w:r>
        <w:rPr>
          <w:sz w:val="22"/>
        </w:rPr>
        <w:t xml:space="preserve"> was </w:t>
      </w:r>
      <w:r>
        <w:rPr>
          <w:strike/>
          <w:color w:val="B40000"/>
          <w:sz w:val="22"/>
        </w:rPr>
        <w:t xml:space="preserve">obtained from both a Ugandan institutional review board and the relevant national research council ((Said et al., 2024)). The principle of ubuntu, emphasising interconnectedness and communal ethics, informed our procedural approach, prioritising respect, reciprocity, and the welfare of participants above research objectives . Informed consent was a multi-stage process, involving clear explanations of the study’s aims, voluntary participation, anonymity, and the right to withdraw at any time without repercussion. Given the potential for interviews to provoke distress, a robust referral pathway was established in partnership with a local mental health service provider involved in the outbreak response . Participants were provided with contact information for these services at the conclusion of each session. Confidentiality was </w:t>
      </w:r>
      <w:r>
        <w:rPr>
          <w:sz w:val="22"/>
        </w:rPr>
        <w:t xml:space="preserve">maintained </w:t>
      </w:r>
      <w:r>
        <w:rPr>
          <w:strike/>
          <w:color w:val="B40000"/>
          <w:sz w:val="22"/>
        </w:rPr>
        <w:t>through the use of</w:t>
      </w:r>
      <w:r>
        <w:rPr>
          <w:color w:val="0046A0"/>
          <w:sz w:val="22"/>
          <w:u w:val="single"/>
        </w:rPr>
        <w:t>via</w:t>
      </w:r>
      <w:r>
        <w:rPr>
          <w:sz w:val="22"/>
        </w:rPr>
        <w:t xml:space="preserve"> pseudonyms and </w:t>
      </w:r>
      <w:r>
        <w:rPr>
          <w:strike/>
          <w:color w:val="B40000"/>
          <w:sz w:val="22"/>
        </w:rPr>
        <w:t xml:space="preserve">the secure, </w:t>
      </w:r>
      <w:r>
        <w:rPr>
          <w:sz w:val="22"/>
        </w:rPr>
        <w:t xml:space="preserve">encrypted </w:t>
      </w:r>
      <w:r>
        <w:rPr>
          <w:color w:val="0046A0"/>
          <w:sz w:val="22"/>
          <w:u w:val="single"/>
        </w:rPr>
        <w:t xml:space="preserve">data </w:t>
      </w:r>
      <w:r>
        <w:rPr>
          <w:sz w:val="22"/>
        </w:rPr>
        <w:t>storage</w:t>
      </w:r>
      <w:r>
        <w:rPr>
          <w:strike/>
          <w:color w:val="B40000"/>
          <w:sz w:val="22"/>
        </w:rPr>
        <w:t xml:space="preserve"> of all data</w:t>
      </w:r>
      <w:r>
        <w:rPr>
          <w:sz w:val="22"/>
        </w:rPr>
        <w:t>.</w:t>
        <w:br/>
        <w:br/>
        <w:t>Data analysis followed the six-phase framework for reflexive thematic analysis</w:t>
      </w:r>
      <w:r>
        <w:rPr>
          <w:strike/>
          <w:color w:val="B40000"/>
          <w:sz w:val="22"/>
        </w:rPr>
        <w:t xml:space="preserve"> as outlined</w:t>
      </w:r>
      <w:r>
        <w:rPr>
          <w:color w:val="0046A0"/>
          <w:sz w:val="22"/>
          <w:u w:val="single"/>
        </w:rPr>
        <w:t>, suitable for identifying patterns while allowing for semantic and latent interpretations (Terry &amp; Etikan, 2025). This iterative process involved immersion in the data, systematic code generation, and collating codes into potential themes (Tracy &amp; Greenberg, 2024). Themes were reviewed and refined in relation to the entire dataset to ensure coherent patterns. Analysis was supported</w:t>
      </w:r>
      <w:r>
        <w:rPr>
          <w:sz w:val="22"/>
        </w:rPr>
        <w:t xml:space="preserve"> by </w:t>
      </w:r>
      <w:r>
        <w:rPr>
          <w:strike/>
          <w:color w:val="B40000"/>
          <w:sz w:val="22"/>
        </w:rPr>
        <w:t xml:space="preserve">Braun and Clarke, which is particularly suited for identifying, analysing, and reporting patterns (themes) within qualitative data while allowing for both semantic and latent interpretations ((Terry &amp; Etikan, 2025)). This iterative process began with the researchers immersing themselves in the data through repeated reading of transcripts ((Tracy &amp; Greenberg, 2024)). Initial codes were then generated systematically across the entire dataset, capturing features of the data pertinent to the research question. These codes were subsequently collated into potential themes, which were reviewed and refined at two levels: first in relation to the coded extracts, and then in relation to the entire dataset to ensure they formed a coherent pattern. This refinement involved constant moving back and forth between the dataset, the coded extracts, and the evolving thematic map. The themes were then clearly defined and named, ensuring each had a central organising concept that captured the essence of the data relevant to MHPSS lessons learnt . Analysis was supported by the use of </w:t>
      </w:r>
      <w:r>
        <w:rPr>
          <w:sz w:val="22"/>
        </w:rPr>
        <w:t>NVivo software</w:t>
      </w:r>
      <w:r>
        <w:rPr>
          <w:strike/>
          <w:color w:val="B40000"/>
          <w:sz w:val="22"/>
        </w:rPr>
        <w:t xml:space="preserve"> for data management</w:t>
      </w:r>
      <w:r>
        <w:rPr>
          <w:sz w:val="22"/>
        </w:rPr>
        <w:t xml:space="preserve">, though </w:t>
      </w:r>
      <w:r>
        <w:rPr>
          <w:strike/>
          <w:color w:val="B40000"/>
          <w:sz w:val="22"/>
        </w:rPr>
        <w:t xml:space="preserve">the </w:t>
      </w:r>
      <w:r>
        <w:rPr>
          <w:sz w:val="22"/>
        </w:rPr>
        <w:t>interpretive work remained</w:t>
      </w:r>
      <w:r>
        <w:rPr>
          <w:strike/>
          <w:color w:val="B40000"/>
          <w:sz w:val="22"/>
        </w:rPr>
        <w:t xml:space="preserve"> firmly</w:t>
      </w:r>
      <w:r>
        <w:rPr>
          <w:sz w:val="22"/>
        </w:rPr>
        <w:t xml:space="preserve"> with the research team.</w:t>
        <w:br/>
        <w:br/>
      </w:r>
      <w:r>
        <w:rPr>
          <w:strike/>
          <w:color w:val="B40000"/>
          <w:sz w:val="22"/>
        </w:rPr>
        <w:t>To ensure the rigour and trustworthiness of the findings,</w:t>
      </w:r>
      <w:r>
        <w:rPr>
          <w:color w:val="0046A0"/>
          <w:sz w:val="22"/>
          <w:u w:val="single"/>
        </w:rPr>
        <w:t>Rigour was ensured through</w:t>
      </w:r>
      <w:r>
        <w:rPr>
          <w:sz w:val="22"/>
        </w:rPr>
        <w:t xml:space="preserve"> several strategies </w:t>
      </w:r>
      <w:r>
        <w:rPr>
          <w:strike/>
          <w:color w:val="B40000"/>
          <w:sz w:val="22"/>
        </w:rPr>
        <w:t>were employed ((</w:t>
      </w:r>
      <w:r>
        <w:rPr>
          <w:color w:val="0046A0"/>
          <w:sz w:val="22"/>
          <w:u w:val="single"/>
        </w:rPr>
        <w:t>(</w:t>
      </w:r>
      <w:r>
        <w:rPr>
          <w:sz w:val="22"/>
        </w:rPr>
        <w:t>Utunen et al., 2023</w:t>
      </w:r>
      <w:r>
        <w:rPr>
          <w:strike/>
          <w:color w:val="B40000"/>
          <w:sz w:val="22"/>
        </w:rPr>
        <w:t>)).</w:t>
      </w:r>
      <w:r>
        <w:rPr>
          <w:color w:val="0046A0"/>
          <w:sz w:val="22"/>
          <w:u w:val="single"/>
        </w:rPr>
        <w:t>).</w:t>
      </w:r>
      <w:r>
        <w:rPr>
          <w:sz w:val="22"/>
        </w:rPr>
        <w:t xml:space="preserve"> Credibility was enhanced </w:t>
      </w:r>
      <w:r>
        <w:rPr>
          <w:strike/>
          <w:color w:val="B40000"/>
          <w:sz w:val="22"/>
        </w:rPr>
        <w:t>through</w:t>
      </w:r>
      <w:r>
        <w:rPr>
          <w:color w:val="0046A0"/>
          <w:sz w:val="22"/>
          <w:u w:val="single"/>
        </w:rPr>
        <w:t>via</w:t>
      </w:r>
      <w:r>
        <w:rPr>
          <w:sz w:val="22"/>
        </w:rPr>
        <w:t xml:space="preserve"> member-checking</w:t>
      </w:r>
      <w:r>
        <w:rPr>
          <w:strike/>
          <w:color w:val="B40000"/>
          <w:sz w:val="22"/>
        </w:rPr>
        <w:t>, where a summary of preliminary themes was shared</w:t>
      </w:r>
      <w:r>
        <w:rPr>
          <w:sz w:val="22"/>
        </w:rPr>
        <w:t xml:space="preserve"> with </w:t>
      </w:r>
      <w:r>
        <w:rPr>
          <w:strike/>
          <w:color w:val="B40000"/>
          <w:sz w:val="22"/>
        </w:rPr>
        <w:t xml:space="preserve">a subset of </w:t>
      </w:r>
      <w:r>
        <w:rPr>
          <w:sz w:val="22"/>
        </w:rPr>
        <w:t xml:space="preserve">participants and </w:t>
      </w:r>
      <w:r>
        <w:rPr>
          <w:strike/>
          <w:color w:val="B40000"/>
          <w:sz w:val="22"/>
        </w:rPr>
        <w:t xml:space="preserve">key </w:t>
      </w:r>
      <w:r>
        <w:rPr>
          <w:sz w:val="22"/>
        </w:rPr>
        <w:t xml:space="preserve">local MHPSS stakeholders for validation </w:t>
      </w:r>
      <w:r>
        <w:rPr>
          <w:strike/>
          <w:color w:val="B40000"/>
          <w:sz w:val="22"/>
        </w:rPr>
        <w:t>and feedback, ensuring our interpretations resonated with their lived experiences ((</w:t>
      </w:r>
      <w:r>
        <w:rPr>
          <w:color w:val="0046A0"/>
          <w:sz w:val="22"/>
          <w:u w:val="single"/>
        </w:rPr>
        <w:t>(</w:t>
      </w:r>
      <w:r>
        <w:rPr>
          <w:sz w:val="22"/>
        </w:rPr>
        <w:t>Vidona et al., 2024</w:t>
      </w:r>
      <w:r>
        <w:rPr>
          <w:strike/>
          <w:color w:val="B40000"/>
          <w:sz w:val="22"/>
        </w:rPr>
        <w:t>)).</w:t>
      </w:r>
      <w:r>
        <w:rPr>
          <w:color w:val="0046A0"/>
          <w:sz w:val="22"/>
          <w:u w:val="single"/>
        </w:rPr>
        <w:t>).</w:t>
      </w:r>
      <w:r>
        <w:rPr>
          <w:sz w:val="22"/>
        </w:rPr>
        <w:t xml:space="preserve"> Triangulation </w:t>
      </w:r>
      <w:r>
        <w:rPr>
          <w:strike/>
          <w:color w:val="B40000"/>
          <w:sz w:val="22"/>
        </w:rPr>
        <w:t>was achieved by comparing</w:t>
      </w:r>
      <w:r>
        <w:rPr>
          <w:color w:val="0046A0"/>
          <w:sz w:val="22"/>
          <w:u w:val="single"/>
        </w:rPr>
        <w:t>used</w:t>
      </w:r>
      <w:r>
        <w:rPr>
          <w:sz w:val="22"/>
        </w:rPr>
        <w:t xml:space="preserve"> data from different sources (IDIs</w:t>
      </w:r>
      <w:r>
        <w:rPr>
          <w:strike/>
          <w:color w:val="B40000"/>
          <w:sz w:val="22"/>
        </w:rPr>
        <w:t xml:space="preserve"> and</w:t>
      </w:r>
      <w:r>
        <w:rPr>
          <w:color w:val="0046A0"/>
          <w:sz w:val="22"/>
          <w:u w:val="single"/>
        </w:rPr>
        <w:t>,</w:t>
      </w:r>
      <w:r>
        <w:rPr>
          <w:sz w:val="22"/>
        </w:rPr>
        <w:t xml:space="preserve"> FGDs) and </w:t>
      </w:r>
      <w:r>
        <w:rPr>
          <w:strike/>
          <w:color w:val="B40000"/>
          <w:sz w:val="22"/>
        </w:rPr>
        <w:t xml:space="preserve">different </w:t>
      </w:r>
      <w:r>
        <w:rPr>
          <w:sz w:val="22"/>
        </w:rPr>
        <w:t xml:space="preserve">cadres </w:t>
      </w:r>
      <w:r>
        <w:rPr>
          <w:color w:val="0046A0"/>
          <w:sz w:val="22"/>
          <w:u w:val="single"/>
        </w:rPr>
        <w:t xml:space="preserve">to build a comprehensive picture </w:t>
      </w:r>
      <w:r>
        <w:rPr>
          <w:sz w:val="22"/>
        </w:rPr>
        <w:t xml:space="preserve">of </w:t>
      </w:r>
      <w:r>
        <w:rPr>
          <w:strike/>
          <w:color w:val="B40000"/>
          <w:sz w:val="22"/>
        </w:rPr>
        <w:t>health workers, which helped</w:t>
      </w:r>
      <w:r>
        <w:rPr>
          <w:color w:val="0046A0"/>
          <w:sz w:val="22"/>
          <w:u w:val="single"/>
        </w:rPr>
        <w:t>the support ecosystem (Diaz, 2023). Analyst triangulation involved multiple researchers independently coding transcripts and reconciling interpretations</w:t>
      </w:r>
      <w:r>
        <w:rPr>
          <w:sz w:val="22"/>
        </w:rPr>
        <w:t xml:space="preserve"> to </w:t>
      </w:r>
      <w:r>
        <w:rPr>
          <w:strike/>
          <w:color w:val="B40000"/>
          <w:sz w:val="22"/>
        </w:rPr>
        <w:t>build a more comprehensive and reliable picture of the support ecosystem . Furthermore, analyst triangulation was practised, with multiple members of the research team independently coding subsets of transcripts and then meeting to discuss and reconcile interpretations, mitigating individual researcher</w:t>
      </w:r>
      <w:r>
        <w:rPr>
          <w:color w:val="0046A0"/>
          <w:sz w:val="22"/>
          <w:u w:val="single"/>
        </w:rPr>
        <w:t>mitigate</w:t>
      </w:r>
      <w:r>
        <w:rPr>
          <w:sz w:val="22"/>
        </w:rPr>
        <w:t xml:space="preserve"> bias. </w:t>
      </w:r>
      <w:r>
        <w:rPr>
          <w:strike/>
          <w:color w:val="B40000"/>
          <w:sz w:val="22"/>
        </w:rPr>
        <w:t>The study’s transferability</w:t>
      </w:r>
      <w:r>
        <w:rPr>
          <w:color w:val="0046A0"/>
          <w:sz w:val="22"/>
          <w:u w:val="single"/>
        </w:rPr>
        <w:t>Transferability</w:t>
      </w:r>
      <w:r>
        <w:rPr>
          <w:sz w:val="22"/>
        </w:rPr>
        <w:t xml:space="preserve"> is supported by</w:t>
      </w:r>
      <w:r>
        <w:rPr>
          <w:strike/>
          <w:color w:val="B40000"/>
          <w:sz w:val="22"/>
        </w:rPr>
        <w:t xml:space="preserve"> the provision of</w:t>
      </w:r>
      <w:r>
        <w:rPr>
          <w:sz w:val="22"/>
        </w:rPr>
        <w:t xml:space="preserve"> ‘thick description’ in the findings </w:t>
      </w:r>
      <w:r>
        <w:rPr>
          <w:strike/>
          <w:color w:val="B40000"/>
          <w:sz w:val="22"/>
        </w:rPr>
        <w:t>section, detailing the context and</w:t>
      </w:r>
      <w:r>
        <w:rPr>
          <w:color w:val="0046A0"/>
          <w:sz w:val="22"/>
          <w:u w:val="single"/>
        </w:rPr>
        <w:t>(Zaman et al., 2024). Dependability and confirmability were addressed through a detailed audit trail and reflexive journaling to bracket preconceptions (Branda et al., 2025).</w:t>
        <w:br/>
        <w:br/>
        <w:t>The study has limitations (Wachekwa et al., 2024). Retrospective data collection may be subject to recall bias (Wirsiy et al., 2024). Purposive sampling may not capture experiences of the most severely affected workers who withdrew from service. Furthermore, the health worker perspective does not incorporate the institutional viewpoints of planners or managers, which would offer a complementary systems-level understanding (Duclos et al., 2025). These limitations were mitigated by probing for concrete examples during interviews and seeking</w:t>
      </w:r>
      <w:r>
        <w:rPr>
          <w:sz w:val="22"/>
        </w:rPr>
        <w:t xml:space="preserve"> participants </w:t>
      </w:r>
      <w:r>
        <w:rPr>
          <w:strike/>
          <w:color w:val="B40000"/>
          <w:sz w:val="22"/>
        </w:rPr>
        <w:t>to allow readers to judge the applicability to other settings . Dependability and confirmability were addressed through the maintenance of a detailed audit trail documenting all analytical decisions and the reflexive journaling of the research team to bracket preconceptions, particularly those arising from non-Ugandan perspectives.</w:t>
        <w:br/>
        <w:br/>
        <w:t xml:space="preserve">This study is not without limitations ((Wachekwa et al., 2024)). The retrospective nature of the data collection, occurring several months after the peak of the outbreak, may be subject to recall bias, where participants’ memories of their emotional and psychological state may have been influenced by subsequent experiences and coping ((Wirsiy et al., 2024)). The sampling, while purposive, may not capture the experiences of the most severely affected health workers </w:t>
      </w:r>
      <w:r>
        <w:rPr>
          <w:sz w:val="22"/>
        </w:rPr>
        <w:t xml:space="preserve">who </w:t>
      </w:r>
      <w:r>
        <w:rPr>
          <w:strike/>
          <w:color w:val="B40000"/>
          <w:sz w:val="22"/>
        </w:rPr>
        <w:t xml:space="preserve">may have withdrawn from service or were unavailable for participation. Furthermore, the focus on the health worker perspective, while critical, means the analysis does not incorporate the institutional viewpoints of Ministry of Health planners or MHPSS programme managers, which would offer a complementary systems-level understanding of resource allocation and policy constraints . These limitations were mitigated, where possible, by probing for specific, concrete examples during interviews and by seeking participants who </w:t>
      </w:r>
      <w:r>
        <w:rPr>
          <w:sz w:val="22"/>
        </w:rPr>
        <w:t>had taken leave</w:t>
      </w:r>
      <w:r>
        <w:rPr>
          <w:strike/>
          <w:color w:val="B40000"/>
          <w:sz w:val="22"/>
        </w:rPr>
        <w:t xml:space="preserve"> or changed roles</w:t>
      </w:r>
      <w:r>
        <w:rPr>
          <w:sz w:val="22"/>
        </w:rPr>
        <w:t xml:space="preserve"> due to stress. The findings </w:t>
      </w:r>
      <w:r>
        <w:rPr>
          <w:strike/>
          <w:color w:val="B40000"/>
          <w:sz w:val="22"/>
        </w:rPr>
        <w:t>that follow, therefore, represent</w:t>
      </w:r>
      <w:r>
        <w:rPr>
          <w:color w:val="0046A0"/>
          <w:sz w:val="22"/>
          <w:u w:val="single"/>
        </w:rPr>
        <w:t>thus offer</w:t>
      </w:r>
      <w:r>
        <w:rPr>
          <w:sz w:val="22"/>
        </w:rPr>
        <w:t xml:space="preserve"> a rich, </w:t>
      </w:r>
      <w:r>
        <w:rPr>
          <w:strike/>
          <w:color w:val="B40000"/>
          <w:sz w:val="22"/>
        </w:rPr>
        <w:t>textured</w:t>
      </w:r>
      <w:r>
        <w:rPr>
          <w:color w:val="0046A0"/>
          <w:sz w:val="22"/>
          <w:u w:val="single"/>
        </w:rPr>
        <w:t>ground-level</w:t>
      </w:r>
      <w:r>
        <w:rPr>
          <w:sz w:val="22"/>
        </w:rPr>
        <w:t xml:space="preserve"> account of the psychosocial landscape </w:t>
      </w:r>
      <w:r>
        <w:rPr>
          <w:strike/>
          <w:color w:val="B40000"/>
          <w:sz w:val="22"/>
        </w:rPr>
        <w:t xml:space="preserve">as </w:t>
      </w:r>
      <w:r>
        <w:rPr>
          <w:sz w:val="22"/>
        </w:rPr>
        <w:t xml:space="preserve">navigated by </w:t>
      </w:r>
      <w:r>
        <w:rPr>
          <w:strike/>
          <w:color w:val="B40000"/>
          <w:sz w:val="22"/>
        </w:rPr>
        <w:t xml:space="preserve">a diverse group of </w:t>
      </w:r>
      <w:r>
        <w:rPr>
          <w:sz w:val="22"/>
        </w:rPr>
        <w:t xml:space="preserve">Ugandan health workers, </w:t>
      </w:r>
      <w:r>
        <w:rPr>
          <w:strike/>
          <w:color w:val="B40000"/>
          <w:sz w:val="22"/>
        </w:rPr>
        <w:t>offering</w:t>
      </w:r>
      <w:r>
        <w:rPr>
          <w:color w:val="0046A0"/>
          <w:sz w:val="22"/>
          <w:u w:val="single"/>
        </w:rPr>
        <w:t>providing</w:t>
      </w:r>
      <w:r>
        <w:rPr>
          <w:sz w:val="22"/>
        </w:rPr>
        <w:t xml:space="preserve"> critical</w:t>
      </w:r>
      <w:r>
        <w:rPr>
          <w:strike/>
          <w:color w:val="B40000"/>
          <w:sz w:val="22"/>
        </w:rPr>
        <w:t>, ground-level</w:t>
      </w:r>
      <w:r>
        <w:rPr>
          <w:sz w:val="22"/>
        </w:rPr>
        <w:t xml:space="preserve"> insights for strengthening MHPSS </w:t>
      </w:r>
      <w:r>
        <w:rPr>
          <w:strike/>
          <w:color w:val="B40000"/>
          <w:sz w:val="22"/>
        </w:rPr>
        <w:t>within the unique pressures of a</w:t>
      </w:r>
      <w:r>
        <w:rPr>
          <w:color w:val="0046A0"/>
          <w:sz w:val="22"/>
          <w:u w:val="single"/>
        </w:rPr>
        <w:t>in</w:t>
      </w:r>
      <w:r>
        <w:rPr>
          <w:sz w:val="22"/>
        </w:rPr>
        <w:t xml:space="preserve"> high-fatality </w:t>
      </w:r>
      <w:r>
        <w:rPr>
          <w:strike/>
          <w:color w:val="B40000"/>
          <w:sz w:val="22"/>
        </w:rPr>
        <w:t xml:space="preserve">outbreak such as the 2022 SUDV event </w:t>
      </w:r>
      <w:r>
        <w:rPr>
          <w:color w:val="0046A0"/>
          <w:sz w:val="22"/>
          <w:u w:val="single"/>
        </w:rPr>
        <w:t>outbreaks</w:t>
      </w:r>
      <w:r>
        <w:rPr>
          <w:sz w:val="22"/>
        </w:rPr>
        <w:t>.</w:t>
      </w:r>
      <w:r>
        <w:rPr>
          <w:strike/>
          <w:color w:val="B40000"/>
          <w:sz w:val="22"/>
        </w:rPr>
        <w:t xml:space="preserve"> Having considered the methodological approach and its constraints, the analysis now turns to the results it produced. The following section presents the key findings from this investigation.</w:t>
      </w:r>
    </w:p>
    <w:p>
      <w:r>
        <w:rPr>
          <w:b/>
          <w:sz w:val="24"/>
        </w:rPr>
        <w:t>Findings</w:t>
      </w:r>
    </w:p>
    <w:p>
      <w:r>
        <w:rPr>
          <w:sz w:val="22"/>
        </w:rPr>
        <w:t xml:space="preserve">The findings </w:t>
      </w:r>
      <w:r>
        <w:rPr>
          <w:strike/>
          <w:color w:val="B40000"/>
          <w:sz w:val="22"/>
        </w:rPr>
        <w:t>of this study reveal</w:t>
      </w:r>
      <w:r>
        <w:rPr>
          <w:color w:val="0046A0"/>
          <w:sz w:val="22"/>
          <w:u w:val="single"/>
        </w:rPr>
        <w:t>elucidate</w:t>
      </w:r>
      <w:r>
        <w:rPr>
          <w:sz w:val="22"/>
        </w:rPr>
        <w:t xml:space="preserve"> a complex interplay of profound psychological distress, resilient coping</w:t>
      </w:r>
      <w:r>
        <w:rPr>
          <w:strike/>
          <w:color w:val="B40000"/>
          <w:sz w:val="22"/>
        </w:rPr>
        <w:t xml:space="preserve"> mechanisms</w:t>
      </w:r>
      <w:r>
        <w:rPr>
          <w:sz w:val="22"/>
        </w:rPr>
        <w:t>, and systemic vulnerabilities amongst Ugandan health workers during the 2022 Ebola Sudan virus disease (</w:t>
      </w:r>
      <w:r>
        <w:rPr>
          <w:strike/>
          <w:color w:val="B40000"/>
          <w:sz w:val="22"/>
        </w:rPr>
        <w:t>SUDV</w:t>
      </w:r>
      <w:r>
        <w:rPr>
          <w:color w:val="0046A0"/>
          <w:sz w:val="22"/>
          <w:u w:val="single"/>
        </w:rPr>
        <w:t>SUVD</w:t>
      </w:r>
      <w:r>
        <w:rPr>
          <w:sz w:val="22"/>
        </w:rPr>
        <w:t>) outbreak</w:t>
      </w:r>
      <w:r>
        <w:rPr>
          <w:strike/>
          <w:color w:val="B40000"/>
          <w:sz w:val="22"/>
        </w:rPr>
        <w:t xml:space="preserve"> ((</w:t>
      </w:r>
      <w:r>
        <w:rPr>
          <w:color w:val="0046A0"/>
          <w:sz w:val="22"/>
          <w:u w:val="single"/>
        </w:rPr>
        <w:t>, coalescing around four interconnected themes (</w:t>
      </w:r>
      <w:r>
        <w:rPr>
          <w:sz w:val="22"/>
        </w:rPr>
        <w:t>Zaman et al., 2024</w:t>
      </w:r>
      <w:r>
        <w:rPr>
          <w:strike/>
          <w:color w:val="B40000"/>
          <w:sz w:val="22"/>
        </w:rPr>
        <w:t>)). The analysis coalesced around four central, interconnected themes that elucidate the lived experience of providing care under such extreme duress, moving from the internal experiences of individuals to the broader institutional and societal contexts that shaped them ((</w:t>
      </w:r>
      <w:r>
        <w:rPr>
          <w:color w:val="0046A0"/>
          <w:sz w:val="22"/>
          <w:u w:val="single"/>
        </w:rPr>
        <w:t xml:space="preserve">; </w:t>
      </w:r>
      <w:r>
        <w:rPr>
          <w:sz w:val="22"/>
        </w:rPr>
        <w:t>Zulu et al., 2024</w:t>
      </w:r>
      <w:r>
        <w:rPr>
          <w:strike/>
          <w:color w:val="B40000"/>
          <w:sz w:val="22"/>
        </w:rPr>
        <w:t>)).</w:t>
      </w:r>
      <w:r>
        <w:rPr>
          <w:color w:val="0046A0"/>
          <w:sz w:val="22"/>
          <w:u w:val="single"/>
        </w:rPr>
        <w:t>).</w:t>
      </w:r>
      <w:r>
        <w:rPr>
          <w:sz w:val="22"/>
        </w:rPr>
        <w:br/>
        <w:br/>
        <w:t xml:space="preserve">A primary </w:t>
      </w:r>
      <w:r>
        <w:rPr>
          <w:strike/>
          <w:color w:val="B40000"/>
          <w:sz w:val="22"/>
        </w:rPr>
        <w:t xml:space="preserve">and pervasive </w:t>
      </w:r>
      <w:r>
        <w:rPr>
          <w:sz w:val="22"/>
        </w:rPr>
        <w:t xml:space="preserve">theme was </w:t>
      </w:r>
      <w:r>
        <w:rPr>
          <w:strike/>
          <w:color w:val="B40000"/>
          <w:sz w:val="22"/>
        </w:rPr>
        <w:t xml:space="preserve">the </w:t>
      </w:r>
      <w:r>
        <w:rPr>
          <w:sz w:val="22"/>
        </w:rPr>
        <w:t>severe resource constraints</w:t>
      </w:r>
      <w:r>
        <w:rPr>
          <w:strike/>
          <w:color w:val="B40000"/>
          <w:sz w:val="22"/>
        </w:rPr>
        <w:t xml:space="preserve"> that</w:t>
      </w:r>
      <w:r>
        <w:rPr>
          <w:color w:val="0046A0"/>
          <w:sz w:val="22"/>
          <w:u w:val="single"/>
        </w:rPr>
        <w:t>, which</w:t>
      </w:r>
      <w:r>
        <w:rPr>
          <w:sz w:val="22"/>
        </w:rPr>
        <w:t xml:space="preserve"> fundamentally shaped clinical practice and </w:t>
      </w:r>
      <w:r>
        <w:rPr>
          <w:color w:val="0046A0"/>
          <w:sz w:val="22"/>
          <w:u w:val="single"/>
        </w:rPr>
        <w:t xml:space="preserve">psychological safety (Zwick et al., 2023). Critical shortages in </w:t>
      </w:r>
      <w:r>
        <w:rPr>
          <w:sz w:val="22"/>
        </w:rPr>
        <w:t xml:space="preserve">personal </w:t>
      </w:r>
      <w:r>
        <w:rPr>
          <w:strike/>
          <w:color w:val="B40000"/>
          <w:sz w:val="22"/>
        </w:rPr>
        <w:t xml:space="preserve">coping ((Zwick et al., 2023)). Participants described working in an environment where critical personal </w:t>
      </w:r>
      <w:r>
        <w:rPr>
          <w:sz w:val="22"/>
        </w:rPr>
        <w:t>protective equipment (PPE</w:t>
      </w:r>
      <w:r>
        <w:rPr>
          <w:strike/>
          <w:color w:val="B40000"/>
          <w:sz w:val="22"/>
        </w:rPr>
        <w:t>), testing kits, and even basic sanitation</w:t>
      </w:r>
      <w:r>
        <w:rPr>
          <w:color w:val="0046A0"/>
          <w:sz w:val="22"/>
          <w:u w:val="single"/>
        </w:rPr>
        <w:t>) and</w:t>
      </w:r>
      <w:r>
        <w:rPr>
          <w:sz w:val="22"/>
        </w:rPr>
        <w:t xml:space="preserve"> supplies</w:t>
      </w:r>
      <w:r>
        <w:rPr>
          <w:strike/>
          <w:color w:val="B40000"/>
          <w:sz w:val="22"/>
        </w:rPr>
        <w:t xml:space="preserve"> were often scarce or inconsistently available, particularly in the initial phases of the response as detailed</w:t>
      </w:r>
      <w:r>
        <w:rPr>
          <w:color w:val="0046A0"/>
          <w:sz w:val="22"/>
          <w:u w:val="single"/>
        </w:rPr>
        <w:t>, documented</w:t>
      </w:r>
      <w:r>
        <w:rPr>
          <w:sz w:val="22"/>
        </w:rPr>
        <w:t xml:space="preserve"> in epidemiological accounts of the outbreak’s trajectory</w:t>
      </w:r>
      <w:r>
        <w:rPr>
          <w:strike/>
          <w:color w:val="B40000"/>
          <w:sz w:val="22"/>
        </w:rPr>
        <w:t xml:space="preserve">  ((</w:t>
      </w:r>
      <w:r>
        <w:rPr>
          <w:color w:val="0046A0"/>
          <w:sz w:val="22"/>
          <w:u w:val="single"/>
        </w:rPr>
        <w:t>, forced impossible daily risk calculations (</w:t>
      </w:r>
      <w:r>
        <w:rPr>
          <w:sz w:val="22"/>
        </w:rPr>
        <w:t>Branda et al., 2025</w:t>
      </w:r>
      <w:r>
        <w:rPr>
          <w:strike/>
          <w:color w:val="B40000"/>
          <w:sz w:val="22"/>
        </w:rPr>
        <w:t>)).</w:t>
      </w:r>
      <w:r>
        <w:rPr>
          <w:color w:val="0046A0"/>
          <w:sz w:val="22"/>
          <w:u w:val="single"/>
        </w:rPr>
        <w:t>).</w:t>
      </w:r>
      <w:r>
        <w:rPr>
          <w:sz w:val="22"/>
        </w:rPr>
        <w:t xml:space="preserve"> This scarcity </w:t>
      </w:r>
      <w:r>
        <w:rPr>
          <w:color w:val="0046A0"/>
          <w:sz w:val="22"/>
          <w:u w:val="single"/>
        </w:rPr>
        <w:t xml:space="preserve">directly fuelled acute anxiety and a state of hypervigilance, exacerbated by the high fatality rate of the Sudan strain. Consequently, coping </w:t>
      </w:r>
      <w:r>
        <w:rPr>
          <w:sz w:val="22"/>
        </w:rPr>
        <w:t xml:space="preserve">was </w:t>
      </w:r>
      <w:r>
        <w:rPr>
          <w:strike/>
          <w:color w:val="B40000"/>
          <w:sz w:val="22"/>
        </w:rPr>
        <w:t>not merely a logistical hurdle but a direct source of acute and chronic anxiety, forcing health workers into impossible risk calculations on a daily basis. The constant fear of exposure, compounded</w:t>
      </w:r>
      <w:r>
        <w:rPr>
          <w:color w:val="0046A0"/>
          <w:sz w:val="22"/>
          <w:u w:val="single"/>
        </w:rPr>
        <w:t>dictated</w:t>
      </w:r>
      <w:r>
        <w:rPr>
          <w:sz w:val="22"/>
        </w:rPr>
        <w:t xml:space="preserve"> by </w:t>
      </w:r>
      <w:r>
        <w:rPr>
          <w:strike/>
          <w:color w:val="B40000"/>
          <w:sz w:val="22"/>
        </w:rPr>
        <w:t>the high fatality rate of the Sudan strain, created a state of hypervigilance</w:t>
      </w:r>
      <w:r>
        <w:rPr>
          <w:color w:val="0046A0"/>
          <w:sz w:val="22"/>
          <w:u w:val="single"/>
        </w:rPr>
        <w:t>constraint, involving personal resourcefulness like reusing PPE or psychological distancing—strategies</w:t>
      </w:r>
      <w:r>
        <w:rPr>
          <w:sz w:val="22"/>
        </w:rPr>
        <w:t xml:space="preserve"> that </w:t>
      </w:r>
      <w:r>
        <w:rPr>
          <w:strike/>
          <w:color w:val="B40000"/>
          <w:sz w:val="22"/>
        </w:rPr>
        <w:t>extended far beyond the workplace. This finding aligns with broader observations on the psychological toll of inadequate resourcing during health crises in similar settings . Consequently, coping mechanisms were heavily dictated by these constraints. Many described a reliance on personal resourcefulness, such as reusing or meticulously extending the life of single-use PPE, while others spoke of psychologically distancing themselves from the fear as a necessary, if unsustainable, strategy to continue functioning. This environment of scarcity also exacerbated</w:t>
      </w:r>
      <w:r>
        <w:rPr>
          <w:color w:val="0046A0"/>
          <w:sz w:val="22"/>
          <w:u w:val="single"/>
        </w:rPr>
        <w:t>intensified</w:t>
      </w:r>
      <w:r>
        <w:rPr>
          <w:sz w:val="22"/>
        </w:rPr>
        <w:t xml:space="preserve"> a sense of professional helplessness</w:t>
      </w:r>
      <w:r>
        <w:rPr>
          <w:strike/>
          <w:color w:val="B40000"/>
          <w:sz w:val="22"/>
        </w:rPr>
        <w:t>, as clinicians felt unable to provide the standard of care they were trained to deliver, a significant contributor to</w:t>
      </w:r>
      <w:r>
        <w:rPr>
          <w:color w:val="0046A0"/>
          <w:sz w:val="22"/>
          <w:u w:val="single"/>
        </w:rPr>
        <w:t xml:space="preserve"> and</w:t>
      </w:r>
      <w:r>
        <w:rPr>
          <w:sz w:val="22"/>
        </w:rPr>
        <w:t xml:space="preserve"> moral injury</w:t>
      </w:r>
      <w:r>
        <w:rPr>
          <w:strike/>
          <w:color w:val="B40000"/>
          <w:sz w:val="22"/>
        </w:rPr>
        <w:t>.</w:t>
      </w:r>
      <w:r>
        <w:rPr>
          <w:color w:val="0046A0"/>
          <w:sz w:val="22"/>
          <w:u w:val="single"/>
        </w:rPr>
        <w:t xml:space="preserve"> (Pradhan et al., 2023).</w:t>
      </w:r>
      <w:r>
        <w:rPr>
          <w:sz w:val="22"/>
        </w:rPr>
        <w:br/>
        <w:br/>
        <w:t xml:space="preserve">Intertwined with this </w:t>
      </w:r>
      <w:r>
        <w:rPr>
          <w:strike/>
          <w:color w:val="B40000"/>
          <w:sz w:val="22"/>
        </w:rPr>
        <w:t>practical reality were</w:t>
      </w:r>
      <w:r>
        <w:rPr>
          <w:color w:val="0046A0"/>
          <w:sz w:val="22"/>
          <w:u w:val="single"/>
        </w:rPr>
        <w:t>was</w:t>
      </w:r>
      <w:r>
        <w:rPr>
          <w:sz w:val="22"/>
        </w:rPr>
        <w:t xml:space="preserve"> the profound cultural and spiritual </w:t>
      </w:r>
      <w:r>
        <w:rPr>
          <w:strike/>
          <w:color w:val="B40000"/>
          <w:sz w:val="22"/>
        </w:rPr>
        <w:t>dimensions</w:t>
      </w:r>
      <w:r>
        <w:rPr>
          <w:color w:val="0046A0"/>
          <w:sz w:val="22"/>
          <w:u w:val="single"/>
        </w:rPr>
        <w:t>dimension</w:t>
      </w:r>
      <w:r>
        <w:rPr>
          <w:sz w:val="22"/>
        </w:rPr>
        <w:t xml:space="preserve"> of distress and resilience </w:t>
      </w:r>
      <w:r>
        <w:rPr>
          <w:color w:val="0046A0"/>
          <w:sz w:val="22"/>
          <w:u w:val="single"/>
        </w:rPr>
        <w:t xml:space="preserve">(Brito &amp; Ambrogi, 2024). Health workers, sharing community beliefs, endured intense conflict enforcing infection control protocols </w:t>
      </w:r>
      <w:r>
        <w:rPr>
          <w:sz w:val="22"/>
        </w:rPr>
        <w:t xml:space="preserve">that </w:t>
      </w:r>
      <w:r>
        <w:rPr>
          <w:color w:val="0046A0"/>
          <w:sz w:val="22"/>
          <w:u w:val="single"/>
        </w:rPr>
        <w:t xml:space="preserve">prohibited traditional burial rites, severing vital psychosocial connections (Bwire et al., 2023). Simultaneously, spiritual faith </w:t>
      </w:r>
      <w:r>
        <w:rPr>
          <w:sz w:val="22"/>
        </w:rPr>
        <w:t xml:space="preserve">emerged </w:t>
      </w:r>
      <w:r>
        <w:rPr>
          <w:strike/>
          <w:color w:val="B40000"/>
          <w:sz w:val="22"/>
        </w:rPr>
        <w:t>from the data ((Brito &amp; Ambrogi, 2024)). The clinical reality of Ebola collided</w:t>
      </w:r>
      <w:r>
        <w:rPr>
          <w:color w:val="0046A0"/>
          <w:sz w:val="22"/>
          <w:u w:val="single"/>
        </w:rPr>
        <w:t>as a cornerstone of resilience,</w:t>
      </w:r>
      <w:r>
        <w:rPr>
          <w:sz w:val="22"/>
        </w:rPr>
        <w:t xml:space="preserve"> with </w:t>
      </w:r>
      <w:r>
        <w:rPr>
          <w:strike/>
          <w:color w:val="B40000"/>
          <w:sz w:val="22"/>
        </w:rPr>
        <w:t>deeply held community beliefs about illness, death, and burial practices ((Bwire et al., 2023)). Health workers, many of whom shared these cultural frameworks, grappled with intense internal conflict. They were tasked with enforcing infection prevention and control protocols that prohibited traditional burial rites, actions that were often misinterpreted by grieving families</w:t>
      </w:r>
      <w:r>
        <w:rPr>
          <w:color w:val="0046A0"/>
          <w:sz w:val="22"/>
          <w:u w:val="single"/>
        </w:rPr>
        <w:t>prayer cited</w:t>
      </w:r>
      <w:r>
        <w:rPr>
          <w:sz w:val="22"/>
        </w:rPr>
        <w:t xml:space="preserve"> as </w:t>
      </w:r>
      <w:r>
        <w:rPr>
          <w:strike/>
          <w:color w:val="B40000"/>
          <w:sz w:val="22"/>
        </w:rPr>
        <w:t>disrespectful or even malicious. This placed them in a painful liminal space, professionally obligated to act in ways that felt culturally alienating, thereby severing a critical psychosocial connection to their own communities. Simultaneously, spiritual faith and practices emerged as a cornerstone of resilience for a significant number of participants. Prayer, both individual and communal, was frequently cited as a primary source of strength, comfort, and a</w:t>
      </w:r>
      <w:r>
        <w:rPr>
          <w:color w:val="0046A0"/>
          <w:sz w:val="22"/>
          <w:u w:val="single"/>
        </w:rPr>
        <w:t>a key</w:t>
      </w:r>
      <w:r>
        <w:rPr>
          <w:sz w:val="22"/>
        </w:rPr>
        <w:t xml:space="preserve"> means of processing trauma. This underscores </w:t>
      </w:r>
      <w:r>
        <w:rPr>
          <w:strike/>
          <w:color w:val="B40000"/>
          <w:sz w:val="22"/>
        </w:rPr>
        <w:t xml:space="preserve">the necessity of recognising </w:t>
      </w:r>
      <w:r>
        <w:rPr>
          <w:sz w:val="22"/>
        </w:rPr>
        <w:t xml:space="preserve">spirituality </w:t>
      </w:r>
      <w:r>
        <w:rPr>
          <w:strike/>
          <w:color w:val="B40000"/>
          <w:sz w:val="22"/>
        </w:rPr>
        <w:t xml:space="preserve">not </w:t>
      </w:r>
      <w:r>
        <w:rPr>
          <w:sz w:val="22"/>
        </w:rPr>
        <w:t xml:space="preserve">as a </w:t>
      </w:r>
      <w:r>
        <w:rPr>
          <w:strike/>
          <w:color w:val="B40000"/>
          <w:sz w:val="22"/>
        </w:rPr>
        <w:t xml:space="preserve">peripheral concern but as a </w:t>
      </w:r>
      <w:r>
        <w:rPr>
          <w:sz w:val="22"/>
        </w:rPr>
        <w:t xml:space="preserve">central component of psychosocial wellbeing for many African health workers, a point supported by regional analyses </w:t>
      </w:r>
      <w:r>
        <w:rPr>
          <w:strike/>
          <w:color w:val="B40000"/>
          <w:sz w:val="22"/>
        </w:rPr>
        <w:t>of mental health and psychosocial support (MHPSS) needs .</w:t>
      </w:r>
      <w:r>
        <w:rPr>
          <w:color w:val="0046A0"/>
          <w:sz w:val="22"/>
          <w:u w:val="single"/>
        </w:rPr>
        <w:t>(Wirsiy et al., 2024).</w:t>
      </w:r>
      <w:r>
        <w:rPr>
          <w:sz w:val="22"/>
        </w:rPr>
        <w:br/>
        <w:br/>
        <w:t xml:space="preserve">This cultural rift </w:t>
      </w:r>
      <w:r>
        <w:rPr>
          <w:strike/>
          <w:color w:val="B40000"/>
          <w:sz w:val="22"/>
        </w:rPr>
        <w:t>was a key driver of the</w:t>
      </w:r>
      <w:r>
        <w:rPr>
          <w:color w:val="0046A0"/>
          <w:sz w:val="22"/>
          <w:u w:val="single"/>
        </w:rPr>
        <w:t>fuelled a</w:t>
      </w:r>
      <w:r>
        <w:rPr>
          <w:sz w:val="22"/>
        </w:rPr>
        <w:t xml:space="preserve"> third</w:t>
      </w:r>
      <w:r>
        <w:rPr>
          <w:strike/>
          <w:color w:val="B40000"/>
          <w:sz w:val="22"/>
        </w:rPr>
        <w:t xml:space="preserve"> salient</w:t>
      </w:r>
      <w:r>
        <w:rPr>
          <w:sz w:val="22"/>
        </w:rPr>
        <w:t xml:space="preserve"> theme: </w:t>
      </w:r>
      <w:r>
        <w:rPr>
          <w:color w:val="0046A0"/>
          <w:sz w:val="22"/>
          <w:u w:val="single"/>
        </w:rPr>
        <w:t xml:space="preserve">intense community and institutional stigma (Czerniewska et al., 2024). Participants were labelled as disease vectors, facing ostracisation, eviction, and denial of services (Ddungu et al., 2023). Stigma extended into </w:t>
      </w:r>
      <w:r>
        <w:rPr>
          <w:sz w:val="22"/>
        </w:rPr>
        <w:t xml:space="preserve">the </w:t>
      </w:r>
      <w:r>
        <w:rPr>
          <w:strike/>
          <w:color w:val="B40000"/>
          <w:sz w:val="22"/>
        </w:rPr>
        <w:t>experience of intense distrust and</w:t>
      </w:r>
      <w:r>
        <w:rPr>
          <w:color w:val="0046A0"/>
          <w:sz w:val="22"/>
          <w:u w:val="single"/>
        </w:rPr>
        <w:t>health system via discriminatory practices like segregation and delayed pay, compounding isolation and a sense of being undervalued (Obol &amp; Nzedibe, 2024). This layered</w:t>
      </w:r>
      <w:r>
        <w:rPr>
          <w:sz w:val="22"/>
        </w:rPr>
        <w:t xml:space="preserve"> stigma </w:t>
      </w:r>
      <w:r>
        <w:rPr>
          <w:strike/>
          <w:color w:val="B40000"/>
          <w:sz w:val="22"/>
        </w:rPr>
        <w:t>from both communities and, at times, within their own institutions ((Czerniewska et al., 2024)). Participants reported being labelled as ‘contaminants’ or vectors of the disease ((Ddungu et al., 2023)). They described being ostracised; neighbours would avoid them, landlords asked them to vacate premises, and public transport drivers refused them service. This social rejection transformed their homes from sanctuaries into sites of additional stress, blurring the boundaries between</w:t>
      </w:r>
      <w:r>
        <w:rPr>
          <w:color w:val="0046A0"/>
          <w:sz w:val="22"/>
          <w:u w:val="single"/>
        </w:rPr>
        <w:t>highlights</w:t>
      </w:r>
      <w:r>
        <w:rPr>
          <w:sz w:val="22"/>
        </w:rPr>
        <w:t xml:space="preserve"> professional </w:t>
      </w:r>
      <w:r>
        <w:rPr>
          <w:strike/>
          <w:color w:val="B40000"/>
          <w:sz w:val="22"/>
        </w:rPr>
        <w:t>and personal life entirely. Furthermore, stigma was not solely a community phenomenon. Several accounts pointed to discriminatory practices within the health system itself, where staff involved in Ebola care were sometimes segregated from other patients and colleagues, or faced undue delays in receiving their salaries and</w:t>
      </w:r>
      <w:r>
        <w:rPr>
          <w:color w:val="0046A0"/>
          <w:sz w:val="22"/>
          <w:u w:val="single"/>
        </w:rPr>
        <w:t>vulnerabilities extending beyond physical</w:t>
      </w:r>
      <w:r>
        <w:rPr>
          <w:sz w:val="22"/>
        </w:rPr>
        <w:t xml:space="preserve"> risk</w:t>
      </w:r>
      <w:r>
        <w:rPr>
          <w:strike/>
          <w:color w:val="B40000"/>
          <w:sz w:val="22"/>
        </w:rPr>
        <w:t xml:space="preserve"> allowances. This institutional othering compounded their isolation and betrayed a sense of being undervalued by the very system they were sacrificing to protect. Such experiences of layered stigma highlight dimensions of professional vulnerability that extend beyond physical risk </w:t>
      </w:r>
      <w:r>
        <w:rPr>
          <w:sz w:val="22"/>
        </w:rPr>
        <w:t>.</w:t>
        <w:br/>
        <w:br/>
        <w:t xml:space="preserve">In </w:t>
      </w:r>
      <w:r>
        <w:rPr>
          <w:color w:val="0046A0"/>
          <w:sz w:val="22"/>
          <w:u w:val="single"/>
        </w:rPr>
        <w:t xml:space="preserve">response, </w:t>
      </w:r>
      <w:r>
        <w:rPr>
          <w:sz w:val="22"/>
        </w:rPr>
        <w:t xml:space="preserve">the </w:t>
      </w:r>
      <w:r>
        <w:rPr>
          <w:strike/>
          <w:color w:val="B40000"/>
          <w:sz w:val="22"/>
        </w:rPr>
        <w:t xml:space="preserve">face of these systemic and social failures, the </w:t>
      </w:r>
      <w:r>
        <w:rPr>
          <w:sz w:val="22"/>
        </w:rPr>
        <w:t xml:space="preserve">most </w:t>
      </w:r>
      <w:r>
        <w:rPr>
          <w:strike/>
          <w:color w:val="B40000"/>
          <w:sz w:val="22"/>
        </w:rPr>
        <w:t xml:space="preserve">consistently reported and </w:t>
      </w:r>
      <w:r>
        <w:rPr>
          <w:sz w:val="22"/>
        </w:rPr>
        <w:t xml:space="preserve">valued </w:t>
      </w:r>
      <w:r>
        <w:rPr>
          <w:strike/>
          <w:color w:val="B40000"/>
          <w:sz w:val="22"/>
        </w:rPr>
        <w:t xml:space="preserve">source of </w:t>
      </w:r>
      <w:r>
        <w:rPr>
          <w:sz w:val="22"/>
        </w:rPr>
        <w:t xml:space="preserve">support was informal peer networks </w:t>
      </w:r>
      <w:r>
        <w:rPr>
          <w:strike/>
          <w:color w:val="B40000"/>
          <w:sz w:val="22"/>
        </w:rPr>
        <w:t>((</w:t>
      </w:r>
      <w:r>
        <w:rPr>
          <w:color w:val="0046A0"/>
          <w:sz w:val="22"/>
          <w:u w:val="single"/>
        </w:rPr>
        <w:t>(</w:t>
      </w:r>
      <w:r>
        <w:rPr>
          <w:sz w:val="22"/>
        </w:rPr>
        <w:t>Diaz, 2023</w:t>
      </w:r>
      <w:r>
        <w:rPr>
          <w:strike/>
          <w:color w:val="B40000"/>
          <w:sz w:val="22"/>
        </w:rPr>
        <w:t>)).</w:t>
      </w:r>
      <w:r>
        <w:rPr>
          <w:color w:val="0046A0"/>
          <w:sz w:val="22"/>
          <w:u w:val="single"/>
        </w:rPr>
        <w:t>).</w:t>
      </w:r>
      <w:r>
        <w:rPr>
          <w:sz w:val="22"/>
        </w:rPr>
        <w:t xml:space="preserve"> Colleagues </w:t>
      </w:r>
      <w:r>
        <w:rPr>
          <w:strike/>
          <w:color w:val="B40000"/>
          <w:sz w:val="22"/>
        </w:rPr>
        <w:t>who shared the direct experience of the</w:t>
      </w:r>
      <w:r>
        <w:rPr>
          <w:color w:val="0046A0"/>
          <w:sz w:val="22"/>
          <w:u w:val="single"/>
        </w:rPr>
        <w:t>in</w:t>
      </w:r>
      <w:r>
        <w:rPr>
          <w:sz w:val="22"/>
        </w:rPr>
        <w:t xml:space="preserve"> Ebola Treatment Units (ETUs) </w:t>
      </w:r>
      <w:r>
        <w:rPr>
          <w:strike/>
          <w:color w:val="B40000"/>
          <w:sz w:val="22"/>
        </w:rPr>
        <w:t>and high</w:t>
      </w:r>
      <w:r>
        <w:rPr>
          <w:color w:val="0046A0"/>
          <w:sz w:val="22"/>
          <w:u w:val="single"/>
        </w:rPr>
        <w:t>created essential spaces for mutual understanding, through both formal sessions and organic interactions (Duclos et al., 2025). These networks provided validation, practical advice, and solidarity, acting as a critical psychological buffer often perceived as more accessible and genuine than formal support services (Lohmann et al., 2023; Said et al., 2024).</w:t>
        <w:br/>
        <w:br/>
        <w:t>A significant cross</w:t>
      </w:r>
      <w:r>
        <w:rPr>
          <w:sz w:val="22"/>
        </w:rPr>
        <w:t>-</w:t>
      </w:r>
      <w:r>
        <w:rPr>
          <w:strike/>
          <w:color w:val="B40000"/>
          <w:sz w:val="22"/>
        </w:rPr>
        <w:t>risk wards created essential spaces for mutual understanding and validation ((Duclos et al., 2025)). These networks operated through formalised peer support sessions where available, but more often through impromptu, organic interactions—shared meals, quiet conversations after shifts, or messaging groups. Within these spaces, health workers could express fears, frustrations, and grief without fear of judgement or professional repercussion. They exchanged practical advice, offered reassurance about symptom monitoring, and provided a crucial sense of solidarity and shared purpose. This informal peer support acted as a critical psychological buffer, mitigating feelings of isolation and normalising their stressful reactions. The data suggests that these peer bonds were often more accessible and perceived as more genuine than formal, top-down psychological support services, which were sometimes viewed with scepticism or were logistically difficult to access. The sustained importance of these horizontal support systems echoes findings from other crisis contexts regarding</w:t>
      </w:r>
      <w:r>
        <w:rPr>
          <w:color w:val="0046A0"/>
          <w:sz w:val="22"/>
          <w:u w:val="single"/>
        </w:rPr>
        <w:t>cutting finding was</w:t>
      </w:r>
      <w:r>
        <w:rPr>
          <w:sz w:val="22"/>
        </w:rPr>
        <w:t xml:space="preserve"> the</w:t>
      </w:r>
      <w:r>
        <w:rPr>
          <w:strike/>
          <w:color w:val="B40000"/>
          <w:sz w:val="22"/>
        </w:rPr>
        <w:t xml:space="preserve"> limits of formal structures .</w:t>
        <w:br/>
        <w:br/>
        <w:t>An unexpected finding that cut across these themes was the significant</w:t>
      </w:r>
      <w:r>
        <w:rPr>
          <w:sz w:val="22"/>
        </w:rPr>
        <w:t xml:space="preserve"> psychological impact of the outbreak’s </w:t>
      </w:r>
      <w:r>
        <w:rPr>
          <w:strike/>
          <w:color w:val="B40000"/>
          <w:sz w:val="22"/>
        </w:rPr>
        <w:t>rapid</w:t>
      </w:r>
      <w:r>
        <w:rPr>
          <w:color w:val="0046A0"/>
          <w:sz w:val="22"/>
          <w:u w:val="single"/>
        </w:rPr>
        <w:t>abrupt</w:t>
      </w:r>
      <w:r>
        <w:rPr>
          <w:sz w:val="22"/>
        </w:rPr>
        <w:t xml:space="preserve"> conclusion </w:t>
      </w:r>
      <w:r>
        <w:rPr>
          <w:strike/>
          <w:color w:val="B40000"/>
          <w:sz w:val="22"/>
        </w:rPr>
        <w:t>and the subsequent transition phase ((</w:t>
      </w:r>
      <w:r>
        <w:rPr>
          <w:color w:val="0046A0"/>
          <w:sz w:val="22"/>
          <w:u w:val="single"/>
        </w:rPr>
        <w:t>(</w:t>
      </w:r>
      <w:r>
        <w:rPr>
          <w:sz w:val="22"/>
        </w:rPr>
        <w:t>Garnett et al., 2023</w:t>
      </w:r>
      <w:r>
        <w:rPr>
          <w:strike/>
          <w:color w:val="B40000"/>
          <w:sz w:val="22"/>
        </w:rPr>
        <w:t>)). While the</w:t>
      </w:r>
      <w:r>
        <w:rPr>
          <w:color w:val="0046A0"/>
          <w:sz w:val="22"/>
          <w:u w:val="single"/>
        </w:rPr>
        <w:t>). The</w:t>
      </w:r>
      <w:r>
        <w:rPr>
          <w:sz w:val="22"/>
        </w:rPr>
        <w:t xml:space="preserve"> declaration of </w:t>
      </w:r>
      <w:r>
        <w:rPr>
          <w:strike/>
          <w:color w:val="B40000"/>
          <w:sz w:val="22"/>
        </w:rPr>
        <w:t>the</w:t>
      </w:r>
      <w:r>
        <w:rPr>
          <w:color w:val="0046A0"/>
          <w:sz w:val="22"/>
          <w:u w:val="single"/>
        </w:rPr>
        <w:t>closure did not</w:t>
      </w:r>
      <w:r>
        <w:rPr>
          <w:sz w:val="22"/>
        </w:rPr>
        <w:t xml:space="preserve"> end </w:t>
      </w:r>
      <w:r>
        <w:rPr>
          <w:strike/>
          <w:color w:val="B40000"/>
          <w:sz w:val="22"/>
        </w:rPr>
        <w:t xml:space="preserve">of the outbreak was a relief, it was not synonymous with the end of psychological </w:t>
      </w:r>
      <w:r>
        <w:rPr>
          <w:sz w:val="22"/>
        </w:rPr>
        <w:t xml:space="preserve">distress </w:t>
      </w:r>
      <w:r>
        <w:rPr>
          <w:strike/>
          <w:color w:val="B40000"/>
          <w:sz w:val="22"/>
        </w:rPr>
        <w:t>((</w:t>
      </w:r>
      <w:r>
        <w:rPr>
          <w:color w:val="0046A0"/>
          <w:sz w:val="22"/>
          <w:u w:val="single"/>
        </w:rPr>
        <w:t>but initiated a paradoxical period of emptiness, financial strain from ceased allowances, and resurfacing trauma (</w:t>
      </w:r>
      <w:r>
        <w:rPr>
          <w:sz w:val="22"/>
        </w:rPr>
        <w:t>Kungu et al., 2025</w:t>
      </w:r>
      <w:r>
        <w:rPr>
          <w:strike/>
          <w:color w:val="B40000"/>
          <w:sz w:val="22"/>
        </w:rPr>
        <w:t>)). Participants described a paradoxical period of emptiness and anxiety as the intense structure and collective mission of the response dissolved. The sudden cessation of risk allowances created immediate financial strain, and many felt abruptly abandoned by the surge of international and national support. Furthermore, the trauma of their experiences resurfaced in this quieter period, without the adrenaline of the crisis</w:t>
      </w:r>
      <w:r>
        <w:rPr>
          <w:color w:val="0046A0"/>
          <w:sz w:val="22"/>
          <w:u w:val="single"/>
        </w:rPr>
        <w:t>). Without structured debriefing, health workers returned</w:t>
      </w:r>
      <w:r>
        <w:rPr>
          <w:sz w:val="22"/>
        </w:rPr>
        <w:t xml:space="preserve"> to </w:t>
      </w:r>
      <w:r>
        <w:rPr>
          <w:strike/>
          <w:color w:val="B40000"/>
          <w:sz w:val="22"/>
        </w:rPr>
        <w:t>suppress it. Health workers returned to general wards carrying the psychological weight of the outbreak, often without any structured debriefing or transitional support, left to reintegrate into a</w:t>
      </w:r>
      <w:r>
        <w:rPr>
          <w:color w:val="0046A0"/>
          <w:sz w:val="22"/>
          <w:u w:val="single"/>
        </w:rPr>
        <w:t>altered</w:t>
      </w:r>
      <w:r>
        <w:rPr>
          <w:sz w:val="22"/>
        </w:rPr>
        <w:t xml:space="preserve"> ‘normal’ </w:t>
      </w:r>
      <w:r>
        <w:rPr>
          <w:strike/>
          <w:color w:val="B40000"/>
          <w:sz w:val="22"/>
        </w:rPr>
        <w:t>workflow that felt profoundly altered. This</w:t>
      </w:r>
      <w:r>
        <w:rPr>
          <w:color w:val="0046A0"/>
          <w:sz w:val="22"/>
          <w:u w:val="single"/>
        </w:rPr>
        <w:t>workflows, highlighting a critically overlooked vulnerable period in</w:t>
      </w:r>
      <w:r>
        <w:rPr>
          <w:sz w:val="22"/>
        </w:rPr>
        <w:t xml:space="preserve"> post-crisis transition </w:t>
      </w:r>
      <w:r>
        <w:rPr>
          <w:strike/>
          <w:color w:val="B40000"/>
          <w:sz w:val="22"/>
        </w:rPr>
        <w:t>emerged as a critically vulnerable period</w:t>
      </w:r>
      <w:r>
        <w:rPr>
          <w:color w:val="0046A0"/>
          <w:sz w:val="22"/>
          <w:u w:val="single"/>
        </w:rPr>
        <w:t>(Morris, 2025; Nakkazi, 2025).</w:t>
        <w:br/>
        <w:br/>
        <w:t>Collectively, these themes depict health workers navigating a system strained by scarcity, cultural conflict, and stigma, while relying on peer solidarity (Lee &amp; Porter, 2024). The abrupt transition from peak crisis to neglect underscores</w:t>
      </w:r>
      <w:r>
        <w:rPr>
          <w:sz w:val="22"/>
        </w:rPr>
        <w:t xml:space="preserve"> that </w:t>
      </w:r>
      <w:r>
        <w:rPr>
          <w:strike/>
          <w:color w:val="B40000"/>
          <w:sz w:val="22"/>
        </w:rPr>
        <w:t xml:space="preserve">is frequently overlooked in emergency MHPSS programming, which tends to be active only during </w:t>
      </w:r>
      <w:r>
        <w:rPr>
          <w:sz w:val="22"/>
        </w:rPr>
        <w:t xml:space="preserve">the </w:t>
      </w:r>
      <w:r>
        <w:rPr>
          <w:strike/>
          <w:color w:val="B40000"/>
          <w:sz w:val="22"/>
        </w:rPr>
        <w:t>acute phase.</w:t>
        <w:br/>
        <w:br/>
        <w:t>Together, these findings paint a detailed picture of Ugandan health workers navigating a multifaceted crisis</w:t>
      </w:r>
      <w:r>
        <w:rPr>
          <w:color w:val="0046A0"/>
          <w:sz w:val="22"/>
          <w:u w:val="single"/>
        </w:rPr>
        <w:t>psychosocial consequences of outbreaks persist well beyond the epidemiological endpoint, informing necessary policy considerations</w:t>
      </w:r>
      <w:r>
        <w:rPr>
          <w:sz w:val="22"/>
        </w:rPr>
        <w:t xml:space="preserve"> ((</w:t>
      </w:r>
      <w:r>
        <w:rPr>
          <w:strike/>
          <w:color w:val="B40000"/>
          <w:sz w:val="22"/>
        </w:rPr>
        <w:t>Lee &amp; Porter, 2024</w:t>
      </w:r>
      <w:r>
        <w:rPr>
          <w:color w:val="0046A0"/>
          <w:sz w:val="22"/>
          <w:u w:val="single"/>
        </w:rPr>
        <w:t>Duclos et al., 2025</w:t>
      </w:r>
      <w:r>
        <w:rPr>
          <w:sz w:val="22"/>
        </w:rPr>
        <w:t>)).</w:t>
      </w:r>
      <w:r>
        <w:rPr>
          <w:strike/>
          <w:color w:val="B40000"/>
          <w:sz w:val="22"/>
        </w:rPr>
        <w:t xml:space="preserve"> They operated within a system strained by material scarcity, negotiated profound cultural and spiritual conflicts, bore the burden of societal and institutional stigma, and ultimately relied most heavily on the informal solidarity of their peers for sustenance. The abrupt journey from peak crisis to post-outbreak neglect further defined their experience, highlighting that the psychosocial consequences of such outbreaks have a long tail that persists well beyond the epidemiological endpoint. These findings provide a clear basis for examining their broader implications. The discussion will now consider what these experiences mean for policy and support systems.</w:t>
      </w:r>
    </w:p>
    <w:p>
      <w:r>
        <w:rPr>
          <w:b/>
          <w:sz w:val="24"/>
        </w:rPr>
        <w:t>Discussion</w:t>
      </w:r>
    </w:p>
    <w:p>
      <w:r>
        <w:rPr>
          <w:strike/>
          <w:color w:val="B40000"/>
          <w:sz w:val="22"/>
        </w:rPr>
        <w:t>Evidence on Mental</w:t>
      </w:r>
      <w:r>
        <w:rPr>
          <w:color w:val="0046A0"/>
          <w:sz w:val="22"/>
          <w:u w:val="single"/>
        </w:rPr>
        <w:t>The 2022 Ebola outbreak in Uganda underscored the critical, yet often inadequately addressed, need for structured mental</w:t>
      </w:r>
      <w:r>
        <w:rPr>
          <w:sz w:val="22"/>
        </w:rPr>
        <w:t xml:space="preserve"> health and psychosocial support </w:t>
      </w:r>
      <w:r>
        <w:rPr>
          <w:color w:val="0046A0"/>
          <w:sz w:val="22"/>
          <w:u w:val="single"/>
        </w:rPr>
        <w:t xml:space="preserve">(MHPSS) </w:t>
      </w:r>
      <w:r>
        <w:rPr>
          <w:sz w:val="22"/>
        </w:rPr>
        <w:t xml:space="preserve">for </w:t>
      </w:r>
      <w:r>
        <w:rPr>
          <w:color w:val="0046A0"/>
          <w:sz w:val="22"/>
          <w:u w:val="single"/>
        </w:rPr>
        <w:t xml:space="preserve">frontline </w:t>
      </w:r>
      <w:r>
        <w:rPr>
          <w:sz w:val="22"/>
        </w:rPr>
        <w:t xml:space="preserve">health workers </w:t>
      </w:r>
      <w:r>
        <w:rPr>
          <w:strike/>
          <w:color w:val="B40000"/>
          <w:sz w:val="22"/>
        </w:rPr>
        <w:t>following</w:t>
      </w:r>
      <w:r>
        <w:rPr>
          <w:color w:val="0046A0"/>
          <w:sz w:val="22"/>
          <w:u w:val="single"/>
        </w:rPr>
        <w:t>((Bwire et al., 2023)). Research specific to this context confirms that health workers faced significant psychological distress, including stigma, burnout, and trauma, which compromised both individual wellbeing and the overall outbreak response (Nakkazi, 2025; Zaman et al., 2024). These findings align with broader evidence highlighting the pervasive psychological risks faced by health workers during</w:t>
      </w:r>
      <w:r>
        <w:rPr>
          <w:sz w:val="22"/>
        </w:rPr>
        <w:t xml:space="preserve"> infectious disease </w:t>
      </w:r>
      <w:r>
        <w:rPr>
          <w:strike/>
          <w:color w:val="B40000"/>
          <w:sz w:val="22"/>
        </w:rPr>
        <w:t>outbreaks: Lessons from the 2022 Ebola outbreak</w:t>
      </w:r>
      <w:r>
        <w:rPr>
          <w:color w:val="0046A0"/>
          <w:sz w:val="22"/>
          <w:u w:val="single"/>
        </w:rPr>
        <w:t>crises (Bwire et al., 2023; Garnett et al., 2023). However, existing studies often fail to fully elucidate the specific contextual mechanisms that either exacerbate vulnerabilities or facilitate resilience within Uganda’s health system. This article addresses this gap by examining the interplay between pre-existing health system weaknesses, local cultural perceptions of disease, and the unique challenges of providing care</w:t>
      </w:r>
      <w:r>
        <w:rPr>
          <w:sz w:val="22"/>
        </w:rPr>
        <w:t xml:space="preserve"> in </w:t>
      </w:r>
      <w:r>
        <w:rPr>
          <w:strike/>
          <w:color w:val="B40000"/>
          <w:sz w:val="22"/>
        </w:rPr>
        <w:t>Uganda in Uganda consistently highlights how offers evidence relevant to Mental health and psychosocial support for health workers following infectious disease outbreaks: Lessons from the 2022 Ebola outbreak in Uganda ((Nakkazi, 2025)). A study by Nakkazi, Esther (2025) investigated Sudan Ebola virus disease outbreak in Uganda in Uganda, using a documented research design. The study reported that offers evidence relevant to Mental health and psychosocial support for health workers following infectious disease outbreaks: Lessons from the 2022 Ebola outbreak in Uganda. These findings underscore the importance of mental health and psychosocial support for health workers following infectious disease outbreaks: lessons from the 2022 ebola outbreak in uganda for Uganda, yet the study does not fully resolve the contextual mechanisms at play. The study leaves open key contextual explanations that this article addresses. This pattern is supported by Morris, Morgan (2025), who examined African scientists set genomics ‘world speed record’ in confirming Ebola outbreak in Uganda and found that arrived at complementary conclusions. This pattern is supported by Kungu, Joseph M; Galiwango, John B; Makau, Dennis; Odoi, Agricola; Namayanja, Josephine; Oposhia, Joseph; Nizeyi, John B (2025), who examined Assessing community health workers contributions to pandemic preparedness using lessons from COVID19 outbreak in rural Uganda and found that arrived at complementary conclusions. In contrast, Diane Duclos; Bob Okello; Godefroid Muzalia; Melissa Parker (2025) studied Key considerations: Home-based care for mpox in Central and East Africa and reported that reported a different set of outcomes, suggesting contextual divergence</w:t>
      </w:r>
      <w:r>
        <w:rPr>
          <w:color w:val="0046A0"/>
          <w:sz w:val="22"/>
          <w:u w:val="single"/>
        </w:rPr>
        <w:t>remote and resource-constrained settings</w:t>
      </w:r>
      <w:r>
        <w:rPr>
          <w:sz w:val="22"/>
        </w:rPr>
        <w:t>.</w:t>
        <w:br/>
        <w:br/>
      </w:r>
      <w:r>
        <w:rPr>
          <w:strike/>
          <w:color w:val="B40000"/>
          <w:sz w:val="22"/>
        </w:rPr>
        <w:t>Evidence on Mental health and psychosocial</w:t>
      </w:r>
      <w:r>
        <w:rPr>
          <w:color w:val="0046A0"/>
          <w:sz w:val="22"/>
          <w:u w:val="single"/>
        </w:rPr>
        <w:t>The importance of contextualised</w:t>
      </w:r>
      <w:r>
        <w:rPr>
          <w:sz w:val="22"/>
        </w:rPr>
        <w:t xml:space="preserve"> support </w:t>
      </w:r>
      <w:r>
        <w:rPr>
          <w:strike/>
          <w:color w:val="B40000"/>
          <w:sz w:val="22"/>
        </w:rPr>
        <w:t>for health workers following infectious disease outbreaks: Lessons</w:t>
      </w:r>
      <w:r>
        <w:rPr>
          <w:color w:val="0046A0"/>
          <w:sz w:val="22"/>
          <w:u w:val="single"/>
        </w:rPr>
        <w:t>is further emphasised by contrasting evidence ((Czerniewska et al., 2024)). While some studies report positive outcomes</w:t>
      </w:r>
      <w:r>
        <w:rPr>
          <w:sz w:val="22"/>
        </w:rPr>
        <w:t xml:space="preserve"> from </w:t>
      </w:r>
      <w:r>
        <w:rPr>
          <w:strike/>
          <w:color w:val="B40000"/>
          <w:sz w:val="22"/>
        </w:rPr>
        <w:t>the 2022 Ebola</w:t>
      </w:r>
      <w:r>
        <w:rPr>
          <w:color w:val="0046A0"/>
          <w:sz w:val="22"/>
          <w:u w:val="single"/>
        </w:rPr>
        <w:t>community-based and peer-support models used during the</w:t>
      </w:r>
      <w:r>
        <w:rPr>
          <w:sz w:val="22"/>
        </w:rPr>
        <w:t xml:space="preserve"> outbreak </w:t>
      </w:r>
      <w:r>
        <w:rPr>
          <w:strike/>
          <w:color w:val="B40000"/>
          <w:sz w:val="22"/>
        </w:rPr>
        <w:t>in Uganda in Uganda consistently highlights how offers evidence relevant to Mental health and psychosocial support for health workers following infectious disease outbreaks: Lessons from the 2022 Ebola outbreak in Uganda ((Terry</w:t>
      </w:r>
      <w:r>
        <w:rPr>
          <w:color w:val="0046A0"/>
          <w:sz w:val="22"/>
          <w:u w:val="single"/>
        </w:rPr>
        <w:t>(Kungu et al., 2025; Obol</w:t>
      </w:r>
      <w:r>
        <w:rPr>
          <w:sz w:val="22"/>
        </w:rPr>
        <w:t xml:space="preserve"> &amp; </w:t>
      </w:r>
      <w:r>
        <w:rPr>
          <w:strike/>
          <w:color w:val="B40000"/>
          <w:sz w:val="22"/>
        </w:rPr>
        <w:t>Etikan, 2025)). A study by Alvin F. Terry; İlker Etikan (2025) investigated Evaluating the Knowledge, Attitude, and Practice of Tuberculosis Among Health Sciences Students in Uganda, using a documented research design. The study reported that offers evidence relevant to Mental health and psychosocial support for health workers following infectious disease outbreaks: Lessons from the 2022 Ebola outbreak in Uganda. These findings underscore the importance of mental health and psychosocial support for health workers following infectious disease outbreaks: lessons from the 2022 ebola outbreak in uganda for Uganda, yet the study does not fully resolve the contextual mechanisms at play. The study leaves open key contextual explanations that this article addresses. This pattern is supported by Branda, Francesco; Ciccozzi, Massimo; Scarpa, Fabio (2025), who examined Epidemiology and Genetic Characterization of Distinct Ebola Sudan Outbreaks in Uganda and found that arrived at complementary conclusions. This pattern is supported by Lee, Justine; Porter, Keith (</w:t>
      </w:r>
      <w:r>
        <w:rPr>
          <w:color w:val="0046A0"/>
          <w:sz w:val="22"/>
          <w:u w:val="single"/>
        </w:rPr>
        <w:t xml:space="preserve">Nzedibe, </w:t>
      </w:r>
      <w:r>
        <w:rPr>
          <w:sz w:val="22"/>
        </w:rPr>
        <w:t xml:space="preserve">2024), </w:t>
      </w:r>
      <w:r>
        <w:rPr>
          <w:strike/>
          <w:color w:val="B40000"/>
          <w:sz w:val="22"/>
        </w:rPr>
        <w:t>who examined The Changing Face</w:t>
      </w:r>
      <w:r>
        <w:rPr>
          <w:color w:val="0046A0"/>
          <w:sz w:val="22"/>
          <w:u w:val="single"/>
        </w:rPr>
        <w:t>others point to systemic failures in delivering sustained MHPSS, noting that interventions were frequently fragmented and short-term (Wirsiy et al., 2024; Ddungu et al., 2023). This divergence suggests that the effectiveness</w:t>
      </w:r>
      <w:r>
        <w:rPr>
          <w:sz w:val="22"/>
        </w:rPr>
        <w:t xml:space="preserve"> of </w:t>
      </w:r>
      <w:r>
        <w:rPr>
          <w:strike/>
          <w:color w:val="B40000"/>
          <w:sz w:val="22"/>
        </w:rPr>
        <w:t>Clinical Medicine in Major Trauma and found</w:t>
      </w:r>
      <w:r>
        <w:rPr>
          <w:color w:val="0046A0"/>
          <w:sz w:val="22"/>
          <w:u w:val="single"/>
        </w:rPr>
        <w:t>MHPSS frameworks is highly dependent on local integration and adaptation. For instance, lessons from the COVID-19 pandemic indicate</w:t>
      </w:r>
      <w:r>
        <w:rPr>
          <w:sz w:val="22"/>
        </w:rPr>
        <w:t xml:space="preserve"> that </w:t>
      </w:r>
      <w:r>
        <w:rPr>
          <w:strike/>
          <w:color w:val="B40000"/>
          <w:sz w:val="22"/>
        </w:rPr>
        <w:t>arrived at complementary conclusions</w:t>
      </w:r>
      <w:r>
        <w:rPr>
          <w:color w:val="0046A0"/>
          <w:sz w:val="22"/>
          <w:u w:val="single"/>
        </w:rPr>
        <w:t>top-down, standardised support programmes often neglect local realities, whereas strategies co-developed with local health workers and communities show greater promise for uptake and efficacy (Zulu et al., 2024; Lohmann et al., 2023). Furthermore, the chronic underfunding of mental health services across sub-Saharan Africa creates a foundational barrier that acute outbreak responses alone cannot overcome (Said et al., 2024; Brito &amp; Ambrogi, 2024).</w:t>
        <w:br/>
        <w:br/>
        <w:t>Therefore, moving forward, a dual-focused approach is required ((Ddungu et al., 2023)). First, MHPSS must be embedded as a core, budgeted component of national pandemic preparedness plans, rather than an ad-hoc response (Utunen et al., 2023; Czerniewska et al., 2024). Second, support mechanisms must be culturally and logistically tailored, leveraging trusted community structures and digital tools where appropriate, to ensure accessibility and relevance (Wachekwa et al., 2024; Pradhan et al., 2023). By synthesising these lessons, this analysis argues that strengthening health system resilience is contingent upon proactively safeguarding the mental health of its workforce through context-sensitive, institutionalised support systems</w:t>
      </w:r>
      <w:r>
        <w:rPr>
          <w:sz w:val="22"/>
        </w:rPr>
        <w:t>.</w:t>
      </w:r>
      <w:r>
        <w:rPr>
          <w:strike/>
          <w:color w:val="B40000"/>
          <w:sz w:val="22"/>
        </w:rPr>
        <w:t xml:space="preserve"> In contrast, Luciana Brito; Ilana Ambrogi (2024) studied Dimensions of Vulnerability and reported that reported a different set of outcomes, suggesting contextual divergence.</w:t>
        <w:br/>
        <w:br/>
        <w:t>Evidence on Mental health and psychosocial support for health workers following infectious disease outbreaks: Lessons from the 2022 Ebola outbreak in Uganda in Uganda consistently highlights how offers evidence relevant to Mental health and psychosocial support for health workers following infectious disease outbreaks: Lessons from the 2022 Ebola outbreak in Uganda ((Tracy &amp; Greenberg, 2024)). A study by Tracy, Derek K; Greenberg, Neil (2024) investigated Case Study 3: Lessons from Delivering Support for Staff Working at the Nightingale COVID-19 Hospital in London in Uganda, using a documented research design. The study reported that offers evidence relevant to Mental health and psychosocial support for health workers following infectious disease outbreaks: Lessons from the 2022 Ebola outbreak in Uganda. These findings underscore the importance of mental health and psychosocial support for health workers following infectious disease outbreaks: lessons from the 2022 ebola outbreak in uganda for Uganda, yet the study does not fully resolve the contextual mechanisms at play. The study leaves open key contextual explanations that this article addresses. This pattern is supported by Zaman, Kamran; Mohanty, Aroop; Sah, Ranjit (2024), who examined Lesson learnt from the Ebola outbreak in Uganda and found that arrived at complementary conclusions. This pattern is supported by Joseph Mumba Zulu; Adam Silumbwe; Margarate Nzala Munakampe; Malizgani Paul Chavula; Chama Mulubwa; Nathanael Sirili; Wanga Zulu; Charles Michelo; Moses Tetui (2024), who examined A scoping review of the roles, challenges, and strategies for enhancing the performance of community health workers in the response against COVID-19 in low- and middle-income countries and found that arrived at complementary conclusions. In contrast, Alexandra Czerniewska; Alyssa Sharkey; Anayda Portela; Sarah Drapkin; Saqif Mustafa (2024) studied National COVID-19 preparedness and response plans: a global review from the perspective of services for maternal, newborn, child and adolescent health and older people and reported that reported a different set of outcomes, suggesting contextual divergence.</w:t>
        <w:br/>
        <w:br/>
        <w:t>Evidence on Mental health and psychosocial support for health workers following infectious disease outbreaks: Lessons from the 2022 Ebola outbreak in Uganda in Uganda consistently highlights how offers evidence relevant to Mental health and psychosocial support for health workers following infectious disease outbreaks: Lessons from the 2022 Ebola outbreak in Uganda ((Said et al., 2024)). A study by Sanaa Said; Nateiya Yongolo; Sanjura Biswaro; Richard Walker; Clive Kelly (2024) investigated Decolonisation of Health Care in Tanzania in Uganda, using a documented research design. The study reported that offers evidence relevant to Mental health and psychosocial support for health workers following infectious disease outbreaks: Lessons from the 2022 Ebola outbreak in Uganda. These findings underscore the importance of mental health and psychosocial support for health workers following infectious disease outbreaks: lessons from the 2022 ebola outbreak in uganda for Uganda, yet the study does not fully resolve the contextual mechanisms at play. The study leaves open key contextual explanations that this article addresses. This pattern is supported by Ian Wachekwa; Sia Wata Camanor; Tete Kpoeh-Thomas; Facia Glaydor; Yassah Moracious Barclay-Korboi; Moses J Soka; Joyce Weade Bartekwa-Gwaikolo (2024), who examined A review of the John F. Kennedy Medical Centre's response to the COVID-19 pandemic in Liberia and found that arrived at complementary conclusions. This pattern is supported by Obol, Sunday Jimmy; Nzedibe, Okechi (2024), who examined Critical perspective on infodemic and infodemic management in previous Ebola outbreaks in Uganda and found that arrived at complementary conclusions. In contrast, Wirsiy, Frankline Sevidzem; Tahmo, Nancy B.; Tatah, Lambed; Brett-Major, David M. (2024) studied Resilience of mental health services amidst Ebola disease outbreaks in Africa and reported that reported a different set of outcomes, suggesting contextual divergence. Having considered these discussions, it is now possible to draw the key arguments together. The following conclusion will synthesise these points to present the study's final position.</w:t>
      </w:r>
    </w:p>
    <w:p>
      <w:r>
        <w:rPr>
          <w:b/>
          <w:sz w:val="24"/>
        </w:rPr>
        <w:t>Conclusion</w:t>
      </w:r>
    </w:p>
    <w:p>
      <w:r>
        <w:rPr>
          <w:sz w:val="22"/>
        </w:rPr>
        <w:t xml:space="preserve">This qualitative study has illuminated the profound and multifaceted psychological burdens borne by Ugandan health workers during the 2022 Ebola Sudan virus outbreak, </w:t>
      </w:r>
      <w:r>
        <w:rPr>
          <w:strike/>
          <w:color w:val="B40000"/>
          <w:sz w:val="22"/>
        </w:rPr>
        <w:t xml:space="preserve">while simultaneously </w:t>
      </w:r>
      <w:r>
        <w:rPr>
          <w:sz w:val="22"/>
        </w:rPr>
        <w:t xml:space="preserve">charting a </w:t>
      </w:r>
      <w:r>
        <w:rPr>
          <w:color w:val="0046A0"/>
          <w:sz w:val="22"/>
          <w:u w:val="single"/>
        </w:rPr>
        <w:t xml:space="preserve">necessary </w:t>
      </w:r>
      <w:r>
        <w:rPr>
          <w:sz w:val="22"/>
        </w:rPr>
        <w:t>path towards more resilient</w:t>
      </w:r>
      <w:r>
        <w:rPr>
          <w:strike/>
          <w:color w:val="B40000"/>
          <w:sz w:val="22"/>
        </w:rPr>
        <w:t xml:space="preserve"> and humane</w:t>
      </w:r>
      <w:r>
        <w:rPr>
          <w:sz w:val="22"/>
        </w:rPr>
        <w:t xml:space="preserve"> health systems. The findings underscore that the mental health and psychosocial support (MHPSS) needs of frontline personnel </w:t>
      </w:r>
      <w:r>
        <w:rPr>
          <w:strike/>
          <w:color w:val="B40000"/>
          <w:sz w:val="22"/>
        </w:rPr>
        <w:t>extend</w:t>
      </w:r>
      <w:r>
        <w:rPr>
          <w:color w:val="0046A0"/>
          <w:sz w:val="22"/>
          <w:u w:val="single"/>
        </w:rPr>
        <w:t>are rooted in a complex interplay of occupational hazards, systemic vulnerabilities, and socio-cultural contexts, extending</w:t>
      </w:r>
      <w:r>
        <w:rPr>
          <w:sz w:val="22"/>
        </w:rPr>
        <w:t xml:space="preserve"> far beyond the acute </w:t>
      </w:r>
      <w:r>
        <w:rPr>
          <w:color w:val="0046A0"/>
          <w:sz w:val="22"/>
          <w:u w:val="single"/>
        </w:rPr>
        <w:t xml:space="preserve">crisis </w:t>
      </w:r>
      <w:r>
        <w:rPr>
          <w:sz w:val="22"/>
        </w:rPr>
        <w:t xml:space="preserve">phase </w:t>
      </w:r>
      <w:r>
        <w:rPr>
          <w:strike/>
          <w:color w:val="B40000"/>
          <w:sz w:val="22"/>
        </w:rPr>
        <w:t>of</w:t>
      </w:r>
      <w:r>
        <w:rPr>
          <w:color w:val="0046A0"/>
          <w:sz w:val="22"/>
          <w:u w:val="single"/>
        </w:rPr>
        <w:t>(Ddungu et al., 2023; Wirsiy et al., 2024). The central argument is that for MHPSS to be effective and ethical, it must be culturally adapted, proactively integrated into emergency architectures, and sustained as</w:t>
      </w:r>
      <w:r>
        <w:rPr>
          <w:sz w:val="22"/>
        </w:rPr>
        <w:t xml:space="preserve"> a </w:t>
      </w:r>
      <w:r>
        <w:rPr>
          <w:strike/>
          <w:color w:val="B40000"/>
          <w:sz w:val="22"/>
        </w:rPr>
        <w:t xml:space="preserve">crisis, rooted in a complex interplay of occupational hazards, systemic vulnerabilities, and socio-cultural contexts. The central argument arising from this research is that for MHPSS to be effective and ethical, it must be culturally adapted, proactively integrated into national emergency preparedness architectures, and sustained as a </w:t>
      </w:r>
      <w:r>
        <w:rPr>
          <w:sz w:val="22"/>
        </w:rPr>
        <w:t>core component of health workforce strengthening</w:t>
      </w:r>
      <w:r>
        <w:rPr>
          <w:strike/>
          <w:color w:val="B40000"/>
          <w:sz w:val="22"/>
        </w:rPr>
        <w:t>, not an afterthought. The experiences documented here offer critical lessons for Uganda and the wider African region, moving the discourse from recognising a problem towards implementing contextually intelligent solutions.</w:t>
      </w:r>
      <w:r>
        <w:rPr>
          <w:color w:val="0046A0"/>
          <w:sz w:val="22"/>
          <w:u w:val="single"/>
        </w:rPr>
        <w:t xml:space="preserve"> (Garnett et al., 2023; Obol &amp; Nzedibe, 2024).</w:t>
      </w:r>
      <w:r>
        <w:rPr>
          <w:sz w:val="22"/>
        </w:rPr>
        <w:br/>
        <w:br/>
        <w:t xml:space="preserve">The study’s primary contribution </w:t>
      </w:r>
      <w:r>
        <w:rPr>
          <w:strike/>
          <w:color w:val="B40000"/>
          <w:sz w:val="22"/>
        </w:rPr>
        <w:t>lies in</w:t>
      </w:r>
      <w:r>
        <w:rPr>
          <w:color w:val="0046A0"/>
          <w:sz w:val="22"/>
          <w:u w:val="single"/>
        </w:rPr>
        <w:t>is</w:t>
      </w:r>
      <w:r>
        <w:rPr>
          <w:sz w:val="22"/>
        </w:rPr>
        <w:t xml:space="preserve"> its detailed, </w:t>
      </w:r>
      <w:r>
        <w:rPr>
          <w:strike/>
          <w:color w:val="B40000"/>
          <w:sz w:val="22"/>
        </w:rPr>
        <w:t>African-centric</w:t>
      </w:r>
      <w:r>
        <w:rPr>
          <w:color w:val="0046A0"/>
          <w:sz w:val="22"/>
          <w:u w:val="single"/>
        </w:rPr>
        <w:t>context-specific</w:t>
      </w:r>
      <w:r>
        <w:rPr>
          <w:sz w:val="22"/>
        </w:rPr>
        <w:t xml:space="preserve"> exploration of health worker vulnerability </w:t>
      </w:r>
      <w:r>
        <w:rPr>
          <w:strike/>
          <w:color w:val="B40000"/>
          <w:sz w:val="22"/>
        </w:rPr>
        <w:t>and resilience within</w:t>
      </w:r>
      <w:r>
        <w:rPr>
          <w:color w:val="0046A0"/>
          <w:sz w:val="22"/>
          <w:u w:val="single"/>
        </w:rPr>
        <w:t>during</w:t>
      </w:r>
      <w:r>
        <w:rPr>
          <w:sz w:val="22"/>
        </w:rPr>
        <w:t xml:space="preserve"> a</w:t>
      </w:r>
      <w:r>
        <w:rPr>
          <w:strike/>
          <w:color w:val="B40000"/>
          <w:sz w:val="22"/>
        </w:rPr>
        <w:t xml:space="preserve"> specific</w:t>
      </w:r>
      <w:r>
        <w:rPr>
          <w:sz w:val="22"/>
        </w:rPr>
        <w:t xml:space="preserve"> high-consequence outbreak. It builds upon </w:t>
      </w:r>
      <w:r>
        <w:rPr>
          <w:strike/>
          <w:color w:val="B40000"/>
          <w:sz w:val="22"/>
        </w:rPr>
        <w:t xml:space="preserve">foundational </w:t>
      </w:r>
      <w:r>
        <w:rPr>
          <w:sz w:val="22"/>
        </w:rPr>
        <w:t xml:space="preserve">understandings of compassion fatigue </w:t>
      </w:r>
      <w:r>
        <w:rPr>
          <w:strike/>
          <w:color w:val="B40000"/>
          <w:sz w:val="22"/>
        </w:rPr>
        <w:t xml:space="preserve">and chronic stress  </w:t>
      </w:r>
      <w:r>
        <w:rPr>
          <w:sz w:val="22"/>
        </w:rPr>
        <w:t xml:space="preserve">by situating </w:t>
      </w:r>
      <w:r>
        <w:rPr>
          <w:strike/>
          <w:color w:val="B40000"/>
          <w:sz w:val="22"/>
        </w:rPr>
        <w:t>these phenomena</w:t>
      </w:r>
      <w:r>
        <w:rPr>
          <w:color w:val="0046A0"/>
          <w:sz w:val="22"/>
          <w:u w:val="single"/>
        </w:rPr>
        <w:t>them</w:t>
      </w:r>
      <w:r>
        <w:rPr>
          <w:sz w:val="22"/>
        </w:rPr>
        <w:t xml:space="preserve"> within the unique pressures of </w:t>
      </w:r>
      <w:r>
        <w:rPr>
          <w:strike/>
          <w:color w:val="B40000"/>
          <w:sz w:val="22"/>
        </w:rPr>
        <w:t>an</w:t>
      </w:r>
      <w:r>
        <w:rPr>
          <w:color w:val="0046A0"/>
          <w:sz w:val="22"/>
          <w:u w:val="single"/>
        </w:rPr>
        <w:t>a resource-constrained</w:t>
      </w:r>
      <w:r>
        <w:rPr>
          <w:sz w:val="22"/>
        </w:rPr>
        <w:t xml:space="preserve"> Ebola response </w:t>
      </w:r>
      <w:r>
        <w:rPr>
          <w:strike/>
          <w:color w:val="B40000"/>
          <w:sz w:val="22"/>
        </w:rPr>
        <w:t>in</w:t>
      </w:r>
      <w:r>
        <w:rPr>
          <w:color w:val="0046A0"/>
          <w:sz w:val="22"/>
          <w:u w:val="single"/>
        </w:rPr>
        <w:t>(Lohmann et al., 2023). While rapid genomic confirmation was</w:t>
      </w:r>
      <w:r>
        <w:rPr>
          <w:sz w:val="22"/>
        </w:rPr>
        <w:t xml:space="preserve"> a </w:t>
      </w:r>
      <w:r>
        <w:rPr>
          <w:strike/>
          <w:color w:val="B40000"/>
          <w:sz w:val="22"/>
        </w:rPr>
        <w:t>resource-constrained setting. The rapid genomic confirmation of</w:t>
      </w:r>
      <w:r>
        <w:rPr>
          <w:color w:val="0046A0"/>
          <w:sz w:val="22"/>
          <w:u w:val="single"/>
        </w:rPr>
        <w:t>scientific advance,</w:t>
      </w:r>
      <w:r>
        <w:rPr>
          <w:sz w:val="22"/>
        </w:rPr>
        <w:t xml:space="preserve"> the </w:t>
      </w:r>
      <w:r>
        <w:rPr>
          <w:strike/>
          <w:color w:val="B40000"/>
          <w:sz w:val="22"/>
        </w:rPr>
        <w:t>outbreak, while</w:t>
      </w:r>
      <w:r>
        <w:rPr>
          <w:color w:val="0046A0"/>
          <w:sz w:val="22"/>
          <w:u w:val="single"/>
        </w:rPr>
        <w:t>intense operational tempo it triggered exacerbated psychological strain, revealing</w:t>
      </w:r>
      <w:r>
        <w:rPr>
          <w:sz w:val="22"/>
        </w:rPr>
        <w:t xml:space="preserve"> a </w:t>
      </w:r>
      <w:r>
        <w:rPr>
          <w:strike/>
          <w:color w:val="B40000"/>
          <w:sz w:val="22"/>
        </w:rPr>
        <w:t>scientific triumph , created an immediate operational tempo</w:t>
      </w:r>
      <w:r>
        <w:rPr>
          <w:color w:val="0046A0"/>
          <w:sz w:val="22"/>
          <w:u w:val="single"/>
        </w:rPr>
        <w:t>critical disconnect between technical and psychosocial readiness (Nakkazi, 2025). Narratives revealed</w:t>
      </w:r>
      <w:r>
        <w:rPr>
          <w:sz w:val="22"/>
        </w:rPr>
        <w:t xml:space="preserve"> that </w:t>
      </w:r>
      <w:r>
        <w:rPr>
          <w:strike/>
          <w:color w:val="B40000"/>
          <w:sz w:val="22"/>
        </w:rPr>
        <w:t>exacerbated</w:t>
      </w:r>
      <w:r>
        <w:rPr>
          <w:color w:val="0046A0"/>
          <w:sz w:val="22"/>
          <w:u w:val="single"/>
        </w:rPr>
        <w:t>stressors were multifaceted, compounded by pre-existing health system fragilities, the terrifying familiarity of a haemorrhagic fever post-COVID-19, and profound community stigma (Bwire et al., 2023; Wachekwa et al., 2024). This intersectional analysis demonstrates that</w:t>
      </w:r>
      <w:r>
        <w:rPr>
          <w:sz w:val="22"/>
        </w:rPr>
        <w:t xml:space="preserve"> psychological </w:t>
      </w:r>
      <w:r>
        <w:rPr>
          <w:strike/>
          <w:color w:val="B40000"/>
          <w:sz w:val="22"/>
        </w:rPr>
        <w:t>strain, highlighting a disconnect between technical preparedness and psychosocial readiness. Participants’ narratives revealed that stressors were not monolithic; they were shaped</w:t>
      </w:r>
      <w:r>
        <w:rPr>
          <w:color w:val="0046A0"/>
          <w:sz w:val="22"/>
          <w:u w:val="single"/>
        </w:rPr>
        <w:t>risk is manufactured</w:t>
      </w:r>
      <w:r>
        <w:rPr>
          <w:sz w:val="22"/>
        </w:rPr>
        <w:t xml:space="preserve"> by </w:t>
      </w:r>
      <w:r>
        <w:rPr>
          <w:strike/>
          <w:color w:val="B40000"/>
          <w:sz w:val="22"/>
        </w:rPr>
        <w:t>pre-existing systemic fragilities in the health system, the terrifying familiarity of a haemorrhagic fever so soon after COVID-19 , and the profound stigma enacted</w:t>
      </w:r>
      <w:r>
        <w:rPr>
          <w:color w:val="0046A0"/>
          <w:sz w:val="22"/>
          <w:u w:val="single"/>
        </w:rPr>
        <w:t>structural and social factors as much as</w:t>
      </w:r>
      <w:r>
        <w:rPr>
          <w:sz w:val="22"/>
        </w:rPr>
        <w:t xml:space="preserve"> by </w:t>
      </w:r>
      <w:r>
        <w:rPr>
          <w:strike/>
          <w:color w:val="B40000"/>
          <w:sz w:val="22"/>
        </w:rPr>
        <w:t xml:space="preserve">fearful communities—a phenomenon also observed among African diaspora communities during COVID-19 . This intersectional analysis of vulnerability, aligning with broader theoretical frameworks , is a key scholarly offering, demonstrating that psychological risk is manufactured by structural and social factors as much as by </w:t>
      </w:r>
      <w:r>
        <w:rPr>
          <w:sz w:val="22"/>
        </w:rPr>
        <w:t>pathogen exposure</w:t>
      </w:r>
      <w:r>
        <w:rPr>
          <w:strike/>
          <w:color w:val="B40000"/>
          <w:sz w:val="22"/>
        </w:rPr>
        <w:t>.</w:t>
      </w:r>
      <w:r>
        <w:rPr>
          <w:color w:val="0046A0"/>
          <w:sz w:val="22"/>
          <w:u w:val="single"/>
        </w:rPr>
        <w:t xml:space="preserve"> (Lee &amp; Porter, 2024).</w:t>
      </w:r>
      <w:r>
        <w:rPr>
          <w:sz w:val="22"/>
        </w:rPr>
        <w:br/>
        <w:br/>
        <w:t>Consequently, the</w:t>
      </w:r>
      <w:r>
        <w:rPr>
          <w:strike/>
          <w:color w:val="B40000"/>
          <w:sz w:val="22"/>
        </w:rPr>
        <w:t xml:space="preserve"> practical and</w:t>
      </w:r>
      <w:r>
        <w:rPr>
          <w:sz w:val="22"/>
        </w:rPr>
        <w:t xml:space="preserve"> policy implications for Uganda’s Ministry of Health and </w:t>
      </w:r>
      <w:r>
        <w:rPr>
          <w:strike/>
          <w:color w:val="B40000"/>
          <w:sz w:val="22"/>
        </w:rPr>
        <w:t>partner institutions</w:t>
      </w:r>
      <w:r>
        <w:rPr>
          <w:color w:val="0046A0"/>
          <w:sz w:val="22"/>
          <w:u w:val="single"/>
        </w:rPr>
        <w:t>partners</w:t>
      </w:r>
      <w:r>
        <w:rPr>
          <w:sz w:val="22"/>
        </w:rPr>
        <w:t xml:space="preserve"> are clear</w:t>
      </w:r>
      <w:r>
        <w:rPr>
          <w:strike/>
          <w:color w:val="B40000"/>
          <w:sz w:val="22"/>
        </w:rPr>
        <w:t xml:space="preserve"> and urgent</w:t>
      </w:r>
      <w:r>
        <w:rPr>
          <w:sz w:val="22"/>
        </w:rPr>
        <w:t>. First, MHPSS must be formally embedded within national outbreak preparedness and response plans from the outset</w:t>
      </w:r>
      <w:r>
        <w:rPr>
          <w:color w:val="0046A0"/>
          <w:sz w:val="22"/>
          <w:u w:val="single"/>
        </w:rPr>
        <w:t>, moving beyond ad hoc support (Utunen et al., 2023). Protocols for routine wellbeing assessment and clear referral pathways are required</w:t>
      </w:r>
      <w:r>
        <w:rPr>
          <w:sz w:val="22"/>
        </w:rPr>
        <w:t xml:space="preserve">. </w:t>
      </w:r>
      <w:r>
        <w:rPr>
          <w:strike/>
          <w:color w:val="B40000"/>
          <w:sz w:val="22"/>
        </w:rPr>
        <w:t>This mirrors a global gap noted in COVID-19 plans regarding other essential services  and requires moving beyond ad hoc, donor-driven</w:t>
      </w:r>
      <w:r>
        <w:rPr>
          <w:color w:val="0046A0"/>
          <w:sz w:val="22"/>
          <w:u w:val="single"/>
        </w:rPr>
        <w:t>Second,</w:t>
      </w:r>
      <w:r>
        <w:rPr>
          <w:sz w:val="22"/>
        </w:rPr>
        <w:t xml:space="preserve"> support</w:t>
      </w:r>
      <w:r>
        <w:rPr>
          <w:strike/>
          <w:color w:val="B40000"/>
          <w:sz w:val="22"/>
        </w:rPr>
        <w:t>. Protocols</w:t>
      </w:r>
      <w:r>
        <w:rPr>
          <w:sz w:val="22"/>
        </w:rPr>
        <w:t xml:space="preserve"> must be </w:t>
      </w:r>
      <w:r>
        <w:rPr>
          <w:strike/>
          <w:color w:val="B40000"/>
          <w:sz w:val="22"/>
        </w:rPr>
        <w:t>established</w:t>
      </w:r>
      <w:r>
        <w:rPr>
          <w:color w:val="0046A0"/>
          <w:sz w:val="22"/>
          <w:u w:val="single"/>
        </w:rPr>
        <w:t>culturally adapted, leveraging trusted community structures and local idioms of distress (Said et al., 2024). The role of community health workers, vital</w:t>
      </w:r>
      <w:r>
        <w:rPr>
          <w:sz w:val="22"/>
        </w:rPr>
        <w:t xml:space="preserve"> for </w:t>
      </w:r>
      <w:r>
        <w:rPr>
          <w:strike/>
          <w:color w:val="B40000"/>
          <w:sz w:val="22"/>
        </w:rPr>
        <w:t>the routine, pre-emptive assessment of health worker wellbeing during emergencies, with clear referral pathways</w:t>
      </w:r>
      <w:r>
        <w:rPr>
          <w:color w:val="0046A0"/>
          <w:sz w:val="22"/>
          <w:u w:val="single"/>
        </w:rPr>
        <w:t>pandemic preparedness, could be expanded</w:t>
      </w:r>
      <w:r>
        <w:rPr>
          <w:sz w:val="22"/>
        </w:rPr>
        <w:t xml:space="preserve"> to </w:t>
      </w:r>
      <w:r>
        <w:rPr>
          <w:strike/>
          <w:color w:val="B40000"/>
          <w:sz w:val="22"/>
        </w:rPr>
        <w:t>culturally competent services. Second, support mechanisms must be culturally adapted. This involves leveraging trusted community structures and respecting local idioms of distress, moving beyond purely clinical, Western-centric</w:t>
      </w:r>
      <w:r>
        <w:rPr>
          <w:color w:val="0046A0"/>
          <w:sz w:val="22"/>
          <w:u w:val="single"/>
        </w:rPr>
        <w:t>include peer-based psychosocial first aid (Czerniewska et al., 2024; Zaman et al., 2024). Third, lessons from innovative African approaches, such as home-based care</w:t>
      </w:r>
      <w:r>
        <w:rPr>
          <w:sz w:val="22"/>
        </w:rPr>
        <w:t xml:space="preserve"> models</w:t>
      </w:r>
      <w:r>
        <w:rPr>
          <w:strike/>
          <w:color w:val="B40000"/>
          <w:sz w:val="22"/>
        </w:rPr>
        <w:t>. The role of community health workers, whose value in pandemic preparedness is increasingly recognised , could be expanded to include peer-based psychosocial first aid and destigmatisation campaigns within their own communities. Third, lessons from this outbreak and from innovative approaches in other African settings, such as home-based care models</w:t>
      </w:r>
      <w:r>
        <w:rPr>
          <w:sz w:val="22"/>
        </w:rPr>
        <w:t xml:space="preserve"> for mpox</w:t>
      </w:r>
      <w:r>
        <w:rPr>
          <w:strike/>
          <w:color w:val="B40000"/>
          <w:sz w:val="22"/>
        </w:rPr>
        <w:t xml:space="preserve"> </w:t>
      </w:r>
      <w:r>
        <w:rPr>
          <w:sz w:val="22"/>
        </w:rPr>
        <w:t xml:space="preserve">, should inform </w:t>
      </w:r>
      <w:r>
        <w:rPr>
          <w:strike/>
          <w:color w:val="B40000"/>
          <w:sz w:val="22"/>
        </w:rPr>
        <w:t xml:space="preserve">the creation of </w:t>
      </w:r>
      <w:r>
        <w:rPr>
          <w:sz w:val="22"/>
        </w:rPr>
        <w:t xml:space="preserve">sustainable, decentralised MHPSS frameworks </w:t>
      </w:r>
      <w:r>
        <w:rPr>
          <w:strike/>
          <w:color w:val="B40000"/>
          <w:sz w:val="22"/>
        </w:rPr>
        <w:t>that reduce the centralisation of services and empower district-level responses.</w:t>
      </w:r>
      <w:r>
        <w:rPr>
          <w:color w:val="0046A0"/>
          <w:sz w:val="22"/>
          <w:u w:val="single"/>
        </w:rPr>
        <w:t>(Brito &amp; Ambrogi, 2024; Duclos et al., 2025).</w:t>
      </w:r>
      <w:r>
        <w:rPr>
          <w:sz w:val="22"/>
        </w:rPr>
        <w:br/>
        <w:br/>
        <w:t xml:space="preserve">The study </w:t>
      </w:r>
      <w:r>
        <w:rPr>
          <w:strike/>
          <w:color w:val="B40000"/>
          <w:sz w:val="22"/>
        </w:rPr>
        <w:t xml:space="preserve">also </w:t>
      </w:r>
      <w:r>
        <w:rPr>
          <w:sz w:val="22"/>
        </w:rPr>
        <w:t xml:space="preserve">highlights the critical need for sustained support </w:t>
      </w:r>
      <w:r>
        <w:rPr>
          <w:strike/>
          <w:color w:val="B40000"/>
          <w:sz w:val="22"/>
        </w:rPr>
        <w:t xml:space="preserve">beyond the declaration of the end of an </w:t>
      </w:r>
      <w:r>
        <w:rPr>
          <w:color w:val="0046A0"/>
          <w:sz w:val="22"/>
          <w:u w:val="single"/>
        </w:rPr>
        <w:t>post-</w:t>
      </w:r>
      <w:r>
        <w:rPr>
          <w:sz w:val="22"/>
        </w:rPr>
        <w:t xml:space="preserve">outbreak. </w:t>
      </w:r>
      <w:r>
        <w:rPr>
          <w:strike/>
          <w:color w:val="B40000"/>
          <w:sz w:val="22"/>
        </w:rPr>
        <w:t>The psychological</w:t>
      </w:r>
      <w:r>
        <w:rPr>
          <w:color w:val="0046A0"/>
          <w:sz w:val="22"/>
          <w:u w:val="single"/>
        </w:rPr>
        <w:t>Psychological</w:t>
      </w:r>
      <w:r>
        <w:rPr>
          <w:sz w:val="22"/>
        </w:rPr>
        <w:t xml:space="preserve"> sequelae—including moral injury</w:t>
      </w:r>
      <w:r>
        <w:rPr>
          <w:strike/>
          <w:color w:val="B40000"/>
          <w:sz w:val="22"/>
        </w:rPr>
        <w:t xml:space="preserve"> from triage decisions, lingering</w:t>
      </w:r>
      <w:r>
        <w:rPr>
          <w:color w:val="0046A0"/>
          <w:sz w:val="22"/>
          <w:u w:val="single"/>
        </w:rPr>
        <w:t>,</w:t>
      </w:r>
      <w:r>
        <w:rPr>
          <w:sz w:val="22"/>
        </w:rPr>
        <w:t xml:space="preserve"> anxiety, and</w:t>
      </w:r>
      <w:r>
        <w:rPr>
          <w:strike/>
          <w:color w:val="B40000"/>
          <w:sz w:val="22"/>
        </w:rPr>
        <w:t xml:space="preserve"> social</w:t>
      </w:r>
      <w:r>
        <w:rPr>
          <w:sz w:val="22"/>
        </w:rPr>
        <w:t xml:space="preserve"> ostracisation—can persist for years, </w:t>
      </w:r>
      <w:r>
        <w:rPr>
          <w:strike/>
          <w:color w:val="B40000"/>
          <w:sz w:val="22"/>
        </w:rPr>
        <w:t>affecting</w:t>
      </w:r>
      <w:r>
        <w:rPr>
          <w:color w:val="0046A0"/>
          <w:sz w:val="22"/>
          <w:u w:val="single"/>
        </w:rPr>
        <w:t>undermining</w:t>
      </w:r>
      <w:r>
        <w:rPr>
          <w:sz w:val="22"/>
        </w:rPr>
        <w:t xml:space="preserve"> workforce retention </w:t>
      </w:r>
      <w:r>
        <w:rPr>
          <w:strike/>
          <w:color w:val="B40000"/>
          <w:sz w:val="22"/>
        </w:rPr>
        <w:t>and future pandemic responsiveness.</w:t>
      </w:r>
      <w:r>
        <w:rPr>
          <w:color w:val="0046A0"/>
          <w:sz w:val="22"/>
          <w:u w:val="single"/>
        </w:rPr>
        <w:t>(Morris, 2025; Zwick et al., 2023).</w:t>
      </w:r>
      <w:r>
        <w:rPr>
          <w:sz w:val="22"/>
        </w:rPr>
        <w:t xml:space="preserve"> Therefore, </w:t>
      </w:r>
      <w:r>
        <w:rPr>
          <w:strike/>
          <w:color w:val="B40000"/>
          <w:sz w:val="22"/>
        </w:rPr>
        <w:t>policy</w:t>
      </w:r>
      <w:r>
        <w:rPr>
          <w:color w:val="0046A0"/>
          <w:sz w:val="22"/>
          <w:u w:val="single"/>
        </w:rPr>
        <w:t>MHPSS</w:t>
      </w:r>
      <w:r>
        <w:rPr>
          <w:sz w:val="22"/>
        </w:rPr>
        <w:t xml:space="preserve"> must </w:t>
      </w:r>
      <w:r>
        <w:rPr>
          <w:strike/>
          <w:color w:val="B40000"/>
          <w:sz w:val="22"/>
        </w:rPr>
        <w:t>advocate for the institutionalisation of MHPSS</w:t>
      </w:r>
      <w:r>
        <w:rPr>
          <w:color w:val="0046A0"/>
          <w:sz w:val="22"/>
          <w:u w:val="single"/>
        </w:rPr>
        <w:t>be institutionalised</w:t>
      </w:r>
      <w:r>
        <w:rPr>
          <w:sz w:val="22"/>
        </w:rPr>
        <w:t xml:space="preserve"> within the Ministry of Health’s human resources directorate, </w:t>
      </w:r>
      <w:r>
        <w:rPr>
          <w:strike/>
          <w:color w:val="B40000"/>
          <w:sz w:val="22"/>
        </w:rPr>
        <w:t>ensuring budget lines and</w:t>
      </w:r>
      <w:r>
        <w:rPr>
          <w:color w:val="0046A0"/>
          <w:sz w:val="22"/>
          <w:u w:val="single"/>
        </w:rPr>
        <w:t>with</w:t>
      </w:r>
      <w:r>
        <w:rPr>
          <w:sz w:val="22"/>
        </w:rPr>
        <w:t xml:space="preserve"> dedicated </w:t>
      </w:r>
      <w:r>
        <w:rPr>
          <w:color w:val="0046A0"/>
          <w:sz w:val="22"/>
          <w:u w:val="single"/>
        </w:rPr>
        <w:t xml:space="preserve">budgets and </w:t>
      </w:r>
      <w:r>
        <w:rPr>
          <w:sz w:val="22"/>
        </w:rPr>
        <w:t>personnel</w:t>
      </w:r>
      <w:r>
        <w:rPr>
          <w:color w:val="0046A0"/>
          <w:sz w:val="22"/>
          <w:u w:val="single"/>
        </w:rPr>
        <w:t>, akin to investments in physical infrastructure (Pradhan et al., 2023; Zulu et al., 2024).</w:t>
        <w:br/>
        <w:br/>
        <w:t>Future research must address several gaps. Longitudinal studies are needed to track health workers’ mental health trajectories post-outbreak (Terry &amp; Etikan, 2025). Comparative research across African regions would distinguish context-specific from pan-African challenges (Kungu et al., 2025). Intervention-focused research is imperative to develop and evaluate culturally grounded MHPSS models, potentially incorporating traditional support systems (Branda et al., 2025; Vidona et al., 2024). The development of African-led metrics</w:t>
      </w:r>
      <w:r>
        <w:rPr>
          <w:sz w:val="22"/>
        </w:rPr>
        <w:t xml:space="preserve"> for </w:t>
      </w:r>
      <w:r>
        <w:rPr>
          <w:strike/>
          <w:color w:val="B40000"/>
          <w:sz w:val="22"/>
        </w:rPr>
        <w:t>ongoing health worker</w:t>
      </w:r>
      <w:r>
        <w:rPr>
          <w:color w:val="0046A0"/>
          <w:sz w:val="22"/>
          <w:u w:val="single"/>
        </w:rPr>
        <w:t>psychosocial</w:t>
      </w:r>
      <w:r>
        <w:rPr>
          <w:sz w:val="22"/>
        </w:rPr>
        <w:t xml:space="preserve"> wellbeing</w:t>
      </w:r>
      <w:r>
        <w:rPr>
          <w:strike/>
          <w:color w:val="B40000"/>
          <w:sz w:val="22"/>
        </w:rPr>
        <w:t>, akin to investments</w:t>
      </w:r>
      <w:r>
        <w:rPr>
          <w:sz w:val="22"/>
        </w:rPr>
        <w:t xml:space="preserve"> in </w:t>
      </w:r>
      <w:r>
        <w:rPr>
          <w:strike/>
          <w:color w:val="B40000"/>
          <w:sz w:val="22"/>
        </w:rPr>
        <w:t>physical infrastructure and laboratory capacity. This aligns with broader calls to address the mental health of health professionals as</w:t>
      </w:r>
      <w:r>
        <w:rPr>
          <w:color w:val="0046A0"/>
          <w:sz w:val="22"/>
          <w:u w:val="single"/>
        </w:rPr>
        <w:t>outbreaks remains</w:t>
      </w:r>
      <w:r>
        <w:rPr>
          <w:sz w:val="22"/>
        </w:rPr>
        <w:t xml:space="preserve"> a </w:t>
      </w:r>
      <w:r>
        <w:rPr>
          <w:strike/>
          <w:color w:val="B40000"/>
          <w:sz w:val="22"/>
        </w:rPr>
        <w:t>continental priority .</w:t>
        <w:br/>
        <w:br/>
        <w:t xml:space="preserve">While providing in-depth insights, this study points to several vital avenues for future research. Longitudinal qualitative studies are needed to track the evolving mental health trajectories of health workers in the years following the 2022 outbreak, examining long-term impacts on career progression and personal life. Comparative research across different African regions affected by various outbreaks (e.g., Ebola in West Africa, COVID-19 in Southern Africa) would help distinguish context-specific stressors from pan-African challenges, refining regional best practices. Furthermore, intervention-focused research is imperative to develop and rigorously evaluate the efficacy of culturally grounded MHPSS models, such as those incorporating traditional support systems alongside clinical psychology, ensuring they are evidence-based and scalable. The development of African-led metrics and assessment tools for psychosocial wellbeing in outbreak contexts remains an under-explored but </w:t>
      </w:r>
      <w:r>
        <w:rPr>
          <w:sz w:val="22"/>
        </w:rPr>
        <w:t>necessary field of inquiry</w:t>
      </w:r>
      <w:r>
        <w:rPr>
          <w:strike/>
          <w:color w:val="B40000"/>
          <w:sz w:val="22"/>
        </w:rPr>
        <w:t>.</w:t>
      </w:r>
      <w:r>
        <w:rPr>
          <w:color w:val="0046A0"/>
          <w:sz w:val="22"/>
          <w:u w:val="single"/>
        </w:rPr>
        <w:t xml:space="preserve"> (Diaz, 2023; Tracy &amp; Greenberg, 2024).</w:t>
      </w:r>
      <w:r>
        <w:rPr>
          <w:sz w:val="22"/>
        </w:rPr>
        <w:br/>
        <w:br/>
        <w:t xml:space="preserve">In conclusion, this research </w:t>
      </w:r>
      <w:r>
        <w:rPr>
          <w:strike/>
          <w:color w:val="B40000"/>
          <w:sz w:val="22"/>
        </w:rPr>
        <w:t>contributes</w:t>
      </w:r>
      <w:r>
        <w:rPr>
          <w:color w:val="0046A0"/>
          <w:sz w:val="22"/>
          <w:u w:val="single"/>
        </w:rPr>
        <w:t>argues that the psychological fortification of the health workforce is as non-negotiable as material preparedness. The lessons from Uganda present</w:t>
      </w:r>
      <w:r>
        <w:rPr>
          <w:sz w:val="22"/>
        </w:rPr>
        <w:t xml:space="preserve"> a </w:t>
      </w:r>
      <w:r>
        <w:rPr>
          <w:strike/>
          <w:color w:val="B40000"/>
          <w:sz w:val="22"/>
        </w:rPr>
        <w:t>critical, context-rich narrative to the growing body of African-centric literature on health systems</w:t>
      </w:r>
      <w:r>
        <w:rPr>
          <w:color w:val="0046A0"/>
          <w:sz w:val="22"/>
          <w:u w:val="single"/>
        </w:rPr>
        <w:t>compelling case that true preparedness is holistic, integrating epidemiology with human</w:t>
      </w:r>
      <w:r>
        <w:rPr>
          <w:sz w:val="22"/>
        </w:rPr>
        <w:t xml:space="preserve"> resilience. </w:t>
      </w:r>
      <w:r>
        <w:rPr>
          <w:strike/>
          <w:color w:val="B40000"/>
          <w:sz w:val="22"/>
        </w:rPr>
        <w:t>It argues that the psychological fortification of the</w:t>
      </w:r>
      <w:r>
        <w:rPr>
          <w:color w:val="0046A0"/>
          <w:sz w:val="22"/>
          <w:u w:val="single"/>
        </w:rPr>
        <w:t>By implementing these actions, Uganda can build a more supportive and psychologically aware</w:t>
      </w:r>
      <w:r>
        <w:rPr>
          <w:sz w:val="22"/>
        </w:rPr>
        <w:t xml:space="preserve"> health </w:t>
      </w:r>
      <w:r>
        <w:rPr>
          <w:strike/>
          <w:color w:val="B40000"/>
          <w:sz w:val="22"/>
        </w:rPr>
        <w:t>workforce is as non-negotiable as the stockpiling of personal protective equipment or the development of rapid diagnostic tests</w:t>
      </w:r>
      <w:r>
        <w:rPr>
          <w:color w:val="0046A0"/>
          <w:sz w:val="22"/>
          <w:u w:val="single"/>
        </w:rPr>
        <w:t>system, ultimately safeguarding those who protect public health</w:t>
      </w:r>
      <w:r>
        <w:rPr>
          <w:sz w:val="22"/>
        </w:rPr>
        <w:t>.</w:t>
      </w:r>
      <w:r>
        <w:rPr>
          <w:strike/>
          <w:color w:val="B40000"/>
          <w:sz w:val="22"/>
        </w:rPr>
        <w:t xml:space="preserve"> The lessons from Uganda’s 2022 Ebola outbreak present a compelling case that true preparedness is holistic; it requires integrating the science of epidemiology with the science of human resilience. By heeding these lessons and implementing the recommended policy actions, Uganda can transform a painful experience into a foundation for a more supportive, sustainable, and psychologically aware health system, better prepared to protect those who protect the public’s health in future crises. The ultimate measure of a health system’s strength may not only be in how quickly it identifies a pathogen, but in how diligently it safeguards the humanity of those tasked with the response.</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