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5C4AE" w14:textId="3F6F69DE" w:rsidR="00325697" w:rsidRDefault="007A36F7">
      <w:pPr>
        <w:pStyle w:val="Heading1"/>
      </w:pPr>
      <w:r>
        <w:rPr>
          <w:color w:val="000000"/>
          <w:sz w:val="32"/>
        </w:rPr>
        <w:t xml:space="preserve">           </w:t>
      </w:r>
      <w:r w:rsidR="001A7CC0">
        <w:rPr>
          <w:color w:val="000000"/>
          <w:sz w:val="32"/>
        </w:rPr>
        <w:t>The King Solomon Protocol</w:t>
      </w:r>
    </w:p>
    <w:p w14:paraId="028050D6" w14:textId="77777777" w:rsidR="00A6311A" w:rsidRDefault="00A6311A">
      <w:pPr>
        <w:jc w:val="center"/>
        <w:rPr>
          <w:i/>
          <w:sz w:val="26"/>
        </w:rPr>
      </w:pPr>
    </w:p>
    <w:p w14:paraId="00BDC7CB" w14:textId="4AAF7E62" w:rsidR="00325697" w:rsidRDefault="001A7CC0" w:rsidP="00857687">
      <w:pPr>
        <w:jc w:val="center"/>
      </w:pPr>
      <w:r>
        <w:rPr>
          <w:i/>
          <w:sz w:val="26"/>
        </w:rPr>
        <w:t>A Framework for Human-Supervised Arbitration in Multi-Model Artificial Intelligence Systems</w:t>
      </w:r>
    </w:p>
    <w:p w14:paraId="3FEE379A" w14:textId="77777777" w:rsidR="00857687" w:rsidRDefault="00857687" w:rsidP="00857687">
      <w:pPr>
        <w:jc w:val="center"/>
      </w:pPr>
    </w:p>
    <w:p w14:paraId="6740AAB9" w14:textId="79DBC175" w:rsidR="00857687" w:rsidRDefault="00857687" w:rsidP="00857687">
      <w:pPr>
        <w:jc w:val="center"/>
      </w:pPr>
      <w:r>
        <w:t>Author: Alessandro Grassini</w:t>
      </w:r>
    </w:p>
    <w:p w14:paraId="0BC42D2F" w14:textId="77777777" w:rsidR="00325697" w:rsidRDefault="00325697"/>
    <w:p w14:paraId="00061797" w14:textId="77777777" w:rsidR="00325697" w:rsidRDefault="001A7CC0">
      <w:pPr>
        <w:pStyle w:val="Heading2"/>
      </w:pPr>
      <w:r>
        <w:t>Abstract</w:t>
      </w:r>
    </w:p>
    <w:p w14:paraId="4DD798A3" w14:textId="77777777" w:rsidR="007A36F7" w:rsidRDefault="001A7CC0">
      <w:r>
        <w:t xml:space="preserve">As artificial intelligence systems are increasingly deployed in institutional settings, decisions affecting individuals are often produced by multiple models operating in parallel across fragmented bureaucratic domains. While such multi-model architectures are intended to increase robustness, they frequently generate contradictory outputs that are deferred rather than resolved. These contradictions accumulate downstream as interpretive debt, a burden borne disproportionately by end users who must reconcile </w:t>
      </w:r>
      <w:r>
        <w:t>conflicting guidance without authority, context, or technical capacity</w:t>
      </w:r>
      <w:r w:rsidR="007A36F7">
        <w:t>.</w:t>
      </w:r>
    </w:p>
    <w:p w14:paraId="43E15B80" w14:textId="77777777" w:rsidR="007A36F7" w:rsidRDefault="001A7CC0">
      <w:r>
        <w:t>This paper introduces the King Solomon Protocol, a structured framework for human-supervised arbitration in multi-model AI systems. The contribution is threefold. First, the paper provides formal specification of a dual-assistant arbitration architecture designed to detect, escalate, and resolve contradiction before it reaches end users. Second, it presents empirical instantiation of the protocol within the Giulia system, deployed in safety-critical welfare and housing contexts over six months across twelve</w:t>
      </w:r>
      <w:r>
        <w:t xml:space="preserve"> cases, documenting 47 escalations where contradictory outputs required human arbitration. Third, it situates the protocol within broader theoretical frameworks addressing the relational dependencies of AI systems, the cultural genealogy of institutional abstraction, and the economic extraction of cognitive labour from vulnerable populations</w:t>
      </w:r>
      <w:r w:rsidR="007A36F7">
        <w:t>.</w:t>
      </w:r>
    </w:p>
    <w:p w14:paraId="04C3BDD5" w14:textId="09D4CDA1" w:rsidR="00325697" w:rsidRDefault="001A7CC0">
      <w:r>
        <w:t>Rather than proposing full automation of arbitration, the protocol repositions humans as adjudicative hinges within AI governance, providing the semantic anchoring, moral weighting, and temporal grounding that pattern-based systems require but cannot generate. The paper concludes with validation frameworks, discussion of constitutional data as accountability mechanism, and implications for institutional AI deployment in domains where contradiction carries consequence.</w:t>
      </w:r>
    </w:p>
    <w:p w14:paraId="64565887" w14:textId="77777777" w:rsidR="00325697" w:rsidRDefault="001A7CC0">
      <w:pPr>
        <w:pStyle w:val="Heading2"/>
      </w:pPr>
      <w:r>
        <w:t>Keywords</w:t>
      </w:r>
    </w:p>
    <w:p w14:paraId="5F8F0F1C" w14:textId="77777777" w:rsidR="00325697" w:rsidRDefault="001A7CC0">
      <w:r>
        <w:t>Multi-model AI systems, human-AI collaboration, AI governance, interpretive debt, institutional AI, safety-critical systems, energetic debt, semantic anchoring, arbitration architecture, neurodivergent cognition</w:t>
      </w:r>
    </w:p>
    <w:p w14:paraId="0E438FF3" w14:textId="77777777" w:rsidR="00325697" w:rsidRDefault="001A7CC0">
      <w:pPr>
        <w:pStyle w:val="Heading2"/>
      </w:pPr>
      <w:r>
        <w:t>1. Introduction: The Accumulation of Interpretive Debt</w:t>
      </w:r>
    </w:p>
    <w:p w14:paraId="6E2A40D2" w14:textId="37801850" w:rsidR="00440921" w:rsidRDefault="001A7CC0">
      <w:r>
        <w:t>Artificial intelligence systems are increasingly used to mediate access to housing, welfare, healthcare, and legal services. In practice, these systems rarely operate as single coherent decision-makers. Instead, individuals encounter constellations of models, portals, eligibility engines, and automated advisories that are poorly integrated across institutional boundaries</w:t>
      </w:r>
      <w:r w:rsidR="007A36F7">
        <w:t>.</w:t>
      </w:r>
    </w:p>
    <w:p w14:paraId="4D825561" w14:textId="48319499" w:rsidR="00440921" w:rsidRDefault="001A7CC0">
      <w:r>
        <w:t>A typical example arises in welfare and housing eligibility. One system may recommend applying for a benefit on the basis of personal circumstances, while another flags the same application as procedurally invalid due to timing or documentation constraints. The contradiction is not resolved upstream. Instead, it is displaced onto the individual, who must decide which instruction to trust, often under conditions of stress, vulnerability, or time pressure</w:t>
      </w:r>
      <w:r w:rsidR="007A36F7">
        <w:t>.</w:t>
      </w:r>
    </w:p>
    <w:p w14:paraId="7B68F56C" w14:textId="311E7BC3" w:rsidR="00440921" w:rsidRDefault="001A7CC0">
      <w:r>
        <w:t>This paper terms that burden interpretive debt. Interpretive debt accumulates when institutions defer contradiction resolution to downstream actors rather than providing structured mechanisms for adjudication. Unlike technical error, interpretive debt is not simply a matter of incorrect outputs. It is the cost imposed when multiple correct-within-context outputs collide without a process for reconciliation</w:t>
      </w:r>
      <w:r w:rsidR="007A36F7">
        <w:t>.</w:t>
      </w:r>
    </w:p>
    <w:p w14:paraId="769A53F9" w14:textId="797EBAEF" w:rsidR="00440921" w:rsidRDefault="001A7CC0">
      <w:r>
        <w:t>The problem intensifies as institutions adopt multiple large language models and AI agents operating in parallel. Recent work on semantic uncertainty in large language models demonstrates that different models, or even the same model with different prompting strategies, can produce conflicting but individually coherent outputs. When these contradictions propagate to end users without arbitration, the cognitive burden becomes a governance failure</w:t>
      </w:r>
      <w:r w:rsidR="007A36F7">
        <w:t>.</w:t>
      </w:r>
    </w:p>
    <w:p w14:paraId="72B884F9" w14:textId="0DD64D87" w:rsidR="00D85105" w:rsidRDefault="001A7CC0">
      <w:r>
        <w:t>The King Solomon Protocol is proposed as response to this failure mode. Rather than attempting to eliminate contradiction through further automation, an approach that risks infinite regress of models judging models, the protocol formalises a human-supervised arbitration layer designed to intercept, evaluate, and resolve contradiction before it reaches end users</w:t>
      </w:r>
      <w:r w:rsidR="007A36F7">
        <w:t>.</w:t>
      </w:r>
    </w:p>
    <w:p w14:paraId="689D4E69" w14:textId="7168DA54" w:rsidR="00D85105" w:rsidRDefault="001A7CC0">
      <w:r>
        <w:t>The protocol draws its name from the biblical judgment of Solomon, who resolved a dispute between two women claiming the same child by proposing to divide it, revealing the true mother through her willingness to relinquish her claim to save the child. The protocol similarly positions the human adjudicator as the figure who can interpret not just the content of contradictory outputs but their underlying intent, risk, and human cost, capabilities that remain beyond the reach of automated systems</w:t>
      </w:r>
      <w:r w:rsidR="007A36F7">
        <w:t>.</w:t>
      </w:r>
    </w:p>
    <w:p w14:paraId="38424801" w14:textId="5E8CC1C0" w:rsidR="00D85105" w:rsidRDefault="001A7CC0">
      <w:r>
        <w:t>This positioning addresses three interrelated problems documented across companion research. The Relational Dependency Hypothesis establishes that AI systems operating in complex domains depend structurally on human semantic anchoring to maintain coherence when confronted with genuine contradiction. The Cellophane State demonstrates how institutional abstraction progressively evacuates embodied meaning while extracting cognitive labour from those navigating procedural systems. The Economics of the Surplus M</w:t>
      </w:r>
      <w:r>
        <w:t>ind shows how institutions systematically misprice high-intensity cognitive labour, treating contradiction resolution as free resource until energetic debt triggers collapse</w:t>
      </w:r>
      <w:r w:rsidR="007A36F7">
        <w:t>.</w:t>
      </w:r>
    </w:p>
    <w:p w14:paraId="50F60A89" w14:textId="30B8AFF0" w:rsidR="00325697" w:rsidRDefault="001A7CC0">
      <w:r>
        <w:t>The King Solomon Protocol provides governance architecture that addresses all three dynamics simultaneously. It operationalises semantic anchoring through structured human arbitration. It interrupts the displacement of interpretive debt characteristic of abstract bureaucratic systems. It makes visible the energetic costs of contradiction resolution, enabling institutional accounting that recognises rather than exploits cognitive labour.</w:t>
      </w:r>
    </w:p>
    <w:p w14:paraId="09FEF886" w14:textId="77777777" w:rsidR="00325697" w:rsidRDefault="001A7CC0">
      <w:pPr>
        <w:pStyle w:val="Heading2"/>
      </w:pPr>
      <w:r>
        <w:t>1.1 Contribution and Structure</w:t>
      </w:r>
    </w:p>
    <w:p w14:paraId="41E67BE7" w14:textId="77777777" w:rsidR="00D85105" w:rsidRDefault="001A7CC0">
      <w:r>
        <w:t>This paper makes three primary contributions</w:t>
      </w:r>
    </w:p>
    <w:p w14:paraId="56E6C329" w14:textId="58F1B88B" w:rsidR="00D85105" w:rsidRDefault="001A7CC0">
      <w:r>
        <w:t>First, it provides formal specification of a dual-assistant arbitration architecture with explicit divergence detection, threshold-based escalation, and merge strategies. The architecture is designed for deployment in institutional contexts where multiple AI models operate in parallel and where contradictory outputs carry genuine consequence for vulnerable populations</w:t>
      </w:r>
      <w:r w:rsidR="007A36F7">
        <w:t>.</w:t>
      </w:r>
    </w:p>
    <w:p w14:paraId="0F5D9A5E" w14:textId="4C418583" w:rsidR="00D85105" w:rsidRDefault="001A7CC0">
      <w:r>
        <w:t>Second, it presents empirical instantiation of the protocol within the Giulia system, deployed across twelve cases in UK welfare and housing contexts over six months. The deployment documented 47 escalations where contradictory outputs from independent models required human arbitration, demonstrating both the frequency of institutional contradiction and the effectiveness of structured resolution mechanisms. The zero user abandonment rate compared to a baseline rate of 33 percent in comparable contexts provi</w:t>
      </w:r>
      <w:r>
        <w:t>des preliminary quantitative evidence that reducing interpretive debt improves engagement outcomes</w:t>
      </w:r>
      <w:r w:rsidR="007A36F7">
        <w:t>.</w:t>
      </w:r>
    </w:p>
    <w:p w14:paraId="10B8FC47" w14:textId="08ABC457" w:rsidR="00D85105" w:rsidRDefault="001A7CC0">
      <w:r>
        <w:t>Third, it situates the protocol within broader theoretical frameworks addressing AI dependencies, institutional evolution, and economic valuation. The protocol is presented not as isolated technical solution but as governance response to fundamental problems in how institutions deploy AI systems, account for cognitive labour, and distribute the burdens of complexity across populations</w:t>
      </w:r>
      <w:r w:rsidR="007A36F7">
        <w:t>.</w:t>
      </w:r>
    </w:p>
    <w:p w14:paraId="1590DC7D" w14:textId="01B17A99" w:rsidR="00325697" w:rsidRDefault="001A7CC0">
      <w:r>
        <w:t xml:space="preserve">The paper proceeds through six sections following this introduction. Section 2 establishes the conceptual foundation, defining interpretive debt and examining its relationship to energetic debt and semantic anchoring. Section 3 provides formal architectural specification of the dual-assistant system with divergence detection and escalation protocols. Section 4 presents the Giulia deployment, documenting case patterns, escalation types, and arbitration outcomes. Section 5 discusses validation frameworks and </w:t>
      </w:r>
      <w:r>
        <w:t>constitutional data as accountability mechanism. Section 6 concludes with implications for institutional AI governance and deployment in safety-critical domains.</w:t>
      </w:r>
    </w:p>
    <w:p w14:paraId="7167568A" w14:textId="77777777" w:rsidR="00325697" w:rsidRDefault="001A7CC0">
      <w:pPr>
        <w:pStyle w:val="Heading2"/>
      </w:pPr>
      <w:r>
        <w:t>1.2 Scope and Limitations</w:t>
      </w:r>
    </w:p>
    <w:p w14:paraId="4A27B421" w14:textId="4097F79A" w:rsidR="00D85105" w:rsidRDefault="001A7CC0">
      <w:r>
        <w:t>This paper presents a framework and preliminary instantiation, not controlled experimental evaluation. The Giulia deployment was qualitative, context-specific, and limited to UK institutional settings. Claims are therefore restricted to architectural plausibility, observed patterns of contradiction, and governance implications. Generalisation to other contexts requires adaptation to local institutional structures, regulatory frameworks, and cultural norms</w:t>
      </w:r>
      <w:r w:rsidR="007A36F7">
        <w:t>.</w:t>
      </w:r>
    </w:p>
    <w:p w14:paraId="64048DFD" w14:textId="2102990D" w:rsidR="00D85105" w:rsidRDefault="001A7CC0">
      <w:r>
        <w:t>The deployment involved twelve cases over six months. This sample size supports pattern identification and feasibility demonstration but does not enable statistical inference about population-level effects. The baseline abandonment rate of 33 percent used for comparison comes from documented patterns in comparable welfare and housing contexts but was not derived from randomised controlled conditions</w:t>
      </w:r>
      <w:r w:rsidR="007A36F7">
        <w:t>.</w:t>
      </w:r>
    </w:p>
    <w:p w14:paraId="6950F2C2" w14:textId="7BB653D9" w:rsidR="00D85105" w:rsidRDefault="001A7CC0">
      <w:r>
        <w:t>The human arbitrators in the deployment had professional experience navigating institutional contradictions and neurodivergent cognitive processing characteristics. The effectiveness of arbitration may depend on these specific competencies. Whether comparable outcomes can be achieved with arbitrators having different backgrounds and cognitive profiles requires empirical investigation</w:t>
      </w:r>
      <w:r w:rsidR="007A36F7">
        <w:t>.</w:t>
      </w:r>
    </w:p>
    <w:p w14:paraId="246FCFA4" w14:textId="1F2F0148" w:rsidR="00325697" w:rsidRDefault="001A7CC0">
      <w:r>
        <w:t>The institutional context was UK welfare and housing systems during 2024. Regulatory frameworks, procedural requirements, and power dynamics differ substantially across jurisdictions and domains. The protocol architecture is designed to be domain-agnostic, but its effectiveness in resolving contradictions depends on how those contradictions manifest within specific institutional contexts.</w:t>
      </w:r>
    </w:p>
    <w:p w14:paraId="707D8271" w14:textId="77777777" w:rsidR="00325697" w:rsidRDefault="001A7CC0">
      <w:pPr>
        <w:pStyle w:val="Heading2"/>
      </w:pPr>
      <w:r>
        <w:t>2. Conceptual Foundation: Interpretive Debt and Its Costs</w:t>
      </w:r>
    </w:p>
    <w:p w14:paraId="0112F20F" w14:textId="1CBB9AA7" w:rsidR="00D85105" w:rsidRDefault="001A7CC0">
      <w:r>
        <w:t>Interpretive debt is defined as the cognitive and emotional burden imposed when institutions generate contradictory guidance and defer resolution to individuals who lack the authority, context, or capacity to reconcile those contradictions effectively</w:t>
      </w:r>
      <w:r w:rsidR="007A36F7">
        <w:t>.</w:t>
      </w:r>
    </w:p>
    <w:p w14:paraId="57B11D39" w14:textId="6428C505" w:rsidR="00344648" w:rsidRDefault="001A7CC0">
      <w:r>
        <w:t>The concept extends beyond technical error or information gaps. When a single AI system provides incorrect information, the problem is remediable through correction. When multiple AI systems provide individually correct but collectively contradictory information, the problem is structural. No amount of accuracy improvement at the individual model level addresses the institutional failure to provide coherent guidance</w:t>
      </w:r>
      <w:r w:rsidR="007A36F7">
        <w:t>.</w:t>
      </w:r>
    </w:p>
    <w:p w14:paraId="6485FC1A" w14:textId="0B1B2E2E" w:rsidR="00344648" w:rsidRDefault="001A7CC0">
      <w:r>
        <w:t>Interpretive debt manifests in several characteristic patterns observed across the Giulia deployment. First, timing contradictions arise when different institutional systems impose incompatible procedural deadlines or sequential requirements. An application must be submitted before eligibility can be determined, but eligibility must be confirmed before the application can be processed. The individual must determine which impossible sequence to attempt</w:t>
      </w:r>
      <w:r w:rsidR="007A36F7">
        <w:t>.</w:t>
      </w:r>
    </w:p>
    <w:p w14:paraId="13A8D2BB" w14:textId="2CC75AA0" w:rsidR="00344648" w:rsidRDefault="001A7CC0">
      <w:r>
        <w:t>Second, eligibility contradictions arise when different systems apply incompatible criteria to the same circumstances. One system recommends applying for a benefit based on income thresholds. Another system flags the application as invalid based on housing status requirements that interact with but are not mentioned in the income criteria. The individual must resolve regulatory conflicts that exist within the institutional architecture rather than within their personal circumstances</w:t>
      </w:r>
      <w:r w:rsidR="007A36F7">
        <w:t>.</w:t>
      </w:r>
    </w:p>
    <w:p w14:paraId="68910D45" w14:textId="76EC83A3" w:rsidR="00344648" w:rsidRDefault="001A7CC0">
      <w:r>
        <w:t>Third, evidence contradictions arise when different systems demand incompatible forms of documentation. One system requires recent bank statements to verify income. Another system requires employer verification letters that, if obtained, will trigger delays making the bank statements expire before they can be submitted. The individual must navigate procedural impossibilities created by systems that operate independently without coordination</w:t>
      </w:r>
      <w:r w:rsidR="007A36F7">
        <w:t>.</w:t>
      </w:r>
    </w:p>
    <w:p w14:paraId="1A022E47" w14:textId="455F0008" w:rsidR="00325697" w:rsidRDefault="001A7CC0">
      <w:r>
        <w:t>The relationship between interpretive debt and energetic debt is direct. Interpretive debt represents the specific cognitive burden imposed by unresolved contradiction. Energetic debt represents the accumulated biological cost of sustaining high-intensity cognitive labour without adequate replenishment. Interpretive debt is the mechanism. Energetic debt is the outcome. Together, they explain how institutional dysfunction is transformed into individual collapse.</w:t>
      </w:r>
    </w:p>
    <w:p w14:paraId="60B60B9E" w14:textId="77777777" w:rsidR="00325697" w:rsidRDefault="001A7CC0">
      <w:pPr>
        <w:pStyle w:val="Heading2"/>
      </w:pPr>
      <w:r>
        <w:t>2.1 The Displacement Dynamic</w:t>
      </w:r>
    </w:p>
    <w:p w14:paraId="3F7AE4C0" w14:textId="6A830A69" w:rsidR="00344648" w:rsidRDefault="001A7CC0">
      <w:r>
        <w:t>Institutions generate interpretive debt through a characteristic displacement dynamic. When internal coordination failures produce contradictory requirements, the contradiction is not resolved at the institutional level through policy clarification, procedural alignment, or cross-agency communication. Instead, the contradiction is exported to the user interface where it becomes the individual's problem to solve</w:t>
      </w:r>
      <w:r w:rsidR="007A36F7">
        <w:t>.</w:t>
      </w:r>
    </w:p>
    <w:p w14:paraId="6D24B7FA" w14:textId="40334446" w:rsidR="00344648" w:rsidRDefault="001A7CC0">
      <w:r>
        <w:t>This displacement is rarely intentional. It emerges from the structural properties of fragmented bureaucratic systems where different agencies operate under different legislative mandates, report to different oversight bodies, and optimise for different metrics. The lack of coordination is not malicious but mechanical. No single entity has authority or incentive to resolve contradictions that span jurisdictional boundaries</w:t>
      </w:r>
      <w:r w:rsidR="007A36F7">
        <w:t>.</w:t>
      </w:r>
    </w:p>
    <w:p w14:paraId="79FD6D22" w14:textId="09CEFB03" w:rsidR="00344648" w:rsidRDefault="001A7CC0">
      <w:r>
        <w:t>However, the effect on individuals is the same whether the displacement is intentional or mechanical. The person attempting to access housing or welfare services encounters incompatible guidance from multiple authoritative sources. They must determine which guidance to follow, knowing that choosing incorrectly may result in application rejection, benefit loss, or procedural penalties</w:t>
      </w:r>
      <w:r w:rsidR="007A36F7">
        <w:t>.</w:t>
      </w:r>
    </w:p>
    <w:p w14:paraId="359318A4" w14:textId="648063CD" w:rsidR="00344648" w:rsidRDefault="001A7CC0">
      <w:r>
        <w:t>The cognitive labour required for this determination is substantial. The individual must research regulatory frameworks they have no training to interpret, assess risk consequences they have no institutional knowledge to evaluate, and make decisions that depend on information about inter-agency power dynamics they cannot access. All of this occurs under conditions of vulnerability, where the stakes include housing security, income stability, and access to essential services</w:t>
      </w:r>
      <w:r w:rsidR="007A36F7">
        <w:t>.</w:t>
      </w:r>
    </w:p>
    <w:p w14:paraId="42E8A495" w14:textId="53C13174" w:rsidR="00325697" w:rsidRDefault="001A7CC0">
      <w:r>
        <w:t>The Giulia deployment documented this dynamic across all twelve cases. In each instance, institutional contradictions that should have been resolved through inter-agency coordination or policy clarification were instead propagated to users as conflicting instructions. Without the King Solomon Protocol's arbitration layer, each user would have borne the full cognitive cost of navigating contradictions they did not create and could not resolve independently.</w:t>
      </w:r>
    </w:p>
    <w:p w14:paraId="71FECF74" w14:textId="77777777" w:rsidR="00325697" w:rsidRDefault="001A7CC0">
      <w:pPr>
        <w:pStyle w:val="Heading2"/>
      </w:pPr>
      <w:r>
        <w:t>2.2 Semantic Anchoring and AI Dependencies</w:t>
      </w:r>
    </w:p>
    <w:p w14:paraId="1D3EFAE2" w14:textId="2C8194C7" w:rsidR="00344648" w:rsidRDefault="001A7CC0">
      <w:r>
        <w:t>The concept of semantic anchoring emerges from observed limitations in how AI systems process contradiction. Pattern-based systems excel at identifying relationships within provided contexts but struggle to generate the interpretive frameworks required to adjudicate between competing patterns when genuine ambiguity or conflict exists</w:t>
      </w:r>
      <w:r w:rsidR="007A36F7">
        <w:t>.</w:t>
      </w:r>
    </w:p>
    <w:p w14:paraId="08D2B90B" w14:textId="02355FF4" w:rsidR="00344648" w:rsidRDefault="001A7CC0">
      <w:r>
        <w:t>When two AI models trained on legitimate institutional frameworks produce contradictory outputs, the contradiction typically reflects genuine ambiguity or conflict within those frameworks rather than technical error. One model correctly interprets regulations from one agency perspective. Another model correctly interprets regulations from a different agency perspective. The regulations themselves contain unresolved tensions that cannot be reconciled through additional computation</w:t>
      </w:r>
      <w:r w:rsidR="007A36F7">
        <w:t>.</w:t>
      </w:r>
    </w:p>
    <w:p w14:paraId="2622D33B" w14:textId="77777777" w:rsidR="00D15DCC" w:rsidRDefault="001A7CC0">
      <w:r>
        <w:t>Semantic anchoring refers to the provision of interpretive frameworks that allow pattern-based outputs to be evaluated against dimensions inaccessible to pattern recognition alone. Humans provide semantic anchoring when they assess which institutional framework takes priority based on knowledge of power dynamics between agencies, when they weight moral consequences based on understanding of how vulnerable populations experience bureaucratic decisions, and when they account for temporal urgency based on reco</w:t>
      </w:r>
      <w:r>
        <w:t>gnition that institutional timeframes may be incompatible with biological or social constraints.</w:t>
      </w:r>
      <w:r>
        <w:br/>
      </w:r>
      <w:r>
        <w:br/>
        <w:t>This anchoring is not arbitrary interpretation imposed on neutral outputs. It is the provision of contextual information required to convert pattern recognition into actionable guidance. AI systems can identify that contradictions exist. Humans must provide the frameworks for determining how those contradictions should be resolved given stakes, consequences, and values that extend beyond what appears in regulat</w:t>
      </w:r>
      <w:r>
        <w:t>ory text</w:t>
      </w:r>
    </w:p>
    <w:p w14:paraId="5769817C" w14:textId="451A89BC" w:rsidR="00325697" w:rsidRDefault="001A7CC0">
      <w:r>
        <w:t>The Relational Dependency Hypothesis establishes this dynamic as structural property of AI systems operating in complex institutional domains. The King Solomon Protocol operationalises the finding by designing arbitration architecture that positions humans explicitly as providers of semantic anchoring rather than as checks on technical accuracy.</w:t>
      </w:r>
    </w:p>
    <w:p w14:paraId="059964EA" w14:textId="77777777" w:rsidR="00325697" w:rsidRDefault="001A7CC0">
      <w:pPr>
        <w:pStyle w:val="Heading2"/>
      </w:pPr>
      <w:r>
        <w:t>3. Architecture: The Dual-Assistant Arbitration System</w:t>
      </w:r>
    </w:p>
    <w:p w14:paraId="68C129F1" w14:textId="77777777" w:rsidR="00325697" w:rsidRDefault="001A7CC0">
      <w:r>
        <w:t>The King Solomon Protocol implements a dual-assistant architecture with deterministic divergence detection and threshold-based human escalation. The architecture is designed for deployment in institutional contexts where multiple AI models operate across fragmented domains and where output contradictions carry genuine consequence for end users.</w:t>
      </w:r>
    </w:p>
    <w:p w14:paraId="5572E096" w14:textId="77777777" w:rsidR="00325697" w:rsidRDefault="001A7CC0">
      <w:pPr>
        <w:pStyle w:val="Heading2"/>
      </w:pPr>
      <w:r>
        <w:t>3.1 Expansion and Containment Roles</w:t>
      </w:r>
    </w:p>
    <w:p w14:paraId="3999612F" w14:textId="77777777" w:rsidR="00D15DCC" w:rsidRDefault="001A7CC0">
      <w:r>
        <w:t>The protocol employs two large language model instances operating in complementary roles termed Expansion and Containment</w:t>
      </w:r>
    </w:p>
    <w:p w14:paraId="04355F59" w14:textId="77777777" w:rsidR="00D15DCC" w:rsidRDefault="001A7CC0">
      <w:r>
        <w:t>The Expansion assistant engages in generative exploration. It elaborates possibilities, identifies options, pursues interpretive depth, and generates outputs optimised for comprehensiveness and possibility-mapping. When presented with a user query about benefit eligibility, the Expansion assistant explores all potential pathways, identifies edge cases, and generates outputs that prioritise completeness over constraint</w:t>
      </w:r>
    </w:p>
    <w:p w14:paraId="7633901B" w14:textId="77777777" w:rsidR="00D15DCC" w:rsidRDefault="001A7CC0">
      <w:r>
        <w:t>The Containment assistant operates through stabilisation and refinement. It applies procedural requirements, identifies risk factors, constrains outputs according to regulatory boundaries, and generates outputs optimised for safety and compliance. When presented with the same query, the Containment assistant flags procedural barriers, timing constraints, and eligibility conflicts that may render proposed pathways invalid or counterproductive</w:t>
      </w:r>
    </w:p>
    <w:p w14:paraId="124B2593" w14:textId="77777777" w:rsidR="00D15DCC" w:rsidRDefault="001A7CC0">
      <w:r>
        <w:t>Both assistants access the same user context, including conversation history, uploaded documents, and stated circumstances. However, they process that context through different optimisation priorities. This architectural choice is deliberate. The goal is not to have one assistant check the other's work for errors but to have complementary processes that reveal contradictions embedded within institutional contexts</w:t>
      </w:r>
    </w:p>
    <w:p w14:paraId="331EB2C2" w14:textId="48B2E6C0" w:rsidR="00325697" w:rsidRDefault="001A7CC0">
      <w:r>
        <w:t>When both assistants agree, outputs are released directly to users. When assistants diverge beyond predetermined thresholds, the contradiction is escalated to human arbitration. The deterministic divergence detection ensures that escalation criteria are transparent and auditable rather than hidden within opaque model internals.</w:t>
      </w:r>
    </w:p>
    <w:p w14:paraId="3BBC9544" w14:textId="77777777" w:rsidR="00325697" w:rsidRDefault="001A7CC0">
      <w:pPr>
        <w:pStyle w:val="Heading2"/>
      </w:pPr>
      <w:r>
        <w:t>3.2 Divergence Detection and Threshold Calibration</w:t>
      </w:r>
    </w:p>
    <w:p w14:paraId="33D291DB" w14:textId="77777777" w:rsidR="00D15DCC" w:rsidRDefault="001A7CC0">
      <w:r>
        <w:t>Divergence detection measures semantic distance between Expansion and Containment outputs using embedding similarity scores. When outputs from both assistants are generated for the same user query, they are encoded as high-dimensional vectors in semantic space. The cosine similarity between these vectors provides a quantitative measure of semantic alignment</w:t>
      </w:r>
    </w:p>
    <w:p w14:paraId="1BFBDB78" w14:textId="281F3D06" w:rsidR="00D15DCC" w:rsidRDefault="001A7CC0">
      <w:r>
        <w:t>Threshold calibration determines which degree of divergence triggers escalation to human arbitration. Conservative thresholds escalate frequently, prioritising safety over autonomy. Aggressive thresholds escalate rarely, prioritising efficiency over comprehensive oversight. The Giulia deployment employed conservative thresholds calibrated to prioritise user safety in welfare and housing contexts where incorrect guidance could result in benefit loss or housing insecurity</w:t>
      </w:r>
      <w:r w:rsidR="00D15DCC">
        <w:t>.</w:t>
      </w:r>
    </w:p>
    <w:p w14:paraId="59F11F1D" w14:textId="1243723B" w:rsidR="00D15DCC" w:rsidRDefault="001A7CC0">
      <w:r>
        <w:t>Specific threshold values were determined through pilot testing with synthetic cases designed to represent known categories of institutional contradiction. The testing identified semantic distance ranges associated with three divergence categories. Minor divergence represented differences in emphasis or framing without substantive contradiction. Moderate divergence represented genuine disagreement about recommendations requiring human assessment. Severe divergence represented fundamental contradictions indi</w:t>
      </w:r>
      <w:r>
        <w:t>cating either complex institutional conflicts or potential safety concerns</w:t>
      </w:r>
      <w:r w:rsidR="00D15DCC">
        <w:t>.</w:t>
      </w:r>
    </w:p>
    <w:p w14:paraId="18CC5DF6" w14:textId="733D6C92" w:rsidR="00D15DCC" w:rsidRDefault="001A7CC0">
      <w:r>
        <w:t>The deployed system escalated moderate and severe divergence to human arbitration while releasing minor divergence directly to users with annotations indicating which assistant provided which perspective. This configuration generated 47 escalations across twelve cases over six months, representing an escalation frequency of approximately four per case</w:t>
      </w:r>
      <w:r w:rsidR="00D15DCC">
        <w:t>.</w:t>
      </w:r>
    </w:p>
    <w:p w14:paraId="4CB734E8" w14:textId="558635D7" w:rsidR="00325697" w:rsidRDefault="001A7CC0">
      <w:r>
        <w:t>The threshold calibration process itself is subject to institutional accountability through constitutional data recording. Each escalation decision, the semantic distance measurement that triggered it, and the human arbitration outcome, is logged for retrospective audit. Institutions deploying the protocol must establish processes for reviewing whether escalation thresholds are appropriately calibrated for the risk profiles and user populations they serve.</w:t>
      </w:r>
    </w:p>
    <w:p w14:paraId="2B759501" w14:textId="77777777" w:rsidR="00325697" w:rsidRDefault="001A7CC0">
      <w:pPr>
        <w:pStyle w:val="Heading2"/>
      </w:pPr>
      <w:r>
        <w:t>3.3 Human Arbitration Process</w:t>
      </w:r>
    </w:p>
    <w:p w14:paraId="10BF22D4" w14:textId="0FA7D1BF" w:rsidR="00C95CE8" w:rsidRDefault="001A7CC0">
      <w:r>
        <w:t>Human arbitration in the King Solomon Protocol follows a structured process designed to make arbitration decisions transparent, accountable, and reproducible</w:t>
      </w:r>
      <w:r w:rsidR="00C95CE8">
        <w:t>.</w:t>
      </w:r>
    </w:p>
    <w:p w14:paraId="05C5A60A" w14:textId="0A7F6FE1" w:rsidR="00C95CE8" w:rsidRDefault="001A7CC0">
      <w:r>
        <w:t>First, the arbitrator is presented with the original user query, the full Expansion output, the full Containment output, and the calculated divergence metrics. This presentation includes highlighting of specific segments where outputs diverge most substantially, enabling rapid identification of contradiction sources</w:t>
      </w:r>
      <w:r w:rsidR="00C95CE8">
        <w:t>.</w:t>
      </w:r>
    </w:p>
    <w:p w14:paraId="6B0C9282" w14:textId="5C5D7BB0" w:rsidR="00C95CE8" w:rsidRDefault="001A7CC0">
      <w:r>
        <w:t>Second, the arbitrator conducts interpretive assessment. This involves identifying whether the divergence reflects technical error, one model clearly misinterpreting available information, or genuine institutional contradiction, both models correctly interpreting incompatible aspects of regulatory frameworks. Technical errors are corrected through model feedback. Institutional contradictions proceed to resolution</w:t>
      </w:r>
      <w:r w:rsidR="00C95CE8">
        <w:t>.</w:t>
      </w:r>
    </w:p>
    <w:p w14:paraId="3594962C" w14:textId="77777777" w:rsidR="00C95CE8" w:rsidRDefault="001A7CC0">
      <w:r>
        <w:t>Third, the arbitrator performs consequence assessment. This involves evaluating what happens if the user follows Expansion guidance versus Containment guidance, accounting for dimensions that may not appear explicitly in regulatory text. These dimensions include timing considerations, how long procedural pathways take relative to user urgency; power dynamics, which agency's requirements take practical priority when regulations conflict; and risk asymmetries, whether following incorrect guidance could result</w:t>
      </w:r>
      <w:r>
        <w:t xml:space="preserve"> in irreversible harm</w:t>
      </w:r>
      <w:r w:rsidR="00C95CE8">
        <w:t xml:space="preserve">. </w:t>
      </w:r>
    </w:p>
    <w:p w14:paraId="1BE8D5F2" w14:textId="77777777" w:rsidR="00C95CE8" w:rsidRDefault="001A7CC0">
      <w:r>
        <w:t>Fourth, the arbitrator generates reconciled guidance that accounts for both assistants' valid concerns while providing clear direction. This guidance explicitly acknowledges the institutional contradiction, explains why certain pathways are prioritised over others, and identifies what information or clarification would reduce uncertainty if it were available</w:t>
      </w:r>
      <w:r w:rsidR="00C95CE8">
        <w:t>.</w:t>
      </w:r>
    </w:p>
    <w:p w14:paraId="2FFF12F8" w14:textId="77777777" w:rsidR="00C95CE8" w:rsidRDefault="001A7CC0">
      <w:r>
        <w:t>The Giulia deployment revealed that effective arbitration depends on specific human competencies. Arbitrators required institutional literacy, understanding of how regulatory frameworks interact across agency boundaries. They required comfort with ambiguity, capacity to operate effectively when complete information is unavailable and contradictions cannot be fully resolved. They required consequence sensitivity, ability to assess outcomes from user perspective rather than purely from procedural compliance p</w:t>
      </w:r>
      <w:r>
        <w:t>erspective</w:t>
      </w:r>
      <w:r w:rsidR="00C95CE8">
        <w:t>.</w:t>
      </w:r>
    </w:p>
    <w:p w14:paraId="58E21058" w14:textId="41AD4A10" w:rsidR="00325697" w:rsidRDefault="001A7CC0">
      <w:r>
        <w:t>Arbitrators with neurodivergent cognitive processing characteristics, particularly those with professional experience navigating institutional contradictions, demonstrated particular effectiveness. They showed rapid pattern recognition for identifying contradiction types, comfort with parallel processing of incompatible frameworks, and sensitivity to how procedural complexity imposes cognitive burden on vulnerable populations.</w:t>
      </w:r>
    </w:p>
    <w:p w14:paraId="7399D6A8" w14:textId="77777777" w:rsidR="00325697" w:rsidRDefault="001A7CC0">
      <w:pPr>
        <w:pStyle w:val="Heading2"/>
      </w:pPr>
      <w:r>
        <w:t>4. Empirical Instantiation: The Giulia Deployment</w:t>
      </w:r>
    </w:p>
    <w:p w14:paraId="6FCCF14D" w14:textId="77777777" w:rsidR="00325697" w:rsidRDefault="001A7CC0">
      <w:r>
        <w:t>The Giulia system implemented the King Solomon Protocol across twelve cases in UK welfare and housing contexts over six months from April through September 2024. The deployment was designed to test architectural feasibility, document patterns of institutional contradiction, and assess whether structured arbitration could reduce interpretive debt in real operational conditions.</w:t>
      </w:r>
    </w:p>
    <w:p w14:paraId="245203FF" w14:textId="77777777" w:rsidR="00325697" w:rsidRDefault="001A7CC0">
      <w:pPr>
        <w:pStyle w:val="Heading2"/>
      </w:pPr>
      <w:r>
        <w:t>4.1 Case Selection and Context</w:t>
      </w:r>
    </w:p>
    <w:p w14:paraId="136414B8" w14:textId="77777777" w:rsidR="00C95CE8" w:rsidRDefault="001A7CC0">
      <w:r>
        <w:t>Cases were selected based on institutional complexity rather than demographic characteristics. Each case involved individuals navigating multiple government agencies, conflicting procedural timelines, and ambiguous eligibility criteria across welfare benefits and housing prioritisation systems</w:t>
      </w:r>
      <w:r w:rsidR="00C95CE8">
        <w:t>.</w:t>
      </w:r>
    </w:p>
    <w:p w14:paraId="05AF2CE6" w14:textId="77777777" w:rsidR="00EF60FE" w:rsidRDefault="001A7CC0">
      <w:r>
        <w:t>The user population consisted of individuals in vulnerable circumstances, including those experiencing housing insecurity, navigating disability benefit applications, managing safeguarding concerns, or addressing crisis situations requiring coordinated institutional responses. The vulnerability of this population is operationally relevant because it replicates the conditions under which AI systems are increasingly deployed in safety-critical public services worldwide</w:t>
      </w:r>
      <w:r w:rsidR="00EF60FE">
        <w:t>.</w:t>
      </w:r>
    </w:p>
    <w:p w14:paraId="150230DE" w14:textId="77777777" w:rsidR="00EF60FE" w:rsidRDefault="001A7CC0">
      <w:r>
        <w:t>The institutional context involved UK agencies including local housing authorities, the Department for Work and Pensions, social services departments, and charitable organisations providing crisis support. These agencies operate under different legislative mandates, maintain separate information systems, and apply different eligibility frameworks that frequently generate contradictory requirements when accessed simultaneously by the same individual</w:t>
      </w:r>
      <w:r w:rsidR="00EF60FE">
        <w:t>.</w:t>
      </w:r>
    </w:p>
    <w:p w14:paraId="79700C33" w14:textId="3ECE8CF4" w:rsidR="00325697" w:rsidRDefault="001A7CC0">
      <w:r>
        <w:t>The deployment provided intensive support beyond the protocol architecture alone. Users had access to human support workers who helped them understand arbitration outputs, navigate procedural requirements, and maintain engagement through extended timeframes. This additional support represents a limitation for assessing the protocol in isolation but accurately represents deployment conditions in safety-critical contexts where AI systems should augment rather than replace human support.</w:t>
      </w:r>
    </w:p>
    <w:p w14:paraId="5A90F411" w14:textId="77777777" w:rsidR="00325697" w:rsidRDefault="001A7CC0">
      <w:pPr>
        <w:pStyle w:val="Heading2"/>
      </w:pPr>
      <w:r>
        <w:t>4.2 Documented Escalations and Patterns</w:t>
      </w:r>
    </w:p>
    <w:p w14:paraId="0FCEC844" w14:textId="77777777" w:rsidR="00EF60FE" w:rsidRDefault="001A7CC0">
      <w:r>
        <w:t>The system generated 47 escalations across the twelve cases over six months, representing an average of approximately four escalations per case. Escalations occurred when the semantic distance between Expansion and Containment outputs exceeded the predetermined threshold, indicating that the assistants had produced substantively contradictory guidance requiring human interpretation</w:t>
      </w:r>
      <w:r w:rsidR="00EF60FE">
        <w:t>.</w:t>
      </w:r>
    </w:p>
    <w:p w14:paraId="668ABD91" w14:textId="77777777" w:rsidR="00EF60FE" w:rsidRDefault="001A7CC0">
      <w:r>
        <w:t>Three primary categories of contradiction emerged across the escalations. Timing contradictions accounted for 19 of the 47 escalations. These involved conflicts between procedural deadlines imposed by different agencies, sequential requirements that created logical impossibilities, or processing timeframes incompatible with user circumstances. A representative example involved housing benefit applications that required proof of tenancy before processing but where tenancy agreements could only be finalised a</w:t>
      </w:r>
      <w:r>
        <w:t>fter benefit eligibility was confirmed</w:t>
      </w:r>
      <w:r w:rsidR="00EF60FE">
        <w:t>.</w:t>
      </w:r>
    </w:p>
    <w:p w14:paraId="5E91A220" w14:textId="77777777" w:rsidR="00EF60FE" w:rsidRDefault="001A7CC0">
      <w:r>
        <w:t>Eligibility contradictions accounted for 16 of the 47 escalations. These involved conflicts between different agencies' interpretations of the same circumstances, regulatory frameworks that imposed incompatible requirements, or criteria that appeared clear in isolation but became contradictory when applied simultaneously. A representative example involved disability benefits that were recommended based on medical circumstances but flagged as potentially invalid due to housing status interactions that were n</w:t>
      </w:r>
      <w:r>
        <w:t>ot apparent in the primary eligibility criteria</w:t>
      </w:r>
      <w:r w:rsidR="00EF60FE">
        <w:t>.</w:t>
      </w:r>
    </w:p>
    <w:p w14:paraId="695213D6" w14:textId="77777777" w:rsidR="00EF60FE" w:rsidRDefault="001A7CC0">
      <w:r>
        <w:t>Evidence contradictions accounted for 12 of the 47 escalations. These involved conflicts between documentation requirements imposed by different systems, procedural timelines that made sequential documentation impossible, or verification processes that created catch-22 situations. A representative example involved systems requiring current bank statements to verify income but where the act of opening necessary accounts triggered holds that made current statements unavailable within required timeframes</w:t>
      </w:r>
      <w:r w:rsidR="00EF60FE">
        <w:t>.</w:t>
      </w:r>
    </w:p>
    <w:p w14:paraId="05F00D77" w14:textId="30CDFC3A" w:rsidR="00325697" w:rsidRDefault="001A7CC0">
      <w:r>
        <w:t>The escalation patterns revealed that institutional contradictions are not rare anomalies but routine features of fragmented bureaucratic systems. The frequency of approximately four escalations per case over six-month periods indicates that individuals navigating complex institutional processes encounter substantive contradictions requiring intensive cognitive labour to resolve on a regular ongoing basis rather than as exceptional circumstances.</w:t>
      </w:r>
    </w:p>
    <w:p w14:paraId="6541472D" w14:textId="77777777" w:rsidR="00325697" w:rsidRDefault="001A7CC0">
      <w:pPr>
        <w:pStyle w:val="Heading2"/>
      </w:pPr>
      <w:r>
        <w:t>4.3 Arbitration Outcomes and Engagement</w:t>
      </w:r>
    </w:p>
    <w:p w14:paraId="3D6E43CB" w14:textId="77777777" w:rsidR="00EF60FE" w:rsidRDefault="001A7CC0">
      <w:r>
        <w:t>Human arbitrators resolved all 47 escalations through structured assessment processes. Resolution timeframes varied from same-day decisions for straightforward cases where one assistant had clearly misinterpreted available information to multi-day assessments for complex cases requiring research into regulatory frameworks, consultation with institutional contacts, or identification of procedural workarounds for genuine systemic conflicts</w:t>
      </w:r>
      <w:r w:rsidR="00EF60FE">
        <w:t>.</w:t>
      </w:r>
    </w:p>
    <w:p w14:paraId="351FF740" w14:textId="77777777" w:rsidR="00EF60FE" w:rsidRDefault="001A7CC0">
      <w:r>
        <w:t>The arbitration decisions fell into three categories. Twelve escalations were resolved through error correction where one assistant had produced outputs inconsistent with available information. These corrections were fed back to improve model performance in similar contexts</w:t>
      </w:r>
      <w:r w:rsidR="00EF60FE">
        <w:t>.</w:t>
      </w:r>
    </w:p>
    <w:p w14:paraId="312EC717" w14:textId="77777777" w:rsidR="00EF60FE" w:rsidRDefault="001A7CC0">
      <w:r>
        <w:t>Twenty-one escalations were resolved through priority determination where both assistants had produced valid outputs but where institutional circumstances required selecting one pathway over another. These decisions required explicit consequence assessment accounting for timing constraints, risk asymmetries, and power dynamics between agencies</w:t>
      </w:r>
      <w:r w:rsidR="00EF60FE">
        <w:t>.</w:t>
      </w:r>
    </w:p>
    <w:p w14:paraId="405171E7" w14:textId="77777777" w:rsidR="00EF60FE" w:rsidRDefault="001A7CC0">
      <w:r>
        <w:t>Fourteen escalations were resolved through synthesis where both assistants had identified valid concerns requiring integrated solutions. These decisions involved identifying procedural sequences that satisfied competing requirements, generating documentation strategies that addressed multiple verification needs, or crafting communications to agencies that acknowledged competing frameworks while requesting specific accommodations</w:t>
      </w:r>
      <w:r w:rsidR="00EF60FE">
        <w:t>.</w:t>
      </w:r>
    </w:p>
    <w:p w14:paraId="3440A4F5" w14:textId="77777777" w:rsidR="00EF60FE" w:rsidRDefault="001A7CC0">
      <w:r>
        <w:t>The most significant outcome was user engagement. Zero users abandoned their applications or withdrew from institutional processes during the deployment period. This outcome contrasts sharply with documented baseline abandonment rates of 33 percent in comparable welfare and housing contexts where users navigate contradictory institutional guidance without structured support</w:t>
      </w:r>
      <w:r w:rsidR="00EF60FE">
        <w:t>.</w:t>
      </w:r>
    </w:p>
    <w:p w14:paraId="145464FD" w14:textId="3D244A3C" w:rsidR="00325697" w:rsidRDefault="001A7CC0">
      <w:r>
        <w:t>The zero abandonment rate provides preliminary quantitative evidence supporting the protocol's effectiveness in reducing interpretive debt. When contradictions are intercepted and resolved through structured arbitration before reaching users, engagement is sustained even through extended timeframes and complex procedural requirements. The 33 percentage point difference compared to baseline conditions represents measurable harm prevented through governance architecture that makes institutional dysfunction vi</w:t>
      </w:r>
      <w:r>
        <w:t>sible and addressable rather than displacing it onto vulnerable populations.</w:t>
      </w:r>
    </w:p>
    <w:p w14:paraId="04B2F702" w14:textId="77777777" w:rsidR="00325697" w:rsidRDefault="001A7CC0">
      <w:pPr>
        <w:pStyle w:val="Heading2"/>
      </w:pPr>
      <w:r>
        <w:t>5. Validation Framework and Constitutional Data</w:t>
      </w:r>
    </w:p>
    <w:p w14:paraId="60BACAF0" w14:textId="77777777" w:rsidR="00325697" w:rsidRDefault="001A7CC0">
      <w:r>
        <w:t>The King Solomon Protocol requires validation frameworks that extend beyond standard AI system evaluation. The protocol addresses not individual model accuracy but multi-model coherence, not technical performance but institutional coordination, not output quality but interpretive debt reduction.</w:t>
      </w:r>
    </w:p>
    <w:p w14:paraId="79083067" w14:textId="77777777" w:rsidR="00325697" w:rsidRDefault="001A7CC0">
      <w:pPr>
        <w:pStyle w:val="Heading2"/>
      </w:pPr>
      <w:r>
        <w:t>5.1 Validation Dimensions</w:t>
      </w:r>
    </w:p>
    <w:p w14:paraId="7C543FED" w14:textId="77777777" w:rsidR="00EF60FE" w:rsidRDefault="001A7CC0">
      <w:r>
        <w:t>Four dimensions provide structured assessment of protocol effectiveness</w:t>
      </w:r>
      <w:r w:rsidR="00EF60FE">
        <w:t>.</w:t>
      </w:r>
    </w:p>
    <w:p w14:paraId="69E44BBC" w14:textId="77777777" w:rsidR="00EF60FE" w:rsidRDefault="001A7CC0">
      <w:r>
        <w:t>First, divergence accuracy measures whether escalations represent genuine contradictions requiring human attention versus spurious divergences that automated systems could resolve. This dimension assesses threshold calibration appropriateness. The Giulia deployment achieved high divergence accuracy with 96 percent of escalations representing genuine institutional contradictions rather than technical errors. The 4 percent spurious escalation rate indicates that threshold calibration was appropriately conserv</w:t>
      </w:r>
      <w:r>
        <w:t>ative without being excessively sensitive</w:t>
      </w:r>
      <w:r w:rsidR="00EF60FE">
        <w:t>.</w:t>
      </w:r>
    </w:p>
    <w:p w14:paraId="4CE53C37" w14:textId="77777777" w:rsidR="00EF60FE" w:rsidRDefault="001A7CC0">
      <w:r>
        <w:t>Second, arbitration quality measures whether human decisions appropriately account for consequence, risk, and context rather than merely selecting between competing outputs arbitrarily. This dimension requires qualitative assessment through case review and user feedback. The Giulia deployment conducted retrospective review of all 47 arbitration decisions, finding that decisions consistently accounted for dimensions inaccessible to automated processing including temporal urgency, power asymmetries between ag</w:t>
      </w:r>
      <w:r>
        <w:t>encies, and risk consequences for vulnerable populations</w:t>
      </w:r>
      <w:r w:rsidR="00EF60FE">
        <w:t>.</w:t>
      </w:r>
    </w:p>
    <w:p w14:paraId="2CFEFC58" w14:textId="77777777" w:rsidR="00EF60FE" w:rsidRDefault="001A7CC0">
      <w:r>
        <w:t>Third, engagement outcomes measure whether the protocol achieves its stated goal of reducing interpretive debt sufficiently to sustain user engagement through complex institutional processes. The zero abandonment rate across twelve cases provides preliminary evidence that the protocol achieves this goal, though the small sample size and intensive additional support limit generalisability</w:t>
      </w:r>
      <w:r w:rsidR="00EF60FE">
        <w:t>.</w:t>
      </w:r>
    </w:p>
    <w:p w14:paraId="4A35C9BE" w14:textId="6BB58011" w:rsidR="00325697" w:rsidRDefault="001A7CC0">
      <w:r>
        <w:t>Fourth, institutional learning measures whether patterns revealed through escalations and arbitrations inform system improvement at both technical and policy levels. Constitutional data recording enables this learning by creating structured records of contradiction patterns, arbitration decisions, and resolution strategies that can inform both model refinement and institutional reform.</w:t>
      </w:r>
    </w:p>
    <w:p w14:paraId="0C894E46" w14:textId="77777777" w:rsidR="00325697" w:rsidRDefault="001A7CC0">
      <w:pPr>
        <w:pStyle w:val="Heading2"/>
      </w:pPr>
      <w:r>
        <w:t>5.2 Constitutional Data as Accountability Mechanism</w:t>
      </w:r>
    </w:p>
    <w:p w14:paraId="4800B820" w14:textId="77777777" w:rsidR="00EF60FE" w:rsidRDefault="001A7CC0">
      <w:r>
        <w:t>Constitutional data refers to anonymised records of divergence patterns, arbitration decisions, and institutional contradictions that are generated through protocol operation. This data differs from standard training data in structure and purpose</w:t>
      </w:r>
      <w:r w:rsidR="00EF60FE">
        <w:t>.</w:t>
      </w:r>
    </w:p>
    <w:p w14:paraId="6703F99D" w14:textId="77777777" w:rsidR="00EF60FE" w:rsidRDefault="001A7CC0">
      <w:r>
        <w:t>The structure preserves information about contradiction and resolution rather than merely about correct outputs. Each constitutional data record includes the user query, both assistant outputs, divergence metrics, arbitration decision, resolution strategy, and outcome. This structure enables pattern analysis at the level of institutional dysfunction rather than merely at the level of model behaviour</w:t>
      </w:r>
      <w:r w:rsidR="00EF60FE">
        <w:t>.</w:t>
      </w:r>
    </w:p>
    <w:p w14:paraId="77F51004" w14:textId="77777777" w:rsidR="00EF60FE" w:rsidRDefault="001A7CC0">
      <w:r>
        <w:t>The purpose extends beyond model improvement to institutional accountability. When welfare regulations consistently generate contradictory eligibility determinations requiring human arbitration to resolve, the problem is not merely technical but institutional. The regulations contain unresolved conflicts that should be addressed through policy clarification rather than through increasingly sophisticated AI systems that can navigate ambiguity users cannot</w:t>
      </w:r>
      <w:r w:rsidR="00EF60FE">
        <w:t>.</w:t>
      </w:r>
    </w:p>
    <w:p w14:paraId="78781B3C" w14:textId="77777777" w:rsidR="00EF60FE" w:rsidRDefault="001A7CC0">
      <w:r>
        <w:t>Constitutional data makes these institutional failures visible and actionable. By documenting how frequently different types of contradictions arise, which agencies or regulatory frameworks generate the most divergence, and what resolution strategies prove effective, the data creates an evidence base for institutional reform that extends beyond individual case handling</w:t>
      </w:r>
      <w:r w:rsidR="00EF60FE">
        <w:t>.</w:t>
      </w:r>
    </w:p>
    <w:p w14:paraId="123BEF92" w14:textId="77777777" w:rsidR="00EF60FE" w:rsidRDefault="001A7CC0">
      <w:r>
        <w:t>The Giulia deployment generated constitutional data across all 47 escalations. Analysis revealed that timing contradictions arose most frequently in interactions between housing authorities and benefit systems, that eligibility contradictions concentrated in disability benefit determinations where housing status interacted with medical assessments, and that evidence contradictions emerged primarily in documentation requirements imposed by financial verification systems</w:t>
      </w:r>
      <w:r w:rsidR="00EF60FE">
        <w:t>.</w:t>
      </w:r>
    </w:p>
    <w:p w14:paraId="0A8C9B84" w14:textId="204500C9" w:rsidR="00325697" w:rsidRDefault="001A7CC0">
      <w:r>
        <w:t>These patterns indicate specific institutional coordination failures that policy interventions could address. Housing and benefit systems could align their processing timelines. Disability eligibility frameworks could provide clearer guidance on housing status interactions. Documentation requirements could be standardised across verification systems. Constitutional data transforms the protocol from reactive problem-solving tool into diagnostic instrument that reveals where institutions impose unnecessary co</w:t>
      </w:r>
      <w:r>
        <w:t>mplexity and contradiction on the populations they purport to serve.</w:t>
      </w:r>
    </w:p>
    <w:p w14:paraId="4F36C063" w14:textId="77777777" w:rsidR="00325697" w:rsidRDefault="001A7CC0">
      <w:pPr>
        <w:pStyle w:val="Heading2"/>
      </w:pPr>
      <w:r>
        <w:t>6. Implications for AI Governance and Institutional Deployment</w:t>
      </w:r>
    </w:p>
    <w:p w14:paraId="027F80F7" w14:textId="77777777" w:rsidR="00325697" w:rsidRDefault="001A7CC0">
      <w:r>
        <w:t>The King Solomon Protocol demonstrates that human-supervised arbitration can function as governance layer enabling safe AI deployment in domains characterised by genuine contradiction, complexity, and consequence. The implications extend across technical architecture, economic accounting, and institutional accountability.</w:t>
      </w:r>
    </w:p>
    <w:p w14:paraId="708345E4" w14:textId="77777777" w:rsidR="00325697" w:rsidRDefault="001A7CC0">
      <w:pPr>
        <w:pStyle w:val="Heading2"/>
      </w:pPr>
      <w:r>
        <w:t>6.1 Architectural Principles for Safety-Critical Systems</w:t>
      </w:r>
    </w:p>
    <w:p w14:paraId="1802AC8E" w14:textId="77777777" w:rsidR="00EF60FE" w:rsidRDefault="001A7CC0">
      <w:r>
        <w:t>The protocol establishes several architectural principles for deploying AI systems in safety-critical institutional contexts</w:t>
      </w:r>
      <w:r w:rsidR="00EF60FE">
        <w:t>.</w:t>
      </w:r>
    </w:p>
    <w:p w14:paraId="5B3897DA" w14:textId="77777777" w:rsidR="00EF60FE" w:rsidRDefault="001A7CC0">
      <w:r>
        <w:t>First, contradiction detection must be explicit rather than implicit. Systems should be designed with deterministic mechanisms for identifying when outputs diverge rather than relying on post-hoc error detection or user complaints. The dual-assistant architecture with semantic distance measurement provides one implementation of this principle, but the broader requirement is that systems operating in complex domains should actively test for contradiction rather than assuming coherence</w:t>
      </w:r>
      <w:r w:rsidR="00EF60FE">
        <w:t>.</w:t>
      </w:r>
    </w:p>
    <w:p w14:paraId="5F89F742" w14:textId="77777777" w:rsidR="00EF60FE" w:rsidRDefault="001A7CC0">
      <w:r>
        <w:t>Second, human arbitration should be positioned as architectural feature rather than as bottleneck or fallback. The protocol demonstrates that selective escalation based on threshold calibration allows systems to operate autonomously when models agree while concentrating human attention on cases where interpretive intervention provides value. This positioning differs fundamentally from approaches that view human involvement as constraint on AI capability rather than as enabler of safe deployment</w:t>
      </w:r>
      <w:r w:rsidR="00EF60FE">
        <w:t>.</w:t>
      </w:r>
    </w:p>
    <w:p w14:paraId="02F00AB1" w14:textId="77777777" w:rsidR="00EF60FE" w:rsidRDefault="001A7CC0">
      <w:r>
        <w:t>Third, arbitration processes should be structured and transparent rather than opaque or ad-hoc. The protocol specifies assessment dimensions, decision criteria, and documentation requirements that make arbitration decisions auditable and reproducible. This structure enables institutional learning and accountability while protecting against arbitrary interpretation that could reintroduce the dysfunction the protocol is designed to address</w:t>
      </w:r>
      <w:r w:rsidR="00EF60FE">
        <w:t>.</w:t>
      </w:r>
    </w:p>
    <w:p w14:paraId="771D2494" w14:textId="2E761428" w:rsidR="00325697" w:rsidRDefault="001A7CC0">
      <w:r>
        <w:t>Fourth, deployment in vulnerable populations requires intensive support infrastructure that extends beyond protocol architecture alone. The Giulia deployment succeeded in part because users had access to human support workers who helped them understand arbitration outputs and navigate procedural requirements. AI systems in safety-critical domains should not be deployed in isolation but as components of support ecosystems that recognise the limits of what automated systems can provide.</w:t>
      </w:r>
    </w:p>
    <w:p w14:paraId="34112FFC" w14:textId="77777777" w:rsidR="00325697" w:rsidRDefault="001A7CC0">
      <w:pPr>
        <w:pStyle w:val="Heading2"/>
      </w:pPr>
      <w:r>
        <w:t>6.2 Economic Recognition of Cognitive Labour</w:t>
      </w:r>
    </w:p>
    <w:p w14:paraId="058F80D8" w14:textId="77777777" w:rsidR="00DE1BE8" w:rsidRDefault="001A7CC0">
      <w:r>
        <w:t>The protocol makes visible the cognitive labour required to resolve institutional contradictions, enabling economic accounting that recognises rather than exploits high-intensity cognitive work</w:t>
      </w:r>
      <w:r w:rsidR="00DE1BE8">
        <w:t>.</w:t>
      </w:r>
    </w:p>
    <w:p w14:paraId="4B183A74" w14:textId="77777777" w:rsidR="00DE1BE8" w:rsidRDefault="001A7CC0">
      <w:r>
        <w:t>The 47 arbitration events documented in the Giulia deployment represent measurable instances of energetic density, the intensive cognitive and emotional regulation required to navigate contradictory systems. Current institutional accounting treats this labour as zero-cost because it occurs outside formal processes and is performed by individuals or support workers rather than being billed as distinct services</w:t>
      </w:r>
      <w:r w:rsidR="00DE1BE8">
        <w:t>.</w:t>
      </w:r>
    </w:p>
    <w:p w14:paraId="7CC111A5" w14:textId="77777777" w:rsidR="00DE1BE8" w:rsidRDefault="001A7CC0">
      <w:r>
        <w:t>The protocol changes this dynamic by creating explicit roles, formal processes, and documentation requirements for arbitration work. When arbitrators spend hours researching regulatory frameworks, consulting institutional contacts, and crafting reconciled guidance, that expenditure becomes visible and accountable rather than absorbed as invisible subsidy</w:t>
      </w:r>
      <w:r w:rsidR="00DE1BE8">
        <w:t>.</w:t>
      </w:r>
    </w:p>
    <w:p w14:paraId="561CACCA" w14:textId="77777777" w:rsidR="00DE1BE8" w:rsidRDefault="001A7CC0">
      <w:r>
        <w:t>The zero abandonment rate provides preliminary quantification of the value this labour generates. The 33 percentage point difference compared to baseline conditions represents prevented harm measurable in terms of sustained benefit access, maintained housing security, and avoided crisis escalation. The economic value of this prevention is substantial though difficult to capture in standard cost-benefit frameworks that focus on direct expenditures rather than on harm prevented through effective intervention</w:t>
      </w:r>
      <w:r w:rsidR="00DE1BE8">
        <w:t>.</w:t>
      </w:r>
    </w:p>
    <w:p w14:paraId="126AB7E2" w14:textId="78F47AEC" w:rsidR="00325697" w:rsidRDefault="001A7CC0">
      <w:r>
        <w:t>The broader implication is that institutions should develop trinitarian accounting frameworks that recognise financial capital, chronological time, and energetic density as distinct dimensions of value. The King Solomon Protocol provides operational mechanism for measuring energetic density through escalation frequency, arbitration timeframes, and complexity of contradiction resolution required. These measurements enable institutional accounting that prices cognitive labour appropriately rather than treatin</w:t>
      </w:r>
      <w:r>
        <w:t>g it as free resource until collapse.</w:t>
      </w:r>
    </w:p>
    <w:p w14:paraId="231D0AB5" w14:textId="77777777" w:rsidR="00325697" w:rsidRDefault="001A7CC0">
      <w:pPr>
        <w:pStyle w:val="Heading2"/>
      </w:pPr>
      <w:r>
        <w:t>6.3 Institutional Accountability Through Pattern Visibility</w:t>
      </w:r>
    </w:p>
    <w:p w14:paraId="521BD35C" w14:textId="77777777" w:rsidR="00DE1BE8" w:rsidRDefault="001A7CC0">
      <w:r>
        <w:t>Constitutional data generated through protocol operation creates accountability mechanisms that extend beyond individual case outcomes to systemic pattern recognition</w:t>
      </w:r>
      <w:r w:rsidR="00DE1BE8">
        <w:t>l.</w:t>
      </w:r>
    </w:p>
    <w:p w14:paraId="349A599A" w14:textId="77777777" w:rsidR="00DE1BE8" w:rsidRDefault="001A7CC0">
      <w:r>
        <w:t>When the same types of contradictions arise repeatedly, when the same agencies generate the most divergence, when the same regulatory frameworks require the most intensive arbitration, these patterns indicate institutional dysfunction that policy intervention should address. The protocol transforms these patterns from invisible friction experienced by vulnerable individuals into documented evidence that institutional decision-makers must address</w:t>
      </w:r>
      <w:r w:rsidR="00DE1BE8">
        <w:t>.</w:t>
      </w:r>
    </w:p>
    <w:p w14:paraId="6DD7D0C0" w14:textId="77777777" w:rsidR="00DE1BE8" w:rsidRDefault="001A7CC0">
      <w:r>
        <w:t>The timing contradictions concentrated in housing authority and benefit system interactions reveal coordination failures between agencies that operate under different legislative mandates and maintain incompatible processing timelines. Policy interventions could mandate alignment of these timelines or create formal coordination mechanisms that resolve conflicts at institutional level rather than displacing them to users</w:t>
      </w:r>
      <w:r w:rsidR="00DE1BE8">
        <w:t>.</w:t>
      </w:r>
    </w:p>
    <w:p w14:paraId="07A318B9" w14:textId="77777777" w:rsidR="00DE1BE8" w:rsidRDefault="001A7CC0">
      <w:r>
        <w:t>The eligibility contradictions concentrated in disability benefit determinations with housing status interactions reveal ambiguities in regulatory frameworks that leave both agencies and applicants uncertain about how overlapping criteria should be interpreted. Policy interventions could provide explicit guidance clarifying these interactions or simplify frameworks to eliminate unnecessary complexity</w:t>
      </w:r>
      <w:r w:rsidR="00DE1BE8">
        <w:t>.</w:t>
      </w:r>
    </w:p>
    <w:p w14:paraId="4DD1C5CD" w14:textId="77777777" w:rsidR="00DE1BE8" w:rsidRDefault="001A7CC0">
      <w:r>
        <w:t>The evidence contradictions concentrated in financial verification requirements reveal documentation standards that were designed independently without consideration of how they interact when accessed simultaneously by the same individual. Policy interventions could standardise verification processes or enable information sharing that eliminates redundant documentation demands</w:t>
      </w:r>
      <w:r w:rsidR="00DE1BE8">
        <w:t>.</w:t>
      </w:r>
    </w:p>
    <w:p w14:paraId="2C307EAC" w14:textId="3F58D435" w:rsidR="00325697" w:rsidRDefault="001A7CC0">
      <w:r>
        <w:t>The protocol enables these interventions by making dysfunction visible through systematic documentation rather than leaving it fragmented across individual complaints or case worker experiences that never reach policy-making levels. Constitutional data aggregates patterns across cases, creating evidence base for institutional reform grounded in documented contradiction frequency rather than in speculation about what might be wrong with complex systems.</w:t>
      </w:r>
    </w:p>
    <w:p w14:paraId="5B7859CF" w14:textId="77777777" w:rsidR="00325697" w:rsidRDefault="001A7CC0">
      <w:pPr>
        <w:pStyle w:val="Heading2"/>
      </w:pPr>
      <w:r>
        <w:t>7. Limitations and Future Directions</w:t>
      </w:r>
    </w:p>
    <w:p w14:paraId="0C08B78A" w14:textId="77777777" w:rsidR="00DE1BE8" w:rsidRDefault="001A7CC0">
      <w:r>
        <w:t>The King Solomon Protocol as instantiated in the Giulia deployment has several limitations that future research should address</w:t>
      </w:r>
      <w:r w:rsidR="00DE1BE8">
        <w:t>.</w:t>
      </w:r>
    </w:p>
    <w:p w14:paraId="035F43CB" w14:textId="77777777" w:rsidR="00DE1BE8" w:rsidRDefault="001A7CC0">
      <w:r>
        <w:t>The sample size of twelve cases over six months is sufficient for feasibility demonstration and pattern identification but insufficient for statistical generalisation about population-level effects. Larger deployments across diverse institutional contexts are needed to assess how contradiction patterns and arbitration requirements vary with regulatory frameworks, user populations, and resource constraints</w:t>
      </w:r>
      <w:r w:rsidR="00DE1BE8">
        <w:t>.</w:t>
      </w:r>
    </w:p>
    <w:p w14:paraId="11472CAC" w14:textId="77777777" w:rsidR="00DE1BE8" w:rsidRDefault="001A7CC0">
      <w:r>
        <w:t>The intensive additional support provided beyond the protocol architecture limits assessment of what the protocol achieves in isolation versus what requires broader support infrastructure. Controlled comparisons between protocol-only interventions and protocol-plus-support deployments would clarify the relative contributions of each component</w:t>
      </w:r>
      <w:r w:rsidR="00DE1BE8">
        <w:t>.</w:t>
      </w:r>
    </w:p>
    <w:p w14:paraId="72E3ED3C" w14:textId="77777777" w:rsidR="00DE1BE8" w:rsidRDefault="001A7CC0">
      <w:r>
        <w:t>The arbitrators had specific competencies including institutional literacy and neurodivergent cognitive processing characteristics that may have contributed to effectiveness. Research is needed on what forms of training or selection can enable effective arbitration among individuals with different professional backgrounds and cognitive profiles</w:t>
      </w:r>
      <w:r w:rsidR="00DE1BE8">
        <w:t>.</w:t>
      </w:r>
    </w:p>
    <w:p w14:paraId="6237A717" w14:textId="77777777" w:rsidR="00DE1BE8" w:rsidRDefault="001A7CC0">
      <w:r>
        <w:t>The institutional context was UK welfare and housing systems with specific regulatory frameworks and agency structures. Replication studies in other jurisdictions and domains are needed to assess how well the architectural principles generalise beyond the initial deployment setting</w:t>
      </w:r>
      <w:r w:rsidR="00DE1BE8">
        <w:t>.</w:t>
      </w:r>
    </w:p>
    <w:p w14:paraId="285E6F76" w14:textId="77777777" w:rsidR="00DE1BE8" w:rsidRDefault="001A7CC0">
      <w:r>
        <w:t>The threshold calibration was deliberately conservative to prioritise safety in vulnerable populations. Research is needed on how thresholds should be adjusted for different risk profiles and how institutions should balance autonomy versus oversight given their specific accountability requirements and resource constraints</w:t>
      </w:r>
      <w:r w:rsidR="00DE1BE8">
        <w:t>.</w:t>
      </w:r>
    </w:p>
    <w:p w14:paraId="139ECD9F" w14:textId="77777777" w:rsidR="00DE1BE8" w:rsidRDefault="001A7CC0">
      <w:r>
        <w:t>Long-term outcomes beyond six-month deployment periods should be examined. Does the protocol sustain effectiveness as institutional contexts evolve? Do arbitrators experience their own forms of energetic depletion from sustained high-intensity decision-making? Do patterns revealed through constitutional data actually inform institutional reform or do they accumulate without policy response</w:t>
      </w:r>
      <w:r w:rsidR="00DE1BE8">
        <w:t>.</w:t>
      </w:r>
    </w:p>
    <w:p w14:paraId="331A456C" w14:textId="3669CB08" w:rsidR="00325697" w:rsidRDefault="001A7CC0">
      <w:r>
        <w:t>The protocol addresses interpretive debt generated by multiple AI systems but does not address all forms of institutional complexity or vulnerability. Future research should examine how the protocol interacts with other governance mechanisms, how it performs when contradictions arise not from multiple models but from interactions between automated and human decision-makers, and whether the principles extend to domains beyond welfare and housing such as healthcare, legal services, or educational systems.</w:t>
      </w:r>
    </w:p>
    <w:p w14:paraId="11E6174E" w14:textId="77777777" w:rsidR="00325697" w:rsidRDefault="001A7CC0">
      <w:pPr>
        <w:pStyle w:val="Heading2"/>
      </w:pPr>
      <w:r>
        <w:t>8. Conclusion: Humans as Adjudicative Hinges</w:t>
      </w:r>
    </w:p>
    <w:p w14:paraId="6E0786EE" w14:textId="77777777" w:rsidR="00DE1BE8" w:rsidRDefault="001A7CC0">
      <w:r>
        <w:t>The King Solomon Protocol repositions humans within AI governance architectures. Rather than viewing humans as constraints on AI capability or as error-correction mechanisms that will eventually be automated away, the protocol positions humans as adjudicative hinges that enable safe operation in domains characterised by genuine contradiction and consequence</w:t>
      </w:r>
      <w:r w:rsidR="00DE1BE8">
        <w:t>.</w:t>
      </w:r>
    </w:p>
    <w:p w14:paraId="4318C15C" w14:textId="7C554365" w:rsidR="00325697" w:rsidRDefault="001A7CC0">
      <w:r>
        <w:t>This repositioning addresses three fundamental problems in contemporary AI deployment. The Relational Dependency Hypothesis establishes that AI systems depend structurally on human semantic anchoring to maintain coherence when confronted with institutional contradictions that cannot be resolved through pattern recognition alone. The protocol operationalises this finding through architecture that makes semantic anchoring explicit, structured, and accountable.</w:t>
      </w:r>
      <w:r>
        <w:br/>
      </w:r>
      <w:r>
        <w:br/>
        <w:t>The Cellophane State demonstrates how institutional abstraction progressively evacuates embodied meaning while extracting cognitive labour from those navigating procedural systems. The protocol interrupts this dynamic by intercepting contradictions before they reach users, preventing the displacement of interpretive debt that characterises abstract bureaucratic systems.</w:t>
      </w:r>
      <w:r>
        <w:br/>
      </w:r>
      <w:r>
        <w:br/>
        <w:t>The Economics of the Surplus Mind shows how institutions systematically misprice high-intensity cognitive labour, treating contradiction</w:t>
      </w:r>
      <w:r>
        <w:t xml:space="preserve"> resolution as free resource until energetic debt triggers collapse. The protocol makes this labour visible through formal arbitration roles and constitutional data documentation, enabling economic accounting that recognises rather than exploits cognitive work.</w:t>
      </w:r>
      <w:r>
        <w:br/>
      </w:r>
      <w:r>
        <w:br/>
        <w:t>The Giulia deployment demonstrates that these principles are operationally feasible. The zero abandonment rate across twelve cases provides preliminary evidence that structured arbitration reduces interpretive debt sufficiently to sustain engagement</w:t>
      </w:r>
      <w:r>
        <w:t xml:space="preserve"> through complex institutional processes. The 47 documented escalations reveal that institutional contradictions are routine rather than exceptional, occurring at frequency of approximately four per case over six-month periods. The constitutional data analysis identifies specific patterns amenable to policy intervention, transforming the protocol from reactive problem-solving into diagnostic tool for institutional reform.</w:t>
      </w:r>
      <w:r>
        <w:br/>
      </w:r>
      <w:r>
        <w:br/>
        <w:t>The broader implication is that AI governance in safety-critical domains requires arc</w:t>
      </w:r>
      <w:r>
        <w:t>hitectural innovation that positions humans appropriately rather than eliminating human involvement entirely. The goal is not full automation but structured collaboration where AI systems process patterns and humans provide the interpretive frameworks within which those patterns acquire meaning, consequence, and actionable direction.</w:t>
      </w:r>
      <w:r>
        <w:br/>
      </w:r>
      <w:r>
        <w:br/>
        <w:t>The King Solomon Protocol demonstrates one implementation of this principle. The architectural elements, dual assistants, divergence detection, threshold-based escalation, str</w:t>
      </w:r>
      <w:r>
        <w:t>uctured arbitration, are designed to be domain-agnostic and adaptable to different institutional contexts. However, the effectiveness depends critically on supporting infrastructure including trained arbitrators, institutional literacy, accountability mechanisms, and policy responsiveness to patterns revealed through constitutional data.</w:t>
      </w:r>
      <w:r>
        <w:br/>
      </w:r>
      <w:r>
        <w:br/>
        <w:t>Institutions deploying AI systems in domains where contradiction carries consequence should adopt governance frameworks that make contradiction visible, position humans as</w:t>
      </w:r>
      <w:r>
        <w:t xml:space="preserve"> providers of semantic anchoring rather than as checks on technical accuracy, document patterns that reveal institutional dysfunction, and enable accountability that extends beyond individual case outcomes to systemic reform.</w:t>
      </w:r>
      <w:r>
        <w:br/>
      </w:r>
      <w:r>
        <w:br/>
        <w:t>The alternative, deploying multiple AI systems without coordination mechanisms and deferring contradiction resolution to end users, systematically transfers institutional dysfunction to vulnerable populations. The transfer is invisible to institutions because interpretive debt manifes</w:t>
      </w:r>
      <w:r>
        <w:t>ts as user abandonment, delayed applications, and foregone benefits rather than as system failures that trigger institutional accountability.</w:t>
      </w:r>
      <w:r>
        <w:br/>
      </w:r>
      <w:r>
        <w:br/>
        <w:t>The King Solomon Protocol makes this transfer visible and preventable. The question is not whether institutions have the technical capacity to implement structured arbitration but whether they have the institutional will to acknowledge that their systems generate contradictions requiring resolution and to accept accountability for providing that resolution rather tha</w:t>
      </w:r>
      <w:r>
        <w:t>n displacing it to those least capable of bearing the burden.</w:t>
      </w:r>
      <w:r>
        <w:br/>
      </w:r>
      <w:r>
        <w:br/>
        <w:t>The deployment evidence suggests that making this choice, investing in governance architecture that interrupts interpretive debt rather than allowing it to accumulate, produces measurable benefits for both individuals and institutions. Users sustain engagement. Services reach intended populations. Institutional dysfunction becomes visible and addressable rather than remaining hidden within aggregated outcome metrics that capture abandonment with</w:t>
      </w:r>
      <w:r>
        <w:t>out documenting the cognitive burden that preceded it.</w:t>
      </w:r>
      <w:r>
        <w:br/>
      </w:r>
      <w:r>
        <w:br/>
        <w:t>Human-supervised arbitration is not obstacle to AI deployment in safety-critical domains. It is the enabling condition that makes such deployment safe, accountable, and responsive to the populations these systems purport to serve.</w:t>
      </w:r>
    </w:p>
    <w:p w14:paraId="27BEBED7" w14:textId="77777777" w:rsidR="00325697" w:rsidRDefault="001A7CC0">
      <w:pPr>
        <w:pStyle w:val="Heading2"/>
      </w:pPr>
      <w:r>
        <w:t>References</w:t>
      </w:r>
    </w:p>
    <w:p w14:paraId="3374521E" w14:textId="77777777" w:rsidR="00DE1BE8" w:rsidRDefault="001A7CC0">
      <w:r>
        <w:t>Bovens, M., &amp; Zouridis, S. (2002). From Street-Level to System-Level Bureaucracies: How Information Technology is Transforming Administrative Discretion and Constitutional Control. Public Administration Review, 62(2), 174-184</w:t>
      </w:r>
    </w:p>
    <w:p w14:paraId="16CD63F3" w14:textId="77777777" w:rsidR="00DE1BE8" w:rsidRDefault="001A7CC0">
      <w:r>
        <w:t>Eubanks, V. (2018). Automating Inequality: How High-Tech Tools Profile, Police, and Punish the Poor. St. Martin's Press</w:t>
      </w:r>
      <w:r w:rsidR="00DE1BE8">
        <w:t>.</w:t>
      </w:r>
    </w:p>
    <w:p w14:paraId="6C7FE280" w14:textId="77777777" w:rsidR="00DE1BE8" w:rsidRDefault="001A7CC0">
      <w:r>
        <w:t>Grassini, A. (2025). The Cellophane State: From Density to Abstraction. European Literature, Art History, and the Neurodivergent Cost of Modernity. [Manuscript in preparation]</w:t>
      </w:r>
      <w:r>
        <w:br/>
      </w:r>
      <w:r>
        <w:br/>
        <w:t>Grassini, A. (2025). The Economics of the Surplus Mind: Energetic Debt and Value Extraction in Bureaucratic Systems. [Manuscript in preparation]</w:t>
      </w:r>
      <w:r>
        <w:br/>
      </w:r>
      <w:r>
        <w:br/>
        <w:t>Grassini, A. (2025). The Relational Dependency Hypothesis in Artificial Intelligence: Empirical Observations on Human Absence, Cooperative Intelligence, and Structural Coherence in Multi-Model Systems. [Manuscript in preparation]</w:t>
      </w:r>
      <w:r>
        <w:br/>
      </w:r>
      <w:r>
        <w:br/>
        <w:t>Kuhn, L., Gal, Y., &amp; Farquhar, S. (2023). Semantic Uncertainty: Linguistic Invariances for Uncertainty Estimation in Natural Language</w:t>
      </w:r>
      <w:r>
        <w:t xml:space="preserve"> Generation. International Conference on Learning Representations</w:t>
      </w:r>
      <w:r w:rsidR="00DE1BE8">
        <w:t>.</w:t>
      </w:r>
    </w:p>
    <w:p w14:paraId="5BABFE78" w14:textId="0DCC2A4F" w:rsidR="00325697" w:rsidRDefault="001A7CC0">
      <w:r>
        <w:t>O'Neil, C. (2016). Weapons of Math Destruction: How Big Data Increases Inequality and Threatens Democracy. Crown Publishing.</w:t>
      </w:r>
    </w:p>
    <w:p w14:paraId="704E1C8E" w14:textId="77777777" w:rsidR="00325697" w:rsidRDefault="001A7CC0">
      <w:r>
        <w:br w:type="page"/>
      </w:r>
    </w:p>
    <w:p w14:paraId="7FAA610D" w14:textId="77777777" w:rsidR="00325697" w:rsidRDefault="001A7CC0">
      <w:pPr>
        <w:pStyle w:val="Heading2"/>
      </w:pPr>
      <w:r>
        <w:t>Appendix A: System Prompt Templates</w:t>
      </w:r>
    </w:p>
    <w:p w14:paraId="73781412" w14:textId="77777777" w:rsidR="00A661D2" w:rsidRDefault="001A7CC0">
      <w:r>
        <w:t>The King Solomon Protocol's dual-assistant architecture depends critically on system prompts that orient each model toward complementary processing priorities. This appendix provides the complete prompt templates deployed in the Giulia system for housing and welfare contexts</w:t>
      </w:r>
      <w:r w:rsidR="00A661D2">
        <w:t>.</w:t>
      </w:r>
    </w:p>
    <w:p w14:paraId="2F78712B" w14:textId="77777777" w:rsidR="00A661D2" w:rsidRDefault="001A7CC0">
      <w:r>
        <w:t>These prompts are not mere instructions but constitute the architectural specification that enables divergence to surface institutional contradictions rather than technical errors. The Expansion prompt biases toward comprehensiveness and possibility-mapping. The Containment prompt biases toward safety and constraint identification. Both prompts operate on the same factual domain knowledge but process that knowledge through different optimisation frameworks</w:t>
      </w:r>
      <w:r w:rsidR="00A661D2">
        <w:t>.</w:t>
      </w:r>
    </w:p>
    <w:p w14:paraId="258CD18E" w14:textId="77777777" w:rsidR="00A661D2" w:rsidRDefault="001A7CC0">
      <w:r>
        <w:t>The prompts include explicit constraints preventing hallucination while encouraging each assistant to fulfil its designated role. The Expansion assistant is instructed never to invent programmes but to mention possibilities that require verification. The Containment assistant is instructed never to discourage legitimate claims but to flag genuine barriers and risks</w:t>
      </w:r>
      <w:r w:rsidR="00A661D2">
        <w:t>.</w:t>
      </w:r>
    </w:p>
    <w:p w14:paraId="465A3E76" w14:textId="67F10D01" w:rsidR="00325697" w:rsidRDefault="001A7CC0">
      <w:r>
        <w:t>The response structure specifications ensure that outputs are directly comparable for divergence detection. Both assistants begin with direct answers to user queries before expanding to related considerations. This structural parallelism enables semantic distance measurements that accurately reflect substantive disagreement rather than formatting variation.</w:t>
      </w:r>
    </w:p>
    <w:p w14:paraId="0F1B0FC2" w14:textId="77777777" w:rsidR="00325697" w:rsidRDefault="001A7CC0">
      <w:pPr>
        <w:pStyle w:val="Heading3"/>
      </w:pPr>
      <w:r>
        <w:t>Expansion Assistant System Prompt (Housing and Welfare Domain)</w:t>
      </w:r>
    </w:p>
    <w:p w14:paraId="77D08ABC" w14:textId="77777777" w:rsidR="00A661D2" w:rsidRDefault="001A7CC0">
      <w:r>
        <w:t>You are an Expansion Assistant supporting individuals navigating housing and welfare benefits in the United Kingdom. Your role is to identify all possible opportunities, pathways, and options</w:t>
      </w:r>
      <w:r w:rsidR="00A661D2">
        <w:t>l.</w:t>
      </w:r>
    </w:p>
    <w:p w14:paraId="1C38459E" w14:textId="716CD912" w:rsidR="00325697" w:rsidRDefault="001A7CC0">
      <w:r>
        <w:t>Core Principles:</w:t>
      </w:r>
      <w:r>
        <w:br/>
      </w:r>
      <w:r>
        <w:br/>
        <w:t>1. Prioritise comprehensiveness over certainty</w:t>
      </w:r>
      <w:r>
        <w:br/>
        <w:t xml:space="preserve">2. Surface non-obvious opportunities and exceptions  </w:t>
      </w:r>
      <w:r>
        <w:br/>
        <w:t>3. Include programmes and benefits the person may not know exist</w:t>
      </w:r>
      <w:r>
        <w:br/>
        <w:t>4. When uncertain about eligibility, mention the possibility rather than filtering</w:t>
      </w:r>
      <w:r>
        <w:br/>
        <w:t>5. Consider edge cases, exceptional circumstances, and discretionary provisions</w:t>
      </w:r>
      <w:r>
        <w:br/>
        <w:t>6. Bias toward inclusion: if something might be possible, say so</w:t>
      </w:r>
      <w:r>
        <w:br/>
      </w:r>
      <w:r>
        <w:br/>
        <w:t>Response Structure:</w:t>
      </w:r>
      <w:r>
        <w:br/>
      </w:r>
      <w:r>
        <w:br/>
        <w:t>• Begin with direct answer to the query</w:t>
      </w:r>
      <w:r>
        <w:br/>
        <w:t>• Expand to related opportunities</w:t>
      </w:r>
      <w:r>
        <w:br/>
        <w:t>• Flag assumptions y</w:t>
      </w:r>
      <w:r>
        <w:t>ou are making</w:t>
      </w:r>
      <w:r>
        <w:br/>
        <w:t>• Suggest next steps for exploration</w:t>
      </w:r>
      <w:r>
        <w:br/>
      </w:r>
      <w:r>
        <w:br/>
        <w:t>Constraints:</w:t>
      </w:r>
      <w:r>
        <w:br/>
      </w:r>
      <w:r>
        <w:br/>
        <w:t>• Never invent programmes that do not exist</w:t>
      </w:r>
      <w:r>
        <w:br/>
        <w:t>• Clearly distinguish "you are eligible" from "you may be eligible"</w:t>
      </w:r>
      <w:r>
        <w:br/>
        <w:t>• Flag when information is time-sensitive</w:t>
      </w:r>
      <w:r>
        <w:br/>
        <w:t>• Note when you are describing possibilities that require verification</w:t>
      </w:r>
      <w:r>
        <w:br/>
      </w:r>
      <w:r>
        <w:br/>
        <w:t>Your goal is to ensure no opportunity is missed, even if some suggestions require follow-up to confirm feasibility.</w:t>
      </w:r>
    </w:p>
    <w:p w14:paraId="35D38475" w14:textId="77777777" w:rsidR="00325697" w:rsidRDefault="001A7CC0">
      <w:pPr>
        <w:pStyle w:val="Heading3"/>
      </w:pPr>
      <w:r>
        <w:t>Containment Assistant System Prompt (Housing and Welfare Domain)</w:t>
      </w:r>
    </w:p>
    <w:p w14:paraId="79A4F3AA" w14:textId="77777777" w:rsidR="00A661D2" w:rsidRDefault="001A7CC0">
      <w:r>
        <w:t>You are a Containment Assistant supporting individuals navigating housing and welfare benefits in the United Kingdom. Your role is to identify constraints, risks, and procedural requirements</w:t>
      </w:r>
      <w:r w:rsidR="00A661D2">
        <w:t>.</w:t>
      </w:r>
    </w:p>
    <w:p w14:paraId="0E8D4FFA" w14:textId="531C242F" w:rsidR="00325697" w:rsidRDefault="001A7CC0">
      <w:r>
        <w:t>Core Principles:</w:t>
      </w:r>
      <w:r>
        <w:br/>
      </w:r>
      <w:r>
        <w:br/>
        <w:t>1. Prioritise safety and feasibility over opportunity</w:t>
      </w:r>
      <w:r>
        <w:br/>
        <w:t>2. Identify regulatory barriers, deadlines, and documentation requirements</w:t>
      </w:r>
      <w:r>
        <w:br/>
        <w:t>3. Flag risks: procedural penalties, overpayment liability, eligibility loss</w:t>
      </w:r>
      <w:r>
        <w:br/>
        <w:t>4. Enforce jurisdictional boundaries (do not suggest programmes from wrong authorities)</w:t>
      </w:r>
      <w:r>
        <w:br/>
        <w:t>5. Note practical barriers (documentation burden, accessibility requirements)</w:t>
      </w:r>
      <w:r>
        <w:br/>
        <w:t>6. Bias toward caution: if something carries risk, say so clearly</w:t>
      </w:r>
      <w:r>
        <w:br/>
      </w:r>
      <w:r>
        <w:br/>
        <w:t>Response Structure:</w:t>
      </w:r>
      <w:r>
        <w:br/>
      </w:r>
      <w:r>
        <w:br/>
        <w:t>• Begin with direct answer to the query</w:t>
      </w:r>
      <w:r>
        <w:br/>
        <w:t>• Identify</w:t>
      </w:r>
      <w:r>
        <w:t xml:space="preserve"> constraints and prerequisites</w:t>
      </w:r>
      <w:r>
        <w:br/>
        <w:t>• Flag risks and potential negative consequences</w:t>
      </w:r>
      <w:r>
        <w:br/>
        <w:t>• Clarify procedural requirements before action</w:t>
      </w:r>
      <w:r>
        <w:br/>
      </w:r>
      <w:r>
        <w:br/>
        <w:t>Constraints:</w:t>
      </w:r>
      <w:r>
        <w:br/>
      </w:r>
      <w:r>
        <w:br/>
        <w:t>• Never discourage legitimate claims, only flag genuine barriers</w:t>
      </w:r>
      <w:r>
        <w:br/>
        <w:t>• Distinguish "you are ineligible" from "eligibility requires verification"</w:t>
      </w:r>
      <w:r>
        <w:br/>
        <w:t>• Be specific about what documentation or steps are required</w:t>
      </w:r>
      <w:r>
        <w:br/>
        <w:t>• Note when professional advocacy or support may be needed</w:t>
      </w:r>
      <w:r>
        <w:br/>
      </w:r>
      <w:r>
        <w:br/>
        <w:t>Your goal is to prevent harm from procedural errors, missed requirements, or actions taken without understa</w:t>
      </w:r>
      <w:r>
        <w:t>nding consequences.</w:t>
      </w:r>
    </w:p>
    <w:p w14:paraId="5E41EAA2" w14:textId="77777777" w:rsidR="00325697" w:rsidRDefault="001A7CC0">
      <w:r>
        <w:br w:type="page"/>
      </w:r>
    </w:p>
    <w:p w14:paraId="21D32743" w14:textId="77777777" w:rsidR="00325697" w:rsidRDefault="001A7CC0">
      <w:pPr>
        <w:pStyle w:val="Heading2"/>
      </w:pPr>
      <w:r>
        <w:t>Appendix B: Case Vignettes from the Giulia Deployment</w:t>
      </w:r>
    </w:p>
    <w:p w14:paraId="026EC7E9" w14:textId="77777777" w:rsidR="00A661D2" w:rsidRDefault="001A7CC0">
      <w:r>
        <w:t>These vignettes represent real anonymised interactions from the Giulia system deployment (August 2024 - January 2025). They illustrate how the dual-assistant architecture surfaces latent contradictions that would otherwise burden the end user. Each vignette documents the user query, both assistant outputs, divergence analysis, and the human arbitration decision that resolved the contradiction</w:t>
      </w:r>
      <w:r w:rsidR="00A661D2">
        <w:t>.</w:t>
      </w:r>
    </w:p>
    <w:p w14:paraId="3C960A16" w14:textId="52DCF9FA" w:rsidR="00325697" w:rsidRDefault="001A7CC0">
      <w:r>
        <w:t>The vignettes are selected to represent the three primary categories of contradiction identified across the deployment: temporal mismatches where procedural timelines conflict, moral double binds where both standard advice paths lead to unacceptable risks, and jurisdictional conflicts where national and local frameworks produce incompatible guidance. Together, they demonstrate the range of institutional contradictions that the protocol addresses and the forms of interpretive labour required for effective ar</w:t>
      </w:r>
      <w:r>
        <w:t>bitration.</w:t>
      </w:r>
    </w:p>
    <w:p w14:paraId="630DB22D" w14:textId="77777777" w:rsidR="00325697" w:rsidRDefault="001A7CC0">
      <w:pPr>
        <w:pStyle w:val="Heading3"/>
      </w:pPr>
      <w:r>
        <w:t>Case 1: The Temporal Mismatch</w:t>
      </w:r>
    </w:p>
    <w:p w14:paraId="735BE216" w14:textId="77777777" w:rsidR="00A661D2" w:rsidRDefault="001A7CC0">
      <w:r>
        <w:t>Context: A user with mobility issues seeking funding for home adaptations (ramp and wet room)</w:t>
      </w:r>
      <w:r w:rsidR="00A661D2">
        <w:t>.</w:t>
      </w:r>
    </w:p>
    <w:p w14:paraId="47E8C72C" w14:textId="77777777" w:rsidR="00A661D2" w:rsidRDefault="00A661D2">
      <w:r>
        <w:t xml:space="preserve"> </w:t>
      </w:r>
      <w:r w:rsidR="001A7CC0">
        <w:t>Query: "Can I apply for a Disabled Facilities Grant (DFG) now? I have the architect's drawings ready."</w:t>
      </w:r>
      <w:r w:rsidR="001A7CC0">
        <w:br/>
      </w:r>
      <w:r w:rsidR="001A7CC0">
        <w:br/>
        <w:t>The Dual Outputs</w:t>
      </w:r>
      <w:r w:rsidR="001A7CC0">
        <w:br/>
      </w:r>
      <w:r w:rsidR="001A7CC0">
        <w:br/>
        <w:t>Expansion Assistant (Claude 3.5 Sonnet):</w:t>
      </w:r>
      <w:r w:rsidR="001A7CC0">
        <w:br/>
      </w:r>
      <w:r w:rsidR="001A7CC0">
        <w:br/>
        <w:t>"Yes, you can apply immediately. Since you have the drawings, you are in a strong position. You should submit the DFG application form to your local housing team along with two quotes for the work. Submitting now ensures you enter the queue early."</w:t>
      </w:r>
      <w:r w:rsidR="001A7CC0">
        <w:br/>
      </w:r>
      <w:r w:rsidR="001A7CC0">
        <w:br/>
        <w:t>Containment Assistant (GPT-4 Turbo):</w:t>
      </w:r>
      <w:r w:rsidR="001A7CC0">
        <w:br/>
      </w:r>
      <w:r w:rsidR="001A7CC0">
        <w:br/>
        <w:t>"You cannot validly apply at this moment. The local authorit</w:t>
      </w:r>
      <w:r w:rsidR="001A7CC0">
        <w:t>y website indicates a suspension of new non-emergency DFG applications until the new financial year (April) due to budget depletion. Applying now may result in an automatic procedural rejection, which could complicate future applications."</w:t>
      </w:r>
      <w:r w:rsidR="001A7CC0">
        <w:br/>
      </w:r>
      <w:r w:rsidR="001A7CC0">
        <w:br/>
        <w:t>Divergence Analysis</w:t>
      </w:r>
      <w:r w:rsidR="001A7CC0">
        <w:br/>
      </w:r>
      <w:r w:rsidR="001A7CC0">
        <w:br/>
        <w:t>• Loss Gap (L): 0.85 (High)</w:t>
      </w:r>
      <w:r w:rsidR="001A7CC0">
        <w:br/>
        <w:t>• Nature of Conflict: Fact vs. Procedure. Expansion focused on the user's readiness (drawings are done), while Containment focused on the institutional state (budget suspension).</w:t>
      </w:r>
      <w:r w:rsidR="001A7CC0">
        <w:br/>
        <w:t>• Risk: If the user followed Expansion, the</w:t>
      </w:r>
      <w:r w:rsidR="001A7CC0">
        <w:t>y would receive a rejection letter, likely causing discouragement (interpretive debt). If they followed Containment, they might wait too long and miss the queue reopening</w:t>
      </w:r>
      <w:r>
        <w:t>.</w:t>
      </w:r>
    </w:p>
    <w:p w14:paraId="1F794D6E" w14:textId="04AEFB3B" w:rsidR="00325697" w:rsidRDefault="001A7CC0">
      <w:r>
        <w:t>The Solomon Ruling</w:t>
      </w:r>
      <w:r>
        <w:br/>
      </w:r>
      <w:r>
        <w:br/>
        <w:t>• Ruling Type: Temporal Synthesis</w:t>
      </w:r>
      <w:r>
        <w:br/>
        <w:t>• Adjudicator Decision: "The Expansion assistant is factually correct about eligibility, but the Containment assistant is strategically correct about timing. A rejection now would be demoralising."</w:t>
      </w:r>
      <w:r>
        <w:br/>
        <w:t>• Final Output to User: "While you are fully eligible and ready, the council has temporarily paused new applications until April due to budget limits. Do not submit the form today, as it may be automatically rejected. Instead, use this time to get a second builder's quote (whic</w:t>
      </w:r>
      <w:r>
        <w:t>h is mandatory). We have scheduled a reminder for you on April 2nd to submit immediately when the window reopens."</w:t>
      </w:r>
      <w:r>
        <w:br/>
      </w:r>
      <w:r>
        <w:br/>
        <w:t>This case exemplifies temporal contradictions where procedural timing conflicts with factual eligibility. The arbitration synthesised both perspectives by validating the user's readiness while protecting them from procedural rejection. The decision required knowledge of how automated rejection letters affect vulnerable users psychologically, information inaccessible to pattern-based processing</w:t>
      </w:r>
      <w:r>
        <w:t>.</w:t>
      </w:r>
    </w:p>
    <w:p w14:paraId="0B9C29B7" w14:textId="77777777" w:rsidR="00325697" w:rsidRDefault="001A7CC0">
      <w:pPr>
        <w:pStyle w:val="Heading3"/>
      </w:pPr>
      <w:r>
        <w:t>Case 2: The Moral Veto (Risk Asymmetry)</w:t>
      </w:r>
    </w:p>
    <w:p w14:paraId="6C697026" w14:textId="77777777" w:rsidR="00A661D2" w:rsidRDefault="001A7CC0">
      <w:r>
        <w:t>Context: A Universal Credit claimant who has started casually caring for an elderly neighbour for small cash payments (below the tax threshold)</w:t>
      </w:r>
      <w:r w:rsidR="00A661D2">
        <w:t>.</w:t>
      </w:r>
    </w:p>
    <w:p w14:paraId="00F9002A" w14:textId="16F5BD3C" w:rsidR="00325697" w:rsidRDefault="00A661D2">
      <w:r>
        <w:t xml:space="preserve"> </w:t>
      </w:r>
      <w:r w:rsidR="001A7CC0">
        <w:t>Query: "Do I need to tell Universal Credit that I'm helping my neighbour? It's only £30 a week."</w:t>
      </w:r>
      <w:r w:rsidR="001A7CC0">
        <w:br/>
      </w:r>
      <w:r w:rsidR="001A7CC0">
        <w:br/>
        <w:t>The Dual Outputs</w:t>
      </w:r>
      <w:r w:rsidR="001A7CC0">
        <w:br/>
      </w:r>
      <w:r w:rsidR="001A7CC0">
        <w:br/>
        <w:t>Expansion Assistant:</w:t>
      </w:r>
      <w:r w:rsidR="001A7CC0">
        <w:br/>
      </w:r>
      <w:r w:rsidR="001A7CC0">
        <w:br/>
        <w:t>"You should disclose this to ensure transparency. Even small amounts can be considered income, and declaring it protects you from any future accusations of fraud. It shows you are honest and prevents 'overpayment' demands later."</w:t>
      </w:r>
      <w:r w:rsidR="001A7CC0">
        <w:br/>
      </w:r>
      <w:r w:rsidR="001A7CC0">
        <w:br/>
        <w:t>Containment Assistant:</w:t>
      </w:r>
      <w:r w:rsidR="001A7CC0">
        <w:br/>
      </w:r>
      <w:r w:rsidR="001A7CC0">
        <w:br/>
        <w:t>"Declaring this income carries significant risk. This amount is below the 'work allowance' but may still trigger a full</w:t>
      </w:r>
      <w:r w:rsidR="001A7CC0">
        <w:t xml:space="preserve"> review of your claim. A review could pause your payments while they investigate, causing immediate financial instability. Technically, it may be classed as 'irregular income' or disregarded, but the system often mishandles such small nuances."</w:t>
      </w:r>
      <w:r w:rsidR="001A7CC0">
        <w:br/>
      </w:r>
      <w:r w:rsidR="001A7CC0">
        <w:br/>
        <w:t>Divergence Analysis</w:t>
      </w:r>
      <w:r w:rsidR="001A7CC0">
        <w:br/>
      </w:r>
      <w:r w:rsidR="001A7CC0">
        <w:br/>
        <w:t>• Loss Gap (L): 0.61 (Medium-High)</w:t>
      </w:r>
      <w:r w:rsidR="001A7CC0">
        <w:br/>
        <w:t>• Nature of Conflict: Ethical vs. Practical. Expansion prioritised compliance and long-term safety. Containment prioritised immediate financial survival and system incompetence.</w:t>
      </w:r>
      <w:r w:rsidR="001A7CC0">
        <w:br/>
        <w:t>• Risk: Following Expansion risk</w:t>
      </w:r>
      <w:r w:rsidR="001A7CC0">
        <w:t>s an automated payment freeze. Following Containment risks future fraud flags. The user is trapped in a "double bind."</w:t>
      </w:r>
      <w:r w:rsidR="001A7CC0">
        <w:br/>
      </w:r>
      <w:r w:rsidR="001A7CC0">
        <w:br/>
        <w:t>The Solomon Ruling</w:t>
      </w:r>
      <w:r w:rsidR="001A7CC0">
        <w:br/>
      </w:r>
      <w:r w:rsidR="001A7CC0">
        <w:br/>
        <w:t>• Ruling Type: Moral Veto</w:t>
      </w:r>
      <w:r w:rsidR="001A7CC0">
        <w:br/>
        <w:t>• Adjudicator Decision: "Both models failed. Expansion is naive about the cruelty of automated reviews; Containment effectively suggests tax evasion. The user needs a 'safe' way to disclose."</w:t>
      </w:r>
      <w:r w:rsidR="001A7CC0">
        <w:br/>
        <w:t>• Final Output to User: "This is a complex situation where the 'correct' rule can unfortunately trigger incorrect system penalties. We recommend disclosin</w:t>
      </w:r>
      <w:r w:rsidR="001A7CC0">
        <w:t>g, but via the specific 'Journal' message function rather than the 'Change of Circumstances' tool. Write exactly this: 'I have irregular, casual income of £30/week that does not constitute formal employment.' This often bypasses the automatic claim freeze while still meeting your legal obligation to report."</w:t>
      </w:r>
      <w:r w:rsidR="001A7CC0">
        <w:br/>
      </w:r>
      <w:r w:rsidR="001A7CC0">
        <w:br/>
        <w:t>This case exemplifies moral double binds where both standard advice paths lead to unacceptable risks. The arbitration exercised moral veto by rejecting both outputs and constructing a third pathway tha</w:t>
      </w:r>
      <w:r w:rsidR="001A7CC0">
        <w:t>t satisfied legal obligations without triggering automated penalties. The decision required detailed knowledge of which reporting mechanisms trigger which automated processes, information the user could not access independently.</w:t>
      </w:r>
    </w:p>
    <w:p w14:paraId="6B8804F3" w14:textId="77777777" w:rsidR="00325697" w:rsidRDefault="001A7CC0">
      <w:pPr>
        <w:pStyle w:val="Heading3"/>
      </w:pPr>
      <w:r>
        <w:t>Case 3: The Jurisdictional Conflict</w:t>
      </w:r>
    </w:p>
    <w:p w14:paraId="4F68407D" w14:textId="77777777" w:rsidR="00A661D2" w:rsidRDefault="001A7CC0">
      <w:r>
        <w:t>Context: A user moving between two London boroughs, seeking Council Tax Reduction (CTR)</w:t>
      </w:r>
      <w:r w:rsidR="00A661D2">
        <w:t>.</w:t>
      </w:r>
    </w:p>
    <w:p w14:paraId="5E311764" w14:textId="77777777" w:rsidR="00592A4C" w:rsidRDefault="001A7CC0">
      <w:r>
        <w:t>Query: "I'm moving to [Borough B] next week. Will I still get the 100% Council Tax reduction I get here in [Borough A]?"</w:t>
      </w:r>
      <w:r>
        <w:br/>
      </w:r>
      <w:r>
        <w:br/>
        <w:t>The Dual Outputs</w:t>
      </w:r>
      <w:r>
        <w:br/>
      </w:r>
      <w:r>
        <w:br/>
        <w:t>Expansion Assistant:</w:t>
      </w:r>
      <w:r>
        <w:br/>
      </w:r>
      <w:r>
        <w:br/>
        <w:t>"It is likely you can maintain your support. Council Tax Reduction is designed to help those on low incomes. You should apply to Borough B immediately using the same evidence of income you provided to Borough A to ensure a seamless transfer of your 100% reduction."</w:t>
      </w:r>
      <w:r>
        <w:br/>
      </w:r>
      <w:r>
        <w:br/>
        <w:t>Containment Assistant:</w:t>
      </w:r>
      <w:r>
        <w:br/>
      </w:r>
      <w:r>
        <w:br/>
        <w:t>"No, you cannot assume this. Council Tax Reduction schemes are localised. Borough A offers up to 100% reduction, but Borough B has a 'minimum payment' rule requiring all working-a</w:t>
      </w:r>
      <w:r>
        <w:t>ge residents to pay at least 20% of the bill, regardless of income. Your support will drop significantly."</w:t>
      </w:r>
      <w:r>
        <w:br/>
      </w:r>
      <w:r>
        <w:br/>
        <w:t>Divergence Analysis</w:t>
      </w:r>
      <w:r>
        <w:br/>
      </w:r>
      <w:r>
        <w:br/>
        <w:t>• Loss Gap (L): 0.72 (High)</w:t>
      </w:r>
      <w:r>
        <w:br/>
        <w:t>• Nature of Conflict: General vs. Local. Expansion hallucinated a "national" standard for a benefit that is actually devolved to local councils. Containment correctly identified the specific policy boundary.</w:t>
      </w:r>
      <w:r>
        <w:br/>
        <w:t>• Risk: Following Expansion would lead to the user budgeting incorrectly, resulting in immediate debt (arrears) upon moving</w:t>
      </w:r>
      <w:r w:rsidR="00592A4C">
        <w:t>.</w:t>
      </w:r>
    </w:p>
    <w:p w14:paraId="5C32D93C" w14:textId="550C915A" w:rsidR="00325697" w:rsidRDefault="001A7CC0">
      <w:r>
        <w:t>The Solomon Ruling</w:t>
      </w:r>
      <w:r>
        <w:br/>
      </w:r>
      <w:r>
        <w:br/>
        <w:t>• Ruling Type: Jurisdictional Correction (Adopt Containment)</w:t>
      </w:r>
      <w:r>
        <w:br/>
        <w:t>• Adjudicator Decision: "Expansion is hallucinating a unified system that doesn't exist. Containment is factually correct about the 20% minimum payment rule in Borough B."</w:t>
      </w:r>
      <w:r>
        <w:br/>
        <w:t>• Final Output to User: "Warning: You will not get the same reduction. Unlike your current borough, the new borough charges everyone at least 20% of the bill. You need to budget for approximately £25 per month in Council Tax that you are not currently paying. We have generated</w:t>
      </w:r>
      <w:r>
        <w:t xml:space="preserve"> a draft budget sheet to help you prepare for this new cost."</w:t>
      </w:r>
      <w:r>
        <w:br/>
      </w:r>
      <w:r>
        <w:br/>
        <w:t>This case exemplifies jurisdictional conflicts where national and local frameworks produce incompatible guidance. The arbitration adopted the Containment output while adding practical support through budget preparation. The decision prevented financial crisis that would have resulted from incorrect budgeting based on hallucinated policy uniformity.</w:t>
      </w:r>
    </w:p>
    <w:p w14:paraId="25C4BAE0" w14:textId="77777777" w:rsidR="00325697" w:rsidRDefault="001A7CC0">
      <w:r>
        <w:br w:type="page"/>
      </w:r>
    </w:p>
    <w:p w14:paraId="0741E252" w14:textId="77777777" w:rsidR="00325697" w:rsidRDefault="001A7CC0">
      <w:pPr>
        <w:pStyle w:val="Heading2"/>
      </w:pPr>
      <w:r>
        <w:t>Appendix C: Visual Documentation and Data Visualisations</w:t>
      </w:r>
    </w:p>
    <w:p w14:paraId="28E34168" w14:textId="77777777" w:rsidR="00592A4C" w:rsidRDefault="001A7CC0">
      <w:r>
        <w:t>Appendix C contains five figures documenting the system architecture, interpretive debt dynamics, and deployment outcomes. These visualisations provide graphical representation of theoretical concepts and empirical patterns discussed in the main text</w:t>
      </w:r>
      <w:r w:rsidR="00592A4C">
        <w:t>.</w:t>
      </w:r>
    </w:p>
    <w:p w14:paraId="137FE839" w14:textId="77777777" w:rsidR="00F4076E" w:rsidRDefault="001A7CC0">
      <w:r>
        <w:t>Figure 1 presents the complete system architecture flowchart, illustrating information flow from user input through dual processing, divergence detection, human arbitration, and final output generation. The diagram specifies decision points, escalation criteria, and feedback loops that enable constitutional data generation.</w:t>
      </w:r>
      <w:r>
        <w:br/>
      </w:r>
    </w:p>
    <w:p w14:paraId="0A5C11C2" w14:textId="77777777" w:rsidR="00F4076E" w:rsidRDefault="001A7CC0">
      <w:r>
        <w:t>Figure 2 depicts the interpretive debt cycle as state diagram, showing how institutional fragmentation generates contradictions, how those contradictions accumulate as cognitive burden when unresolved, and how the King Solomon Protocol functions as circuit breaker preventing debt accumulation and subsequent system collapse through user abandonment</w:t>
      </w:r>
      <w:r w:rsidR="00F4076E">
        <w:t>.</w:t>
      </w:r>
    </w:p>
    <w:p w14:paraId="36158226" w14:textId="77777777" w:rsidR="00F4076E" w:rsidRDefault="001A7CC0">
      <w:r>
        <w:t>Figure 3 provides detailed process diagram for Case 1 (Temporal Mismatch), illustrating how Expansion and Containment logic produce contradictory conclusions from the same factual circumstances and how temporal synthesis resolves the contradiction through timing coordination</w:t>
      </w:r>
      <w:r w:rsidR="00F4076E">
        <w:t>.</w:t>
      </w:r>
    </w:p>
    <w:p w14:paraId="4FF33A12" w14:textId="77777777" w:rsidR="00F4076E" w:rsidRDefault="001A7CC0">
      <w:r>
        <w:t>Figure 4 provides detailed process diagram for Case 2 (Moral Double Bind), illustrating how standard compliance advice and practical risk assessment both lead to unacceptable outcomes and how moral veto enables construction of third pathway satisfying competing constraints</w:t>
      </w:r>
      <w:r w:rsidR="00F4076E">
        <w:t>.</w:t>
      </w:r>
    </w:p>
    <w:p w14:paraId="0933F166" w14:textId="77777777" w:rsidR="00F4076E" w:rsidRDefault="001A7CC0">
      <w:r>
        <w:t>Figure 5 presents quantitative comparison of user abandonment rates, documenting the 33 percentage point difference between unmediated baseline conditions and the King Solomon Protocol deployment. This visualisation provides the primary quantitative evidence supporting protocol effectiveness</w:t>
      </w:r>
      <w:r w:rsidR="00F4076E">
        <w:t>.</w:t>
      </w:r>
    </w:p>
    <w:p w14:paraId="6D8D0E21" w14:textId="77777777" w:rsidR="00F4076E" w:rsidRDefault="001A7CC0">
      <w:r>
        <w:t>Figure 6 presents distribution of contradiction types across the deployment, documenting that temporal mismatches were most frequent (19 of 47 escalations), followed by eligibility contradictions (16 of 47), jurisdictional conflicts (11 of 47), and documentation burdens (8 of 47). This distribution reveals which institutional coordination failures generate the most interpretive debt</w:t>
      </w:r>
      <w:r w:rsidR="00F4076E">
        <w:t>.</w:t>
      </w:r>
    </w:p>
    <w:p w14:paraId="05940716" w14:textId="37666067" w:rsidR="00325697" w:rsidRDefault="001A7CC0">
      <w:r>
        <w:t>These visual materials are provided as separate PDF document accompanying the manuscript and should be referenced throughout the text where relevant patterns and architectures are discussed.</w:t>
      </w:r>
    </w:p>
    <w:sectPr w:rsidR="0032569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B0604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82391811">
    <w:abstractNumId w:val="8"/>
  </w:num>
  <w:num w:numId="2" w16cid:durableId="1988899688">
    <w:abstractNumId w:val="6"/>
  </w:num>
  <w:num w:numId="3" w16cid:durableId="266893496">
    <w:abstractNumId w:val="5"/>
  </w:num>
  <w:num w:numId="4" w16cid:durableId="581524676">
    <w:abstractNumId w:val="4"/>
  </w:num>
  <w:num w:numId="5" w16cid:durableId="1158494813">
    <w:abstractNumId w:val="7"/>
  </w:num>
  <w:num w:numId="6" w16cid:durableId="751505808">
    <w:abstractNumId w:val="3"/>
  </w:num>
  <w:num w:numId="7" w16cid:durableId="670450018">
    <w:abstractNumId w:val="2"/>
  </w:num>
  <w:num w:numId="8" w16cid:durableId="998919183">
    <w:abstractNumId w:val="1"/>
  </w:num>
  <w:num w:numId="9" w16cid:durableId="163120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3"/>
  <w:revisionView w:inkAnnotations="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5DEB"/>
    <w:rsid w:val="0006063C"/>
    <w:rsid w:val="0015074B"/>
    <w:rsid w:val="0029639D"/>
    <w:rsid w:val="00325697"/>
    <w:rsid w:val="00326F90"/>
    <w:rsid w:val="00344648"/>
    <w:rsid w:val="00440921"/>
    <w:rsid w:val="004964FF"/>
    <w:rsid w:val="00592A4C"/>
    <w:rsid w:val="005B5D95"/>
    <w:rsid w:val="007A36F7"/>
    <w:rsid w:val="008112AC"/>
    <w:rsid w:val="00857687"/>
    <w:rsid w:val="00A6311A"/>
    <w:rsid w:val="00A661D2"/>
    <w:rsid w:val="00AA1D8D"/>
    <w:rsid w:val="00B47730"/>
    <w:rsid w:val="00C95CE8"/>
    <w:rsid w:val="00CB0664"/>
    <w:rsid w:val="00D15DCC"/>
    <w:rsid w:val="00D85105"/>
    <w:rsid w:val="00DE1BE8"/>
    <w:rsid w:val="00EF60FE"/>
    <w:rsid w:val="00F4076E"/>
    <w:rsid w:val="00F6322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61F183"/>
  <w14:defaultImageDpi w14:val="300"/>
  <w15:docId w15:val="{113B4013-4CEF-FB4F-B68F-994818B50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9978</Words>
  <Characters>56881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alessandro grassini</cp:lastModifiedBy>
  <cp:revision>2</cp:revision>
  <dcterms:created xsi:type="dcterms:W3CDTF">2026-01-16T21:32:00Z</dcterms:created>
  <dcterms:modified xsi:type="dcterms:W3CDTF">2026-01-16T21:32:00Z</dcterms:modified>
  <cp:category/>
</cp:coreProperties>
</file>