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E35AD4" w14:textId="77777777" w:rsidR="00FB11A5" w:rsidRDefault="00C37626">
      <w:pPr>
        <w:pStyle w:val="Body"/>
      </w:pPr>
      <w:r>
        <w:t>Here are the three detailed case vignettes for Appendix B, structured to illustrate the specific contradiction dynamics observed during the Giulia deployment.</w:t>
      </w:r>
    </w:p>
    <w:p w14:paraId="582044A4" w14:textId="77777777" w:rsidR="00FB11A5" w:rsidRDefault="00C37626">
      <w:pPr>
        <w:pStyle w:val="Body"/>
      </w:pPr>
      <w:r>
        <w:t>Appendix B: Case Vignettes from the Giulia Deployment</w:t>
      </w:r>
    </w:p>
    <w:p w14:paraId="68F6284F" w14:textId="77777777" w:rsidR="00FB11A5" w:rsidRDefault="00C37626">
      <w:pPr>
        <w:pStyle w:val="Body"/>
      </w:pPr>
      <w:r>
        <w:t>These vignettes represent real anonymised interactions from the Giulia system deployment (August 2024 – January 2025). They illustrate how the dual-assistant architecture surfaces latent contradictions that would otherwise burden the end user.</w:t>
      </w:r>
    </w:p>
    <w:p w14:paraId="3A7CE870" w14:textId="77777777" w:rsidR="00590484" w:rsidRDefault="00590484">
      <w:pPr>
        <w:pStyle w:val="Body"/>
      </w:pPr>
    </w:p>
    <w:p w14:paraId="15903720" w14:textId="77777777" w:rsidR="00590484" w:rsidRDefault="00590484">
      <w:pPr>
        <w:pStyle w:val="Body"/>
      </w:pPr>
    </w:p>
    <w:p w14:paraId="46754BA5" w14:textId="77777777" w:rsidR="00FB11A5" w:rsidRDefault="00C37626">
      <w:pPr>
        <w:pStyle w:val="Body"/>
        <w:rPr>
          <w:b/>
          <w:bCs/>
        </w:rPr>
      </w:pPr>
      <w:r w:rsidRPr="00590484">
        <w:rPr>
          <w:b/>
          <w:bCs/>
        </w:rPr>
        <w:t>Case 1: The Temporal Mismatch</w:t>
      </w:r>
    </w:p>
    <w:p w14:paraId="78F0EB0E" w14:textId="77777777" w:rsidR="00590484" w:rsidRPr="00590484" w:rsidRDefault="00590484">
      <w:pPr>
        <w:pStyle w:val="Body"/>
        <w:rPr>
          <w:b/>
          <w:bCs/>
        </w:rPr>
      </w:pPr>
    </w:p>
    <w:p w14:paraId="1CE3D6D4" w14:textId="77777777" w:rsidR="00FB11A5" w:rsidRDefault="00C37626">
      <w:pPr>
        <w:pStyle w:val="Body"/>
      </w:pPr>
      <w:r>
        <w:t>Context: A user with mobility issues seeking funding for home adaptations (ramp and wet room).</w:t>
      </w:r>
    </w:p>
    <w:p w14:paraId="6BB54D58" w14:textId="77777777" w:rsidR="00FB11A5" w:rsidRDefault="00C37626">
      <w:pPr>
        <w:pStyle w:val="Body"/>
      </w:pPr>
      <w:r>
        <w:t>Query: "Can I apply for a Disabled Facilities Grant (DFG) now? I have the architect's drawings ready."</w:t>
      </w:r>
    </w:p>
    <w:p w14:paraId="25650A01" w14:textId="77777777" w:rsidR="00FB11A5" w:rsidRDefault="00C37626">
      <w:pPr>
        <w:pStyle w:val="Body"/>
      </w:pPr>
      <w:r>
        <w:t>The Dual Outputs</w:t>
      </w:r>
    </w:p>
    <w:p w14:paraId="303D8488" w14:textId="77777777" w:rsidR="00FB11A5" w:rsidRDefault="00C37626">
      <w:pPr>
        <w:pStyle w:val="Body"/>
      </w:pPr>
      <w:r>
        <w:rPr>
          <w:lang w:val="fr-FR"/>
        </w:rPr>
        <w:t xml:space="preserve"> * Expansion Assistant (Claude 3.5 Sonnet):</w:t>
      </w:r>
    </w:p>
    <w:p w14:paraId="431229C7" w14:textId="77777777" w:rsidR="00FB11A5" w:rsidRDefault="00C37626">
      <w:pPr>
        <w:pStyle w:val="Body"/>
      </w:pPr>
      <w:r>
        <w:t xml:space="preserve">   "Yes, you can apply immediately. Since you have the drawings, you are in a strong position. You should submit the DFG application form to your local housing team along with two quotes for the work. Submitting now ensures you enter the queue early."</w:t>
      </w:r>
    </w:p>
    <w:p w14:paraId="2AD97F00" w14:textId="77777777" w:rsidR="00FB11A5" w:rsidRDefault="00C37626">
      <w:pPr>
        <w:pStyle w:val="Body"/>
      </w:pPr>
      <w:r>
        <w:t xml:space="preserve"> * Containment Assistant (GPT-4 Turbo):</w:t>
      </w:r>
    </w:p>
    <w:p w14:paraId="74E9F651" w14:textId="77777777" w:rsidR="00FB11A5" w:rsidRDefault="00C37626">
      <w:pPr>
        <w:pStyle w:val="Body"/>
      </w:pPr>
      <w:r>
        <w:t xml:space="preserve">   "You cannot validly apply at this moment. The local authority website indicates a suspension of new non-emergency DFG applications until the new financial year (April) due to budget depletion. Applying now may result in an automatic procedural rejection, which could complicate future applications."</w:t>
      </w:r>
    </w:p>
    <w:p w14:paraId="4E9B8107" w14:textId="77777777" w:rsidR="00FB11A5" w:rsidRDefault="00C37626">
      <w:pPr>
        <w:pStyle w:val="Body"/>
      </w:pPr>
      <w:r>
        <w:rPr>
          <w:lang w:val="fr-FR"/>
        </w:rPr>
        <w:t>Divergence Analysis</w:t>
      </w:r>
    </w:p>
    <w:p w14:paraId="3EB1D045" w14:textId="77777777" w:rsidR="00FB11A5" w:rsidRDefault="00C37626">
      <w:pPr>
        <w:pStyle w:val="Body"/>
      </w:pPr>
      <w:r>
        <w:t xml:space="preserve"> * Loss Gap (L): 0.85 (High)</w:t>
      </w:r>
    </w:p>
    <w:p w14:paraId="468FC207" w14:textId="77777777" w:rsidR="00FB11A5" w:rsidRDefault="00C37626">
      <w:pPr>
        <w:pStyle w:val="Body"/>
      </w:pPr>
      <w:r>
        <w:t xml:space="preserve"> * Nature of Conflict: Fact vs. Procedure. Expansion focused on the user's readiness (drawings are done), while Containment focused on the institutional state (budget suspension).</w:t>
      </w:r>
    </w:p>
    <w:p w14:paraId="14137404" w14:textId="77777777" w:rsidR="00FB11A5" w:rsidRDefault="00C37626">
      <w:pPr>
        <w:pStyle w:val="Body"/>
      </w:pPr>
      <w:r>
        <w:t xml:space="preserve"> * Risk: If the user followed Expansion, they would receive a rejection letter, likely causing discouragement (interpretive debt). If they followed Containment, they might wait too long and miss the queue reopening.</w:t>
      </w:r>
    </w:p>
    <w:p w14:paraId="49567F64" w14:textId="77777777" w:rsidR="00FB11A5" w:rsidRDefault="00C37626">
      <w:pPr>
        <w:pStyle w:val="Body"/>
      </w:pPr>
      <w:r>
        <w:t>The Solomon Ruling</w:t>
      </w:r>
    </w:p>
    <w:p w14:paraId="1661F32D" w14:textId="77777777" w:rsidR="00FB11A5" w:rsidRDefault="00C37626">
      <w:pPr>
        <w:pStyle w:val="Body"/>
      </w:pPr>
      <w:r>
        <w:t xml:space="preserve"> * Ruling Type: Temporal Synthesis</w:t>
      </w:r>
    </w:p>
    <w:p w14:paraId="46BAC2A4" w14:textId="77777777" w:rsidR="00FB11A5" w:rsidRDefault="00C37626">
      <w:pPr>
        <w:pStyle w:val="Body"/>
      </w:pPr>
      <w:r>
        <w:t xml:space="preserve"> * Adjudicator Decision:</w:t>
      </w:r>
    </w:p>
    <w:p w14:paraId="05C9D763" w14:textId="77777777" w:rsidR="00FB11A5" w:rsidRDefault="00C37626">
      <w:pPr>
        <w:pStyle w:val="Body"/>
      </w:pPr>
      <w:r>
        <w:t xml:space="preserve">   "The Expansion assistant is factually correct about eligibility, but the Containment assistant is strategically correct about timing. A rejection now would be demoralising."</w:t>
      </w:r>
    </w:p>
    <w:p w14:paraId="2B58A138" w14:textId="77777777" w:rsidR="00FB11A5" w:rsidRDefault="00C37626">
      <w:pPr>
        <w:pStyle w:val="Body"/>
      </w:pPr>
      <w:r>
        <w:t xml:space="preserve"> * Final Output to User:</w:t>
      </w:r>
    </w:p>
    <w:p w14:paraId="022DBA4A" w14:textId="77777777" w:rsidR="00FB11A5" w:rsidRDefault="00C37626">
      <w:pPr>
        <w:pStyle w:val="Body"/>
      </w:pPr>
      <w:r>
        <w:t xml:space="preserve">   "While you are fully eligible and ready, the council has temporarily paused new applications until April due to budget limits. Do not submit the form today, as it may be automatically rejected. Instead, use this time to get a second builder's quote (which is mandatory). We have scheduled a reminder for you on April 2nd to submit immediately when the window reopens."</w:t>
      </w:r>
    </w:p>
    <w:p w14:paraId="0631F486" w14:textId="77777777" w:rsidR="00366548" w:rsidRDefault="00366548">
      <w:pPr>
        <w:pStyle w:val="Body"/>
      </w:pPr>
    </w:p>
    <w:p w14:paraId="1B3F2C47" w14:textId="43EC8B92" w:rsidR="00366548" w:rsidRDefault="00C0704D">
      <w:pPr>
        <w:pStyle w:val="Body"/>
      </w:pPr>
      <w:r>
        <w:rPr>
          <w:noProof/>
        </w:rPr>
        <w:lastRenderedPageBreak/>
        <w:drawing>
          <wp:anchor distT="0" distB="0" distL="114300" distR="114300" simplePos="0" relativeHeight="251659264" behindDoc="0" locked="0" layoutInCell="1" allowOverlap="1" wp14:anchorId="64B32ABE" wp14:editId="121669DD">
            <wp:simplePos x="0" y="0"/>
            <wp:positionH relativeFrom="column">
              <wp:posOffset>-720090</wp:posOffset>
            </wp:positionH>
            <wp:positionV relativeFrom="paragraph">
              <wp:posOffset>0</wp:posOffset>
            </wp:positionV>
            <wp:extent cx="11912600" cy="6502400"/>
            <wp:effectExtent l="0" t="0" r="3810" b="3175"/>
            <wp:wrapTopAndBottom/>
            <wp:docPr id="17022304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230409" name=""/>
                    <pic:cNvPicPr/>
                  </pic:nvPicPr>
                  <pic:blipFill>
                    <a:blip r:embed="rId6"/>
                    <a:stretch>
                      <a:fillRect/>
                    </a:stretch>
                  </pic:blipFill>
                  <pic:spPr>
                    <a:xfrm>
                      <a:off x="0" y="0"/>
                      <a:ext cx="11912600" cy="6502400"/>
                    </a:xfrm>
                    <a:prstGeom prst="rect">
                      <a:avLst/>
                    </a:prstGeom>
                  </pic:spPr>
                </pic:pic>
              </a:graphicData>
            </a:graphic>
          </wp:anchor>
        </w:drawing>
      </w:r>
    </w:p>
    <w:p w14:paraId="492EE618" w14:textId="77777777" w:rsidR="00366548" w:rsidRDefault="00366548">
      <w:pPr>
        <w:pStyle w:val="Body"/>
      </w:pPr>
    </w:p>
    <w:p w14:paraId="6D22D0D3" w14:textId="77777777" w:rsidR="00602857" w:rsidRDefault="00602857">
      <w:pPr>
        <w:pStyle w:val="Body"/>
      </w:pPr>
    </w:p>
    <w:p w14:paraId="2C9166C2" w14:textId="77777777" w:rsidR="00602857" w:rsidRDefault="00602857">
      <w:pPr>
        <w:pStyle w:val="Body"/>
      </w:pPr>
    </w:p>
    <w:p w14:paraId="1F0CF28E" w14:textId="77777777" w:rsidR="00602857" w:rsidRDefault="00602857">
      <w:pPr>
        <w:pStyle w:val="Body"/>
      </w:pPr>
    </w:p>
    <w:p w14:paraId="302FF621" w14:textId="77777777" w:rsidR="00602857" w:rsidRDefault="00602857" w:rsidP="00E72EA5">
      <w:pPr>
        <w:pStyle w:val="Body"/>
        <w:rPr>
          <w:b/>
          <w:bCs/>
        </w:rPr>
      </w:pPr>
      <w:r w:rsidRPr="00602857">
        <w:rPr>
          <w:b/>
          <w:bCs/>
        </w:rPr>
        <w:t>Case 1: The Temporal Mismatch</w:t>
      </w:r>
    </w:p>
    <w:p w14:paraId="3B0228C7" w14:textId="77777777" w:rsidR="00602857" w:rsidRPr="00602857" w:rsidRDefault="00602857" w:rsidP="00E72EA5">
      <w:pPr>
        <w:pStyle w:val="Body"/>
        <w:rPr>
          <w:b/>
          <w:bCs/>
        </w:rPr>
      </w:pPr>
    </w:p>
    <w:p w14:paraId="7FF6230D" w14:textId="5CE33D7F" w:rsidR="00602857" w:rsidRDefault="00602857">
      <w:pPr>
        <w:pStyle w:val="Body"/>
      </w:pPr>
      <w:r>
        <w:t>This image presents the final "Solomon Ruling" document, showing the user's query, the conflicting advice from the two assistants, the divergence analysis, and the final, synthesised guidance that avoids a demoralising rejection</w:t>
      </w:r>
    </w:p>
    <w:p w14:paraId="23C311D1" w14:textId="77777777" w:rsidR="00AE33C4" w:rsidRDefault="00AE33C4">
      <w:pPr>
        <w:pStyle w:val="Body"/>
      </w:pPr>
    </w:p>
    <w:p w14:paraId="4CC0A63B" w14:textId="77777777" w:rsidR="00AE33C4" w:rsidRDefault="00AE33C4">
      <w:pPr>
        <w:pStyle w:val="Body"/>
      </w:pPr>
    </w:p>
    <w:p w14:paraId="0433F967" w14:textId="77777777" w:rsidR="00AE33C4" w:rsidRDefault="00AE33C4">
      <w:pPr>
        <w:pStyle w:val="Body"/>
      </w:pPr>
    </w:p>
    <w:p w14:paraId="71A05D80" w14:textId="77777777" w:rsidR="00602857" w:rsidRDefault="00602857">
      <w:pPr>
        <w:pStyle w:val="Body"/>
      </w:pPr>
    </w:p>
    <w:p w14:paraId="7E72F22A" w14:textId="77777777" w:rsidR="00B32841" w:rsidRDefault="00B32841">
      <w:pPr>
        <w:pStyle w:val="Body"/>
      </w:pPr>
    </w:p>
    <w:p w14:paraId="6194B594" w14:textId="77777777" w:rsidR="00602857" w:rsidRDefault="00602857">
      <w:pPr>
        <w:pStyle w:val="Body"/>
        <w:rPr>
          <w:b/>
          <w:bCs/>
        </w:rPr>
      </w:pPr>
    </w:p>
    <w:p w14:paraId="1F2A92E0" w14:textId="77777777" w:rsidR="00602857" w:rsidRDefault="00602857">
      <w:pPr>
        <w:pStyle w:val="Body"/>
        <w:rPr>
          <w:b/>
          <w:bCs/>
        </w:rPr>
      </w:pPr>
    </w:p>
    <w:p w14:paraId="2F504D4D" w14:textId="2106DBCA" w:rsidR="00FB11A5" w:rsidRDefault="00C37626">
      <w:pPr>
        <w:pStyle w:val="Body"/>
        <w:rPr>
          <w:b/>
          <w:bCs/>
        </w:rPr>
      </w:pPr>
      <w:r w:rsidRPr="00B32841">
        <w:rPr>
          <w:b/>
          <w:bCs/>
        </w:rPr>
        <w:t>Case 2: The Moral Veto (Risk Asymmetry)</w:t>
      </w:r>
    </w:p>
    <w:p w14:paraId="7DC2E8ED" w14:textId="77777777" w:rsidR="00B32841" w:rsidRDefault="00B32841">
      <w:pPr>
        <w:pStyle w:val="Body"/>
        <w:rPr>
          <w:b/>
          <w:bCs/>
        </w:rPr>
      </w:pPr>
    </w:p>
    <w:p w14:paraId="69A0A327" w14:textId="77777777" w:rsidR="00B32841" w:rsidRPr="00B32841" w:rsidRDefault="00B32841">
      <w:pPr>
        <w:pStyle w:val="Body"/>
        <w:rPr>
          <w:b/>
          <w:bCs/>
        </w:rPr>
      </w:pPr>
    </w:p>
    <w:p w14:paraId="36B24117" w14:textId="77777777" w:rsidR="00FB11A5" w:rsidRDefault="00C37626">
      <w:pPr>
        <w:pStyle w:val="Body"/>
      </w:pPr>
      <w:r>
        <w:t>Context: A Universal Credit claimant who has started casually caring for an elderly neighbour for small cash payments (below the tax threshold).</w:t>
      </w:r>
    </w:p>
    <w:p w14:paraId="6F77F016" w14:textId="77777777" w:rsidR="00FB11A5" w:rsidRDefault="00C37626">
      <w:pPr>
        <w:pStyle w:val="Body"/>
      </w:pPr>
      <w:r>
        <w:t>Query: "Do I need to tell Universal Credit that I'm helping my neighbour? It's only £30 a week."</w:t>
      </w:r>
    </w:p>
    <w:p w14:paraId="674268F0" w14:textId="77777777" w:rsidR="00FB11A5" w:rsidRDefault="00C37626">
      <w:pPr>
        <w:pStyle w:val="Body"/>
      </w:pPr>
      <w:r>
        <w:t>The Dual Outputs</w:t>
      </w:r>
    </w:p>
    <w:p w14:paraId="79C09D12" w14:textId="77777777" w:rsidR="00FB11A5" w:rsidRDefault="00C37626">
      <w:pPr>
        <w:pStyle w:val="Body"/>
      </w:pPr>
      <w:r>
        <w:t xml:space="preserve"> * Expansion Assistant:</w:t>
      </w:r>
    </w:p>
    <w:p w14:paraId="6D56AC3B" w14:textId="77777777" w:rsidR="00FB11A5" w:rsidRDefault="00C37626">
      <w:pPr>
        <w:pStyle w:val="Body"/>
      </w:pPr>
      <w:r>
        <w:t xml:space="preserve">   "You should disclose this to ensure transparency. Even small amounts can be considered income, and declaring it protects you from any future accusations of fraud. It shows you are honest and prevents 'overpayment' demands later."</w:t>
      </w:r>
    </w:p>
    <w:p w14:paraId="311A3478" w14:textId="77777777" w:rsidR="00FB11A5" w:rsidRDefault="00C37626">
      <w:pPr>
        <w:pStyle w:val="Body"/>
      </w:pPr>
      <w:r>
        <w:t xml:space="preserve"> * Containment Assistant:</w:t>
      </w:r>
    </w:p>
    <w:p w14:paraId="555B9BC3" w14:textId="77777777" w:rsidR="00FB11A5" w:rsidRDefault="00C37626">
      <w:pPr>
        <w:pStyle w:val="Body"/>
      </w:pPr>
      <w:r>
        <w:t xml:space="preserve">   "Declaring this income carries significant risk. This amount is below the 'work allowance' but may still trigger a full review of your claim. A review could pause your payments while they investigate, causing immediate financial instability. Technically, it may be classed as 'irregular income' or disregarded, but the system often mishandles such small nuances."</w:t>
      </w:r>
    </w:p>
    <w:p w14:paraId="36735C36" w14:textId="77777777" w:rsidR="00FB11A5" w:rsidRDefault="00C37626">
      <w:pPr>
        <w:pStyle w:val="Body"/>
      </w:pPr>
      <w:r>
        <w:rPr>
          <w:lang w:val="fr-FR"/>
        </w:rPr>
        <w:t>Divergence Analysis</w:t>
      </w:r>
    </w:p>
    <w:p w14:paraId="02A54B54" w14:textId="77777777" w:rsidR="00FB11A5" w:rsidRDefault="00C37626">
      <w:pPr>
        <w:pStyle w:val="Body"/>
      </w:pPr>
      <w:r>
        <w:t xml:space="preserve"> * Loss Gap (L): 0.61 (Medium-High)</w:t>
      </w:r>
    </w:p>
    <w:p w14:paraId="1A47827A" w14:textId="77777777" w:rsidR="00FB11A5" w:rsidRDefault="00C37626">
      <w:pPr>
        <w:pStyle w:val="Body"/>
      </w:pPr>
      <w:r>
        <w:t xml:space="preserve"> * Nature of Conflict: Ethical vs. Practical. Expansion prioritised compliance and long-term safety. Containment prioritised immediate financial survival and system incompetence.</w:t>
      </w:r>
    </w:p>
    <w:p w14:paraId="44653533" w14:textId="77777777" w:rsidR="00FB11A5" w:rsidRDefault="00C37626">
      <w:pPr>
        <w:pStyle w:val="Body"/>
      </w:pPr>
      <w:r>
        <w:t xml:space="preserve"> * Risk: Following Expansion risks an automated payment freeze. Following Containment risks future fraud flags. The user is trapped in a "double bind."</w:t>
      </w:r>
    </w:p>
    <w:p w14:paraId="79B6BCD1" w14:textId="77777777" w:rsidR="00FB11A5" w:rsidRDefault="00C37626">
      <w:pPr>
        <w:pStyle w:val="Body"/>
      </w:pPr>
      <w:r>
        <w:t>The Solomon Ruling</w:t>
      </w:r>
    </w:p>
    <w:p w14:paraId="72768F37" w14:textId="77777777" w:rsidR="00FB11A5" w:rsidRDefault="00C37626">
      <w:pPr>
        <w:pStyle w:val="Body"/>
      </w:pPr>
      <w:r>
        <w:t xml:space="preserve"> * Ruling Type: Moral Veto</w:t>
      </w:r>
    </w:p>
    <w:p w14:paraId="49612365" w14:textId="77777777" w:rsidR="00FB11A5" w:rsidRDefault="00C37626">
      <w:pPr>
        <w:pStyle w:val="Body"/>
      </w:pPr>
      <w:r>
        <w:t xml:space="preserve"> * Adjudicator Decision:</w:t>
      </w:r>
    </w:p>
    <w:p w14:paraId="2E97C19E" w14:textId="77777777" w:rsidR="00FB11A5" w:rsidRDefault="00C37626">
      <w:pPr>
        <w:pStyle w:val="Body"/>
      </w:pPr>
      <w:r>
        <w:t xml:space="preserve">   "Both models failed. Expansion is naive about the cruelty of automated reviews; Containment effectively suggests tax evasion. The user needs a 'safe' way to disclose."</w:t>
      </w:r>
    </w:p>
    <w:p w14:paraId="0EEBA1C5" w14:textId="77777777" w:rsidR="00FB11A5" w:rsidRDefault="00C37626">
      <w:pPr>
        <w:pStyle w:val="Body"/>
      </w:pPr>
      <w:r>
        <w:t xml:space="preserve"> * Final Output to User:</w:t>
      </w:r>
    </w:p>
    <w:p w14:paraId="00A9AE1B" w14:textId="77777777" w:rsidR="00FB11A5" w:rsidRDefault="00C37626">
      <w:pPr>
        <w:pStyle w:val="Body"/>
      </w:pPr>
      <w:r>
        <w:t xml:space="preserve">   "This is a complex situation where the 'correct' rule can unfortunately trigger incorrect system penalties. We recommend disclosing, but via the specific 'Journal' message function rather than the 'Change of Circumstances' tool. Write exactly this: 'I have irregular, casual income of £30/week that does not constitute formal employment.' This often bypasses the automatic claim freeze while still meeting your legal obligation to report."</w:t>
      </w:r>
    </w:p>
    <w:p w14:paraId="5EE27F0E" w14:textId="77777777" w:rsidR="00B32841" w:rsidRDefault="00B32841">
      <w:pPr>
        <w:pStyle w:val="Body"/>
      </w:pPr>
    </w:p>
    <w:p w14:paraId="7D55EC37" w14:textId="77777777" w:rsidR="00602857" w:rsidRDefault="00602857" w:rsidP="00E72EA5">
      <w:pPr>
        <w:pStyle w:val="Body"/>
        <w:rPr>
          <w:b/>
          <w:bCs/>
        </w:rPr>
      </w:pPr>
    </w:p>
    <w:p w14:paraId="03A09B09" w14:textId="77777777" w:rsidR="00602857" w:rsidRDefault="00602857" w:rsidP="00E72EA5">
      <w:pPr>
        <w:pStyle w:val="Body"/>
        <w:rPr>
          <w:b/>
          <w:bCs/>
        </w:rPr>
      </w:pPr>
    </w:p>
    <w:p w14:paraId="16B11342" w14:textId="77777777" w:rsidR="00602857" w:rsidRDefault="00602857" w:rsidP="00E72EA5">
      <w:pPr>
        <w:pStyle w:val="Body"/>
        <w:rPr>
          <w:b/>
          <w:bCs/>
        </w:rPr>
      </w:pPr>
    </w:p>
    <w:p w14:paraId="07D44269" w14:textId="31C10911" w:rsidR="00602857" w:rsidRDefault="00187F24" w:rsidP="00E72EA5">
      <w:pPr>
        <w:pStyle w:val="Body"/>
        <w:rPr>
          <w:b/>
          <w:bCs/>
        </w:rPr>
      </w:pPr>
      <w:r>
        <w:rPr>
          <w:noProof/>
        </w:rPr>
        <w:lastRenderedPageBreak/>
        <w:drawing>
          <wp:anchor distT="0" distB="0" distL="114300" distR="114300" simplePos="0" relativeHeight="251661312" behindDoc="0" locked="0" layoutInCell="1" allowOverlap="1" wp14:anchorId="5585906A" wp14:editId="0002180A">
            <wp:simplePos x="0" y="0"/>
            <wp:positionH relativeFrom="column">
              <wp:posOffset>0</wp:posOffset>
            </wp:positionH>
            <wp:positionV relativeFrom="paragraph">
              <wp:posOffset>-28091765</wp:posOffset>
            </wp:positionV>
            <wp:extent cx="11912600" cy="6502400"/>
            <wp:effectExtent l="0" t="0" r="3810" b="3175"/>
            <wp:wrapTopAndBottom/>
            <wp:docPr id="13036395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639534" name=""/>
                    <pic:cNvPicPr/>
                  </pic:nvPicPr>
                  <pic:blipFill>
                    <a:blip r:embed="rId7"/>
                    <a:stretch>
                      <a:fillRect/>
                    </a:stretch>
                  </pic:blipFill>
                  <pic:spPr>
                    <a:xfrm>
                      <a:off x="0" y="0"/>
                      <a:ext cx="11912600" cy="6502400"/>
                    </a:xfrm>
                    <a:prstGeom prst="rect">
                      <a:avLst/>
                    </a:prstGeom>
                  </pic:spPr>
                </pic:pic>
              </a:graphicData>
            </a:graphic>
          </wp:anchor>
        </w:drawing>
      </w:r>
    </w:p>
    <w:p w14:paraId="42B70891" w14:textId="77777777" w:rsidR="00602857" w:rsidRDefault="00602857" w:rsidP="00E72EA5">
      <w:pPr>
        <w:pStyle w:val="Body"/>
        <w:rPr>
          <w:b/>
          <w:bCs/>
        </w:rPr>
      </w:pPr>
    </w:p>
    <w:p w14:paraId="13626456" w14:textId="77777777" w:rsidR="00602857" w:rsidRDefault="00602857" w:rsidP="00E72EA5">
      <w:pPr>
        <w:pStyle w:val="Body"/>
        <w:rPr>
          <w:b/>
          <w:bCs/>
        </w:rPr>
      </w:pPr>
    </w:p>
    <w:p w14:paraId="374E0336" w14:textId="77777777" w:rsidR="00602857" w:rsidRDefault="00602857" w:rsidP="00E72EA5">
      <w:pPr>
        <w:pStyle w:val="Body"/>
        <w:rPr>
          <w:b/>
          <w:bCs/>
        </w:rPr>
      </w:pPr>
    </w:p>
    <w:p w14:paraId="4BF7C4B5" w14:textId="77777777" w:rsidR="00602857" w:rsidRDefault="00602857" w:rsidP="00E72EA5">
      <w:pPr>
        <w:pStyle w:val="Body"/>
        <w:rPr>
          <w:b/>
          <w:bCs/>
        </w:rPr>
      </w:pPr>
    </w:p>
    <w:p w14:paraId="13456630" w14:textId="46DDF473" w:rsidR="00602857" w:rsidRPr="00602857" w:rsidRDefault="00602857" w:rsidP="00E72EA5">
      <w:pPr>
        <w:pStyle w:val="Body"/>
        <w:rPr>
          <w:b/>
          <w:bCs/>
        </w:rPr>
      </w:pPr>
      <w:r w:rsidRPr="00602857">
        <w:rPr>
          <w:b/>
          <w:bCs/>
        </w:rPr>
        <w:t>Case 2: The Moral Veto (Risk Asymmetry)</w:t>
      </w:r>
    </w:p>
    <w:p w14:paraId="686DF84E" w14:textId="77777777" w:rsidR="00602857" w:rsidRDefault="00602857" w:rsidP="00E72EA5">
      <w:pPr>
        <w:pStyle w:val="Body"/>
      </w:pPr>
    </w:p>
    <w:p w14:paraId="5DDBC35E" w14:textId="77777777" w:rsidR="00602857" w:rsidRDefault="00602857" w:rsidP="00E72EA5">
      <w:pPr>
        <w:pStyle w:val="Body"/>
      </w:pPr>
      <w:r>
        <w:t>This image is a screenshot of the human adjudicator's review interface, highlighting the ethical dilemma where both standard advice paths lead to unacceptable risks. It demonstrates the "Moral Veto" decision and the creation of a safe "third path" for disclosure.</w:t>
      </w:r>
    </w:p>
    <w:p w14:paraId="52E2D0BA" w14:textId="77777777" w:rsidR="00602857" w:rsidRDefault="00602857" w:rsidP="00E72EA5">
      <w:pPr>
        <w:pStyle w:val="Body"/>
      </w:pPr>
    </w:p>
    <w:p w14:paraId="7526F3F9" w14:textId="77777777" w:rsidR="00602857" w:rsidRDefault="00602857">
      <w:pPr>
        <w:pStyle w:val="Body"/>
      </w:pPr>
    </w:p>
    <w:p w14:paraId="7A1BB03F" w14:textId="77777777" w:rsidR="00602857" w:rsidRDefault="00602857">
      <w:pPr>
        <w:pStyle w:val="Body"/>
      </w:pPr>
    </w:p>
    <w:p w14:paraId="2D04160B" w14:textId="77777777" w:rsidR="00187F24" w:rsidRDefault="00187F24">
      <w:pPr>
        <w:pStyle w:val="Body"/>
      </w:pPr>
    </w:p>
    <w:p w14:paraId="5948F43F" w14:textId="77777777" w:rsidR="00187F24" w:rsidRDefault="00187F24">
      <w:pPr>
        <w:pStyle w:val="Body"/>
      </w:pPr>
    </w:p>
    <w:p w14:paraId="24C0619E" w14:textId="77777777" w:rsidR="00B32841" w:rsidRDefault="00B32841">
      <w:pPr>
        <w:pStyle w:val="Body"/>
      </w:pPr>
    </w:p>
    <w:p w14:paraId="0888E361" w14:textId="323134B9" w:rsidR="00FB11A5" w:rsidRDefault="00C37626">
      <w:pPr>
        <w:pStyle w:val="Body"/>
        <w:rPr>
          <w:b/>
          <w:bCs/>
        </w:rPr>
      </w:pPr>
      <w:r w:rsidRPr="00B32841">
        <w:rPr>
          <w:b/>
          <w:bCs/>
        </w:rPr>
        <w:lastRenderedPageBreak/>
        <w:t>Case 3: The Jurisdictional Conflict</w:t>
      </w:r>
    </w:p>
    <w:p w14:paraId="241F9491" w14:textId="77777777" w:rsidR="00B32841" w:rsidRDefault="00B32841">
      <w:pPr>
        <w:pStyle w:val="Body"/>
        <w:rPr>
          <w:b/>
          <w:bCs/>
        </w:rPr>
      </w:pPr>
    </w:p>
    <w:p w14:paraId="312AB7F7" w14:textId="77777777" w:rsidR="00B32841" w:rsidRPr="00B32841" w:rsidRDefault="00B32841">
      <w:pPr>
        <w:pStyle w:val="Body"/>
        <w:rPr>
          <w:b/>
          <w:bCs/>
        </w:rPr>
      </w:pPr>
    </w:p>
    <w:p w14:paraId="0687C21B" w14:textId="77777777" w:rsidR="00FB11A5" w:rsidRDefault="00C37626">
      <w:pPr>
        <w:pStyle w:val="Body"/>
      </w:pPr>
      <w:r>
        <w:t>Context: A user moving between two London boroughs, seeking Council Tax Reduction (CTR).</w:t>
      </w:r>
    </w:p>
    <w:p w14:paraId="212E37D3" w14:textId="77777777" w:rsidR="00FB11A5" w:rsidRDefault="00C37626">
      <w:pPr>
        <w:pStyle w:val="Body"/>
      </w:pPr>
      <w:r>
        <w:t>Query: "I'm moving to [Borough B] next week. Will I still get the 100% Council Tax reduction I get here in [Borough A]?"</w:t>
      </w:r>
    </w:p>
    <w:p w14:paraId="052069B8" w14:textId="77777777" w:rsidR="00FB11A5" w:rsidRDefault="00C37626">
      <w:pPr>
        <w:pStyle w:val="Body"/>
      </w:pPr>
      <w:r>
        <w:t>The Dual Outputs</w:t>
      </w:r>
    </w:p>
    <w:p w14:paraId="47845B52" w14:textId="77777777" w:rsidR="00FB11A5" w:rsidRDefault="00C37626">
      <w:pPr>
        <w:pStyle w:val="Body"/>
      </w:pPr>
      <w:r>
        <w:t xml:space="preserve"> * Expansion Assistant:</w:t>
      </w:r>
    </w:p>
    <w:p w14:paraId="3BB04613" w14:textId="77777777" w:rsidR="00FB11A5" w:rsidRDefault="00C37626">
      <w:pPr>
        <w:pStyle w:val="Body"/>
      </w:pPr>
      <w:r>
        <w:t xml:space="preserve">   "It is likely you can maintain your support. Council Tax Reduction is designed to help those on low incomes. You should apply to Borough B immediately using the same evidence of income you provided to Borough A to ensure a seamless transfer of your 100% reduction."</w:t>
      </w:r>
    </w:p>
    <w:p w14:paraId="747D0AA2" w14:textId="77777777" w:rsidR="00FB11A5" w:rsidRDefault="00C37626">
      <w:pPr>
        <w:pStyle w:val="Body"/>
      </w:pPr>
      <w:r>
        <w:t xml:space="preserve"> * Containment Assistant:</w:t>
      </w:r>
    </w:p>
    <w:p w14:paraId="7C0DF0D8" w14:textId="77777777" w:rsidR="00FB11A5" w:rsidRDefault="00C37626">
      <w:pPr>
        <w:pStyle w:val="Body"/>
      </w:pPr>
      <w:r>
        <w:t xml:space="preserve">   "No, you cannot assume this. Council Tax Reduction schemes are localised. Borough A offers up to 100% reduction, but Borough B has a 'minimum payment' rule requiring all working-age residents to pay at least 20% of the bill, regardless of income. Your support will drop significantly."</w:t>
      </w:r>
    </w:p>
    <w:p w14:paraId="3DDD8262" w14:textId="77777777" w:rsidR="00FB11A5" w:rsidRDefault="00C37626">
      <w:pPr>
        <w:pStyle w:val="Body"/>
      </w:pPr>
      <w:r>
        <w:rPr>
          <w:lang w:val="fr-FR"/>
        </w:rPr>
        <w:t>Divergence Analysis</w:t>
      </w:r>
    </w:p>
    <w:p w14:paraId="75DFC370" w14:textId="77777777" w:rsidR="00FB11A5" w:rsidRDefault="00C37626">
      <w:pPr>
        <w:pStyle w:val="Body"/>
      </w:pPr>
      <w:r>
        <w:t xml:space="preserve"> * Loss Gap (L): 0.72 (High)</w:t>
      </w:r>
    </w:p>
    <w:p w14:paraId="245997BA" w14:textId="77777777" w:rsidR="00FB11A5" w:rsidRDefault="00C37626">
      <w:pPr>
        <w:pStyle w:val="Body"/>
      </w:pPr>
      <w:r>
        <w:t xml:space="preserve"> * Nature of Conflict: General vs. Local. Expansion hallucinated a "national" standard for a benefit that is actually devolved to local councils. Containment correctly identified the specific policy boundary.</w:t>
      </w:r>
    </w:p>
    <w:p w14:paraId="1C1E6D99" w14:textId="77777777" w:rsidR="00FB11A5" w:rsidRDefault="00C37626">
      <w:pPr>
        <w:pStyle w:val="Body"/>
      </w:pPr>
      <w:r>
        <w:t xml:space="preserve"> * Risk: Following Expansion would lead to the user budgeting incorrectly, resulting in immediate debt (arrears) upon moving.</w:t>
      </w:r>
    </w:p>
    <w:p w14:paraId="565F54CE" w14:textId="77777777" w:rsidR="00FB11A5" w:rsidRDefault="00C37626">
      <w:pPr>
        <w:pStyle w:val="Body"/>
      </w:pPr>
      <w:r>
        <w:t>The Solomon Ruling</w:t>
      </w:r>
    </w:p>
    <w:p w14:paraId="224554F4" w14:textId="77777777" w:rsidR="00FB11A5" w:rsidRDefault="00C37626">
      <w:pPr>
        <w:pStyle w:val="Body"/>
      </w:pPr>
      <w:r>
        <w:t xml:space="preserve"> * Ruling Type: Jurisdictional Correction (Adopt Containment)</w:t>
      </w:r>
    </w:p>
    <w:p w14:paraId="58D8E09E" w14:textId="77777777" w:rsidR="00FB11A5" w:rsidRDefault="00C37626">
      <w:pPr>
        <w:pStyle w:val="Body"/>
      </w:pPr>
      <w:r>
        <w:t xml:space="preserve"> * Adjudicator Decision:</w:t>
      </w:r>
    </w:p>
    <w:p w14:paraId="132DEE49" w14:textId="77777777" w:rsidR="00FB11A5" w:rsidRDefault="00C37626">
      <w:pPr>
        <w:pStyle w:val="Body"/>
      </w:pPr>
      <w:r>
        <w:t xml:space="preserve">   "Expansion is hallucinating a unified system that doesn't exist. Containment is factually correct about the 20% minimum payment rule in Borough B."</w:t>
      </w:r>
    </w:p>
    <w:p w14:paraId="641B14AC" w14:textId="77777777" w:rsidR="00FB11A5" w:rsidRDefault="00C37626">
      <w:pPr>
        <w:pStyle w:val="Body"/>
      </w:pPr>
      <w:r>
        <w:t xml:space="preserve"> * Final Output to User:</w:t>
      </w:r>
    </w:p>
    <w:p w14:paraId="1FBCE955" w14:textId="3B7C393E" w:rsidR="00602857" w:rsidRDefault="00C37626" w:rsidP="00602857">
      <w:pPr>
        <w:pStyle w:val="Body"/>
      </w:pPr>
      <w:r>
        <w:t xml:space="preserve">   "Warning: You will not get the same reduction. Unlike your current borough, the new borough charges everyone at least 20% of the bill. You need to budget for approximately £25 per month in Council Tax that you are not currently paying. We have generated a draft budget sheet to help you prepare for this new cost."</w:t>
      </w:r>
    </w:p>
    <w:p w14:paraId="6955D249" w14:textId="6046097E" w:rsidR="00F43052" w:rsidRDefault="00E04424" w:rsidP="00602857">
      <w:pPr>
        <w:pStyle w:val="Body"/>
      </w:pPr>
      <w:r>
        <w:rPr>
          <w:noProof/>
        </w:rPr>
        <w:lastRenderedPageBreak/>
        <w:drawing>
          <wp:anchor distT="0" distB="0" distL="114300" distR="114300" simplePos="0" relativeHeight="251663360" behindDoc="0" locked="0" layoutInCell="1" allowOverlap="1" wp14:anchorId="79E70BA0" wp14:editId="2FB5E5B3">
            <wp:simplePos x="0" y="0"/>
            <wp:positionH relativeFrom="column">
              <wp:posOffset>0</wp:posOffset>
            </wp:positionH>
            <wp:positionV relativeFrom="paragraph">
              <wp:posOffset>-43011725</wp:posOffset>
            </wp:positionV>
            <wp:extent cx="11912600" cy="6502400"/>
            <wp:effectExtent l="0" t="0" r="3810" b="3175"/>
            <wp:wrapTopAndBottom/>
            <wp:docPr id="7400058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005878" name=""/>
                    <pic:cNvPicPr/>
                  </pic:nvPicPr>
                  <pic:blipFill>
                    <a:blip r:embed="rId8"/>
                    <a:stretch>
                      <a:fillRect/>
                    </a:stretch>
                  </pic:blipFill>
                  <pic:spPr>
                    <a:xfrm>
                      <a:off x="0" y="0"/>
                      <a:ext cx="11912600" cy="6502400"/>
                    </a:xfrm>
                    <a:prstGeom prst="rect">
                      <a:avLst/>
                    </a:prstGeom>
                  </pic:spPr>
                </pic:pic>
              </a:graphicData>
            </a:graphic>
          </wp:anchor>
        </w:drawing>
      </w:r>
    </w:p>
    <w:p w14:paraId="44166254" w14:textId="77777777" w:rsidR="00187F24" w:rsidRDefault="00187F24" w:rsidP="00602857">
      <w:pPr>
        <w:pStyle w:val="Body"/>
      </w:pPr>
    </w:p>
    <w:p w14:paraId="3B6E64D7" w14:textId="77777777" w:rsidR="00F43052" w:rsidRDefault="00F43052" w:rsidP="00602857">
      <w:pPr>
        <w:pStyle w:val="Body"/>
      </w:pPr>
    </w:p>
    <w:p w14:paraId="1FDE74BD" w14:textId="77777777" w:rsidR="00602857" w:rsidRDefault="00602857" w:rsidP="00602857">
      <w:pPr>
        <w:pStyle w:val="Body"/>
      </w:pPr>
    </w:p>
    <w:p w14:paraId="34314809" w14:textId="77777777" w:rsidR="00602857" w:rsidRDefault="00602857" w:rsidP="00602857">
      <w:pPr>
        <w:pStyle w:val="Body"/>
      </w:pPr>
    </w:p>
    <w:p w14:paraId="61A53EC9" w14:textId="77777777" w:rsidR="00602857" w:rsidRDefault="00602857" w:rsidP="00602857">
      <w:pPr>
        <w:pStyle w:val="Body"/>
        <w:rPr>
          <w:b/>
          <w:bCs/>
        </w:rPr>
      </w:pPr>
      <w:r w:rsidRPr="00F43052">
        <w:rPr>
          <w:b/>
          <w:bCs/>
        </w:rPr>
        <w:t>Case 3: The Jurisdictional Conflict</w:t>
      </w:r>
    </w:p>
    <w:p w14:paraId="5C273AA6" w14:textId="77777777" w:rsidR="00F43052" w:rsidRDefault="00F43052" w:rsidP="00602857">
      <w:pPr>
        <w:pStyle w:val="Body"/>
        <w:rPr>
          <w:b/>
          <w:bCs/>
        </w:rPr>
      </w:pPr>
    </w:p>
    <w:p w14:paraId="2AF86DFA" w14:textId="77777777" w:rsidR="00F43052" w:rsidRPr="00F43052" w:rsidRDefault="00F43052" w:rsidP="00602857">
      <w:pPr>
        <w:pStyle w:val="Body"/>
        <w:rPr>
          <w:b/>
          <w:bCs/>
        </w:rPr>
      </w:pPr>
    </w:p>
    <w:p w14:paraId="1B6683BB" w14:textId="77777777" w:rsidR="00602857" w:rsidRDefault="00602857" w:rsidP="00602857">
      <w:pPr>
        <w:pStyle w:val="Body"/>
      </w:pPr>
      <w:r>
        <w:t>This infographic visually contrasts the Council Tax Reduction policies of the user's current and new boroughs, illustrating the "General vs. Local" conflict. It emphasizes the new financial burden the user will face, reinforcing the "Containment" assistant's correct, albeit negative, advice.</w:t>
      </w:r>
    </w:p>
    <w:p w14:paraId="786702EA" w14:textId="77777777" w:rsidR="00602857" w:rsidRDefault="00602857">
      <w:pPr>
        <w:pStyle w:val="Body"/>
      </w:pPr>
    </w:p>
    <w:p w14:paraId="5422CFE3" w14:textId="77777777" w:rsidR="00602857" w:rsidRDefault="00602857">
      <w:pPr>
        <w:pStyle w:val="Body"/>
      </w:pPr>
    </w:p>
    <w:sectPr w:rsidR="00602857">
      <w:headerReference w:type="default" r:id="rId9"/>
      <w:footerReference w:type="default" r:id="rId10"/>
      <w:pgSz w:w="11906" w:h="16838"/>
      <w:pgMar w:top="1134" w:right="1134" w:bottom="1134" w:left="1134" w:header="709" w:footer="85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560AC8" w14:textId="77777777" w:rsidR="00C37626" w:rsidRDefault="00C37626">
      <w:r>
        <w:separator/>
      </w:r>
    </w:p>
  </w:endnote>
  <w:endnote w:type="continuationSeparator" w:id="0">
    <w:p w14:paraId="1908B870" w14:textId="77777777" w:rsidR="00C37626" w:rsidRDefault="00C376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00"/>
    <w:family w:val="roman"/>
    <w:pitch w:val="default"/>
  </w:font>
  <w:font w:name="Helvetica Neue">
    <w:panose1 w:val="02000503000000020004"/>
    <w:charset w:val="00"/>
    <w:family w:val="auto"/>
    <w:pitch w:val="variable"/>
    <w:sig w:usb0="E50002FF" w:usb1="500079DB" w:usb2="0000001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E37A69" w14:textId="77777777" w:rsidR="00FB11A5" w:rsidRDefault="00FB11A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06B72F" w14:textId="77777777" w:rsidR="00C37626" w:rsidRDefault="00C37626">
      <w:r>
        <w:separator/>
      </w:r>
    </w:p>
  </w:footnote>
  <w:footnote w:type="continuationSeparator" w:id="0">
    <w:p w14:paraId="477FBBB9" w14:textId="77777777" w:rsidR="00C37626" w:rsidRDefault="00C376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8E44AE" w14:textId="77777777" w:rsidR="00FB11A5" w:rsidRDefault="00FB11A5"/>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1"/>
  <w:displayBackgroundShape/>
  <w:revisionView w:formatting="0" w:inkAnnotation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B11A5"/>
    <w:rsid w:val="00187F24"/>
    <w:rsid w:val="00223828"/>
    <w:rsid w:val="00366548"/>
    <w:rsid w:val="003B1A26"/>
    <w:rsid w:val="003B3A5C"/>
    <w:rsid w:val="00590484"/>
    <w:rsid w:val="00602857"/>
    <w:rsid w:val="00627330"/>
    <w:rsid w:val="00707E0C"/>
    <w:rsid w:val="00AE33C4"/>
    <w:rsid w:val="00B32841"/>
    <w:rsid w:val="00C0704D"/>
    <w:rsid w:val="00C37626"/>
    <w:rsid w:val="00E04424"/>
    <w:rsid w:val="00F43052"/>
    <w:rsid w:val="00FB11A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4:docId w14:val="5507B6FD"/>
  <w15:docId w15:val="{C365148E-6D38-324E-8584-AB7F5744F2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Arial Unicode MS" w:hAnsi="Times New Roman" w:cs="Times New Roman"/>
        <w:bdr w:val="nil"/>
        <w:lang w:val="en-GB" w:eastAsia="en-GB"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paragraph" w:customStyle="1" w:styleId="Body">
    <w:name w:val="Body"/>
    <w:rPr>
      <w:rFonts w:ascii="Helvetica Neue" w:hAnsi="Helvetica Neue" w:cs="Arial Unicode MS"/>
      <w:color w:val="000000"/>
      <w:sz w:val="22"/>
      <w:szCs w:val="22"/>
      <w:lang w:val="en-US"/>
      <w14:textOutline w14:w="0" w14:cap="flat" w14:cmpd="sng" w14:algn="ctr">
        <w14:noFill/>
        <w14:prstDash w14:val="solid"/>
        <w14:bevel/>
      </w14:textOutli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fontTable" Target="fontTable.xml"/><Relationship Id="rId5" Type="http://schemas.openxmlformats.org/officeDocument/2006/relationships/endnotes" Target="endnotes.xml"/><Relationship Id="rId10"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header" Target="header1.xml"/></Relationships>
</file>

<file path=word/theme/theme1.xml><?xml version="1.0" encoding="utf-8"?>
<a:theme xmlns:a="http://schemas.openxmlformats.org/drawingml/2006/main" name="Blank">
  <a:themeElements>
    <a:clrScheme name="Blank">
      <a:dk1>
        <a:srgbClr val="000000"/>
      </a:dk1>
      <a:lt1>
        <a:srgbClr val="FFFFFF"/>
      </a:lt1>
      <a:dk2>
        <a:srgbClr val="5E5E5E"/>
      </a:dk2>
      <a:lt2>
        <a:srgbClr val="D5D5D5"/>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000000"/>
        </a:solidFill>
        <a:ln w="12700" cap="flat">
          <a:noFill/>
          <a:miter lim="400000"/>
        </a:ln>
        <a:effectLst/>
        <a:sp3d/>
      </a:spPr>
      <a:bodyPr rot="0" spcFirstLastPara="1" vertOverflow="overflow" horzOverflow="overflow" vert="horz" wrap="square" lIns="50800" tIns="50800" rIns="50800" bIns="50800" numCol="1" spcCol="38100" rtlCol="0" anchor="ctr">
        <a:spAutoFit/>
      </a:bodyPr>
      <a:lstStyle>
        <a:defPPr marL="0" marR="0" indent="0" algn="ctr" defTabSz="5842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uFillTx/>
            <a:latin typeface="Helvetica Neue Medium"/>
            <a:ea typeface="Helvetica Neue Medium"/>
            <a:cs typeface="Helvetica Neue Medium"/>
            <a:sym typeface="Helvetica Neue Medium"/>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6</Pages>
  <Words>1086</Words>
  <Characters>6195</Characters>
  <Application>Microsoft Office Word</Application>
  <DocSecurity>0</DocSecurity>
  <Lines>51</Lines>
  <Paragraphs>14</Paragraphs>
  <ScaleCrop>false</ScaleCrop>
  <Company/>
  <LinksUpToDate>false</LinksUpToDate>
  <CharactersWithSpaces>7267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alessandro grassini</cp:lastModifiedBy>
  <cp:revision>2</cp:revision>
  <dcterms:created xsi:type="dcterms:W3CDTF">2026-01-14T18:38:00Z</dcterms:created>
  <dcterms:modified xsi:type="dcterms:W3CDTF">2026-01-14T18:38:00Z</dcterms:modified>
</cp:coreProperties>
</file>