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1"/>
        <w:gridCol w:w="875"/>
        <w:gridCol w:w="7019"/>
      </w:tblGrid>
      <w:tr w:rsidR="00E3095E" w:rsidRPr="00E3095E" w14:paraId="107A41C1" w14:textId="77777777" w:rsidTr="006C126B">
        <w:tc>
          <w:tcPr>
            <w:tcW w:w="1039" w:type="pct"/>
            <w:tcBorders>
              <w:bottom w:val="dotted" w:sz="2" w:space="0" w:color="auto"/>
            </w:tcBorders>
            <w:shd w:val="clear" w:color="auto" w:fill="FFFFFF" w:themeFill="background1"/>
          </w:tcPr>
          <w:p w14:paraId="195B13F6" w14:textId="77777777" w:rsidR="00E3095E" w:rsidRPr="00E3095E" w:rsidRDefault="00E3095E" w:rsidP="00E3095E">
            <w:pPr>
              <w:jc w:val="left"/>
              <w:rPr>
                <w:sz w:val="24"/>
              </w:rPr>
            </w:pPr>
            <w:bookmarkStart w:id="0" w:name="_Hlk208265213"/>
            <w:r w:rsidRPr="00E3095E">
              <w:rPr>
                <w:rFonts w:cs="Calibri"/>
                <w:noProof/>
                <w:sz w:val="22"/>
              </w:rPr>
              <w:drawing>
                <wp:inline distT="0" distB="0" distL="0" distR="0" wp14:anchorId="15F0ED66" wp14:editId="56D01441">
                  <wp:extent cx="632437" cy="894750"/>
                  <wp:effectExtent l="95250" t="38100" r="34925" b="95885"/>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7380" cy="901743"/>
                          </a:xfrm>
                          <a:prstGeom prst="rect">
                            <a:avLst/>
                          </a:prstGeom>
                          <a:noFill/>
                          <a:ln>
                            <a:noFill/>
                          </a:ln>
                          <a:effectLst>
                            <a:outerShdw blurRad="50800" dist="38100" dir="8100000" algn="tr" rotWithShape="0">
                              <a:prstClr val="black">
                                <a:alpha val="40000"/>
                              </a:prstClr>
                            </a:outerShdw>
                          </a:effectLst>
                        </pic:spPr>
                      </pic:pic>
                    </a:graphicData>
                  </a:graphic>
                </wp:inline>
              </w:drawing>
            </w:r>
          </w:p>
        </w:tc>
        <w:tc>
          <w:tcPr>
            <w:tcW w:w="3961" w:type="pct"/>
            <w:gridSpan w:val="2"/>
            <w:tcBorders>
              <w:bottom w:val="dotted" w:sz="2" w:space="0" w:color="auto"/>
            </w:tcBorders>
            <w:shd w:val="clear" w:color="auto" w:fill="FFFFFF" w:themeFill="background1"/>
          </w:tcPr>
          <w:p w14:paraId="5619833B" w14:textId="77777777" w:rsidR="00E3095E" w:rsidRPr="00E3095E" w:rsidRDefault="00E3095E" w:rsidP="00E3095E">
            <w:pPr>
              <w:jc w:val="left"/>
              <w:rPr>
                <w:rFonts w:ascii="Tw Cen MT" w:hAnsi="Tw Cen MT" w:cs="Calibri"/>
                <w:b/>
                <w:bCs/>
                <w:sz w:val="16"/>
                <w:szCs w:val="16"/>
              </w:rPr>
            </w:pPr>
          </w:p>
          <w:p w14:paraId="2BCC577C" w14:textId="77777777" w:rsidR="00E3095E" w:rsidRPr="00E3095E" w:rsidRDefault="00E3095E" w:rsidP="00E3095E">
            <w:pPr>
              <w:jc w:val="right"/>
              <w:rPr>
                <w:rFonts w:ascii="Tw Cen MT" w:hAnsi="Tw Cen MT" w:cs="Calibri"/>
                <w:b/>
                <w:bCs/>
                <w:color w:val="1F3864"/>
                <w:sz w:val="24"/>
              </w:rPr>
            </w:pPr>
            <w:r w:rsidRPr="00E3095E">
              <w:rPr>
                <w:rFonts w:ascii="Tw Cen MT" w:hAnsi="Tw Cen MT" w:cs="Calibri"/>
                <w:b/>
                <w:bCs/>
                <w:color w:val="1F3864"/>
                <w:sz w:val="24"/>
              </w:rPr>
              <w:t>International Journal of Medical</w:t>
            </w:r>
          </w:p>
          <w:p w14:paraId="5944FCD9" w14:textId="77777777" w:rsidR="00E3095E" w:rsidRPr="00E3095E" w:rsidRDefault="00E3095E" w:rsidP="00E3095E">
            <w:pPr>
              <w:spacing w:line="360" w:lineRule="auto"/>
              <w:jc w:val="right"/>
              <w:rPr>
                <w:rFonts w:ascii="Tw Cen MT" w:hAnsi="Tw Cen MT" w:cs="Calibri"/>
                <w:b/>
                <w:bCs/>
                <w:color w:val="1F3864"/>
                <w:sz w:val="24"/>
              </w:rPr>
            </w:pPr>
            <w:r w:rsidRPr="00E3095E">
              <w:rPr>
                <w:rFonts w:ascii="Tw Cen MT" w:hAnsi="Tw Cen MT" w:cs="Calibri"/>
                <w:b/>
                <w:bCs/>
                <w:color w:val="1F3864"/>
                <w:sz w:val="24"/>
              </w:rPr>
              <w:t>and Pharmaceutical Research</w:t>
            </w:r>
          </w:p>
          <w:p w14:paraId="46A4F1A4" w14:textId="77777777" w:rsidR="00E3095E" w:rsidRPr="00E3095E" w:rsidRDefault="00E3095E" w:rsidP="00E3095E">
            <w:pPr>
              <w:jc w:val="right"/>
              <w:rPr>
                <w:rFonts w:ascii="Tw Cen MT" w:hAnsi="Tw Cen MT" w:cs="Calibri"/>
                <w:sz w:val="20"/>
                <w:szCs w:val="20"/>
              </w:rPr>
            </w:pPr>
            <w:r w:rsidRPr="00E3095E">
              <w:rPr>
                <w:rFonts w:ascii="Tw Cen MT" w:hAnsi="Tw Cen MT" w:cs="Calibri"/>
                <w:sz w:val="20"/>
                <w:szCs w:val="20"/>
              </w:rPr>
              <w:t>Online ISSN-2958-3683 | Print ISSN-2958-3675</w:t>
            </w:r>
          </w:p>
          <w:p w14:paraId="40D6EE21" w14:textId="77777777" w:rsidR="00E3095E" w:rsidRPr="00E3095E" w:rsidRDefault="00E3095E" w:rsidP="00E3095E">
            <w:pPr>
              <w:jc w:val="right"/>
              <w:rPr>
                <w:rFonts w:cs="Calibri"/>
                <w:sz w:val="24"/>
              </w:rPr>
            </w:pPr>
            <w:r w:rsidRPr="00E3095E">
              <w:rPr>
                <w:rFonts w:ascii="Tw Cen MT" w:hAnsi="Tw Cen MT" w:cs="Calibri"/>
                <w:sz w:val="20"/>
                <w:szCs w:val="20"/>
              </w:rPr>
              <w:t>Frequency: Bi-Monthly</w:t>
            </w:r>
            <w:r w:rsidRPr="00E3095E">
              <w:rPr>
                <w:rFonts w:ascii="Tw Cen MT" w:hAnsi="Tw Cen MT" w:cs="Calibri"/>
                <w:sz w:val="20"/>
                <w:szCs w:val="20"/>
              </w:rPr>
              <w:br/>
              <w:t xml:space="preserve">Available online on: </w:t>
            </w:r>
            <w:hyperlink r:id="rId8" w:history="1">
              <w:r w:rsidRPr="00E3095E">
                <w:rPr>
                  <w:rFonts w:ascii="Tw Cen MT" w:hAnsi="Tw Cen MT" w:cs="Calibri"/>
                  <w:color w:val="0000FF"/>
                  <w:sz w:val="20"/>
                  <w:szCs w:val="20"/>
                  <w:u w:val="single"/>
                </w:rPr>
                <w:t>https://ijmpr.in/</w:t>
              </w:r>
            </w:hyperlink>
            <w:r w:rsidRPr="00E3095E">
              <w:rPr>
                <w:rFonts w:ascii="Tw Cen MT" w:hAnsi="Tw Cen MT" w:cs="Calibri"/>
                <w:sz w:val="20"/>
                <w:szCs w:val="20"/>
              </w:rPr>
              <w:t xml:space="preserve"> </w:t>
            </w:r>
          </w:p>
        </w:tc>
      </w:tr>
      <w:tr w:rsidR="00E3095E" w:rsidRPr="00E3095E" w14:paraId="5B51566F" w14:textId="77777777" w:rsidTr="006C126B">
        <w:trPr>
          <w:trHeight w:val="333"/>
        </w:trPr>
        <w:tc>
          <w:tcPr>
            <w:tcW w:w="5000" w:type="pct"/>
            <w:gridSpan w:val="3"/>
            <w:tcBorders>
              <w:top w:val="dotted" w:sz="2" w:space="0" w:color="auto"/>
            </w:tcBorders>
          </w:tcPr>
          <w:p w14:paraId="3D3953D1" w14:textId="77777777" w:rsidR="00E3095E" w:rsidRPr="00E3095E" w:rsidRDefault="00E3095E" w:rsidP="00E3095E">
            <w:pPr>
              <w:jc w:val="left"/>
              <w:rPr>
                <w:rFonts w:ascii="Tw Cen MT" w:hAnsi="Tw Cen MT"/>
                <w:sz w:val="24"/>
              </w:rPr>
            </w:pPr>
            <w:r w:rsidRPr="00E3095E">
              <w:rPr>
                <w:rFonts w:ascii="Tw Cen MT" w:hAnsi="Tw Cen MT"/>
                <w:sz w:val="24"/>
                <w:highlight w:val="lightGray"/>
              </w:rPr>
              <w:t>Original Article</w:t>
            </w:r>
          </w:p>
        </w:tc>
      </w:tr>
      <w:tr w:rsidR="00E3095E" w:rsidRPr="00E3095E" w14:paraId="322E0DE3" w14:textId="77777777" w:rsidTr="006C126B">
        <w:tc>
          <w:tcPr>
            <w:tcW w:w="5000" w:type="pct"/>
            <w:gridSpan w:val="3"/>
          </w:tcPr>
          <w:p w14:paraId="5A6DD489" w14:textId="77777777" w:rsidR="00E3095E" w:rsidRPr="00E3095E" w:rsidRDefault="00E3095E" w:rsidP="00E3095E">
            <w:pPr>
              <w:tabs>
                <w:tab w:val="left" w:pos="3885"/>
              </w:tabs>
              <w:jc w:val="center"/>
              <w:rPr>
                <w:rFonts w:ascii="Century Gothic" w:hAnsi="Century Gothic"/>
                <w:color w:val="323E4F"/>
                <w:spacing w:val="-6"/>
                <w:sz w:val="20"/>
                <w:szCs w:val="20"/>
              </w:rPr>
            </w:pPr>
          </w:p>
          <w:p w14:paraId="427F8168" w14:textId="41815C22" w:rsidR="00E3095E" w:rsidRPr="00E3095E" w:rsidRDefault="00E3095E" w:rsidP="00E3095E">
            <w:pPr>
              <w:jc w:val="center"/>
              <w:rPr>
                <w:rFonts w:ascii="Century Gothic" w:hAnsi="Century Gothic"/>
                <w:b/>
                <w:bCs/>
                <w:color w:val="323E4F"/>
                <w:sz w:val="28"/>
                <w:szCs w:val="28"/>
              </w:rPr>
            </w:pPr>
            <w:r w:rsidRPr="00E3095E">
              <w:rPr>
                <w:rFonts w:ascii="Century Gothic" w:hAnsi="Century Gothic"/>
                <w:b/>
                <w:bCs/>
                <w:color w:val="323E4F"/>
                <w:spacing w:val="-6"/>
                <w:sz w:val="28"/>
                <w:szCs w:val="28"/>
              </w:rPr>
              <w:t xml:space="preserve">Role </w:t>
            </w:r>
            <w:r w:rsidR="00B34DF5">
              <w:rPr>
                <w:rFonts w:ascii="Century Gothic" w:hAnsi="Century Gothic"/>
                <w:b/>
                <w:bCs/>
                <w:color w:val="323E4F"/>
                <w:spacing w:val="-6"/>
                <w:sz w:val="28"/>
                <w:szCs w:val="28"/>
              </w:rPr>
              <w:t>o</w:t>
            </w:r>
            <w:r w:rsidR="00FF589A" w:rsidRPr="00E3095E">
              <w:rPr>
                <w:rFonts w:ascii="Century Gothic" w:hAnsi="Century Gothic"/>
                <w:b/>
                <w:bCs/>
                <w:color w:val="323E4F"/>
                <w:spacing w:val="-6"/>
                <w:sz w:val="28"/>
                <w:szCs w:val="28"/>
              </w:rPr>
              <w:t xml:space="preserve">f </w:t>
            </w:r>
            <w:r w:rsidRPr="00E3095E">
              <w:rPr>
                <w:rFonts w:ascii="Century Gothic" w:hAnsi="Century Gothic"/>
                <w:b/>
                <w:bCs/>
                <w:color w:val="323E4F"/>
                <w:spacing w:val="-6"/>
                <w:sz w:val="28"/>
                <w:szCs w:val="28"/>
              </w:rPr>
              <w:t xml:space="preserve">Vitamin D3 </w:t>
            </w:r>
            <w:r w:rsidR="00FF589A" w:rsidRPr="00E3095E">
              <w:rPr>
                <w:rFonts w:ascii="Century Gothic" w:hAnsi="Century Gothic"/>
                <w:b/>
                <w:bCs/>
                <w:color w:val="323E4F"/>
                <w:spacing w:val="-6"/>
                <w:sz w:val="28"/>
                <w:szCs w:val="28"/>
              </w:rPr>
              <w:t xml:space="preserve">Deficiency </w:t>
            </w:r>
            <w:r w:rsidR="00FF589A">
              <w:rPr>
                <w:rFonts w:ascii="Century Gothic" w:hAnsi="Century Gothic"/>
                <w:b/>
                <w:bCs/>
                <w:color w:val="323E4F"/>
                <w:spacing w:val="-6"/>
                <w:sz w:val="28"/>
                <w:szCs w:val="28"/>
              </w:rPr>
              <w:t>i</w:t>
            </w:r>
            <w:r w:rsidR="00FF589A" w:rsidRPr="00E3095E">
              <w:rPr>
                <w:rFonts w:ascii="Century Gothic" w:hAnsi="Century Gothic"/>
                <w:b/>
                <w:bCs/>
                <w:color w:val="323E4F"/>
                <w:spacing w:val="-6"/>
                <w:sz w:val="28"/>
                <w:szCs w:val="28"/>
              </w:rPr>
              <w:t xml:space="preserve">n Cases of </w:t>
            </w:r>
            <w:r w:rsidRPr="00E3095E">
              <w:rPr>
                <w:rFonts w:ascii="Century Gothic" w:hAnsi="Century Gothic"/>
                <w:b/>
                <w:bCs/>
                <w:color w:val="323E4F"/>
                <w:spacing w:val="-6"/>
                <w:sz w:val="28"/>
                <w:szCs w:val="28"/>
              </w:rPr>
              <w:t xml:space="preserve">Low Back Ache </w:t>
            </w:r>
            <w:r w:rsidR="00FF589A" w:rsidRPr="00E3095E">
              <w:rPr>
                <w:rFonts w:ascii="Century Gothic" w:hAnsi="Century Gothic"/>
                <w:b/>
                <w:bCs/>
                <w:color w:val="323E4F"/>
                <w:spacing w:val="-6"/>
                <w:sz w:val="28"/>
                <w:szCs w:val="28"/>
              </w:rPr>
              <w:t xml:space="preserve">in </w:t>
            </w:r>
            <w:r w:rsidRPr="00E3095E">
              <w:rPr>
                <w:rFonts w:ascii="Century Gothic" w:hAnsi="Century Gothic"/>
                <w:b/>
                <w:bCs/>
                <w:color w:val="323E4F"/>
                <w:spacing w:val="-6"/>
                <w:sz w:val="28"/>
                <w:szCs w:val="28"/>
              </w:rPr>
              <w:t xml:space="preserve">Rural </w:t>
            </w:r>
            <w:r w:rsidR="00FF589A" w:rsidRPr="00E3095E">
              <w:rPr>
                <w:rFonts w:ascii="Century Gothic" w:hAnsi="Century Gothic"/>
                <w:b/>
                <w:bCs/>
                <w:color w:val="323E4F"/>
                <w:spacing w:val="-6"/>
                <w:sz w:val="28"/>
                <w:szCs w:val="28"/>
              </w:rPr>
              <w:t>Based Population</w:t>
            </w:r>
          </w:p>
          <w:p w14:paraId="3094535D" w14:textId="77777777" w:rsidR="00E3095E" w:rsidRPr="00E3095E" w:rsidRDefault="00E3095E" w:rsidP="00E3095E">
            <w:pPr>
              <w:jc w:val="center"/>
              <w:rPr>
                <w:sz w:val="20"/>
                <w:szCs w:val="20"/>
              </w:rPr>
            </w:pPr>
          </w:p>
          <w:p w14:paraId="013852E1" w14:textId="72408753" w:rsidR="00E3095E" w:rsidRPr="00FF589A" w:rsidRDefault="00E3095E" w:rsidP="00FF589A">
            <w:pPr>
              <w:jc w:val="center"/>
              <w:rPr>
                <w:b/>
                <w:bCs/>
                <w:sz w:val="20"/>
                <w:szCs w:val="20"/>
              </w:rPr>
            </w:pPr>
            <w:r w:rsidRPr="00E3095E">
              <w:rPr>
                <w:b/>
                <w:bCs/>
                <w:sz w:val="20"/>
                <w:szCs w:val="20"/>
              </w:rPr>
              <w:t>Dr Hemjit Das</w:t>
            </w:r>
            <w:r w:rsidRPr="00E3095E">
              <w:rPr>
                <w:b/>
                <w:bCs/>
                <w:sz w:val="20"/>
                <w:szCs w:val="20"/>
                <w:vertAlign w:val="superscript"/>
              </w:rPr>
              <w:t>1</w:t>
            </w:r>
            <w:r w:rsidRPr="00E3095E">
              <w:rPr>
                <w:b/>
                <w:bCs/>
                <w:sz w:val="20"/>
                <w:szCs w:val="20"/>
              </w:rPr>
              <w:t>, Dr Vikash Jha</w:t>
            </w:r>
            <w:r w:rsidRPr="00E3095E">
              <w:rPr>
                <w:b/>
                <w:bCs/>
                <w:sz w:val="20"/>
                <w:szCs w:val="20"/>
                <w:vertAlign w:val="superscript"/>
              </w:rPr>
              <w:t>2</w:t>
            </w:r>
          </w:p>
          <w:p w14:paraId="68D024F4" w14:textId="0ECAB1FB" w:rsidR="00E3095E" w:rsidRPr="00E3095E" w:rsidRDefault="00E3095E" w:rsidP="00E3095E">
            <w:pPr>
              <w:jc w:val="center"/>
              <w:rPr>
                <w:rFonts w:cs="Calibri"/>
                <w:i/>
                <w:iCs/>
                <w:sz w:val="18"/>
                <w:szCs w:val="18"/>
              </w:rPr>
            </w:pPr>
            <w:r w:rsidRPr="00E3095E">
              <w:rPr>
                <w:rFonts w:cs="Calibri"/>
                <w:i/>
                <w:iCs/>
                <w:sz w:val="18"/>
                <w:szCs w:val="18"/>
                <w:vertAlign w:val="superscript"/>
              </w:rPr>
              <w:t>1</w:t>
            </w:r>
            <w:r w:rsidRPr="00E3095E">
              <w:rPr>
                <w:rFonts w:cs="Calibri"/>
                <w:i/>
                <w:iCs/>
                <w:sz w:val="18"/>
                <w:szCs w:val="18"/>
              </w:rPr>
              <w:t xml:space="preserve"> </w:t>
            </w:r>
            <w:r w:rsidR="00011F0A" w:rsidRPr="00011F0A">
              <w:rPr>
                <w:rFonts w:cs="Calibri"/>
                <w:i/>
                <w:iCs/>
                <w:sz w:val="18"/>
                <w:szCs w:val="18"/>
              </w:rPr>
              <w:t>, Associate Professor,</w:t>
            </w:r>
            <w:r w:rsidR="00011F0A" w:rsidRPr="00E3095E">
              <w:rPr>
                <w:rFonts w:eastAsia="Times New Roman"/>
                <w:i/>
                <w:iCs/>
                <w:sz w:val="18"/>
                <w:szCs w:val="18"/>
              </w:rPr>
              <w:t xml:space="preserve"> Department of Orthopaedics</w:t>
            </w:r>
            <w:r w:rsidR="00011F0A">
              <w:rPr>
                <w:rFonts w:eastAsia="Times New Roman"/>
                <w:i/>
                <w:iCs/>
                <w:sz w:val="18"/>
                <w:szCs w:val="18"/>
              </w:rPr>
              <w:t>,</w:t>
            </w:r>
            <w:r w:rsidR="00011F0A" w:rsidRPr="00011F0A">
              <w:rPr>
                <w:rFonts w:cs="Calibri"/>
                <w:i/>
                <w:iCs/>
                <w:sz w:val="18"/>
                <w:szCs w:val="18"/>
              </w:rPr>
              <w:t xml:space="preserve"> Tinsukia Medical College</w:t>
            </w:r>
            <w:r w:rsidR="00011F0A">
              <w:rPr>
                <w:rFonts w:cs="Calibri"/>
                <w:i/>
                <w:iCs/>
                <w:sz w:val="18"/>
                <w:szCs w:val="18"/>
              </w:rPr>
              <w:t>, Assam</w:t>
            </w:r>
          </w:p>
          <w:p w14:paraId="14268CB8" w14:textId="3F3FD81F" w:rsidR="00E3095E" w:rsidRPr="00E3095E" w:rsidRDefault="00E3095E" w:rsidP="00E3095E">
            <w:pPr>
              <w:jc w:val="center"/>
              <w:rPr>
                <w:rFonts w:eastAsia="Times New Roman"/>
                <w:i/>
                <w:iCs/>
                <w:sz w:val="18"/>
                <w:szCs w:val="18"/>
              </w:rPr>
            </w:pPr>
            <w:r w:rsidRPr="00E3095E">
              <w:rPr>
                <w:i/>
                <w:iCs/>
                <w:sz w:val="18"/>
                <w:szCs w:val="18"/>
                <w:vertAlign w:val="superscript"/>
              </w:rPr>
              <w:t>2</w:t>
            </w:r>
            <w:r w:rsidRPr="00E3095E">
              <w:rPr>
                <w:i/>
                <w:iCs/>
                <w:sz w:val="18"/>
                <w:szCs w:val="18"/>
              </w:rPr>
              <w:t xml:space="preserve"> </w:t>
            </w:r>
            <w:r w:rsidR="00011F0A" w:rsidRPr="00011F0A">
              <w:rPr>
                <w:i/>
                <w:iCs/>
                <w:sz w:val="18"/>
                <w:szCs w:val="18"/>
              </w:rPr>
              <w:t>Assistant Professor</w:t>
            </w:r>
            <w:r w:rsidR="00011F0A">
              <w:rPr>
                <w:i/>
                <w:iCs/>
                <w:sz w:val="18"/>
                <w:szCs w:val="18"/>
              </w:rPr>
              <w:t>,</w:t>
            </w:r>
            <w:r w:rsidR="00011F0A" w:rsidRPr="00011F0A">
              <w:rPr>
                <w:i/>
                <w:iCs/>
                <w:sz w:val="18"/>
                <w:szCs w:val="18"/>
              </w:rPr>
              <w:t xml:space="preserve"> </w:t>
            </w:r>
            <w:r w:rsidRPr="00E3095E">
              <w:rPr>
                <w:rFonts w:eastAsia="Times New Roman"/>
                <w:i/>
                <w:iCs/>
                <w:sz w:val="18"/>
                <w:szCs w:val="18"/>
              </w:rPr>
              <w:t>Department of Orthopaedics, Tinsukia Medical College</w:t>
            </w:r>
            <w:r w:rsidR="00011F0A">
              <w:rPr>
                <w:rFonts w:eastAsia="Times New Roman"/>
                <w:i/>
                <w:iCs/>
                <w:sz w:val="18"/>
                <w:szCs w:val="18"/>
              </w:rPr>
              <w:t>, Assam</w:t>
            </w:r>
          </w:p>
          <w:p w14:paraId="25F13940" w14:textId="77777777" w:rsidR="00E3095E" w:rsidRPr="00E3095E" w:rsidRDefault="00E3095E" w:rsidP="00E3095E">
            <w:pPr>
              <w:jc w:val="center"/>
              <w:rPr>
                <w:sz w:val="24"/>
              </w:rPr>
            </w:pPr>
          </w:p>
        </w:tc>
      </w:tr>
      <w:tr w:rsidR="00E3095E" w:rsidRPr="00E3095E" w14:paraId="2E81C08F" w14:textId="77777777" w:rsidTr="006C126B">
        <w:tc>
          <w:tcPr>
            <w:tcW w:w="1478" w:type="pct"/>
            <w:gridSpan w:val="2"/>
            <w:shd w:val="clear" w:color="auto" w:fill="F2F2F2" w:themeFill="background1" w:themeFillShade="F2"/>
          </w:tcPr>
          <w:p w14:paraId="2BD79BCD" w14:textId="77777777" w:rsidR="00E3095E" w:rsidRPr="00E3095E" w:rsidRDefault="00E3095E" w:rsidP="00E3095E">
            <w:pPr>
              <w:ind w:left="-113"/>
              <w:jc w:val="center"/>
              <w:rPr>
                <w:b/>
                <w:bCs/>
                <w:sz w:val="24"/>
              </w:rPr>
            </w:pPr>
            <w:r w:rsidRPr="00E3095E">
              <w:rPr>
                <w:noProof/>
                <w:sz w:val="24"/>
              </w:rPr>
              <w:drawing>
                <wp:inline distT="0" distB="0" distL="0" distR="0" wp14:anchorId="07A5F648" wp14:editId="04E5D485">
                  <wp:extent cx="1824990" cy="2501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824990" cy="250190"/>
                          </a:xfrm>
                          <a:prstGeom prst="rect">
                            <a:avLst/>
                          </a:prstGeom>
                          <a:noFill/>
                          <a:ln>
                            <a:noFill/>
                          </a:ln>
                        </pic:spPr>
                      </pic:pic>
                    </a:graphicData>
                  </a:graphic>
                </wp:inline>
              </w:drawing>
            </w:r>
          </w:p>
        </w:tc>
        <w:tc>
          <w:tcPr>
            <w:tcW w:w="3522" w:type="pct"/>
          </w:tcPr>
          <w:p w14:paraId="0980D540" w14:textId="77777777" w:rsidR="00E3095E" w:rsidRPr="00E3095E" w:rsidRDefault="00E3095E" w:rsidP="00E3095E">
            <w:pPr>
              <w:ind w:left="60"/>
              <w:jc w:val="left"/>
              <w:rPr>
                <w:sz w:val="24"/>
              </w:rPr>
            </w:pPr>
            <w:r w:rsidRPr="00E3095E">
              <w:rPr>
                <w:rFonts w:cs="Tahoma"/>
                <w:b/>
                <w:bCs/>
                <w:color w:val="E36C0A"/>
                <w:sz w:val="24"/>
                <w:lang w:val="en-IN"/>
              </w:rPr>
              <w:t>A B S T R A C T</w:t>
            </w:r>
          </w:p>
        </w:tc>
      </w:tr>
      <w:tr w:rsidR="00E3095E" w:rsidRPr="00E3095E" w14:paraId="065157BF" w14:textId="77777777" w:rsidTr="006C126B">
        <w:tc>
          <w:tcPr>
            <w:tcW w:w="1478" w:type="pct"/>
            <w:gridSpan w:val="2"/>
            <w:shd w:val="clear" w:color="auto" w:fill="F2F2F2" w:themeFill="background1" w:themeFillShade="F2"/>
          </w:tcPr>
          <w:p w14:paraId="42C4EC4A" w14:textId="77777777" w:rsidR="00E3095E" w:rsidRPr="00E3095E" w:rsidRDefault="00E3095E" w:rsidP="00E3095E">
            <w:pPr>
              <w:jc w:val="left"/>
              <w:rPr>
                <w:rFonts w:cs="Calibri"/>
                <w:sz w:val="16"/>
                <w:szCs w:val="16"/>
              </w:rPr>
            </w:pPr>
          </w:p>
          <w:p w14:paraId="17A9B185" w14:textId="77777777" w:rsidR="00E3095E" w:rsidRPr="00E3095E" w:rsidRDefault="00E3095E" w:rsidP="00E3095E">
            <w:pPr>
              <w:spacing w:line="360" w:lineRule="auto"/>
              <w:jc w:val="left"/>
              <w:rPr>
                <w:b/>
                <w:bCs/>
                <w:sz w:val="20"/>
                <w:szCs w:val="20"/>
                <w:u w:val="single"/>
              </w:rPr>
            </w:pPr>
            <w:r w:rsidRPr="00E3095E">
              <w:rPr>
                <w:b/>
                <w:bCs/>
                <w:sz w:val="20"/>
                <w:szCs w:val="20"/>
                <w:u w:val="single"/>
              </w:rPr>
              <w:t>Corresponding Author:</w:t>
            </w:r>
          </w:p>
          <w:p w14:paraId="640BFE9A" w14:textId="77777777" w:rsidR="00E3095E" w:rsidRPr="00E3095E" w:rsidRDefault="00E3095E" w:rsidP="00E3095E">
            <w:pPr>
              <w:jc w:val="left"/>
              <w:rPr>
                <w:sz w:val="20"/>
                <w:szCs w:val="20"/>
              </w:rPr>
            </w:pPr>
            <w:r w:rsidRPr="00E3095E">
              <w:rPr>
                <w:b/>
                <w:bCs/>
                <w:sz w:val="20"/>
                <w:szCs w:val="20"/>
              </w:rPr>
              <w:t>Dr Vikash Jha</w:t>
            </w:r>
          </w:p>
          <w:p w14:paraId="3B333821" w14:textId="6A82ABE3" w:rsidR="00E3095E" w:rsidRPr="00E3095E" w:rsidRDefault="00011F0A" w:rsidP="00E3095E">
            <w:pPr>
              <w:jc w:val="left"/>
              <w:rPr>
                <w:rFonts w:ascii="Times New Roman" w:hAnsi="Times New Roman"/>
                <w:i/>
                <w:iCs/>
                <w:sz w:val="19"/>
                <w:szCs w:val="19"/>
              </w:rPr>
            </w:pPr>
            <w:r w:rsidRPr="00011F0A">
              <w:rPr>
                <w:sz w:val="19"/>
                <w:szCs w:val="19"/>
              </w:rPr>
              <w:t>Assistant Professor</w:t>
            </w:r>
            <w:r>
              <w:rPr>
                <w:sz w:val="19"/>
                <w:szCs w:val="19"/>
              </w:rPr>
              <w:t>,</w:t>
            </w:r>
            <w:r w:rsidRPr="00011F0A">
              <w:rPr>
                <w:sz w:val="19"/>
                <w:szCs w:val="19"/>
              </w:rPr>
              <w:t xml:space="preserve"> </w:t>
            </w:r>
            <w:r w:rsidR="00E3095E" w:rsidRPr="00E3095E">
              <w:rPr>
                <w:sz w:val="19"/>
                <w:szCs w:val="19"/>
              </w:rPr>
              <w:t>Department of Orthopaedics, Tinsukia Medical College</w:t>
            </w:r>
            <w:r>
              <w:rPr>
                <w:sz w:val="19"/>
                <w:szCs w:val="19"/>
              </w:rPr>
              <w:t>, Assam</w:t>
            </w:r>
          </w:p>
          <w:p w14:paraId="36FD3031" w14:textId="77777777" w:rsidR="00E3095E" w:rsidRPr="00E3095E" w:rsidRDefault="00E3095E" w:rsidP="00E3095E">
            <w:pPr>
              <w:jc w:val="left"/>
              <w:rPr>
                <w:i/>
                <w:iCs/>
                <w:sz w:val="19"/>
                <w:szCs w:val="19"/>
              </w:rPr>
            </w:pPr>
          </w:p>
          <w:p w14:paraId="2A2E985A" w14:textId="77777777" w:rsidR="00E3095E" w:rsidRPr="00E3095E" w:rsidRDefault="00E3095E" w:rsidP="00E3095E">
            <w:pPr>
              <w:jc w:val="left"/>
              <w:rPr>
                <w:i/>
                <w:iCs/>
                <w:sz w:val="19"/>
                <w:szCs w:val="19"/>
              </w:rPr>
            </w:pPr>
          </w:p>
          <w:p w14:paraId="58977249" w14:textId="77777777" w:rsidR="00E3095E" w:rsidRPr="00E3095E" w:rsidRDefault="00E3095E" w:rsidP="00E3095E">
            <w:pPr>
              <w:widowControl w:val="0"/>
              <w:autoSpaceDE w:val="0"/>
              <w:autoSpaceDN w:val="0"/>
              <w:jc w:val="left"/>
              <w:rPr>
                <w:rFonts w:ascii="Times New Roman" w:hAnsi="Times New Roman"/>
                <w:i/>
                <w:iCs/>
                <w:sz w:val="20"/>
                <w:szCs w:val="20"/>
                <w:lang w:val="en-IN"/>
              </w:rPr>
            </w:pPr>
            <w:r w:rsidRPr="00E3095E">
              <w:rPr>
                <w:rFonts w:ascii="Times New Roman" w:hAnsi="Times New Roman"/>
                <w:i/>
                <w:iCs/>
                <w:sz w:val="20"/>
                <w:szCs w:val="20"/>
                <w:lang w:val="en-IN"/>
              </w:rPr>
              <w:t>Received: 08-12-2025</w:t>
            </w:r>
          </w:p>
          <w:p w14:paraId="45084032" w14:textId="1EE71EFE" w:rsidR="00E3095E" w:rsidRPr="00E3095E" w:rsidRDefault="00E3095E" w:rsidP="00E3095E">
            <w:pPr>
              <w:widowControl w:val="0"/>
              <w:autoSpaceDE w:val="0"/>
              <w:autoSpaceDN w:val="0"/>
              <w:jc w:val="left"/>
              <w:rPr>
                <w:rFonts w:ascii="Times New Roman" w:hAnsi="Times New Roman"/>
                <w:i/>
                <w:iCs/>
                <w:sz w:val="20"/>
                <w:szCs w:val="20"/>
                <w:lang w:val="en-IN"/>
              </w:rPr>
            </w:pPr>
            <w:r w:rsidRPr="00E3095E">
              <w:rPr>
                <w:rFonts w:ascii="Times New Roman" w:hAnsi="Times New Roman"/>
                <w:i/>
                <w:iCs/>
                <w:sz w:val="20"/>
                <w:szCs w:val="20"/>
                <w:lang w:val="en-IN"/>
              </w:rPr>
              <w:t>Accepted: 2</w:t>
            </w:r>
            <w:r w:rsidR="00FF589A">
              <w:rPr>
                <w:rFonts w:ascii="Times New Roman" w:hAnsi="Times New Roman"/>
                <w:i/>
                <w:iCs/>
                <w:sz w:val="20"/>
                <w:szCs w:val="20"/>
                <w:lang w:val="en-IN"/>
              </w:rPr>
              <w:t>2</w:t>
            </w:r>
            <w:r w:rsidRPr="00E3095E">
              <w:rPr>
                <w:rFonts w:ascii="Times New Roman" w:hAnsi="Times New Roman"/>
                <w:i/>
                <w:iCs/>
                <w:sz w:val="20"/>
                <w:szCs w:val="20"/>
                <w:lang w:val="en-IN"/>
              </w:rPr>
              <w:t>-12-2025</w:t>
            </w:r>
          </w:p>
          <w:p w14:paraId="6893AAA8" w14:textId="54C0AEFC" w:rsidR="00E3095E" w:rsidRPr="00E3095E" w:rsidRDefault="00E3095E" w:rsidP="00E3095E">
            <w:pPr>
              <w:widowControl w:val="0"/>
              <w:autoSpaceDE w:val="0"/>
              <w:autoSpaceDN w:val="0"/>
              <w:jc w:val="left"/>
              <w:rPr>
                <w:rFonts w:ascii="Times New Roman" w:hAnsi="Times New Roman"/>
                <w:i/>
                <w:iCs/>
                <w:sz w:val="20"/>
                <w:szCs w:val="20"/>
                <w:lang w:val="en-IN"/>
              </w:rPr>
            </w:pPr>
            <w:r w:rsidRPr="00E3095E">
              <w:rPr>
                <w:rFonts w:ascii="Times New Roman" w:hAnsi="Times New Roman"/>
                <w:i/>
                <w:iCs/>
                <w:sz w:val="20"/>
                <w:szCs w:val="20"/>
                <w:lang w:val="en-IN"/>
              </w:rPr>
              <w:t xml:space="preserve">Available online: </w:t>
            </w:r>
            <w:r w:rsidR="00FF589A">
              <w:rPr>
                <w:rFonts w:ascii="Times New Roman" w:hAnsi="Times New Roman"/>
                <w:i/>
                <w:iCs/>
                <w:sz w:val="20"/>
                <w:szCs w:val="20"/>
                <w:lang w:val="en-IN"/>
              </w:rPr>
              <w:t>31</w:t>
            </w:r>
            <w:r w:rsidRPr="00E3095E">
              <w:rPr>
                <w:rFonts w:ascii="Times New Roman" w:hAnsi="Times New Roman"/>
                <w:i/>
                <w:iCs/>
                <w:sz w:val="20"/>
                <w:szCs w:val="20"/>
                <w:lang w:val="en-IN"/>
              </w:rPr>
              <w:t>-12-2025</w:t>
            </w:r>
          </w:p>
          <w:p w14:paraId="0406EFD6" w14:textId="77777777" w:rsidR="00E3095E" w:rsidRPr="00E3095E" w:rsidRDefault="00E3095E" w:rsidP="00E3095E">
            <w:pPr>
              <w:jc w:val="left"/>
              <w:rPr>
                <w:sz w:val="20"/>
                <w:szCs w:val="20"/>
              </w:rPr>
            </w:pPr>
          </w:p>
          <w:p w14:paraId="192BA170" w14:textId="77777777" w:rsidR="00E3095E" w:rsidRPr="00E3095E" w:rsidRDefault="00E3095E" w:rsidP="00E3095E">
            <w:pPr>
              <w:jc w:val="left"/>
              <w:rPr>
                <w:i/>
                <w:iCs/>
                <w:sz w:val="16"/>
                <w:szCs w:val="16"/>
              </w:rPr>
            </w:pPr>
          </w:p>
        </w:tc>
        <w:tc>
          <w:tcPr>
            <w:tcW w:w="3522" w:type="pct"/>
          </w:tcPr>
          <w:p w14:paraId="39DCFE1C" w14:textId="77777777" w:rsidR="00E3095E" w:rsidRPr="00E3095E" w:rsidRDefault="00E3095E" w:rsidP="00E3095E">
            <w:pPr>
              <w:ind w:left="60"/>
              <w:rPr>
                <w:rFonts w:ascii="Times New Roman" w:hAnsi="Times New Roman"/>
                <w:bCs/>
                <w:sz w:val="20"/>
                <w:szCs w:val="20"/>
              </w:rPr>
            </w:pPr>
            <w:r w:rsidRPr="00E3095E">
              <w:rPr>
                <w:rFonts w:ascii="Times New Roman" w:hAnsi="Times New Roman"/>
                <w:b/>
                <w:bCs/>
                <w:sz w:val="20"/>
                <w:szCs w:val="20"/>
              </w:rPr>
              <w:t>Background</w:t>
            </w:r>
            <w:r w:rsidRPr="00E3095E">
              <w:rPr>
                <w:rFonts w:ascii="Times New Roman" w:hAnsi="Times New Roman"/>
                <w:bCs/>
                <w:sz w:val="20"/>
                <w:szCs w:val="20"/>
              </w:rPr>
              <w:t>: Low back pain (LBP) is a disability-leading condition globally, with increased burden in rural settings caused by lifestyle and health disparities. Vitamin D3 deficiency has been put forth as a modifiable risk factor for musculoskeletal pain, but its potential in rural communities is underexposed.</w:t>
            </w:r>
          </w:p>
          <w:p w14:paraId="6E0D4964" w14:textId="77777777" w:rsidR="00E3095E" w:rsidRPr="00E3095E" w:rsidRDefault="00E3095E" w:rsidP="00E3095E">
            <w:pPr>
              <w:ind w:left="60"/>
              <w:rPr>
                <w:rFonts w:ascii="Times New Roman" w:hAnsi="Times New Roman"/>
                <w:bCs/>
                <w:sz w:val="20"/>
                <w:szCs w:val="20"/>
              </w:rPr>
            </w:pPr>
            <w:r w:rsidRPr="00E3095E">
              <w:rPr>
                <w:rFonts w:ascii="Times New Roman" w:hAnsi="Times New Roman"/>
                <w:bCs/>
                <w:sz w:val="20"/>
                <w:szCs w:val="20"/>
              </w:rPr>
              <w:t>Objectives: To assess the rate of deficiency of vitamin D3 among patients with low back pain from rural populations and to determine its correlation with the severity of pain.</w:t>
            </w:r>
          </w:p>
          <w:p w14:paraId="0EC57DA3" w14:textId="77777777" w:rsidR="00E3095E" w:rsidRPr="00E3095E" w:rsidRDefault="00E3095E" w:rsidP="00E3095E">
            <w:pPr>
              <w:ind w:left="60"/>
              <w:rPr>
                <w:rFonts w:ascii="Times New Roman" w:hAnsi="Times New Roman"/>
                <w:bCs/>
                <w:sz w:val="20"/>
                <w:szCs w:val="20"/>
              </w:rPr>
            </w:pPr>
            <w:r w:rsidRPr="00E3095E">
              <w:rPr>
                <w:rFonts w:ascii="Times New Roman" w:hAnsi="Times New Roman"/>
                <w:b/>
                <w:bCs/>
                <w:sz w:val="20"/>
                <w:szCs w:val="20"/>
              </w:rPr>
              <w:t>Methods</w:t>
            </w:r>
            <w:r w:rsidRPr="00E3095E">
              <w:rPr>
                <w:rFonts w:ascii="Times New Roman" w:hAnsi="Times New Roman"/>
                <w:bCs/>
                <w:sz w:val="20"/>
                <w:szCs w:val="20"/>
              </w:rPr>
              <w:t>: A prospective observational study was conducted on 500 patients presenting with low back pain of two weeks or more duration and without neurological impairment. Serum vitamin D3 levels were estimated at presentation and categorized as deficient (&lt;20 ng/mL), insufficient (20–29 ng/mL), or sufficient (≥30 ng/mL). Pain intensity was assessed using Visual Analog Scale (VAS) scores, and the relationship between vitamin D3 status and pain severity was evaluated.</w:t>
            </w:r>
          </w:p>
          <w:p w14:paraId="497196E1" w14:textId="77777777" w:rsidR="00E3095E" w:rsidRPr="00E3095E" w:rsidRDefault="00E3095E" w:rsidP="00E3095E">
            <w:pPr>
              <w:ind w:left="60"/>
              <w:rPr>
                <w:rFonts w:ascii="Times New Roman" w:hAnsi="Times New Roman"/>
                <w:bCs/>
                <w:sz w:val="20"/>
                <w:szCs w:val="20"/>
              </w:rPr>
            </w:pPr>
            <w:r w:rsidRPr="00E3095E">
              <w:rPr>
                <w:rFonts w:ascii="Times New Roman" w:hAnsi="Times New Roman"/>
                <w:b/>
                <w:bCs/>
                <w:sz w:val="20"/>
                <w:szCs w:val="20"/>
              </w:rPr>
              <w:t>Result</w:t>
            </w:r>
            <w:r w:rsidRPr="00E3095E">
              <w:rPr>
                <w:rFonts w:ascii="Times New Roman" w:hAnsi="Times New Roman"/>
                <w:bCs/>
                <w:sz w:val="20"/>
                <w:szCs w:val="20"/>
              </w:rPr>
              <w:t>: Among the study participants, 65.0% were vitamin D3 deficient, 23.0% were insufficient, and only 12.0% had sufficient vitamin D3 levels. The mean VAS score was highest in the deficient group (7.3 ± 1.1), followed by the insufficient group (6.0 ± 1.2), and lowest in the sufficient group (4.8 ± 1.3). Statistical analysis revealed that lower vitamin D3 levels were significantly associated with higher pain severity (p &lt; 0.001).</w:t>
            </w:r>
          </w:p>
          <w:p w14:paraId="25B60637" w14:textId="77777777" w:rsidR="00E3095E" w:rsidRPr="00E3095E" w:rsidRDefault="00E3095E" w:rsidP="00E3095E">
            <w:pPr>
              <w:ind w:left="60"/>
              <w:rPr>
                <w:rFonts w:ascii="Times New Roman" w:hAnsi="Times New Roman"/>
                <w:bCs/>
                <w:sz w:val="20"/>
                <w:szCs w:val="20"/>
              </w:rPr>
            </w:pPr>
            <w:r w:rsidRPr="00E3095E">
              <w:rPr>
                <w:rFonts w:ascii="Times New Roman" w:hAnsi="Times New Roman"/>
                <w:b/>
                <w:bCs/>
                <w:sz w:val="20"/>
                <w:szCs w:val="20"/>
              </w:rPr>
              <w:t>Conclusion</w:t>
            </w:r>
            <w:r w:rsidRPr="00E3095E">
              <w:rPr>
                <w:rFonts w:ascii="Times New Roman" w:hAnsi="Times New Roman"/>
                <w:bCs/>
                <w:sz w:val="20"/>
                <w:szCs w:val="20"/>
              </w:rPr>
              <w:t>: vitamin D3 deficiency is linked to increased pain intensity and is very common among patients with low backaches in rural areas. In rural areas with limited resources, routine vitamin D3 screening and correction may be an affordable way to lessen the burden of LBP.</w:t>
            </w:r>
          </w:p>
          <w:p w14:paraId="5319229A" w14:textId="77777777" w:rsidR="00E3095E" w:rsidRPr="00E3095E" w:rsidRDefault="00E3095E" w:rsidP="00E3095E">
            <w:pPr>
              <w:ind w:left="60"/>
              <w:rPr>
                <w:rFonts w:ascii="Times New Roman" w:hAnsi="Times New Roman"/>
                <w:bCs/>
                <w:sz w:val="20"/>
                <w:szCs w:val="20"/>
              </w:rPr>
            </w:pPr>
          </w:p>
        </w:tc>
      </w:tr>
      <w:tr w:rsidR="00E3095E" w:rsidRPr="00E3095E" w14:paraId="4B0265DD" w14:textId="77777777" w:rsidTr="006C126B">
        <w:tc>
          <w:tcPr>
            <w:tcW w:w="1478" w:type="pct"/>
            <w:gridSpan w:val="2"/>
            <w:shd w:val="clear" w:color="auto" w:fill="F2F2F2" w:themeFill="background1" w:themeFillShade="F2"/>
          </w:tcPr>
          <w:p w14:paraId="79A00024" w14:textId="77777777" w:rsidR="00E3095E" w:rsidRPr="00E3095E" w:rsidRDefault="00E3095E" w:rsidP="00E3095E">
            <w:pPr>
              <w:jc w:val="left"/>
              <w:rPr>
                <w:i/>
                <w:iCs/>
                <w:sz w:val="16"/>
                <w:szCs w:val="16"/>
              </w:rPr>
            </w:pPr>
            <w:r w:rsidRPr="00E3095E">
              <w:rPr>
                <w:b/>
                <w:bCs/>
                <w:i/>
                <w:iCs/>
                <w:sz w:val="16"/>
                <w:szCs w:val="16"/>
              </w:rPr>
              <w:t xml:space="preserve">Copyright © </w:t>
            </w:r>
            <w:r w:rsidRPr="00E3095E">
              <w:rPr>
                <w:i/>
                <w:iCs/>
                <w:sz w:val="16"/>
                <w:szCs w:val="16"/>
              </w:rPr>
              <w:t>International Journal of Medical and Pharmaceutical Research</w:t>
            </w:r>
          </w:p>
        </w:tc>
        <w:tc>
          <w:tcPr>
            <w:tcW w:w="3522" w:type="pct"/>
          </w:tcPr>
          <w:p w14:paraId="0A326968" w14:textId="77777777" w:rsidR="00E3095E" w:rsidRPr="00E3095E" w:rsidRDefault="00E3095E" w:rsidP="00E3095E">
            <w:pPr>
              <w:ind w:left="60"/>
              <w:jc w:val="left"/>
              <w:rPr>
                <w:i/>
                <w:iCs/>
                <w:sz w:val="19"/>
                <w:szCs w:val="19"/>
              </w:rPr>
            </w:pPr>
            <w:r w:rsidRPr="00E3095E">
              <w:rPr>
                <w:b/>
                <w:bCs/>
                <w:i/>
                <w:iCs/>
                <w:sz w:val="20"/>
                <w:szCs w:val="20"/>
              </w:rPr>
              <w:t>Keywords</w:t>
            </w:r>
            <w:r w:rsidRPr="00E3095E">
              <w:rPr>
                <w:i/>
                <w:iCs/>
                <w:sz w:val="20"/>
                <w:szCs w:val="20"/>
              </w:rPr>
              <w:t>:</w:t>
            </w:r>
            <w:r w:rsidRPr="00E3095E">
              <w:rPr>
                <w:sz w:val="20"/>
                <w:szCs w:val="20"/>
              </w:rPr>
              <w:t xml:space="preserve"> </w:t>
            </w:r>
            <w:r w:rsidRPr="00E3095E">
              <w:rPr>
                <w:i/>
                <w:iCs/>
                <w:sz w:val="20"/>
                <w:szCs w:val="20"/>
              </w:rPr>
              <w:t>Low back pain, Vitamin D3 deficiency, Rural population, Pain severity, Hypovitaminosis D, Visual Analog Scale.</w:t>
            </w:r>
          </w:p>
        </w:tc>
      </w:tr>
      <w:bookmarkEnd w:id="0"/>
    </w:tbl>
    <w:p w14:paraId="360ABA22" w14:textId="77777777" w:rsidR="00211AC6" w:rsidRPr="00E3095E" w:rsidRDefault="00211AC6" w:rsidP="00E3095E">
      <w:pPr>
        <w:spacing w:line="240" w:lineRule="auto"/>
        <w:rPr>
          <w:rFonts w:ascii="Times New Roman" w:eastAsia="Times New Roman" w:hAnsi="Times New Roman" w:cs="Times New Roman"/>
          <w:sz w:val="20"/>
          <w:szCs w:val="20"/>
        </w:rPr>
      </w:pPr>
    </w:p>
    <w:p w14:paraId="549384F0"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 xml:space="preserve">INTRODUCTION </w:t>
      </w:r>
    </w:p>
    <w:p w14:paraId="3A5FDC2E" w14:textId="77777777" w:rsidR="00211AC6" w:rsidRDefault="006F4262" w:rsidP="00E3095E">
      <w:pPr>
        <w:spacing w:line="240" w:lineRule="auto"/>
        <w:rPr>
          <w:rFonts w:ascii="Times New Roman" w:eastAsia="Times New Roman" w:hAnsi="Times New Roman" w:cs="Times New Roman"/>
          <w:sz w:val="20"/>
          <w:szCs w:val="20"/>
          <w:highlight w:val="white"/>
        </w:rPr>
      </w:pPr>
      <w:r w:rsidRPr="00E3095E">
        <w:rPr>
          <w:rFonts w:ascii="Times New Roman" w:eastAsia="Times New Roman" w:hAnsi="Times New Roman" w:cs="Times New Roman"/>
          <w:sz w:val="20"/>
          <w:szCs w:val="20"/>
          <w:highlight w:val="white"/>
        </w:rPr>
        <w:t>how LBP is a primary global cause of disability, being inordinately prevalent among rural communities due to occupation, lifestyle, and access to health care. Of many risk factors at play, deficiency of vitamin D has recently risen as a potential etiology of musculoskeletal pain, among them chronic nonspecific LBP.</w:t>
      </w:r>
    </w:p>
    <w:p w14:paraId="0A8EA742" w14:textId="77777777" w:rsidR="00E3095E" w:rsidRPr="00E3095E" w:rsidRDefault="00E3095E" w:rsidP="00E3095E">
      <w:pPr>
        <w:spacing w:line="240" w:lineRule="auto"/>
        <w:rPr>
          <w:rFonts w:ascii="Times New Roman" w:eastAsia="Times New Roman" w:hAnsi="Times New Roman" w:cs="Times New Roman"/>
          <w:sz w:val="20"/>
          <w:szCs w:val="20"/>
          <w:highlight w:val="white"/>
        </w:rPr>
      </w:pPr>
    </w:p>
    <w:p w14:paraId="1DB33A96" w14:textId="77777777" w:rsidR="00211AC6" w:rsidRDefault="006F4262" w:rsidP="00E3095E">
      <w:pPr>
        <w:spacing w:line="240" w:lineRule="auto"/>
        <w:rPr>
          <w:rFonts w:ascii="Times New Roman" w:eastAsia="Times New Roman" w:hAnsi="Times New Roman" w:cs="Times New Roman"/>
          <w:sz w:val="20"/>
          <w:szCs w:val="20"/>
          <w:highlight w:val="white"/>
        </w:rPr>
      </w:pPr>
      <w:r w:rsidRPr="00E3095E">
        <w:rPr>
          <w:rFonts w:ascii="Times New Roman" w:eastAsia="Times New Roman" w:hAnsi="Times New Roman" w:cs="Times New Roman"/>
          <w:sz w:val="20"/>
          <w:szCs w:val="20"/>
          <w:highlight w:val="white"/>
        </w:rPr>
        <w:t>Vitamin D plays a central role in calcium metabolism, bone health and muscle function, and has been linked to pain sensitivity and disturbed musculoskeletal integrity with deficiency [1,3]. Several observational studies have reported association between low serum vitamin D levels and increased severity of LBP, suggesting that deficiency may exacerbate symptoms and reduce quality of life [1,6,8]. Conversely, other research discovers regular levels of vitamin D in LBP patients, demonstrating the heterogeneity and complexity of this relationship [4].</w:t>
      </w:r>
    </w:p>
    <w:p w14:paraId="7FDB5B63" w14:textId="77777777" w:rsidR="00E3095E" w:rsidRPr="00E3095E" w:rsidRDefault="00E3095E" w:rsidP="00E3095E">
      <w:pPr>
        <w:spacing w:line="240" w:lineRule="auto"/>
        <w:rPr>
          <w:rFonts w:ascii="Times New Roman" w:eastAsia="Times New Roman" w:hAnsi="Times New Roman" w:cs="Times New Roman"/>
          <w:sz w:val="20"/>
          <w:szCs w:val="20"/>
          <w:highlight w:val="white"/>
        </w:rPr>
      </w:pPr>
    </w:p>
    <w:p w14:paraId="1D4DEF6F" w14:textId="77777777" w:rsidR="00211AC6" w:rsidRDefault="006F4262" w:rsidP="00E3095E">
      <w:pPr>
        <w:spacing w:line="240" w:lineRule="auto"/>
        <w:rPr>
          <w:rFonts w:ascii="Times New Roman" w:eastAsia="Times New Roman" w:hAnsi="Times New Roman" w:cs="Times New Roman"/>
          <w:sz w:val="20"/>
          <w:szCs w:val="20"/>
          <w:highlight w:val="white"/>
        </w:rPr>
      </w:pPr>
      <w:r w:rsidRPr="00E3095E">
        <w:rPr>
          <w:rFonts w:ascii="Times New Roman" w:eastAsia="Times New Roman" w:hAnsi="Times New Roman" w:cs="Times New Roman"/>
          <w:sz w:val="20"/>
          <w:szCs w:val="20"/>
          <w:highlight w:val="white"/>
        </w:rPr>
        <w:t>Systematic reviews and meta-analyses demonstrate conflicting but strong associations between LBP and vitamin D deficiency, which implicate possible geographic, ethnic, and lifestyle reasons [5]. There is also evidence for associations between vitamin D status and lumbar disc degeneration or Modic changes, further implicating its involvement in spinal disease [6,7]. These findings suggest that measurement of vitamin D levels, particularly in rural populations where deficiencies in nutrients and lower exposure to the sun may be more prevalent, may be worthwhile.</w:t>
      </w:r>
    </w:p>
    <w:p w14:paraId="2FF1E5A8" w14:textId="77777777" w:rsidR="00211AC6" w:rsidRPr="00E3095E" w:rsidRDefault="006F4262" w:rsidP="00E3095E">
      <w:pPr>
        <w:spacing w:line="240" w:lineRule="auto"/>
        <w:rPr>
          <w:rFonts w:ascii="Times New Roman" w:eastAsia="Times New Roman" w:hAnsi="Times New Roman" w:cs="Times New Roman"/>
          <w:sz w:val="20"/>
          <w:szCs w:val="20"/>
          <w:highlight w:val="white"/>
        </w:rPr>
      </w:pPr>
      <w:r w:rsidRPr="00E3095E">
        <w:rPr>
          <w:rFonts w:ascii="Times New Roman" w:eastAsia="Times New Roman" w:hAnsi="Times New Roman" w:cs="Times New Roman"/>
          <w:sz w:val="20"/>
          <w:szCs w:val="20"/>
          <w:highlight w:val="white"/>
        </w:rPr>
        <w:lastRenderedPageBreak/>
        <w:t>Considering the inconsistent findings and public health interest, the current research suggests assessing the role of vitamin D3 deficiency in patients of low back pain in rural-based groups.</w:t>
      </w:r>
    </w:p>
    <w:p w14:paraId="6E043937" w14:textId="77777777" w:rsidR="00211AC6" w:rsidRPr="00E3095E" w:rsidRDefault="00211AC6" w:rsidP="00E3095E">
      <w:pPr>
        <w:spacing w:line="240" w:lineRule="auto"/>
        <w:rPr>
          <w:rFonts w:ascii="Times New Roman" w:eastAsia="Times New Roman" w:hAnsi="Times New Roman" w:cs="Times New Roman"/>
          <w:sz w:val="20"/>
          <w:szCs w:val="20"/>
          <w:highlight w:val="white"/>
        </w:rPr>
      </w:pPr>
    </w:p>
    <w:p w14:paraId="3313F55B"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METHODS</w:t>
      </w:r>
    </w:p>
    <w:p w14:paraId="1FB87FFF"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Study Design and Setting</w:t>
      </w:r>
    </w:p>
    <w:p w14:paraId="04132E9C" w14:textId="77777777" w:rsidR="00211AC6"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The study was a prospective observational analysis performed in a rural health setting between August 2024 and March 2025. The main objective was to evaluate the relationship between vitamin D3 deficiency and instances of low back ache among people living in rural areas. Patients who visited the outpatient department with low back pain were assessed as per the protocol of the study.</w:t>
      </w:r>
    </w:p>
    <w:p w14:paraId="6EEFC965" w14:textId="77777777" w:rsidR="00E3095E" w:rsidRPr="00E3095E" w:rsidRDefault="00E3095E" w:rsidP="00E3095E">
      <w:pPr>
        <w:spacing w:line="240" w:lineRule="auto"/>
        <w:rPr>
          <w:rFonts w:ascii="Times New Roman" w:eastAsia="Times New Roman" w:hAnsi="Times New Roman" w:cs="Times New Roman"/>
          <w:sz w:val="20"/>
          <w:szCs w:val="20"/>
        </w:rPr>
      </w:pPr>
    </w:p>
    <w:p w14:paraId="000E26C6"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Study Population</w:t>
      </w:r>
    </w:p>
    <w:p w14:paraId="39F22FCE" w14:textId="77777777" w:rsidR="00211AC6"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The population under study consisted of adult patients from rural communities with low back ache of two weeks' or more duration. Only those without neurological impairments were deemed fit for inclusion. Non-rural background patients, or those with spinal deformities not related to nonspecific low back ache, were excluded from the study. Additionally, patients with neurological impairments were also not included to prevent confounding factors.</w:t>
      </w:r>
    </w:p>
    <w:p w14:paraId="1B20BC52" w14:textId="77777777" w:rsidR="00E3095E" w:rsidRPr="00E3095E" w:rsidRDefault="00E3095E" w:rsidP="00E3095E">
      <w:pPr>
        <w:spacing w:line="240" w:lineRule="auto"/>
        <w:rPr>
          <w:rFonts w:ascii="Times New Roman" w:eastAsia="Times New Roman" w:hAnsi="Times New Roman" w:cs="Times New Roman"/>
          <w:sz w:val="20"/>
          <w:szCs w:val="20"/>
        </w:rPr>
      </w:pPr>
    </w:p>
    <w:p w14:paraId="51E545AB"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Data Collection and Assessment</w:t>
      </w:r>
    </w:p>
    <w:p w14:paraId="63AE8D95"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Clinical information was gathered from case records, comprising demographic data, the duration and intensity of low back pain, and prior appropriate medical history. Serum vitamin D3 levels were ascertained by routine laboratory tests. Severity of pain was measured based on clinical evidence presented on admission. Data were anonymized to maintain confidentiality of the patient.</w:t>
      </w:r>
    </w:p>
    <w:p w14:paraId="3A7A6C83" w14:textId="77777777" w:rsidR="00E3095E" w:rsidRDefault="00E3095E" w:rsidP="00E3095E">
      <w:pPr>
        <w:spacing w:line="240" w:lineRule="auto"/>
        <w:rPr>
          <w:rFonts w:ascii="Times New Roman" w:eastAsia="Times New Roman" w:hAnsi="Times New Roman" w:cs="Times New Roman"/>
          <w:b/>
          <w:sz w:val="20"/>
          <w:szCs w:val="20"/>
        </w:rPr>
      </w:pPr>
    </w:p>
    <w:p w14:paraId="05A1C033"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RESULTS</w:t>
      </w:r>
    </w:p>
    <w:p w14:paraId="29571981" w14:textId="77777777" w:rsidR="00211AC6" w:rsidRDefault="006F4262" w:rsidP="00E3095E">
      <w:pPr>
        <w:spacing w:line="240" w:lineRule="auto"/>
        <w:jc w:val="left"/>
        <w:rPr>
          <w:rFonts w:ascii="Times New Roman" w:eastAsia="Times New Roman" w:hAnsi="Times New Roman" w:cs="Times New Roman"/>
          <w:sz w:val="20"/>
          <w:szCs w:val="20"/>
        </w:rPr>
      </w:pPr>
      <w:r w:rsidRPr="00E3095E">
        <w:rPr>
          <w:rFonts w:ascii="Times New Roman" w:eastAsia="Times New Roman" w:hAnsi="Times New Roman" w:cs="Times New Roman"/>
          <w:b/>
          <w:sz w:val="20"/>
          <w:szCs w:val="20"/>
        </w:rPr>
        <w:t>Demographic Profile</w:t>
      </w:r>
      <w:r w:rsidRPr="00E3095E">
        <w:rPr>
          <w:rFonts w:ascii="Times New Roman" w:eastAsia="Times New Roman" w:hAnsi="Times New Roman" w:cs="Times New Roman"/>
          <w:sz w:val="20"/>
          <w:szCs w:val="20"/>
        </w:rPr>
        <w:br/>
        <w:t>A total of 500 patients with low back pain were studied. Of these, 285 (57.0%) were female and 215 (43.0%) were male. The mean age of patients was 42.8 ± 11.6 years, with the majority falling in the 31–50 years group.</w:t>
      </w:r>
    </w:p>
    <w:p w14:paraId="0D7A2D74" w14:textId="77777777" w:rsidR="00E3095E" w:rsidRPr="00E3095E" w:rsidRDefault="00E3095E" w:rsidP="00E3095E">
      <w:pPr>
        <w:spacing w:line="240" w:lineRule="auto"/>
        <w:jc w:val="left"/>
        <w:rPr>
          <w:rFonts w:ascii="Times New Roman" w:eastAsia="Times New Roman" w:hAnsi="Times New Roman" w:cs="Times New Roman"/>
          <w:sz w:val="20"/>
          <w:szCs w:val="20"/>
        </w:rPr>
      </w:pPr>
    </w:p>
    <w:p w14:paraId="232E6879"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Table 1. Demographic distribution of study participants</w:t>
      </w:r>
    </w:p>
    <w:tbl>
      <w:tblPr>
        <w:tblStyle w:val="a"/>
        <w:tblW w:w="5000" w:type="pct"/>
        <w:tblInd w:w="0" w:type="dxa"/>
        <w:tblBorders>
          <w:top w:val="nil"/>
          <w:left w:val="nil"/>
          <w:bottom w:val="nil"/>
          <w:right w:val="nil"/>
          <w:insideH w:val="nil"/>
          <w:insideV w:val="nil"/>
        </w:tblBorders>
        <w:tblLook w:val="0600" w:firstRow="0" w:lastRow="0" w:firstColumn="0" w:lastColumn="0" w:noHBand="1" w:noVBand="1"/>
      </w:tblPr>
      <w:tblGrid>
        <w:gridCol w:w="2301"/>
        <w:gridCol w:w="1781"/>
        <w:gridCol w:w="2034"/>
        <w:gridCol w:w="1799"/>
        <w:gridCol w:w="2034"/>
      </w:tblGrid>
      <w:tr w:rsidR="00211AC6" w:rsidRPr="00E3095E" w14:paraId="48ACA902" w14:textId="77777777" w:rsidTr="00FF589A">
        <w:trPr>
          <w:trHeight w:val="107"/>
        </w:trPr>
        <w:tc>
          <w:tcPr>
            <w:tcW w:w="115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6ABFAD"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Age group (years)</w:t>
            </w:r>
          </w:p>
        </w:tc>
        <w:tc>
          <w:tcPr>
            <w:tcW w:w="89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4821E6"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Male (n=215)</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49240F"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Female (n=285)</w:t>
            </w:r>
          </w:p>
        </w:tc>
        <w:tc>
          <w:tcPr>
            <w:tcW w:w="90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F9336E"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Total (n=500)</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36F6F4"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Percentage (%)</w:t>
            </w:r>
          </w:p>
        </w:tc>
      </w:tr>
      <w:tr w:rsidR="00211AC6" w:rsidRPr="00E3095E" w14:paraId="65724B88" w14:textId="77777777" w:rsidTr="00FF589A">
        <w:trPr>
          <w:trHeight w:val="100"/>
        </w:trPr>
        <w:tc>
          <w:tcPr>
            <w:tcW w:w="115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DC9EAD"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18–30</w:t>
            </w:r>
          </w:p>
        </w:tc>
        <w:tc>
          <w:tcPr>
            <w:tcW w:w="89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C00A60"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45</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5AA8D7"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55</w:t>
            </w:r>
          </w:p>
        </w:tc>
        <w:tc>
          <w:tcPr>
            <w:tcW w:w="90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0C2123"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100</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601E2C"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20.0</w:t>
            </w:r>
          </w:p>
        </w:tc>
      </w:tr>
      <w:tr w:rsidR="00211AC6" w:rsidRPr="00E3095E" w14:paraId="69F942B8" w14:textId="77777777" w:rsidTr="00FF589A">
        <w:trPr>
          <w:trHeight w:val="42"/>
        </w:trPr>
        <w:tc>
          <w:tcPr>
            <w:tcW w:w="115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C8A088"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31–50</w:t>
            </w:r>
          </w:p>
        </w:tc>
        <w:tc>
          <w:tcPr>
            <w:tcW w:w="89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C37279"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115</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0B698B"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155</w:t>
            </w:r>
          </w:p>
        </w:tc>
        <w:tc>
          <w:tcPr>
            <w:tcW w:w="90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DCCE50"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270</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E3C495"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54.0</w:t>
            </w:r>
          </w:p>
        </w:tc>
      </w:tr>
      <w:tr w:rsidR="00211AC6" w:rsidRPr="00E3095E" w14:paraId="1C1882F3" w14:textId="77777777" w:rsidTr="00FF589A">
        <w:trPr>
          <w:trHeight w:val="42"/>
        </w:trPr>
        <w:tc>
          <w:tcPr>
            <w:tcW w:w="115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818EB2"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&gt;50</w:t>
            </w:r>
          </w:p>
        </w:tc>
        <w:tc>
          <w:tcPr>
            <w:tcW w:w="89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4C142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55</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AF40E4"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75</w:t>
            </w:r>
          </w:p>
        </w:tc>
        <w:tc>
          <w:tcPr>
            <w:tcW w:w="904"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59415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130</w:t>
            </w:r>
          </w:p>
        </w:tc>
        <w:tc>
          <w:tcPr>
            <w:tcW w:w="10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2DAB7C"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26.0</w:t>
            </w:r>
          </w:p>
        </w:tc>
      </w:tr>
    </w:tbl>
    <w:p w14:paraId="73646204" w14:textId="77777777" w:rsidR="00E3095E" w:rsidRDefault="00E3095E" w:rsidP="00E3095E">
      <w:pPr>
        <w:spacing w:line="240" w:lineRule="auto"/>
        <w:jc w:val="left"/>
        <w:rPr>
          <w:rFonts w:ascii="Times New Roman" w:eastAsia="Times New Roman" w:hAnsi="Times New Roman" w:cs="Times New Roman"/>
          <w:b/>
          <w:sz w:val="20"/>
          <w:szCs w:val="20"/>
        </w:rPr>
      </w:pPr>
    </w:p>
    <w:p w14:paraId="6D112711" w14:textId="77777777" w:rsidR="00211AC6" w:rsidRDefault="006F4262" w:rsidP="00E3095E">
      <w:pPr>
        <w:spacing w:line="240" w:lineRule="auto"/>
        <w:jc w:val="left"/>
        <w:rPr>
          <w:rFonts w:ascii="Times New Roman" w:eastAsia="Gungsuh" w:hAnsi="Times New Roman" w:cs="Times New Roman"/>
          <w:sz w:val="20"/>
          <w:szCs w:val="20"/>
        </w:rPr>
      </w:pPr>
      <w:r w:rsidRPr="00E3095E">
        <w:rPr>
          <w:rFonts w:ascii="Times New Roman" w:eastAsia="Times New Roman" w:hAnsi="Times New Roman" w:cs="Times New Roman"/>
          <w:b/>
          <w:sz w:val="20"/>
          <w:szCs w:val="20"/>
        </w:rPr>
        <w:t>Vitamin D3 Status</w:t>
      </w:r>
      <w:r w:rsidRPr="00E3095E">
        <w:rPr>
          <w:rFonts w:ascii="Times New Roman" w:eastAsia="Gungsuh" w:hAnsi="Times New Roman" w:cs="Times New Roman"/>
          <w:sz w:val="20"/>
          <w:szCs w:val="20"/>
        </w:rPr>
        <w:br/>
        <w:t>Serum vitamin D3 estimation revealed that 325 patients (65.0%) were deficient (&lt;20 ng/mL), and 115 patients (23.0%) were insufficient (20–29 ng/mL). Only 60 patients (12.0%) had sufficient levels (≥30 ng/mL). Vitamin D3 deficiency was more common among female patients (69.1%) compared to male patients (59.5%).</w:t>
      </w:r>
    </w:p>
    <w:p w14:paraId="46149B81" w14:textId="77777777" w:rsidR="00E3095E" w:rsidRPr="00E3095E" w:rsidRDefault="00E3095E" w:rsidP="00E3095E">
      <w:pPr>
        <w:spacing w:line="240" w:lineRule="auto"/>
        <w:jc w:val="left"/>
        <w:rPr>
          <w:rFonts w:ascii="Times New Roman" w:eastAsia="Times New Roman" w:hAnsi="Times New Roman" w:cs="Times New Roman"/>
          <w:sz w:val="20"/>
          <w:szCs w:val="20"/>
        </w:rPr>
      </w:pPr>
    </w:p>
    <w:p w14:paraId="1F9E8619"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Table 2. Vitamin D3 status among study participants</w:t>
      </w:r>
    </w:p>
    <w:tbl>
      <w:tblPr>
        <w:tblStyle w:val="a0"/>
        <w:tblW w:w="5064" w:type="pct"/>
        <w:jc w:val="center"/>
        <w:tblInd w:w="0" w:type="dxa"/>
        <w:tblBorders>
          <w:top w:val="nil"/>
          <w:left w:val="nil"/>
          <w:bottom w:val="nil"/>
          <w:right w:val="nil"/>
          <w:insideH w:val="nil"/>
          <w:insideV w:val="nil"/>
        </w:tblBorders>
        <w:tblLook w:val="0600" w:firstRow="0" w:lastRow="0" w:firstColumn="0" w:lastColumn="0" w:noHBand="1" w:noVBand="1"/>
      </w:tblPr>
      <w:tblGrid>
        <w:gridCol w:w="2969"/>
        <w:gridCol w:w="1656"/>
        <w:gridCol w:w="1890"/>
        <w:gridCol w:w="1673"/>
        <w:gridCol w:w="1888"/>
      </w:tblGrid>
      <w:tr w:rsidR="00211AC6" w:rsidRPr="00E3095E" w14:paraId="2007A020" w14:textId="77777777" w:rsidTr="00FF589A">
        <w:trPr>
          <w:trHeight w:val="269"/>
          <w:jc w:val="center"/>
        </w:trPr>
        <w:tc>
          <w:tcPr>
            <w:tcW w:w="147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8B2595"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Vitamin D3 level</w:t>
            </w:r>
          </w:p>
        </w:tc>
        <w:tc>
          <w:tcPr>
            <w:tcW w:w="8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82D76F5"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Male (n=215)</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3966D3"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Female (n=285)</w:t>
            </w:r>
          </w:p>
        </w:tc>
        <w:tc>
          <w:tcPr>
            <w:tcW w:w="83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2A93FB"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Total (n=500)</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7BCA2A"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Percentage (%)</w:t>
            </w:r>
          </w:p>
        </w:tc>
      </w:tr>
      <w:tr w:rsidR="00211AC6" w:rsidRPr="00E3095E" w14:paraId="1B633D47" w14:textId="77777777" w:rsidTr="00FF589A">
        <w:trPr>
          <w:trHeight w:val="229"/>
          <w:jc w:val="center"/>
        </w:trPr>
        <w:tc>
          <w:tcPr>
            <w:tcW w:w="147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96B08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Deficient (&lt;20 ng/mL)</w:t>
            </w:r>
          </w:p>
        </w:tc>
        <w:tc>
          <w:tcPr>
            <w:tcW w:w="8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003BFC"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128</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0A0AD0"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197</w:t>
            </w:r>
          </w:p>
        </w:tc>
        <w:tc>
          <w:tcPr>
            <w:tcW w:w="83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4DA65A"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325</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F3ADE7"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65.0</w:t>
            </w:r>
          </w:p>
        </w:tc>
      </w:tr>
      <w:tr w:rsidR="00211AC6" w:rsidRPr="00E3095E" w14:paraId="15DA6309" w14:textId="77777777" w:rsidTr="00FF589A">
        <w:trPr>
          <w:trHeight w:val="229"/>
          <w:jc w:val="center"/>
        </w:trPr>
        <w:tc>
          <w:tcPr>
            <w:tcW w:w="147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3295C6"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Insufficient (20–29 ng/mL)</w:t>
            </w:r>
          </w:p>
        </w:tc>
        <w:tc>
          <w:tcPr>
            <w:tcW w:w="8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A8A39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52</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499EAAC"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63</w:t>
            </w:r>
          </w:p>
        </w:tc>
        <w:tc>
          <w:tcPr>
            <w:tcW w:w="83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CC8F24"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115</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9C3CEE"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23.0</w:t>
            </w:r>
          </w:p>
        </w:tc>
      </w:tr>
      <w:tr w:rsidR="00211AC6" w:rsidRPr="00E3095E" w14:paraId="78F46694" w14:textId="77777777" w:rsidTr="00FF589A">
        <w:trPr>
          <w:trHeight w:val="229"/>
          <w:jc w:val="center"/>
        </w:trPr>
        <w:tc>
          <w:tcPr>
            <w:tcW w:w="147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160B4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Gungsuh" w:hAnsi="Times New Roman" w:cs="Times New Roman"/>
                <w:sz w:val="20"/>
                <w:szCs w:val="20"/>
              </w:rPr>
              <w:t>Sufficient (≥30 ng/mL)</w:t>
            </w:r>
          </w:p>
        </w:tc>
        <w:tc>
          <w:tcPr>
            <w:tcW w:w="822"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BCDAF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35</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2A47D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25</w:t>
            </w:r>
          </w:p>
        </w:tc>
        <w:tc>
          <w:tcPr>
            <w:tcW w:w="830"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140AAF"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60</w:t>
            </w:r>
          </w:p>
        </w:tc>
        <w:tc>
          <w:tcPr>
            <w:tcW w:w="93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EA98CB"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12.0</w:t>
            </w:r>
          </w:p>
        </w:tc>
      </w:tr>
    </w:tbl>
    <w:p w14:paraId="53103CDE" w14:textId="77777777" w:rsidR="00E3095E" w:rsidRDefault="00E3095E" w:rsidP="00E3095E">
      <w:pPr>
        <w:spacing w:line="240" w:lineRule="auto"/>
        <w:jc w:val="left"/>
        <w:rPr>
          <w:rFonts w:ascii="Times New Roman" w:eastAsia="Times New Roman" w:hAnsi="Times New Roman" w:cs="Times New Roman"/>
          <w:b/>
          <w:sz w:val="20"/>
          <w:szCs w:val="20"/>
        </w:rPr>
      </w:pPr>
    </w:p>
    <w:p w14:paraId="30FBE94A" w14:textId="77777777" w:rsidR="00211AC6" w:rsidRDefault="006F4262" w:rsidP="00E3095E">
      <w:pPr>
        <w:spacing w:line="240" w:lineRule="auto"/>
        <w:jc w:val="left"/>
        <w:rPr>
          <w:rFonts w:ascii="Times New Roman" w:eastAsia="Times New Roman" w:hAnsi="Times New Roman" w:cs="Times New Roman"/>
          <w:sz w:val="20"/>
          <w:szCs w:val="20"/>
        </w:rPr>
      </w:pPr>
      <w:r w:rsidRPr="00E3095E">
        <w:rPr>
          <w:rFonts w:ascii="Times New Roman" w:eastAsia="Times New Roman" w:hAnsi="Times New Roman" w:cs="Times New Roman"/>
          <w:b/>
          <w:sz w:val="20"/>
          <w:szCs w:val="20"/>
        </w:rPr>
        <w:t>Correlation Between Vitamin D3 Deficiency and Pain Severity</w:t>
      </w:r>
      <w:r w:rsidRPr="00E3095E">
        <w:rPr>
          <w:rFonts w:ascii="Times New Roman" w:eastAsia="Times New Roman" w:hAnsi="Times New Roman" w:cs="Times New Roman"/>
          <w:sz w:val="20"/>
          <w:szCs w:val="20"/>
        </w:rPr>
        <w:br/>
        <w:t>Pain severity was assessed using the Visual Analog Scale (VAS). The mean VAS score was highest in the vitamin D3 deficient group (7.3 ± 1.1), followed by the insufficient group (6.0 ± 1.2), and lowest in the sufficient group (4.8 ± 1.3). Statistical analysis using one-way ANOVA revealed a significant association between serum vitamin D3 levels and pain severity (p &lt; 0.001).</w:t>
      </w:r>
    </w:p>
    <w:p w14:paraId="51EB78BF" w14:textId="77777777" w:rsidR="00FF589A" w:rsidRDefault="00FF589A" w:rsidP="00E3095E">
      <w:pPr>
        <w:spacing w:line="240" w:lineRule="auto"/>
        <w:jc w:val="left"/>
        <w:rPr>
          <w:rFonts w:ascii="Times New Roman" w:eastAsia="Times New Roman" w:hAnsi="Times New Roman" w:cs="Times New Roman"/>
          <w:sz w:val="20"/>
          <w:szCs w:val="20"/>
        </w:rPr>
      </w:pPr>
    </w:p>
    <w:p w14:paraId="51FA76BA" w14:textId="77777777" w:rsidR="00FF589A" w:rsidRDefault="00FF589A" w:rsidP="00E3095E">
      <w:pPr>
        <w:spacing w:line="240" w:lineRule="auto"/>
        <w:jc w:val="left"/>
        <w:rPr>
          <w:rFonts w:ascii="Times New Roman" w:eastAsia="Times New Roman" w:hAnsi="Times New Roman" w:cs="Times New Roman"/>
          <w:sz w:val="20"/>
          <w:szCs w:val="20"/>
        </w:rPr>
      </w:pPr>
    </w:p>
    <w:p w14:paraId="53EBF6C8" w14:textId="77777777" w:rsidR="00FF589A" w:rsidRDefault="00FF589A" w:rsidP="00E3095E">
      <w:pPr>
        <w:spacing w:line="240" w:lineRule="auto"/>
        <w:jc w:val="left"/>
        <w:rPr>
          <w:rFonts w:ascii="Times New Roman" w:eastAsia="Times New Roman" w:hAnsi="Times New Roman" w:cs="Times New Roman"/>
          <w:sz w:val="20"/>
          <w:szCs w:val="20"/>
        </w:rPr>
      </w:pPr>
    </w:p>
    <w:p w14:paraId="7B2062C0" w14:textId="77777777" w:rsidR="00FF589A" w:rsidRDefault="00FF589A" w:rsidP="00E3095E">
      <w:pPr>
        <w:spacing w:line="240" w:lineRule="auto"/>
        <w:jc w:val="left"/>
        <w:rPr>
          <w:rFonts w:ascii="Times New Roman" w:eastAsia="Times New Roman" w:hAnsi="Times New Roman" w:cs="Times New Roman"/>
          <w:sz w:val="20"/>
          <w:szCs w:val="20"/>
        </w:rPr>
      </w:pPr>
    </w:p>
    <w:p w14:paraId="5CC80364" w14:textId="77777777" w:rsidR="00FF589A" w:rsidRDefault="00FF589A" w:rsidP="00E3095E">
      <w:pPr>
        <w:spacing w:line="240" w:lineRule="auto"/>
        <w:jc w:val="left"/>
        <w:rPr>
          <w:rFonts w:ascii="Times New Roman" w:eastAsia="Times New Roman" w:hAnsi="Times New Roman" w:cs="Times New Roman"/>
          <w:sz w:val="20"/>
          <w:szCs w:val="20"/>
        </w:rPr>
      </w:pPr>
    </w:p>
    <w:p w14:paraId="56BC7637" w14:textId="77777777" w:rsidR="00FF589A" w:rsidRPr="00E3095E" w:rsidRDefault="00FF589A" w:rsidP="00E3095E">
      <w:pPr>
        <w:spacing w:line="240" w:lineRule="auto"/>
        <w:jc w:val="left"/>
        <w:rPr>
          <w:rFonts w:ascii="Times New Roman" w:eastAsia="Times New Roman" w:hAnsi="Times New Roman" w:cs="Times New Roman"/>
          <w:sz w:val="20"/>
          <w:szCs w:val="20"/>
        </w:rPr>
      </w:pPr>
    </w:p>
    <w:p w14:paraId="4B319127"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lastRenderedPageBreak/>
        <w:t>Table 3. Association of Vitamin D3 status with pain severity (VAS score)</w:t>
      </w:r>
    </w:p>
    <w:tbl>
      <w:tblPr>
        <w:tblStyle w:val="a1"/>
        <w:tblW w:w="5000" w:type="pct"/>
        <w:tblInd w:w="0" w:type="dxa"/>
        <w:tblBorders>
          <w:top w:val="nil"/>
          <w:left w:val="nil"/>
          <w:bottom w:val="nil"/>
          <w:right w:val="nil"/>
          <w:insideH w:val="nil"/>
          <w:insideV w:val="nil"/>
        </w:tblBorders>
        <w:tblLook w:val="0600" w:firstRow="0" w:lastRow="0" w:firstColumn="0" w:lastColumn="0" w:noHBand="1" w:noVBand="1"/>
      </w:tblPr>
      <w:tblGrid>
        <w:gridCol w:w="4543"/>
        <w:gridCol w:w="5406"/>
      </w:tblGrid>
      <w:tr w:rsidR="00211AC6" w:rsidRPr="00E3095E" w14:paraId="556993D8" w14:textId="77777777" w:rsidTr="00E3095E">
        <w:trPr>
          <w:trHeight w:val="108"/>
        </w:trPr>
        <w:tc>
          <w:tcPr>
            <w:tcW w:w="228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9A53C5"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Vitamin D3 status</w:t>
            </w:r>
          </w:p>
        </w:tc>
        <w:tc>
          <w:tcPr>
            <w:tcW w:w="2717"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8C74CD"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Mean VAS score ± SD</w:t>
            </w:r>
          </w:p>
        </w:tc>
      </w:tr>
      <w:tr w:rsidR="00211AC6" w:rsidRPr="00E3095E" w14:paraId="2E7C2DE4" w14:textId="77777777" w:rsidTr="00E3095E">
        <w:trPr>
          <w:trHeight w:val="108"/>
        </w:trPr>
        <w:tc>
          <w:tcPr>
            <w:tcW w:w="228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E59A839"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Deficient</w:t>
            </w:r>
          </w:p>
        </w:tc>
        <w:tc>
          <w:tcPr>
            <w:tcW w:w="2717"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977BFB"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7.3 ± 1.1</w:t>
            </w:r>
          </w:p>
        </w:tc>
      </w:tr>
      <w:tr w:rsidR="00211AC6" w:rsidRPr="00E3095E" w14:paraId="358D8F29" w14:textId="77777777" w:rsidTr="00E3095E">
        <w:trPr>
          <w:trHeight w:val="108"/>
        </w:trPr>
        <w:tc>
          <w:tcPr>
            <w:tcW w:w="228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F95845"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Insufficient</w:t>
            </w:r>
          </w:p>
        </w:tc>
        <w:tc>
          <w:tcPr>
            <w:tcW w:w="2717"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BC441B"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6.0 ± 1.2</w:t>
            </w:r>
          </w:p>
        </w:tc>
      </w:tr>
      <w:tr w:rsidR="00211AC6" w:rsidRPr="00E3095E" w14:paraId="20110F75" w14:textId="77777777" w:rsidTr="00E3095E">
        <w:trPr>
          <w:trHeight w:val="108"/>
        </w:trPr>
        <w:tc>
          <w:tcPr>
            <w:tcW w:w="2283"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B9D916"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Sufficient</w:t>
            </w:r>
          </w:p>
        </w:tc>
        <w:tc>
          <w:tcPr>
            <w:tcW w:w="2717"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C9D583" w14:textId="77777777"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4.8 ± 1.3</w:t>
            </w:r>
          </w:p>
        </w:tc>
      </w:tr>
    </w:tbl>
    <w:p w14:paraId="498AC190" w14:textId="77777777" w:rsidR="00E3095E" w:rsidRDefault="00E3095E" w:rsidP="00E3095E">
      <w:pPr>
        <w:spacing w:line="240" w:lineRule="auto"/>
        <w:rPr>
          <w:rFonts w:ascii="Times New Roman" w:eastAsia="Times New Roman" w:hAnsi="Times New Roman" w:cs="Times New Roman"/>
          <w:b/>
          <w:sz w:val="20"/>
          <w:szCs w:val="20"/>
        </w:rPr>
      </w:pPr>
    </w:p>
    <w:p w14:paraId="6327AD50" w14:textId="77777777" w:rsidR="00FF589A"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b/>
          <w:sz w:val="20"/>
          <w:szCs w:val="20"/>
        </w:rPr>
        <w:t>Statistical Software</w:t>
      </w:r>
    </w:p>
    <w:p w14:paraId="6B3084C8" w14:textId="59FD3D5B" w:rsidR="00211AC6"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All data were analyzed using SPSS version 26.0 (IBM Corp., Armonk, NY, USA). A p-value &lt; 0.05 was considered statistically significant.</w:t>
      </w:r>
    </w:p>
    <w:p w14:paraId="3F62D3D5" w14:textId="77777777" w:rsidR="00211AC6" w:rsidRPr="00E3095E" w:rsidRDefault="006F4262" w:rsidP="00E3095E">
      <w:pPr>
        <w:spacing w:line="240" w:lineRule="auto"/>
        <w:jc w:val="center"/>
        <w:rPr>
          <w:rFonts w:ascii="Times New Roman" w:eastAsia="Times New Roman" w:hAnsi="Times New Roman" w:cs="Times New Roman"/>
          <w:sz w:val="20"/>
          <w:szCs w:val="20"/>
        </w:rPr>
      </w:pPr>
      <w:r w:rsidRPr="00E3095E">
        <w:rPr>
          <w:rFonts w:ascii="Times New Roman" w:eastAsia="Times New Roman" w:hAnsi="Times New Roman" w:cs="Times New Roman"/>
          <w:noProof/>
          <w:sz w:val="20"/>
          <w:szCs w:val="20"/>
        </w:rPr>
        <w:drawing>
          <wp:inline distT="0" distB="0" distL="0" distR="0" wp14:anchorId="001693D0" wp14:editId="7B00F146">
            <wp:extent cx="3590634" cy="1855470"/>
            <wp:effectExtent l="19050" t="19050" r="10160" b="11430"/>
            <wp:docPr id="1026"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0" cstate="print"/>
                    <a:srcRect/>
                    <a:stretch/>
                  </pic:blipFill>
                  <pic:spPr>
                    <a:xfrm>
                      <a:off x="0" y="0"/>
                      <a:ext cx="3594931" cy="1857691"/>
                    </a:xfrm>
                    <a:prstGeom prst="rect">
                      <a:avLst/>
                    </a:prstGeom>
                    <a:ln w="9525" cap="flat" cmpd="sng">
                      <a:solidFill>
                        <a:srgbClr val="000000"/>
                      </a:solidFill>
                      <a:prstDash val="solid"/>
                      <a:round/>
                      <a:headEnd/>
                      <a:tailEnd/>
                    </a:ln>
                  </pic:spPr>
                </pic:pic>
              </a:graphicData>
            </a:graphic>
          </wp:inline>
        </w:drawing>
      </w:r>
    </w:p>
    <w:p w14:paraId="4D6570DD" w14:textId="77777777" w:rsidR="00211AC6"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Figure 1. Age-wise distribution of study participants</w:t>
      </w:r>
    </w:p>
    <w:p w14:paraId="47A7A9FF" w14:textId="77777777" w:rsidR="00E3095E" w:rsidRPr="00E3095E" w:rsidRDefault="00E3095E" w:rsidP="00E3095E">
      <w:pPr>
        <w:spacing w:line="240" w:lineRule="auto"/>
        <w:jc w:val="center"/>
        <w:rPr>
          <w:rFonts w:ascii="Times New Roman" w:eastAsia="Times New Roman" w:hAnsi="Times New Roman" w:cs="Times New Roman"/>
          <w:b/>
          <w:sz w:val="20"/>
          <w:szCs w:val="20"/>
        </w:rPr>
      </w:pPr>
    </w:p>
    <w:p w14:paraId="06318211"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noProof/>
          <w:sz w:val="20"/>
          <w:szCs w:val="20"/>
        </w:rPr>
        <w:drawing>
          <wp:inline distT="0" distB="0" distL="0" distR="0" wp14:anchorId="67755280" wp14:editId="610729D8">
            <wp:extent cx="3647942" cy="1824990"/>
            <wp:effectExtent l="19050" t="19050" r="10160" b="22860"/>
            <wp:docPr id="1027"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2.png"/>
                    <pic:cNvPicPr/>
                  </pic:nvPicPr>
                  <pic:blipFill>
                    <a:blip r:embed="rId11" cstate="print"/>
                    <a:srcRect/>
                    <a:stretch/>
                  </pic:blipFill>
                  <pic:spPr>
                    <a:xfrm>
                      <a:off x="0" y="0"/>
                      <a:ext cx="3678350" cy="1840203"/>
                    </a:xfrm>
                    <a:prstGeom prst="rect">
                      <a:avLst/>
                    </a:prstGeom>
                    <a:ln w="9525" cap="flat" cmpd="sng">
                      <a:solidFill>
                        <a:srgbClr val="000000"/>
                      </a:solidFill>
                      <a:prstDash val="solid"/>
                      <a:round/>
                      <a:headEnd/>
                      <a:tailEnd/>
                    </a:ln>
                  </pic:spPr>
                </pic:pic>
              </a:graphicData>
            </a:graphic>
          </wp:inline>
        </w:drawing>
      </w:r>
    </w:p>
    <w:p w14:paraId="34578544" w14:textId="77777777" w:rsidR="00211AC6"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Figure 2. Vitamin D3 status among study participants</w:t>
      </w:r>
    </w:p>
    <w:p w14:paraId="1CA0594C" w14:textId="77777777" w:rsidR="00E3095E" w:rsidRPr="00E3095E" w:rsidRDefault="00E3095E" w:rsidP="00E3095E">
      <w:pPr>
        <w:spacing w:line="240" w:lineRule="auto"/>
        <w:jc w:val="center"/>
        <w:rPr>
          <w:rFonts w:ascii="Times New Roman" w:eastAsia="Times New Roman" w:hAnsi="Times New Roman" w:cs="Times New Roman"/>
          <w:b/>
          <w:sz w:val="20"/>
          <w:szCs w:val="20"/>
        </w:rPr>
      </w:pPr>
    </w:p>
    <w:p w14:paraId="4E8E790C"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noProof/>
          <w:sz w:val="20"/>
          <w:szCs w:val="20"/>
        </w:rPr>
        <w:drawing>
          <wp:inline distT="0" distB="0" distL="0" distR="0" wp14:anchorId="41AA7634" wp14:editId="5C2BDA40">
            <wp:extent cx="3697838" cy="2122170"/>
            <wp:effectExtent l="19050" t="19050" r="17145" b="11430"/>
            <wp:docPr id="1028" name="image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12" cstate="print"/>
                    <a:srcRect/>
                    <a:stretch/>
                  </pic:blipFill>
                  <pic:spPr>
                    <a:xfrm>
                      <a:off x="0" y="0"/>
                      <a:ext cx="3705943" cy="2126821"/>
                    </a:xfrm>
                    <a:prstGeom prst="rect">
                      <a:avLst/>
                    </a:prstGeom>
                    <a:ln w="9525" cap="flat" cmpd="sng">
                      <a:solidFill>
                        <a:srgbClr val="000000"/>
                      </a:solidFill>
                      <a:prstDash val="solid"/>
                      <a:round/>
                      <a:headEnd/>
                      <a:tailEnd/>
                    </a:ln>
                  </pic:spPr>
                </pic:pic>
              </a:graphicData>
            </a:graphic>
          </wp:inline>
        </w:drawing>
      </w:r>
    </w:p>
    <w:p w14:paraId="4AC6A34A"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Figure 3. Correlation between Vitamin D3 levels and mean VAS scores</w:t>
      </w:r>
    </w:p>
    <w:p w14:paraId="4173373B" w14:textId="77777777" w:rsidR="00211AC6" w:rsidRPr="00E3095E" w:rsidRDefault="00211AC6" w:rsidP="00E3095E">
      <w:pPr>
        <w:spacing w:line="240" w:lineRule="auto"/>
        <w:rPr>
          <w:rFonts w:ascii="Times New Roman" w:eastAsia="Times New Roman" w:hAnsi="Times New Roman" w:cs="Times New Roman"/>
          <w:sz w:val="20"/>
          <w:szCs w:val="20"/>
        </w:rPr>
      </w:pPr>
    </w:p>
    <w:p w14:paraId="7C1ABB1B"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DISCUSSION</w:t>
      </w:r>
    </w:p>
    <w:p w14:paraId="2888F17F" w14:textId="77777777" w:rsid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The current research illustrated a high prevalence of vitamin D3 deficiency in rural patients with low back ache and reported that almost two-thirds of the participants had deficient levels. Additionally, severity of pain was found to be </w:t>
      </w:r>
      <w:r w:rsidRPr="00E3095E">
        <w:rPr>
          <w:rFonts w:ascii="Times New Roman" w:eastAsia="Times New Roman" w:hAnsi="Times New Roman" w:cs="Times New Roman"/>
          <w:sz w:val="20"/>
          <w:szCs w:val="20"/>
        </w:rPr>
        <w:lastRenderedPageBreak/>
        <w:t>substantially greater among vitamin D-deficient subjects than among those with adequate levels, which points to a possible role of hypovitaminosis D in maintaining low back pain and its severity. The findings strengthen the increasing body of evidence for the possibility that vitamin D status can affect musculoskeletal pain outcomes.</w:t>
      </w:r>
    </w:p>
    <w:p w14:paraId="28A56430" w14:textId="77777777" w:rsidR="00E3095E" w:rsidRPr="00E3095E" w:rsidRDefault="00E3095E" w:rsidP="00E3095E">
      <w:pPr>
        <w:spacing w:line="240" w:lineRule="auto"/>
        <w:rPr>
          <w:rFonts w:ascii="Times New Roman" w:eastAsia="Times New Roman" w:hAnsi="Times New Roman" w:cs="Times New Roman"/>
          <w:sz w:val="20"/>
          <w:szCs w:val="20"/>
        </w:rPr>
      </w:pPr>
    </w:p>
    <w:p w14:paraId="6C01511D" w14:textId="77777777" w:rsidR="00211AC6"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Similar findings were noted in a Moroccan population of postmenopausal women, where chronic low back pain was highly linked with vitamin D deficiency [9]. A Korean study among patients with lumbar spinal stenosis also revealed a high incidence of deficiency and correlated with higher pain scores [10]. Molecular data also confirm this association, as a deficiency in vitamin D among elderly patients with low back pain has been associated with changes in circulating microRNAs, suggesting potential inflammation and pain sensitization pathways [11].</w:t>
      </w:r>
    </w:p>
    <w:p w14:paraId="0991B0E9" w14:textId="77777777" w:rsidR="00E3095E" w:rsidRPr="00E3095E" w:rsidRDefault="00E3095E" w:rsidP="00E3095E">
      <w:pPr>
        <w:spacing w:line="240" w:lineRule="auto"/>
        <w:rPr>
          <w:rFonts w:ascii="Times New Roman" w:eastAsia="Times New Roman" w:hAnsi="Times New Roman" w:cs="Times New Roman"/>
          <w:sz w:val="20"/>
          <w:szCs w:val="20"/>
        </w:rPr>
      </w:pPr>
    </w:p>
    <w:p w14:paraId="353C995C" w14:textId="77777777" w:rsidR="00211AC6"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In the Indian population, a study identified alarmingly high levels of hypovitaminosis D in patients with chronic low back pain, consistent with the current findings in a rural environment [12]. Not every investigation has shown consistent findings, however. A large Norwegian cohort analysis indicated merely modest association between low vitamin D status and chronic low back pain, leaving open the possibility that geographical, genetic, and lifestyle factors may affect this association [13].</w:t>
      </w:r>
    </w:p>
    <w:p w14:paraId="70D43988" w14:textId="77777777" w:rsidR="00E3095E" w:rsidRPr="00E3095E" w:rsidRDefault="00E3095E" w:rsidP="00E3095E">
      <w:pPr>
        <w:spacing w:line="240" w:lineRule="auto"/>
        <w:rPr>
          <w:rFonts w:ascii="Times New Roman" w:eastAsia="Times New Roman" w:hAnsi="Times New Roman" w:cs="Times New Roman"/>
          <w:sz w:val="20"/>
          <w:szCs w:val="20"/>
        </w:rPr>
      </w:pPr>
    </w:p>
    <w:p w14:paraId="18B011D1" w14:textId="77777777" w:rsidR="00211AC6"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Other studies further suggest that deficiency of vitamin D can also synergistically act with mechanical stressors. For example, low back pain in schoolchildren was found to have both biomechanical risk factors and a low serum concentration of vitamin D, indicative of multifactorial etiology [14]. Even though the role of vitamin D is not exclusive to disorders of spinal pain, its relation to systemic diseases like cystic fibrosis-related diabetes further suggests the far-reaching metabolic significance of deficiency [15].</w:t>
      </w:r>
    </w:p>
    <w:p w14:paraId="35A838B2" w14:textId="77777777" w:rsidR="00E3095E" w:rsidRPr="00E3095E" w:rsidRDefault="00E3095E" w:rsidP="00E3095E">
      <w:pPr>
        <w:spacing w:line="240" w:lineRule="auto"/>
        <w:rPr>
          <w:rFonts w:ascii="Times New Roman" w:eastAsia="Times New Roman" w:hAnsi="Times New Roman" w:cs="Times New Roman"/>
          <w:sz w:val="20"/>
          <w:szCs w:val="20"/>
        </w:rPr>
      </w:pPr>
    </w:p>
    <w:p w14:paraId="1193E03B" w14:textId="77777777" w:rsidR="00E3095E" w:rsidRPr="00E3095E" w:rsidRDefault="006F4262" w:rsidP="00E3095E">
      <w:pPr>
        <w:spacing w:line="240" w:lineRule="auto"/>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Collectively, these results provide evidence for the hypothesis that deficiency of vitamin D3 is common among rural individuals and could be further amplifying the load of low back ache. Correction of deficiency by targeted supplementation and prevention measures could thus be a low-cost solution for mitigation of pain severity and enhancement of quality of life in resource-poor settings.</w:t>
      </w:r>
    </w:p>
    <w:p w14:paraId="710DE98F" w14:textId="77777777" w:rsidR="00211AC6" w:rsidRPr="00E3095E" w:rsidRDefault="00211AC6" w:rsidP="00E3095E">
      <w:pPr>
        <w:spacing w:line="240" w:lineRule="auto"/>
        <w:rPr>
          <w:rFonts w:ascii="Times New Roman" w:eastAsia="Times New Roman" w:hAnsi="Times New Roman" w:cs="Times New Roman"/>
          <w:sz w:val="20"/>
          <w:szCs w:val="20"/>
        </w:rPr>
      </w:pPr>
    </w:p>
    <w:p w14:paraId="3DC600A5" w14:textId="77777777" w:rsidR="00211AC6" w:rsidRPr="00E3095E" w:rsidRDefault="006F4262" w:rsidP="00E3095E">
      <w:pPr>
        <w:spacing w:line="240" w:lineRule="auto"/>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CONCLUSION</w:t>
      </w:r>
    </w:p>
    <w:p w14:paraId="701390C8" w14:textId="77777777" w:rsidR="00211AC6" w:rsidRPr="00E3095E" w:rsidRDefault="006F4262" w:rsidP="00E3095E">
      <w:pPr>
        <w:spacing w:line="240" w:lineRule="auto"/>
        <w:rPr>
          <w:rFonts w:ascii="Times New Roman" w:eastAsia="Times New Roman" w:hAnsi="Times New Roman" w:cs="Times New Roman"/>
          <w:sz w:val="20"/>
          <w:szCs w:val="20"/>
          <w:highlight w:val="white"/>
        </w:rPr>
      </w:pPr>
      <w:r w:rsidRPr="00E3095E">
        <w:rPr>
          <w:rFonts w:ascii="Times New Roman" w:eastAsia="Times New Roman" w:hAnsi="Times New Roman" w:cs="Times New Roman"/>
          <w:sz w:val="20"/>
          <w:szCs w:val="20"/>
          <w:highlight w:val="white"/>
        </w:rPr>
        <w:t>According to this study, low back pain in rural populations is strongly correlated with vitamin D3 deficiency, with those who are deficient reporting more severe pain than those who are sufficiently nourished. Considering the high incidence of hypovitaminosis D, especially in women, routine evaluation and treatment of vitamin D3 deficiency may be an easy and affordable way to reduce symptoms and enhance functional results. These results highlight the necessity of preventive measures, such as dietary supplements and lifestyle changes, to lessen the prevalence of low back pain in rural areas with limited resources.</w:t>
      </w:r>
    </w:p>
    <w:p w14:paraId="39A63680" w14:textId="77777777" w:rsidR="00211AC6" w:rsidRPr="00E3095E" w:rsidRDefault="00211AC6" w:rsidP="00E3095E">
      <w:pPr>
        <w:spacing w:line="240" w:lineRule="auto"/>
        <w:rPr>
          <w:rFonts w:ascii="Times New Roman" w:eastAsia="Times New Roman" w:hAnsi="Times New Roman" w:cs="Times New Roman"/>
          <w:b/>
          <w:sz w:val="20"/>
          <w:szCs w:val="20"/>
        </w:rPr>
      </w:pPr>
    </w:p>
    <w:p w14:paraId="3885B16E" w14:textId="77777777" w:rsidR="00211AC6" w:rsidRPr="00E3095E" w:rsidRDefault="006F4262" w:rsidP="00E3095E">
      <w:pPr>
        <w:spacing w:line="240" w:lineRule="auto"/>
        <w:jc w:val="center"/>
        <w:rPr>
          <w:rFonts w:ascii="Times New Roman" w:eastAsia="Times New Roman" w:hAnsi="Times New Roman" w:cs="Times New Roman"/>
          <w:b/>
          <w:sz w:val="20"/>
          <w:szCs w:val="20"/>
        </w:rPr>
      </w:pPr>
      <w:r w:rsidRPr="00E3095E">
        <w:rPr>
          <w:rFonts w:ascii="Times New Roman" w:eastAsia="Times New Roman" w:hAnsi="Times New Roman" w:cs="Times New Roman"/>
          <w:b/>
          <w:sz w:val="20"/>
          <w:szCs w:val="20"/>
        </w:rPr>
        <w:t>REFERENCES</w:t>
      </w:r>
    </w:p>
    <w:p w14:paraId="7BF49622"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Gokcek E, Kaydu A. Assessment of Relationship between Vitamin D Deficiency and Pain Severity in Patients with Low Back Pain: A Retrospective, Observational Study. Anesth Essays Res. 2018 Jul-Sep;12(3):680-684. doi: 10.4103/aer.AER_96_18. Erratum in: Anesth Essays Res. 2018 Oct-Dec;12(4):970. doi: 10.4103/0259-1162.247666. PMID: 30283175; PMCID: PMC6157211.</w:t>
      </w:r>
    </w:p>
    <w:p w14:paraId="713099FF"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Crider K, Williams J, Qi YP, et al. Folic acid supplementation and malaria susceptibility and severity among people taking antifolate antimalarial drugs in endemic areas. </w:t>
      </w:r>
      <w:r w:rsidRPr="00E3095E">
        <w:rPr>
          <w:rFonts w:ascii="Times New Roman" w:eastAsia="Times New Roman" w:hAnsi="Times New Roman" w:cs="Times New Roman"/>
          <w:i/>
          <w:sz w:val="20"/>
          <w:szCs w:val="20"/>
        </w:rPr>
        <w:t>Cochrane Database Syst Rev</w:t>
      </w:r>
      <w:r w:rsidRPr="00E3095E">
        <w:rPr>
          <w:rFonts w:ascii="Times New Roman" w:eastAsia="Times New Roman" w:hAnsi="Times New Roman" w:cs="Times New Roman"/>
          <w:sz w:val="20"/>
          <w:szCs w:val="20"/>
        </w:rPr>
        <w:t>. 2022;2(2022):CD014217. Published 2022 Feb 1. doi:10.1002/14651858.CD014217</w:t>
      </w:r>
    </w:p>
    <w:p w14:paraId="7090D162"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Kanaujia V, Yadav RK, Verma S, Jain S, Patra B, Neyaz O. Correlation between Vitamin D deficiency and nonspecific chronic low back pain: A retrospective observational study. </w:t>
      </w:r>
      <w:r w:rsidRPr="00E3095E">
        <w:rPr>
          <w:rFonts w:ascii="Times New Roman" w:eastAsia="Times New Roman" w:hAnsi="Times New Roman" w:cs="Times New Roman"/>
          <w:i/>
          <w:sz w:val="20"/>
          <w:szCs w:val="20"/>
        </w:rPr>
        <w:t>J Family Med Prim Care</w:t>
      </w:r>
      <w:r w:rsidRPr="00E3095E">
        <w:rPr>
          <w:rFonts w:ascii="Times New Roman" w:eastAsia="Times New Roman" w:hAnsi="Times New Roman" w:cs="Times New Roman"/>
          <w:sz w:val="20"/>
          <w:szCs w:val="20"/>
        </w:rPr>
        <w:t>. 2021;10(2):893-897. doi:10.4103/jfmpc.jfmpc_1478_20</w:t>
      </w:r>
    </w:p>
    <w:p w14:paraId="7EBD7F47"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Johansen JV, Manniche C, Kjaer P. Vitamin D levels appear to be normal in Danish patients attending secondary care for low back pain and a weak positive correlation between serum level Vitamin D and Modic changes was demonstrated: a cross-sectional cohort study of consecutive patients with non-specific low back pain. </w:t>
      </w:r>
      <w:r w:rsidRPr="00E3095E">
        <w:rPr>
          <w:rFonts w:ascii="Times New Roman" w:eastAsia="Times New Roman" w:hAnsi="Times New Roman" w:cs="Times New Roman"/>
          <w:i/>
          <w:sz w:val="20"/>
          <w:szCs w:val="20"/>
        </w:rPr>
        <w:t>BMC Musculoskelet Disord</w:t>
      </w:r>
      <w:r w:rsidRPr="00E3095E">
        <w:rPr>
          <w:rFonts w:ascii="Times New Roman" w:eastAsia="Times New Roman" w:hAnsi="Times New Roman" w:cs="Times New Roman"/>
          <w:sz w:val="20"/>
          <w:szCs w:val="20"/>
        </w:rPr>
        <w:t>. 2013;14:78. Published 2013 Mar 4. doi:10.1186/1471-2474-14-78</w:t>
      </w:r>
    </w:p>
    <w:p w14:paraId="46C8CF89"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011F0A">
        <w:rPr>
          <w:rFonts w:ascii="Times New Roman" w:eastAsia="Times New Roman" w:hAnsi="Times New Roman" w:cs="Times New Roman"/>
          <w:sz w:val="20"/>
          <w:szCs w:val="20"/>
          <w:lang w:val="it-IT"/>
        </w:rPr>
        <w:t xml:space="preserve">Zadro J, Shirley D, Ferreira M, et al. </w:t>
      </w:r>
      <w:r w:rsidRPr="00E3095E">
        <w:rPr>
          <w:rFonts w:ascii="Times New Roman" w:eastAsia="Times New Roman" w:hAnsi="Times New Roman" w:cs="Times New Roman"/>
          <w:sz w:val="20"/>
          <w:szCs w:val="20"/>
        </w:rPr>
        <w:t xml:space="preserve">Mapping the Association between Vitamin D and Low Back Pain: A Systematic Review and Meta-Analysis of Observational Studies. </w:t>
      </w:r>
      <w:r w:rsidRPr="00E3095E">
        <w:rPr>
          <w:rFonts w:ascii="Times New Roman" w:eastAsia="Times New Roman" w:hAnsi="Times New Roman" w:cs="Times New Roman"/>
          <w:i/>
          <w:sz w:val="20"/>
          <w:szCs w:val="20"/>
        </w:rPr>
        <w:t>Pain Physician</w:t>
      </w:r>
      <w:r w:rsidRPr="00E3095E">
        <w:rPr>
          <w:rFonts w:ascii="Times New Roman" w:eastAsia="Times New Roman" w:hAnsi="Times New Roman" w:cs="Times New Roman"/>
          <w:sz w:val="20"/>
          <w:szCs w:val="20"/>
        </w:rPr>
        <w:t>. 2017;20(7):611-640.</w:t>
      </w:r>
    </w:p>
    <w:p w14:paraId="20CEA7A4"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Xu HW, Yi YY, Zhang SB, et al. Does vitamin D status influence lumbar disc degeneration and low back pain in postmenopausal women? A retrospective single-center study. </w:t>
      </w:r>
      <w:r w:rsidRPr="00E3095E">
        <w:rPr>
          <w:rFonts w:ascii="Times New Roman" w:eastAsia="Times New Roman" w:hAnsi="Times New Roman" w:cs="Times New Roman"/>
          <w:i/>
          <w:sz w:val="20"/>
          <w:szCs w:val="20"/>
        </w:rPr>
        <w:t>Menopause</w:t>
      </w:r>
      <w:r w:rsidRPr="00E3095E">
        <w:rPr>
          <w:rFonts w:ascii="Times New Roman" w:eastAsia="Times New Roman" w:hAnsi="Times New Roman" w:cs="Times New Roman"/>
          <w:sz w:val="20"/>
          <w:szCs w:val="20"/>
        </w:rPr>
        <w:t>. 2020;27(5):586-592. doi:10.1097/GME.0000000000001499</w:t>
      </w:r>
    </w:p>
    <w:p w14:paraId="3302157F"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Mattam A, Sunny G. Correlation of Vitamin D and Body Mass Index with Modic Changes in Patients with Non-Specific Low Back Pain in a Sub-Tropical Asian Population. </w:t>
      </w:r>
      <w:r w:rsidRPr="00E3095E">
        <w:rPr>
          <w:rFonts w:ascii="Times New Roman" w:eastAsia="Times New Roman" w:hAnsi="Times New Roman" w:cs="Times New Roman"/>
          <w:i/>
          <w:sz w:val="20"/>
          <w:szCs w:val="20"/>
        </w:rPr>
        <w:t>Asian Spine J</w:t>
      </w:r>
      <w:r w:rsidRPr="00E3095E">
        <w:rPr>
          <w:rFonts w:ascii="Times New Roman" w:eastAsia="Times New Roman" w:hAnsi="Times New Roman" w:cs="Times New Roman"/>
          <w:sz w:val="20"/>
          <w:szCs w:val="20"/>
        </w:rPr>
        <w:t>. 2016;10(1):14-19. doi:10.4184/asj.2016.10.1.14</w:t>
      </w:r>
    </w:p>
    <w:p w14:paraId="71FF7795"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Georgakopoulou VE, Mantzouranis K, Damaskos C, et al. Correlation Between Serum Levels of 25-Hydroxyvitamin D and Severity of Community-Acquired Pneumonia in Hospitalized Patients Assessed by Pneumonia Severity Index: An Observational Descriptive Study. </w:t>
      </w:r>
      <w:r w:rsidRPr="00E3095E">
        <w:rPr>
          <w:rFonts w:ascii="Times New Roman" w:eastAsia="Times New Roman" w:hAnsi="Times New Roman" w:cs="Times New Roman"/>
          <w:i/>
          <w:sz w:val="20"/>
          <w:szCs w:val="20"/>
        </w:rPr>
        <w:t>Cureus</w:t>
      </w:r>
      <w:r w:rsidRPr="00E3095E">
        <w:rPr>
          <w:rFonts w:ascii="Times New Roman" w:eastAsia="Times New Roman" w:hAnsi="Times New Roman" w:cs="Times New Roman"/>
          <w:sz w:val="20"/>
          <w:szCs w:val="20"/>
        </w:rPr>
        <w:t>. 2020;12(7):e8947. Published 2020 Jul 1. doi:10.7759/cureus.8947</w:t>
      </w:r>
    </w:p>
    <w:p w14:paraId="709B9626"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lastRenderedPageBreak/>
        <w:t xml:space="preserve">Rkain H, Bouaddi I, Ibrahimi A, et al. Relationship between vitamin D deficiency and chronic low back pain in postmenopausal women. </w:t>
      </w:r>
      <w:r w:rsidRPr="00E3095E">
        <w:rPr>
          <w:rFonts w:ascii="Times New Roman" w:eastAsia="Times New Roman" w:hAnsi="Times New Roman" w:cs="Times New Roman"/>
          <w:i/>
          <w:sz w:val="20"/>
          <w:szCs w:val="20"/>
        </w:rPr>
        <w:t>Curr Rheumatol Rev</w:t>
      </w:r>
      <w:r w:rsidRPr="00E3095E">
        <w:rPr>
          <w:rFonts w:ascii="Times New Roman" w:eastAsia="Times New Roman" w:hAnsi="Times New Roman" w:cs="Times New Roman"/>
          <w:sz w:val="20"/>
          <w:szCs w:val="20"/>
        </w:rPr>
        <w:t>. 2013;9(1):63-67. doi:10.2174/1573397111309010011</w:t>
      </w:r>
    </w:p>
    <w:p w14:paraId="1BDC15EF"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Kim TH, Lee BH, Lee HM, et al. Prevalence of vitamin D deficiency in patients with lumbar spinal stenosis and its relationship with pain. </w:t>
      </w:r>
      <w:r w:rsidRPr="00E3095E">
        <w:rPr>
          <w:rFonts w:ascii="Times New Roman" w:eastAsia="Times New Roman" w:hAnsi="Times New Roman" w:cs="Times New Roman"/>
          <w:i/>
          <w:sz w:val="20"/>
          <w:szCs w:val="20"/>
        </w:rPr>
        <w:t>Pain Physician</w:t>
      </w:r>
      <w:r w:rsidRPr="00E3095E">
        <w:rPr>
          <w:rFonts w:ascii="Times New Roman" w:eastAsia="Times New Roman" w:hAnsi="Times New Roman" w:cs="Times New Roman"/>
          <w:sz w:val="20"/>
          <w:szCs w:val="20"/>
        </w:rPr>
        <w:t>. 2013;16(2):165-176.</w:t>
      </w:r>
    </w:p>
    <w:p w14:paraId="65423B7A"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011F0A">
        <w:rPr>
          <w:rFonts w:ascii="Times New Roman" w:eastAsia="Times New Roman" w:hAnsi="Times New Roman" w:cs="Times New Roman"/>
          <w:sz w:val="20"/>
          <w:szCs w:val="20"/>
          <w:lang w:val="it-IT"/>
        </w:rPr>
        <w:t xml:space="preserve">Al-Rawaf HA, Gabr SA, Alghadir AH. </w:t>
      </w:r>
      <w:r w:rsidRPr="00E3095E">
        <w:rPr>
          <w:rFonts w:ascii="Times New Roman" w:eastAsia="Times New Roman" w:hAnsi="Times New Roman" w:cs="Times New Roman"/>
          <w:sz w:val="20"/>
          <w:szCs w:val="20"/>
        </w:rPr>
        <w:t xml:space="preserve">Vitamin D Deficiency and Molecular Changes in Circulating MicroRNAs in Older Adults with Lower Back Pain. </w:t>
      </w:r>
      <w:r w:rsidRPr="00E3095E">
        <w:rPr>
          <w:rFonts w:ascii="Times New Roman" w:eastAsia="Times New Roman" w:hAnsi="Times New Roman" w:cs="Times New Roman"/>
          <w:i/>
          <w:sz w:val="20"/>
          <w:szCs w:val="20"/>
        </w:rPr>
        <w:t>Pain Res Manag</w:t>
      </w:r>
      <w:r w:rsidRPr="00E3095E">
        <w:rPr>
          <w:rFonts w:ascii="Times New Roman" w:eastAsia="Times New Roman" w:hAnsi="Times New Roman" w:cs="Times New Roman"/>
          <w:sz w:val="20"/>
          <w:szCs w:val="20"/>
        </w:rPr>
        <w:t>. 2021;2021:6662651. Published 2021 May 17. doi:10.1155/2021/6662651</w:t>
      </w:r>
    </w:p>
    <w:p w14:paraId="38F0A65D"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Ghai B, Bansal D, Kapil G, Kanukula R, Lavudiya S, Sachdeva N. High Prevalence of Hypovitaminosis D in Indian Chronic Low Back Patients. </w:t>
      </w:r>
      <w:r w:rsidRPr="00E3095E">
        <w:rPr>
          <w:rFonts w:ascii="Times New Roman" w:eastAsia="Times New Roman" w:hAnsi="Times New Roman" w:cs="Times New Roman"/>
          <w:i/>
          <w:sz w:val="20"/>
          <w:szCs w:val="20"/>
        </w:rPr>
        <w:t>Pain Physician</w:t>
      </w:r>
      <w:r w:rsidRPr="00E3095E">
        <w:rPr>
          <w:rFonts w:ascii="Times New Roman" w:eastAsia="Times New Roman" w:hAnsi="Times New Roman" w:cs="Times New Roman"/>
          <w:sz w:val="20"/>
          <w:szCs w:val="20"/>
        </w:rPr>
        <w:t>. 2015;18(5):E853-E862.</w:t>
      </w:r>
    </w:p>
    <w:p w14:paraId="032B1EF9"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Heuch I, Heuch I, Hagen K, Mai XM, Langhammer A, Zwart JA. Is there an association between vitamin D status and risk of chronic low back pain? A nested case-control analysis in the Nord-Trøndelag Health Study. </w:t>
      </w:r>
      <w:r w:rsidRPr="00E3095E">
        <w:rPr>
          <w:rFonts w:ascii="Times New Roman" w:eastAsia="Times New Roman" w:hAnsi="Times New Roman" w:cs="Times New Roman"/>
          <w:i/>
          <w:sz w:val="20"/>
          <w:szCs w:val="20"/>
        </w:rPr>
        <w:t>BMJ Open</w:t>
      </w:r>
      <w:r w:rsidRPr="00E3095E">
        <w:rPr>
          <w:rFonts w:ascii="Times New Roman" w:eastAsia="Times New Roman" w:hAnsi="Times New Roman" w:cs="Times New Roman"/>
          <w:sz w:val="20"/>
          <w:szCs w:val="20"/>
        </w:rPr>
        <w:t>. 2017;7(11):e018521. Published 2017 Nov 25. doi:10.1136/bmjopen-2017-018521</w:t>
      </w:r>
    </w:p>
    <w:p w14:paraId="284FDA20"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E3095E">
        <w:rPr>
          <w:rFonts w:ascii="Times New Roman" w:eastAsia="Times New Roman" w:hAnsi="Times New Roman" w:cs="Times New Roman"/>
          <w:sz w:val="20"/>
          <w:szCs w:val="20"/>
        </w:rPr>
        <w:t xml:space="preserve">Peng Y, Wu M, Alvarez JA, Tangpricha V. Vitamin D Status and Risk of Cystic Fibrosis-Related Diabetes: A Retrospective Single Center Cohort Study. </w:t>
      </w:r>
      <w:r w:rsidRPr="00E3095E">
        <w:rPr>
          <w:rFonts w:ascii="Times New Roman" w:eastAsia="Times New Roman" w:hAnsi="Times New Roman" w:cs="Times New Roman"/>
          <w:i/>
          <w:sz w:val="20"/>
          <w:szCs w:val="20"/>
        </w:rPr>
        <w:t>Nutrients</w:t>
      </w:r>
      <w:r w:rsidRPr="00E3095E">
        <w:rPr>
          <w:rFonts w:ascii="Times New Roman" w:eastAsia="Times New Roman" w:hAnsi="Times New Roman" w:cs="Times New Roman"/>
          <w:sz w:val="20"/>
          <w:szCs w:val="20"/>
        </w:rPr>
        <w:t>. 2021;13(11):4048. Published 2021 Nov 12. doi:10.3390/nu13114048</w:t>
      </w:r>
    </w:p>
    <w:p w14:paraId="1A6FC2CA" w14:textId="77777777" w:rsidR="00211AC6" w:rsidRPr="00E3095E" w:rsidRDefault="006F4262" w:rsidP="00E3095E">
      <w:pPr>
        <w:numPr>
          <w:ilvl w:val="0"/>
          <w:numId w:val="1"/>
        </w:numPr>
        <w:shd w:val="clear" w:color="auto" w:fill="FFFFFF"/>
        <w:spacing w:line="240" w:lineRule="auto"/>
        <w:ind w:left="360"/>
        <w:rPr>
          <w:rFonts w:ascii="Times New Roman" w:eastAsia="Times New Roman" w:hAnsi="Times New Roman" w:cs="Times New Roman"/>
          <w:sz w:val="20"/>
          <w:szCs w:val="20"/>
        </w:rPr>
      </w:pPr>
      <w:r w:rsidRPr="00011F0A">
        <w:rPr>
          <w:rFonts w:ascii="Times New Roman" w:eastAsia="Times New Roman" w:hAnsi="Times New Roman" w:cs="Times New Roman"/>
          <w:sz w:val="20"/>
          <w:szCs w:val="20"/>
          <w:lang w:val="it-IT"/>
        </w:rPr>
        <w:t xml:space="preserve">Alghadir AH, Gabr SA, Al-Eisa ES. </w:t>
      </w:r>
      <w:r w:rsidRPr="00E3095E">
        <w:rPr>
          <w:rFonts w:ascii="Times New Roman" w:eastAsia="Times New Roman" w:hAnsi="Times New Roman" w:cs="Times New Roman"/>
          <w:sz w:val="20"/>
          <w:szCs w:val="20"/>
        </w:rPr>
        <w:t xml:space="preserve">Mechanical factors and vitamin D deficiency in schoolchildren with low back pain: biochemical and cross-sectional survey analysis. </w:t>
      </w:r>
      <w:r w:rsidRPr="00E3095E">
        <w:rPr>
          <w:rFonts w:ascii="Times New Roman" w:eastAsia="Times New Roman" w:hAnsi="Times New Roman" w:cs="Times New Roman"/>
          <w:i/>
          <w:sz w:val="20"/>
          <w:szCs w:val="20"/>
        </w:rPr>
        <w:t>J Pain Res</w:t>
      </w:r>
      <w:r w:rsidRPr="00E3095E">
        <w:rPr>
          <w:rFonts w:ascii="Times New Roman" w:eastAsia="Times New Roman" w:hAnsi="Times New Roman" w:cs="Times New Roman"/>
          <w:sz w:val="20"/>
          <w:szCs w:val="20"/>
        </w:rPr>
        <w:t>. 2017;10:855-865. Published 2017 Apr 11. doi:10.2147/JPR.S124859</w:t>
      </w:r>
    </w:p>
    <w:p w14:paraId="4C907C99" w14:textId="77777777" w:rsidR="00211AC6" w:rsidRPr="00E3095E" w:rsidRDefault="00211AC6" w:rsidP="00E3095E">
      <w:pPr>
        <w:tabs>
          <w:tab w:val="left" w:pos="555"/>
        </w:tabs>
        <w:spacing w:line="240" w:lineRule="auto"/>
        <w:rPr>
          <w:rFonts w:ascii="Times New Roman" w:eastAsia="Times New Roman" w:hAnsi="Times New Roman" w:cs="Times New Roman"/>
          <w:sz w:val="20"/>
          <w:szCs w:val="20"/>
        </w:rPr>
      </w:pPr>
    </w:p>
    <w:p w14:paraId="5E08E2C8" w14:textId="77777777" w:rsidR="00211AC6" w:rsidRPr="00E3095E" w:rsidRDefault="00211AC6" w:rsidP="00E3095E">
      <w:pPr>
        <w:tabs>
          <w:tab w:val="left" w:pos="555"/>
        </w:tabs>
        <w:spacing w:line="240" w:lineRule="auto"/>
        <w:rPr>
          <w:rFonts w:ascii="Times New Roman" w:eastAsia="Times New Roman" w:hAnsi="Times New Roman" w:cs="Times New Roman"/>
          <w:sz w:val="20"/>
          <w:szCs w:val="20"/>
          <w:highlight w:val="white"/>
        </w:rPr>
      </w:pPr>
    </w:p>
    <w:sectPr w:rsidR="00211AC6" w:rsidRPr="00E3095E" w:rsidSect="00FF589A">
      <w:footerReference w:type="default" r:id="rId13"/>
      <w:pgSz w:w="11909" w:h="16834" w:code="9"/>
      <w:pgMar w:top="1134" w:right="1080" w:bottom="1276" w:left="1080" w:header="720" w:footer="435" w:gutter="0"/>
      <w:pgNumType w:start="203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88C4" w14:textId="77777777" w:rsidR="00036643" w:rsidRDefault="00036643">
      <w:pPr>
        <w:spacing w:line="240" w:lineRule="auto"/>
      </w:pPr>
      <w:r>
        <w:separator/>
      </w:r>
    </w:p>
  </w:endnote>
  <w:endnote w:type="continuationSeparator" w:id="0">
    <w:p w14:paraId="2E69D25C" w14:textId="77777777" w:rsidR="00036643" w:rsidRDefault="000366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981"/>
      <w:gridCol w:w="998"/>
    </w:tblGrid>
    <w:tr w:rsidR="00E3095E" w:rsidRPr="001C4F91" w14:paraId="4D674891" w14:textId="77777777" w:rsidTr="006C126B">
      <w:tc>
        <w:tcPr>
          <w:tcW w:w="4500" w:type="pct"/>
          <w:tcBorders>
            <w:top w:val="single" w:sz="4" w:space="0" w:color="000000"/>
          </w:tcBorders>
        </w:tcPr>
        <w:p w14:paraId="7EF8ACD7" w14:textId="50460827" w:rsidR="00E3095E" w:rsidRPr="001C4F91" w:rsidRDefault="00E3095E" w:rsidP="006C126B">
          <w:pPr>
            <w:tabs>
              <w:tab w:val="center" w:pos="4513"/>
              <w:tab w:val="right" w:pos="9026"/>
            </w:tabs>
            <w:spacing w:line="240" w:lineRule="auto"/>
            <w:rPr>
              <w:rFonts w:ascii="Calibri" w:eastAsia="Calibri" w:hAnsi="Calibri" w:cs="Vrinda"/>
              <w:i/>
              <w:iCs/>
              <w:sz w:val="18"/>
              <w:szCs w:val="18"/>
              <w:lang w:val="en-IN"/>
            </w:rPr>
          </w:pPr>
          <w:r w:rsidRPr="000C2370">
            <w:rPr>
              <w:rFonts w:ascii="Calibri" w:eastAsia="Calibri" w:hAnsi="Calibri" w:cs="Vrinda"/>
              <w:b/>
              <w:bCs/>
              <w:color w:val="17365D"/>
              <w:sz w:val="18"/>
              <w:szCs w:val="18"/>
              <w:lang w:val="en-IN"/>
            </w:rPr>
            <w:t>Dr Hemjit Das</w:t>
          </w:r>
          <w:r w:rsidRPr="001C4F91">
            <w:rPr>
              <w:rFonts w:ascii="Calibri" w:eastAsia="Calibri" w:hAnsi="Calibri" w:cs="Vrinda"/>
              <w:sz w:val="18"/>
              <w:szCs w:val="18"/>
              <w:lang w:val="en-IN"/>
            </w:rPr>
            <w:t xml:space="preserve"> </w:t>
          </w:r>
          <w:r w:rsidRPr="001C4F91">
            <w:rPr>
              <w:rFonts w:ascii="Calibri" w:eastAsia="Calibri" w:hAnsi="Calibri" w:cs="Vrinda"/>
              <w:i/>
              <w:iCs/>
              <w:sz w:val="18"/>
              <w:szCs w:val="18"/>
              <w:lang w:val="en-IN"/>
            </w:rPr>
            <w:t xml:space="preserve">et al. </w:t>
          </w:r>
          <w:r w:rsidRPr="000C2370">
            <w:rPr>
              <w:rFonts w:ascii="Calibri" w:eastAsia="Calibri" w:hAnsi="Calibri" w:cs="Vrinda"/>
              <w:sz w:val="18"/>
              <w:szCs w:val="18"/>
              <w:lang w:val="en-IN"/>
            </w:rPr>
            <w:t>Role of Vitamin D3 deficiency in cases of Low Back Ache in Rural based population</w:t>
          </w:r>
          <w:r w:rsidRPr="001C4F91">
            <w:rPr>
              <w:rFonts w:ascii="Calibri" w:eastAsia="Calibri" w:hAnsi="Calibri" w:cs="Vrinda"/>
              <w:i/>
              <w:iCs/>
              <w:sz w:val="18"/>
              <w:szCs w:val="18"/>
              <w:lang w:val="en-IN"/>
            </w:rPr>
            <w:t>. Int. J Med. Pharm. Res., 6 (</w:t>
          </w:r>
          <w:r>
            <w:rPr>
              <w:rFonts w:ascii="Calibri" w:eastAsia="Calibri" w:hAnsi="Calibri" w:cs="Vrinda"/>
              <w:i/>
              <w:iCs/>
              <w:sz w:val="18"/>
              <w:szCs w:val="18"/>
              <w:lang w:val="en-IN"/>
            </w:rPr>
            <w:t>6</w:t>
          </w:r>
          <w:r w:rsidRPr="001C4F91">
            <w:rPr>
              <w:rFonts w:ascii="Calibri" w:eastAsia="Calibri" w:hAnsi="Calibri" w:cs="Vrinda"/>
              <w:i/>
              <w:iCs/>
              <w:sz w:val="18"/>
              <w:szCs w:val="18"/>
              <w:lang w:val="en-IN"/>
            </w:rPr>
            <w:t xml:space="preserve">): </w:t>
          </w:r>
          <w:r w:rsidR="00FF589A">
            <w:rPr>
              <w:rFonts w:ascii="Calibri" w:eastAsia="Calibri" w:hAnsi="Calibri" w:cs="Vrinda"/>
              <w:i/>
              <w:iCs/>
              <w:sz w:val="18"/>
              <w:szCs w:val="18"/>
              <w:lang w:val="en-IN"/>
            </w:rPr>
            <w:t>2030</w:t>
          </w:r>
          <w:r w:rsidRPr="001C4F91">
            <w:rPr>
              <w:rFonts w:ascii="Calibri" w:eastAsia="Calibri" w:hAnsi="Calibri" w:cs="Vrinda"/>
              <w:i/>
              <w:iCs/>
              <w:sz w:val="18"/>
              <w:szCs w:val="18"/>
              <w:lang w:val="en-IN"/>
            </w:rPr>
            <w:t>‐</w:t>
          </w:r>
          <w:r w:rsidR="00FF589A">
            <w:rPr>
              <w:rFonts w:ascii="Calibri" w:eastAsia="Calibri" w:hAnsi="Calibri" w:cs="Vrinda"/>
              <w:i/>
              <w:iCs/>
              <w:sz w:val="18"/>
              <w:szCs w:val="18"/>
              <w:lang w:val="en-IN"/>
            </w:rPr>
            <w:t>2034</w:t>
          </w:r>
          <w:r w:rsidRPr="001C4F91">
            <w:rPr>
              <w:rFonts w:ascii="Calibri" w:eastAsia="Calibri" w:hAnsi="Calibri" w:cs="Vrinda"/>
              <w:i/>
              <w:iCs/>
              <w:sz w:val="18"/>
              <w:szCs w:val="18"/>
              <w:lang w:val="en-IN"/>
            </w:rPr>
            <w:t>, 2025</w:t>
          </w:r>
        </w:p>
      </w:tc>
      <w:tc>
        <w:tcPr>
          <w:tcW w:w="500" w:type="pct"/>
          <w:tcBorders>
            <w:top w:val="single" w:sz="4" w:space="0" w:color="auto"/>
          </w:tcBorders>
        </w:tcPr>
        <w:p w14:paraId="250BB68F" w14:textId="77777777" w:rsidR="00E3095E" w:rsidRPr="001C4F91" w:rsidRDefault="00E3095E" w:rsidP="006C126B">
          <w:pPr>
            <w:tabs>
              <w:tab w:val="center" w:pos="4513"/>
              <w:tab w:val="right" w:pos="9026"/>
            </w:tabs>
            <w:spacing w:line="240" w:lineRule="auto"/>
            <w:rPr>
              <w:rFonts w:ascii="Calibri" w:eastAsia="Calibri" w:hAnsi="Calibri" w:cs="Vrinda"/>
              <w:b/>
              <w:bCs/>
              <w:sz w:val="22"/>
              <w:lang w:val="en-IN"/>
            </w:rPr>
          </w:pPr>
          <w:r w:rsidRPr="001C4F91">
            <w:rPr>
              <w:rFonts w:ascii="Calibri" w:eastAsia="Calibri" w:hAnsi="Calibri" w:cs="Vrinda"/>
              <w:b/>
              <w:bCs/>
              <w:sz w:val="22"/>
              <w:lang w:val="en-IN"/>
            </w:rPr>
            <w:fldChar w:fldCharType="begin"/>
          </w:r>
          <w:r w:rsidRPr="001C4F91">
            <w:rPr>
              <w:rFonts w:ascii="Calibri" w:eastAsia="Calibri" w:hAnsi="Calibri" w:cs="Vrinda"/>
              <w:b/>
              <w:bCs/>
              <w:sz w:val="22"/>
              <w:lang w:val="en-IN"/>
            </w:rPr>
            <w:instrText xml:space="preserve"> PAGE   \* MERGEFORMAT </w:instrText>
          </w:r>
          <w:r w:rsidRPr="001C4F91">
            <w:rPr>
              <w:rFonts w:ascii="Calibri" w:eastAsia="Calibri" w:hAnsi="Calibri" w:cs="Vrinda"/>
              <w:b/>
              <w:bCs/>
              <w:sz w:val="22"/>
              <w:lang w:val="en-IN"/>
            </w:rPr>
            <w:fldChar w:fldCharType="separate"/>
          </w:r>
          <w:r w:rsidR="006177B2">
            <w:rPr>
              <w:rFonts w:ascii="Calibri" w:eastAsia="Calibri" w:hAnsi="Calibri" w:cs="Vrinda"/>
              <w:b/>
              <w:bCs/>
              <w:noProof/>
              <w:sz w:val="22"/>
              <w:lang w:val="en-IN"/>
            </w:rPr>
            <w:t>1</w:t>
          </w:r>
          <w:r w:rsidRPr="001C4F91">
            <w:rPr>
              <w:rFonts w:ascii="Calibri" w:eastAsia="Calibri" w:hAnsi="Calibri" w:cs="Vrinda"/>
              <w:b/>
              <w:bCs/>
              <w:sz w:val="22"/>
              <w:lang w:val="en-IN"/>
            </w:rPr>
            <w:fldChar w:fldCharType="end"/>
          </w:r>
        </w:p>
      </w:tc>
    </w:tr>
  </w:tbl>
  <w:p w14:paraId="0E57BA7F" w14:textId="77777777" w:rsidR="00E3095E" w:rsidRDefault="00E30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8582E" w14:textId="77777777" w:rsidR="00036643" w:rsidRDefault="00036643">
      <w:pPr>
        <w:spacing w:line="240" w:lineRule="auto"/>
      </w:pPr>
      <w:r>
        <w:separator/>
      </w:r>
    </w:p>
  </w:footnote>
  <w:footnote w:type="continuationSeparator" w:id="0">
    <w:p w14:paraId="6D036E2D" w14:textId="77777777" w:rsidR="00036643" w:rsidRDefault="000366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410E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23917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11AC6"/>
    <w:rsid w:val="00011F0A"/>
    <w:rsid w:val="00036643"/>
    <w:rsid w:val="000804B2"/>
    <w:rsid w:val="00211AC6"/>
    <w:rsid w:val="006177B2"/>
    <w:rsid w:val="006F4262"/>
    <w:rsid w:val="00AE4666"/>
    <w:rsid w:val="00B34DF5"/>
    <w:rsid w:val="00E3095E"/>
    <w:rsid w:val="00EE38C9"/>
    <w:rsid w:val="00FF5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79B94"/>
  <w15:docId w15:val="{8F69BB8D-8B51-4EE0-B9D1-E65D75BC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sz w:val="21"/>
    </w:rPr>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Pr>
  </w:style>
  <w:style w:type="paragraph" w:styleId="BalloonText">
    <w:name w:val="Balloon Text"/>
    <w:basedOn w:val="Normal"/>
    <w:link w:val="BalloonTextChar"/>
    <w:uiPriority w:val="99"/>
    <w:semiHidden/>
    <w:unhideWhenUsed/>
    <w:rsid w:val="00E309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95E"/>
    <w:rPr>
      <w:rFonts w:ascii="Tahoma" w:hAnsi="Tahoma" w:cs="Tahoma"/>
      <w:sz w:val="16"/>
      <w:szCs w:val="16"/>
    </w:rPr>
  </w:style>
  <w:style w:type="table" w:styleId="TableGrid">
    <w:name w:val="Table Grid"/>
    <w:basedOn w:val="TableNormal"/>
    <w:uiPriority w:val="39"/>
    <w:rsid w:val="00E3095E"/>
    <w:pPr>
      <w:spacing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95E"/>
    <w:pPr>
      <w:tabs>
        <w:tab w:val="center" w:pos="4680"/>
        <w:tab w:val="right" w:pos="9360"/>
      </w:tabs>
      <w:spacing w:line="240" w:lineRule="auto"/>
    </w:pPr>
  </w:style>
  <w:style w:type="character" w:customStyle="1" w:styleId="HeaderChar">
    <w:name w:val="Header Char"/>
    <w:basedOn w:val="DefaultParagraphFont"/>
    <w:link w:val="Header"/>
    <w:uiPriority w:val="99"/>
    <w:rsid w:val="00E3095E"/>
    <w:rPr>
      <w:sz w:val="21"/>
    </w:rPr>
  </w:style>
  <w:style w:type="paragraph" w:styleId="Footer">
    <w:name w:val="footer"/>
    <w:basedOn w:val="Normal"/>
    <w:link w:val="FooterChar"/>
    <w:uiPriority w:val="99"/>
    <w:unhideWhenUsed/>
    <w:rsid w:val="00E3095E"/>
    <w:pPr>
      <w:tabs>
        <w:tab w:val="center" w:pos="4680"/>
        <w:tab w:val="right" w:pos="9360"/>
      </w:tabs>
      <w:spacing w:line="240" w:lineRule="auto"/>
    </w:pPr>
  </w:style>
  <w:style w:type="character" w:customStyle="1" w:styleId="FooterChar">
    <w:name w:val="Footer Char"/>
    <w:basedOn w:val="DefaultParagraphFont"/>
    <w:link w:val="Footer"/>
    <w:uiPriority w:val="99"/>
    <w:rsid w:val="00E3095E"/>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jmpr.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Kausar Habib</cp:lastModifiedBy>
  <cp:revision>5</cp:revision>
  <dcterms:created xsi:type="dcterms:W3CDTF">2025-11-30T14:08:00Z</dcterms:created>
  <dcterms:modified xsi:type="dcterms:W3CDTF">2026-01-04T09:53:00Z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204a6bc204124d69a4afdf5bf3c0055a</vt:lpwstr>
  </property>
</Properties>
</file>