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1FA1D" w14:textId="77777777" w:rsidR="00BD47BB" w:rsidRPr="00850691" w:rsidRDefault="00BD47BB" w:rsidP="00BE5E73">
      <w:pPr>
        <w:pStyle w:val="Title"/>
        <w:jc w:val="left"/>
        <w:rPr>
          <w:rFonts w:asciiTheme="minorHAnsi" w:hAnsiTheme="minorHAnsi" w:cstheme="minorHAnsi"/>
          <w:lang w:eastAsia="zh-CN"/>
        </w:rPr>
        <w:sectPr w:rsidR="00BD47BB" w:rsidRPr="00850691" w:rsidSect="00E31404">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432" w:footer="720" w:gutter="0"/>
          <w:cols w:space="720"/>
          <w:docGrid w:linePitch="360"/>
        </w:sectPr>
      </w:pPr>
    </w:p>
    <w:p w14:paraId="16F910FF" w14:textId="77777777" w:rsidR="00416539" w:rsidRPr="00164435" w:rsidRDefault="00416539" w:rsidP="00416539">
      <w:pPr>
        <w:pStyle w:val="Note"/>
        <w:jc w:val="both"/>
        <w:rPr>
          <w:rFonts w:eastAsia="Times New Roman"/>
          <w:color w:val="auto"/>
          <w:sz w:val="24"/>
          <w:szCs w:val="24"/>
        </w:rPr>
      </w:pPr>
      <w:r w:rsidRPr="00164435">
        <w:rPr>
          <w:rFonts w:eastAsia="Times New Roman"/>
          <w:color w:val="auto"/>
          <w:sz w:val="24"/>
          <w:szCs w:val="24"/>
        </w:rPr>
        <w:t>Reconciling a Low-Cloud</w:t>
      </w:r>
      <w:r>
        <w:rPr>
          <w:rFonts w:eastAsia="Times New Roman"/>
          <w:color w:val="auto"/>
          <w:sz w:val="24"/>
          <w:szCs w:val="24"/>
        </w:rPr>
        <w:t xml:space="preserve"> Seasonal Variation Emergent Constraint</w:t>
      </w:r>
      <w:r w:rsidRPr="00164435">
        <w:rPr>
          <w:rFonts w:eastAsia="Times New Roman"/>
          <w:color w:val="auto"/>
          <w:sz w:val="24"/>
          <w:szCs w:val="24"/>
        </w:rPr>
        <w:t xml:space="preserve"> Conundrum</w:t>
      </w:r>
      <w:r>
        <w:rPr>
          <w:rFonts w:eastAsia="Times New Roman"/>
          <w:color w:val="auto"/>
          <w:sz w:val="24"/>
          <w:szCs w:val="24"/>
        </w:rPr>
        <w:t xml:space="preserve"> using</w:t>
      </w:r>
      <w:r w:rsidRPr="00164435">
        <w:rPr>
          <w:rFonts w:eastAsia="Times New Roman"/>
          <w:color w:val="auto"/>
          <w:sz w:val="24"/>
          <w:szCs w:val="24"/>
        </w:rPr>
        <w:t xml:space="preserve"> </w:t>
      </w:r>
      <w:r>
        <w:rPr>
          <w:rFonts w:eastAsia="Times New Roman"/>
          <w:color w:val="auto"/>
          <w:sz w:val="24"/>
          <w:szCs w:val="24"/>
        </w:rPr>
        <w:t>a</w:t>
      </w:r>
      <w:r w:rsidRPr="00164435">
        <w:rPr>
          <w:rFonts w:eastAsia="Times New Roman"/>
          <w:color w:val="auto"/>
          <w:sz w:val="24"/>
          <w:szCs w:val="24"/>
        </w:rPr>
        <w:t xml:space="preserve"> Physic</w:t>
      </w:r>
      <w:r>
        <w:rPr>
          <w:rFonts w:eastAsia="Times New Roman"/>
          <w:color w:val="auto"/>
          <w:sz w:val="24"/>
          <w:szCs w:val="24"/>
        </w:rPr>
        <w:t>s</w:t>
      </w:r>
      <w:r w:rsidRPr="00164435">
        <w:rPr>
          <w:rFonts w:eastAsia="Times New Roman"/>
          <w:color w:val="auto"/>
          <w:sz w:val="24"/>
          <w:szCs w:val="24"/>
        </w:rPr>
        <w:t>-</w:t>
      </w:r>
      <w:r>
        <w:rPr>
          <w:rFonts w:eastAsia="Times New Roman"/>
          <w:color w:val="auto"/>
          <w:sz w:val="24"/>
          <w:szCs w:val="24"/>
        </w:rPr>
        <w:t>b</w:t>
      </w:r>
      <w:r w:rsidRPr="00164435">
        <w:rPr>
          <w:rFonts w:eastAsia="Times New Roman"/>
          <w:color w:val="auto"/>
          <w:sz w:val="24"/>
          <w:szCs w:val="24"/>
        </w:rPr>
        <w:t>ased Classification</w:t>
      </w:r>
    </w:p>
    <w:p w14:paraId="6EAEA44E" w14:textId="3DDBA2EF" w:rsidR="00C94AA5" w:rsidRPr="00164435" w:rsidRDefault="00C94AA5" w:rsidP="00B120F3">
      <w:pPr>
        <w:pStyle w:val="Note"/>
      </w:pPr>
      <w:r w:rsidRPr="00164435">
        <w:t xml:space="preserve">(A title should be specific, informative, and brief. </w:t>
      </w:r>
      <w:r w:rsidR="00B81C79" w:rsidRPr="00164435">
        <w:t xml:space="preserve">Capitalize major words in titles, but not conjunctions and articles. </w:t>
      </w:r>
      <w:r w:rsidRPr="00164435">
        <w:t>Use abbreviations only if they are defined in the abstract. Titles that start with general terms then specific results are optimized in searches</w:t>
      </w:r>
      <w:r w:rsidR="000379AB" w:rsidRPr="00164435">
        <w:t>—delete these notes when done</w:t>
      </w:r>
      <w:r w:rsidRPr="00164435">
        <w:t>)</w:t>
      </w:r>
    </w:p>
    <w:p w14:paraId="32E6B0CF" w14:textId="573B0A1B" w:rsidR="00C94AA5" w:rsidRPr="00164435" w:rsidRDefault="00545B6C" w:rsidP="00B120F3">
      <w:pPr>
        <w:pStyle w:val="Authors"/>
        <w:rPr>
          <w:bCs/>
        </w:rPr>
      </w:pPr>
      <w:r w:rsidRPr="00164435">
        <w:rPr>
          <w:bCs/>
        </w:rPr>
        <w:t xml:space="preserve">Enter authors here: </w:t>
      </w:r>
      <w:r w:rsidR="005868DC" w:rsidRPr="00164435">
        <w:rPr>
          <w:bCs/>
        </w:rPr>
        <w:t>Shuangchen Du</w:t>
      </w:r>
      <w:r w:rsidR="005A7759" w:rsidRPr="00164435">
        <w:rPr>
          <w:vertAlign w:val="superscript"/>
        </w:rPr>
        <w:t>1</w:t>
      </w:r>
      <w:r w:rsidR="00C94AA5" w:rsidRPr="00164435">
        <w:rPr>
          <w:bCs/>
        </w:rPr>
        <w:t xml:space="preserve">, </w:t>
      </w:r>
      <w:r w:rsidR="005868DC" w:rsidRPr="00164435">
        <w:rPr>
          <w:bCs/>
        </w:rPr>
        <w:t>Hui Su</w:t>
      </w:r>
      <w:r w:rsidR="005A7759" w:rsidRPr="00164435">
        <w:rPr>
          <w:vertAlign w:val="superscript"/>
        </w:rPr>
        <w:t>1</w:t>
      </w:r>
      <w:r w:rsidR="005868DC" w:rsidRPr="00164435">
        <w:rPr>
          <w:bCs/>
        </w:rPr>
        <w:t>*</w:t>
      </w:r>
      <w:r w:rsidR="00C94AA5" w:rsidRPr="00164435">
        <w:rPr>
          <w:bCs/>
        </w:rPr>
        <w:t xml:space="preserve">, </w:t>
      </w:r>
      <w:proofErr w:type="spellStart"/>
      <w:r w:rsidR="005868DC" w:rsidRPr="00164435">
        <w:rPr>
          <w:bCs/>
        </w:rPr>
        <w:t>Mengxi</w:t>
      </w:r>
      <w:proofErr w:type="spellEnd"/>
      <w:r w:rsidR="005868DC" w:rsidRPr="00164435">
        <w:rPr>
          <w:bCs/>
        </w:rPr>
        <w:t xml:space="preserve"> Wu</w:t>
      </w:r>
      <w:r w:rsidR="005A7759" w:rsidRPr="00164435">
        <w:rPr>
          <w:vertAlign w:val="superscript"/>
        </w:rPr>
        <w:t>1</w:t>
      </w:r>
      <w:r w:rsidR="007335E7" w:rsidRPr="00164435">
        <w:rPr>
          <w:bCs/>
        </w:rPr>
        <w:t xml:space="preserve">, </w:t>
      </w:r>
      <w:proofErr w:type="spellStart"/>
      <w:r w:rsidR="007335E7" w:rsidRPr="00164435">
        <w:rPr>
          <w:bCs/>
        </w:rPr>
        <w:t>Chengxing</w:t>
      </w:r>
      <w:proofErr w:type="spellEnd"/>
      <w:r w:rsidR="007335E7" w:rsidRPr="00164435">
        <w:rPr>
          <w:bCs/>
        </w:rPr>
        <w:t xml:space="preserve"> Zhai</w:t>
      </w:r>
      <w:r w:rsidR="007335E7" w:rsidRPr="00164435">
        <w:rPr>
          <w:vertAlign w:val="superscript"/>
        </w:rPr>
        <w:t xml:space="preserve">2 </w:t>
      </w:r>
      <w:r w:rsidRPr="00164435">
        <w:rPr>
          <w:bCs/>
        </w:rPr>
        <w:t xml:space="preserve">and </w:t>
      </w:r>
      <w:r w:rsidR="00F2149C" w:rsidRPr="00164435">
        <w:rPr>
          <w:bCs/>
        </w:rPr>
        <w:t>Xiaoming</w:t>
      </w:r>
      <w:r w:rsidR="005868DC" w:rsidRPr="00164435">
        <w:rPr>
          <w:bCs/>
        </w:rPr>
        <w:t xml:space="preserve"> </w:t>
      </w:r>
      <w:r w:rsidR="00F2149C" w:rsidRPr="00164435">
        <w:rPr>
          <w:bCs/>
        </w:rPr>
        <w:t>Sh</w:t>
      </w:r>
      <w:r w:rsidR="005868DC" w:rsidRPr="00164435">
        <w:rPr>
          <w:bCs/>
        </w:rPr>
        <w:t>i</w:t>
      </w:r>
      <w:r w:rsidR="00F23FA5" w:rsidRPr="00164435">
        <w:rPr>
          <w:vertAlign w:val="superscript"/>
          <w:lang w:eastAsia="zh-CN"/>
        </w:rPr>
        <w:t>3</w:t>
      </w:r>
      <w:r w:rsidR="006F662E" w:rsidRPr="00164435">
        <w:rPr>
          <w:bCs/>
        </w:rPr>
        <w:t xml:space="preserve"> </w:t>
      </w:r>
    </w:p>
    <w:p w14:paraId="5B07F13A" w14:textId="13974A8A" w:rsidR="008A6077" w:rsidRPr="00164435" w:rsidRDefault="00DE3F91" w:rsidP="00DE3F91">
      <w:pPr>
        <w:pStyle w:val="Note"/>
      </w:pPr>
      <w:r w:rsidRPr="00164435">
        <w:t>(</w:t>
      </w:r>
      <w:r w:rsidR="00545B6C" w:rsidRPr="00164435">
        <w:t>List authors</w:t>
      </w:r>
      <w:r w:rsidR="008A6077" w:rsidRPr="00164435">
        <w:t xml:space="preserve"> by first name or initial followed by last name and separated by commas. Use superscript numbers to link affiliations, and symbols *†‡ for author notes.  For example, X. Jones</w:t>
      </w:r>
      <w:r w:rsidR="008A6077" w:rsidRPr="00164435">
        <w:rPr>
          <w:vertAlign w:val="superscript"/>
        </w:rPr>
        <w:t>1</w:t>
      </w:r>
      <w:r w:rsidR="008A6077" w:rsidRPr="00164435">
        <w:t>*, P. Smith</w:t>
      </w:r>
      <w:r w:rsidR="008A6077" w:rsidRPr="00164435">
        <w:rPr>
          <w:vertAlign w:val="superscript"/>
        </w:rPr>
        <w:t>1,2</w:t>
      </w:r>
      <w:r w:rsidR="006F662E" w:rsidRPr="00164435">
        <w:t xml:space="preserve"> Authors are individuals who have significantly contributed to the research and preparation of the article. Group authors are allowed, if each author in the group is separately identified in an appendix.</w:t>
      </w:r>
      <w:r w:rsidRPr="00164435">
        <w:t>)</w:t>
      </w:r>
    </w:p>
    <w:p w14:paraId="70FC651E" w14:textId="5D379245" w:rsidR="00C94AA5" w:rsidRPr="00164435" w:rsidRDefault="008A6077" w:rsidP="009B324E">
      <w:pPr>
        <w:pStyle w:val="Affiliation"/>
        <w:jc w:val="both"/>
        <w:rPr>
          <w:lang w:eastAsia="zh-CN"/>
        </w:rPr>
      </w:pPr>
      <w:r w:rsidRPr="00164435">
        <w:rPr>
          <w:vertAlign w:val="superscript"/>
        </w:rPr>
        <w:t>1</w:t>
      </w:r>
      <w:r w:rsidR="005868DC" w:rsidRPr="00164435">
        <w:t>State Key Laboratory of Climate Resilience for Coastal Cities, Department of Civil and Environmental Engineering, Hong Kong University of Science and Technology, Hong Kong</w:t>
      </w:r>
      <w:r w:rsidR="00C20103" w:rsidRPr="00164435">
        <w:rPr>
          <w:lang w:eastAsia="zh-CN"/>
        </w:rPr>
        <w:t xml:space="preserve"> SAR</w:t>
      </w:r>
      <w:r w:rsidR="005868DC" w:rsidRPr="00164435">
        <w:t>, China</w:t>
      </w:r>
    </w:p>
    <w:p w14:paraId="4F35496B" w14:textId="3FEDF6E2" w:rsidR="00C94AA5" w:rsidRPr="00164435" w:rsidRDefault="00545B6C" w:rsidP="009B324E">
      <w:pPr>
        <w:pStyle w:val="Affiliation"/>
        <w:jc w:val="both"/>
        <w:rPr>
          <w:lang w:eastAsia="zh-CN"/>
        </w:rPr>
      </w:pPr>
      <w:r w:rsidRPr="00164435">
        <w:rPr>
          <w:vertAlign w:val="superscript"/>
        </w:rPr>
        <w:t>2</w:t>
      </w:r>
      <w:r w:rsidR="005868DC" w:rsidRPr="00164435">
        <w:t>Division of Emerging Interdisciplinary Areas, Hong Kong University of Science and Technology, Hong Kong</w:t>
      </w:r>
      <w:r w:rsidR="00C20103" w:rsidRPr="00164435">
        <w:t xml:space="preserve"> SAR</w:t>
      </w:r>
      <w:r w:rsidR="005868DC" w:rsidRPr="00164435">
        <w:t>, China</w:t>
      </w:r>
    </w:p>
    <w:p w14:paraId="0B3E0DB7" w14:textId="07001EF8" w:rsidR="003F2633" w:rsidRPr="00164435" w:rsidRDefault="003F2633" w:rsidP="003F2633">
      <w:pPr>
        <w:pStyle w:val="Affiliation"/>
        <w:jc w:val="both"/>
        <w:rPr>
          <w:lang w:eastAsia="zh-CN"/>
        </w:rPr>
      </w:pPr>
      <w:r w:rsidRPr="00164435">
        <w:rPr>
          <w:vertAlign w:val="superscript"/>
          <w:lang w:eastAsia="zh-CN"/>
        </w:rPr>
        <w:t>3</w:t>
      </w:r>
      <w:r w:rsidRPr="00164435">
        <w:t xml:space="preserve"> Division of Environment and Sustainability, Hong Kong University of Science and Technology, Hong Kong SAR, China</w:t>
      </w:r>
    </w:p>
    <w:p w14:paraId="6BD4F6A9" w14:textId="1AF239D2" w:rsidR="00DE3F91" w:rsidRPr="00164435" w:rsidRDefault="00DE3F91" w:rsidP="00B120F3">
      <w:pPr>
        <w:pStyle w:val="Note"/>
      </w:pPr>
      <w:r w:rsidRPr="00164435">
        <w:t>(</w:t>
      </w:r>
      <w:r w:rsidR="00C94AA5" w:rsidRPr="00164435">
        <w:t>Affiliations</w:t>
      </w:r>
      <w:r w:rsidR="008A6077" w:rsidRPr="00164435">
        <w:t xml:space="preserve"> should be preceded by superscript numbers corresponding to the author list</w:t>
      </w:r>
      <w:r w:rsidR="00545B6C" w:rsidRPr="00164435">
        <w:t xml:space="preserve">. </w:t>
      </w:r>
      <w:r w:rsidR="008A6077" w:rsidRPr="00164435">
        <w:t xml:space="preserve">Each affiliation should be </w:t>
      </w:r>
      <w:r w:rsidR="006F662E" w:rsidRPr="00164435">
        <w:t>run in so that the full affiliation list is a single paragraph</w:t>
      </w:r>
      <w:r w:rsidR="008A6077" w:rsidRPr="00164435">
        <w:t>.</w:t>
      </w:r>
      <w:r w:rsidRPr="00164435">
        <w:t>)</w:t>
      </w:r>
    </w:p>
    <w:p w14:paraId="5614852F" w14:textId="6E7DDD97" w:rsidR="00DE3F91" w:rsidRPr="00164435" w:rsidRDefault="008A6077" w:rsidP="003137C3">
      <w:pPr>
        <w:pStyle w:val="Affiliation"/>
      </w:pPr>
      <w:r w:rsidRPr="00164435">
        <w:t>Correspond</w:t>
      </w:r>
      <w:r w:rsidR="00DE3F91" w:rsidRPr="00164435">
        <w:t>ing</w:t>
      </w:r>
      <w:r w:rsidRPr="00164435">
        <w:t xml:space="preserve"> </w:t>
      </w:r>
      <w:r w:rsidR="006F662E" w:rsidRPr="00164435">
        <w:t>author:</w:t>
      </w:r>
      <w:r w:rsidRPr="00164435">
        <w:t xml:space="preserve"> </w:t>
      </w:r>
      <w:r w:rsidR="005868DC" w:rsidRPr="00164435">
        <w:t>Hui Su</w:t>
      </w:r>
      <w:r w:rsidR="00DE3F91" w:rsidRPr="00164435">
        <w:t xml:space="preserve"> (</w:t>
      </w:r>
      <w:hyperlink r:id="rId14" w:history="1">
        <w:r w:rsidR="001B2ECB" w:rsidRPr="00164435">
          <w:rPr>
            <w:rStyle w:val="Hyperlink"/>
          </w:rPr>
          <w:t>cehsu@ust.hk</w:t>
        </w:r>
        <w:r w:rsidR="00DE3F91" w:rsidRPr="00164435">
          <w:rPr>
            <w:rStyle w:val="Hyperlink"/>
          </w:rPr>
          <w:t>)</w:t>
        </w:r>
      </w:hyperlink>
      <w:r w:rsidR="00DE3F91" w:rsidRPr="00164435">
        <w:t xml:space="preserve"> </w:t>
      </w:r>
    </w:p>
    <w:p w14:paraId="06FDCBD0" w14:textId="59CF0462" w:rsidR="00DE3F91" w:rsidRPr="00164435" w:rsidRDefault="008A6077" w:rsidP="003137C3">
      <w:pPr>
        <w:pStyle w:val="Affiliation"/>
      </w:pPr>
      <w:r w:rsidRPr="00164435">
        <w:t>†Additional author notes should be indicated with symbols (</w:t>
      </w:r>
      <w:r w:rsidR="009B68DA" w:rsidRPr="00164435">
        <w:t>current addresses, for example</w:t>
      </w:r>
      <w:r w:rsidRPr="00164435">
        <w:t>).</w:t>
      </w:r>
    </w:p>
    <w:p w14:paraId="235AF609" w14:textId="6F343D4A" w:rsidR="00DE3F91" w:rsidRPr="00164435" w:rsidRDefault="00DE3F91" w:rsidP="00B120F3">
      <w:pPr>
        <w:pStyle w:val="Note"/>
      </w:pPr>
      <w:r w:rsidRPr="00164435">
        <w:t>(include name and email addresses of the corresponding author.  More than one corresponding author is allowed</w:t>
      </w:r>
      <w:r w:rsidR="00321596" w:rsidRPr="00164435">
        <w:t xml:space="preserve"> in this Word file and for publication; but only one corresponding author is allowed in our editorial system</w:t>
      </w:r>
      <w:r w:rsidRPr="00164435">
        <w:t xml:space="preserve">.)  </w:t>
      </w:r>
    </w:p>
    <w:p w14:paraId="52EAA876" w14:textId="0F4D9CB3" w:rsidR="00C94AA5" w:rsidRPr="00164435" w:rsidRDefault="00C94AA5" w:rsidP="005358D5">
      <w:pPr>
        <w:pStyle w:val="Heading-Main"/>
      </w:pPr>
      <w:r w:rsidRPr="00164435">
        <w:t>Key Points:</w:t>
      </w:r>
    </w:p>
    <w:p w14:paraId="7B6BBFD3" w14:textId="77777777" w:rsidR="00142649" w:rsidRPr="00164435" w:rsidRDefault="00142649" w:rsidP="001A4D9E">
      <w:pPr>
        <w:pStyle w:val="KeyPoints"/>
        <w:numPr>
          <w:ilvl w:val="0"/>
          <w:numId w:val="9"/>
        </w:numPr>
        <w:jc w:val="both"/>
      </w:pPr>
      <w:r w:rsidRPr="00164435">
        <w:t>A new cloud-top-height-based classification resolves the apparent discrepancy in the seasonal cycle of extratropical low clouds by revealing opposing phasing among different cloud types.</w:t>
      </w:r>
    </w:p>
    <w:p w14:paraId="61D4F15A" w14:textId="3F0FC47C" w:rsidR="00142649" w:rsidRPr="00164435" w:rsidRDefault="005138D1" w:rsidP="001A4D9E">
      <w:pPr>
        <w:pStyle w:val="ds-markdown-paragraph"/>
        <w:numPr>
          <w:ilvl w:val="0"/>
          <w:numId w:val="9"/>
        </w:numPr>
        <w:spacing w:before="0" w:beforeAutospacing="0" w:after="0" w:afterAutospacing="0"/>
        <w:jc w:val="both"/>
        <w:rPr>
          <w:rFonts w:ascii="Times New Roman" w:eastAsia="Times New Roman" w:hAnsi="Times New Roman" w:cs="Times New Roman"/>
          <w:lang w:eastAsia="en-US"/>
        </w:rPr>
      </w:pPr>
      <w:r w:rsidRPr="00164435">
        <w:rPr>
          <w:rFonts w:ascii="Times New Roman" w:eastAsia="Times New Roman" w:hAnsi="Times New Roman" w:cs="Times New Roman"/>
          <w:lang w:eastAsia="en-US"/>
        </w:rPr>
        <w:t>The contradiction arose because past studies, unknowingly, analyzed different subsets of these cloud types, which exhibit fundamentally opposing seasonal cycles.</w:t>
      </w:r>
    </w:p>
    <w:p w14:paraId="25E726CC" w14:textId="4364FB41" w:rsidR="00B719C8" w:rsidRPr="00164435" w:rsidRDefault="00142649" w:rsidP="001A4D9E">
      <w:pPr>
        <w:pStyle w:val="KeyPoints"/>
        <w:numPr>
          <w:ilvl w:val="0"/>
          <w:numId w:val="9"/>
        </w:numPr>
        <w:jc w:val="both"/>
      </w:pPr>
      <w:r w:rsidRPr="00164435">
        <w:t xml:space="preserve">Model underestimation of upper boundary-layer clouds and ISCCP's retrieval limitations in multi-layer scenes explain the conflicting conclusions in recent studies on emergent constraints for climate sensitivity. </w:t>
      </w:r>
    </w:p>
    <w:p w14:paraId="5C03B4CB" w14:textId="77777777" w:rsidR="00B719C8" w:rsidRPr="00164435" w:rsidRDefault="00B719C8">
      <w:pPr>
        <w:rPr>
          <w:color w:val="00B0F0"/>
        </w:rPr>
      </w:pPr>
      <w:r w:rsidRPr="00164435">
        <w:br w:type="page"/>
      </w:r>
    </w:p>
    <w:p w14:paraId="239A594A" w14:textId="55FA25B8" w:rsidR="005868DC" w:rsidRPr="00164435" w:rsidRDefault="008A6077" w:rsidP="00C81368">
      <w:pPr>
        <w:pStyle w:val="Heading-Main"/>
      </w:pPr>
      <w:r w:rsidRPr="00164435">
        <w:t>Abstract</w:t>
      </w:r>
    </w:p>
    <w:p w14:paraId="3F1E6B39" w14:textId="7811968C" w:rsidR="005868DC" w:rsidRPr="00D563EE" w:rsidRDefault="0003107C" w:rsidP="00B05267">
      <w:pPr>
        <w:pStyle w:val="KeyPoints"/>
        <w:spacing w:line="360" w:lineRule="auto"/>
        <w:ind w:firstLine="720"/>
        <w:jc w:val="both"/>
      </w:pPr>
      <w:r w:rsidRPr="0003107C">
        <w:t xml:space="preserve">The Equilibrium Climate Sensitivity (ECS) of global climate models remains poorly constrained, partly due to conflicting emergent constraints on extratropical low-cloud feedback. Jiang et al. (2023) linked a winter-maximum low-cloud seasonal cycle to higher ECS, while Furtado et al. (2023) associated a summer-maximum with strong negative feedback. This study reconciles this dichotomy by introducing a novel, </w:t>
      </w:r>
      <w:proofErr w:type="gramStart"/>
      <w:r w:rsidRPr="0003107C">
        <w:t>physically-based</w:t>
      </w:r>
      <w:proofErr w:type="gramEnd"/>
      <w:r w:rsidRPr="0003107C">
        <w:t xml:space="preserve"> framework that classifies "low clouds" into three types based on cloud-top height: Multi-Layer (MLC), </w:t>
      </w:r>
      <w:r w:rsidR="00906234">
        <w:t>Intermediate</w:t>
      </w:r>
      <w:r w:rsidR="00906234" w:rsidRPr="0003107C">
        <w:t xml:space="preserve"> </w:t>
      </w:r>
      <w:r w:rsidRPr="0003107C">
        <w:t>Boundary-layer (</w:t>
      </w:r>
      <w:r w:rsidR="00906234">
        <w:t>I</w:t>
      </w:r>
      <w:r w:rsidRPr="0003107C">
        <w:t xml:space="preserve">BC), and </w:t>
      </w:r>
      <w:r w:rsidR="00906234">
        <w:t>Shallow</w:t>
      </w:r>
      <w:r w:rsidR="00906234" w:rsidRPr="0003107C">
        <w:t xml:space="preserve"> </w:t>
      </w:r>
      <w:r w:rsidRPr="0003107C">
        <w:t>Boundary-layer Clouds (</w:t>
      </w:r>
      <w:r w:rsidR="00906234">
        <w:t>S</w:t>
      </w:r>
      <w:r w:rsidRPr="0003107C">
        <w:t>BC). We show that the apparent contradiction arises from conflating these distinct regimes, which exhibit opposing seasonal cycles: MLC and UBC (tied to storm tracks) peak in winter, whereas LBC (boundary-layer driven) peaks in summer. The winter-maximum emerges in observations and high-ECS models due to dominant MLC, while the summer-maximum in low-ECS models is an artifact of systematically underestimated UBC, which allows the LBC signal to dominate. Furthermore, passive satellite data (e.g., ISCCP) artificially reinforce this model bias by missing wintertime low clouds under upper-level layers. Our work demonstrates that progress in constraining ECS requires a paradigm shift from analyzing total low-cloud fraction to evaluating model fidelity in simulating the distinct physics and mix of these cloud regimes.</w:t>
      </w:r>
    </w:p>
    <w:p w14:paraId="32D038F8" w14:textId="77777777" w:rsidR="00494F9D" w:rsidRDefault="00494F9D" w:rsidP="005868DC">
      <w:pPr>
        <w:pStyle w:val="Abstract"/>
        <w:ind w:firstLine="720"/>
        <w:rPr>
          <w:rFonts w:ascii="Segoe UI" w:hAnsi="Segoe UI" w:cs="Segoe UI"/>
          <w:color w:val="0F1115"/>
          <w:shd w:val="clear" w:color="auto" w:fill="FFFFFF"/>
          <w:lang w:eastAsia="zh-CN"/>
        </w:rPr>
      </w:pPr>
    </w:p>
    <w:p w14:paraId="14A70F21" w14:textId="77777777" w:rsidR="00600EB0" w:rsidRPr="00164435" w:rsidRDefault="00FC3EAC" w:rsidP="00600EB0">
      <w:pPr>
        <w:pStyle w:val="Abstract"/>
        <w:rPr>
          <w:b/>
          <w:lang w:eastAsia="zh-CN"/>
        </w:rPr>
      </w:pPr>
      <w:r w:rsidRPr="00164435">
        <w:rPr>
          <w:b/>
        </w:rPr>
        <w:t>Plain Language Summary</w:t>
      </w:r>
    </w:p>
    <w:p w14:paraId="4AAFC79F" w14:textId="77777777" w:rsidR="00600EB0" w:rsidRPr="00164435" w:rsidRDefault="00600EB0" w:rsidP="00600EB0">
      <w:pPr>
        <w:pStyle w:val="Abstract"/>
        <w:rPr>
          <w:lang w:eastAsia="zh-CN"/>
        </w:rPr>
      </w:pPr>
    </w:p>
    <w:p w14:paraId="12E52A17" w14:textId="78B3B2D7" w:rsidR="00600EB0" w:rsidRPr="008D7202" w:rsidRDefault="00950C22" w:rsidP="00B05267">
      <w:pPr>
        <w:pStyle w:val="Abstract"/>
        <w:spacing w:line="360" w:lineRule="auto"/>
        <w:ind w:firstLine="720"/>
        <w:jc w:val="both"/>
      </w:pPr>
      <w:r w:rsidRPr="00164435">
        <w:t>Predicting how sens</w:t>
      </w:r>
      <w:r w:rsidRPr="00950C22">
        <w:t>itive our climate is to greenhouse gases is hard, partly because we don't know how certain clouds will change. Low-level clouds over mid-latitude oceans can either slow down or speed up global warming. But scientists couldn't agree on a key clue: does having more of these clouds in winter or in summer predict a hotter future? Our research found that both answers can seem right because there isn't just one "low cloud." We sorted them into three physical types and discovered they have opposite seasonal habits. Storm-related clouds peak in winter and make warming worse, while ocean fog peaks in summer and cools the planet. Climate models that are too cool fail to simulate the winter clouds correctly, making the cooling summer fog seem more important than it is. We've untangled this mix-up. Our new cloud map helps explain why past studies disagreed and shows model developers exactly where to focus to improve their predictions of climate change.</w:t>
      </w:r>
    </w:p>
    <w:p w14:paraId="6458D70D" w14:textId="77777777" w:rsidR="00600EB0" w:rsidRPr="00600EB0" w:rsidRDefault="00600EB0" w:rsidP="00600EB0">
      <w:pPr>
        <w:pStyle w:val="Abstract"/>
        <w:rPr>
          <w:rFonts w:asciiTheme="minorHAnsi" w:hAnsiTheme="minorHAnsi" w:cstheme="minorHAnsi"/>
          <w:b/>
          <w:lang w:eastAsia="zh-CN"/>
        </w:rPr>
      </w:pPr>
    </w:p>
    <w:p w14:paraId="36313620" w14:textId="779162B2" w:rsidR="001E6A5C" w:rsidRPr="0012191C" w:rsidRDefault="002F3B11" w:rsidP="00600EB0">
      <w:pPr>
        <w:pStyle w:val="Heading-Main"/>
        <w:rPr>
          <w:color w:val="000000" w:themeColor="text1"/>
          <w:kern w:val="0"/>
          <w:lang w:eastAsia="zh-CN"/>
        </w:rPr>
      </w:pPr>
      <w:r w:rsidRPr="0012191C">
        <w:rPr>
          <w:color w:val="000000" w:themeColor="text1"/>
          <w:kern w:val="0"/>
        </w:rPr>
        <w:t>1 Introduction</w:t>
      </w:r>
    </w:p>
    <w:p w14:paraId="40DDE411" w14:textId="1D9BEF42" w:rsidR="00065531" w:rsidRDefault="00065531" w:rsidP="00065531">
      <w:pPr>
        <w:shd w:val="clear" w:color="auto" w:fill="FFFFFF"/>
        <w:spacing w:line="480" w:lineRule="auto"/>
        <w:ind w:firstLine="720"/>
        <w:jc w:val="both"/>
        <w:rPr>
          <w:rFonts w:eastAsia="Times New Roman"/>
          <w:sz w:val="24"/>
          <w:szCs w:val="24"/>
          <w:lang w:eastAsia="zh-CN"/>
        </w:rPr>
      </w:pPr>
      <w:r w:rsidRPr="00065531">
        <w:rPr>
          <w:rFonts w:eastAsia="Times New Roman"/>
          <w:sz w:val="24"/>
          <w:szCs w:val="24"/>
        </w:rPr>
        <w:t xml:space="preserve">Accurate estimates of global temperature rise in response to increasing greenhouse gases (GHGs) are essential for formulating effective climate change mitigation and adaptation </w:t>
      </w:r>
      <w:proofErr w:type="spellStart"/>
      <w:proofErr w:type="gramStart"/>
      <w:r w:rsidRPr="00065531">
        <w:rPr>
          <w:rFonts w:eastAsia="Times New Roman"/>
          <w:sz w:val="24"/>
          <w:szCs w:val="24"/>
        </w:rPr>
        <w:t>policies.Equilibrium</w:t>
      </w:r>
      <w:proofErr w:type="spellEnd"/>
      <w:proofErr w:type="gramEnd"/>
      <w:r w:rsidRPr="00065531">
        <w:rPr>
          <w:rFonts w:eastAsia="Times New Roman"/>
          <w:sz w:val="24"/>
          <w:szCs w:val="24"/>
        </w:rPr>
        <w:t xml:space="preserve"> Climate Sensitivity (ECS) is a pivotal metric in climate science, defined as the equilibrium change in the global-mean surface temperature following a doubling of atmospheric</w:t>
      </w:r>
      <w:r w:rsidR="00DB4DF2">
        <w:rPr>
          <w:rFonts w:eastAsia="Times New Roman" w:hint="eastAsia"/>
          <w:sz w:val="24"/>
          <w:szCs w:val="24"/>
          <w:lang w:eastAsia="zh-CN"/>
        </w:rPr>
        <w:t xml:space="preserve"> </w:t>
      </w:r>
      <w:r w:rsidR="00DB4DF2" w:rsidRPr="00D8668E">
        <w:rPr>
          <w:rFonts w:eastAsia="Times New Roman"/>
          <w:sz w:val="24"/>
          <w:szCs w:val="24"/>
        </w:rPr>
        <w:t>CO₂</w:t>
      </w:r>
      <w:r w:rsidRPr="00065531">
        <w:rPr>
          <w:rFonts w:eastAsia="Times New Roman"/>
          <w:sz w:val="24"/>
          <w:szCs w:val="24"/>
        </w:rPr>
        <w:t xml:space="preserve"> relative to the pre-industrial level. However, the range of ECS estimates from global climate models (GCMs) has persisted widely between approximately 1.5 and 4.5 K for decades </w:t>
      </w:r>
      <w:r w:rsidR="001C7F39">
        <w:rPr>
          <w:rFonts w:eastAsia="Times New Roman"/>
          <w:sz w:val="24"/>
          <w:szCs w:val="24"/>
        </w:rPr>
        <w:fldChar w:fldCharType="begin"/>
      </w:r>
      <w:r w:rsidR="00FF3F75">
        <w:rPr>
          <w:rFonts w:eastAsia="Times New Roman"/>
          <w:sz w:val="24"/>
          <w:szCs w:val="24"/>
        </w:rPr>
        <w:instrText xml:space="preserve"> ADDIN ZOTERO_ITEM CSL_CITATION {"citationID":"iIJMDZp6","properties":{"formattedCitation":"(Ad Hoc Study Group on Carbon Dioxide and Climate et al., 1979; Meehl et al., 2020)","plainCitation":"(Ad Hoc Study Group on Carbon Dioxide and Climate et al., 1979; Meehl et al., 2020)","noteIndex":0},"citationItems":[{"id":32,"uris":["http://zotero.org/users/local/6jdBalM8/items/FE9F3ZYW"],"itemData":{"id":32,"type":"book","event-place":"Washington, D.C.","ISBN":"978-0-309-11910-8","language":"en","note":"page: 12181\nDOI: 10.17226/12181","publisher":"National Academies Press","publisher-place":"Washington, D.C.","source":"DOI.org (Crossref)","title":"Carbon Dioxide and Climate: A Scientific Assessment","title-short":"Carbon Dioxide and Climate","URL":"https://www.nap.edu/catalog/12181","author":[{"literal":"Ad Hoc Study Group on Carbon Dioxide and Climate"},{"literal":"Climate Research Board"},{"literal":"Assembly of Mathematical and Physical Sciences"},{"literal":"National Research Council"}],"accessed":{"date-parts":[["2025",7,6]]},"issued":{"date-parts":[["1979",3,13]]}}},{"id":49,"uris":["http://zotero.org/users/local/6jdBalM8/items/DPQQTCXG"],"itemData":{"id":49,"type":"article-journal","abstract":"A historical context is provided for interpreting the equilibrium climate sensitivity (ECS) and transient climate response (TCR).\n          , \n            \n              For the current generation of earth system models participating in the Coupled Model Intercomparison Project Phase 6 (CMIP6), the range of equilibrium climate sensitivity (ECS, a hypothetical value of global warming at equilibrium for a doubling of CO\n              2\n              ) is 1.8°C to 5.6°C, the largest of any generation of models dating to the 1990s. Meanwhile, the range of transient climate response (TCR, the surface temperature warming around the time of CO\n              2\n              doubling in a 1% per year CO\n              2\n              increase simulation) for the CMIP6 models of 1.7°C (1.3°C to 3.0°C) is only slightly larger than for the CMIP3 and CMIP5 models. Here we review and synthesize the latest developments in ECS and TCR values in CMIP, compile possible reasons for the current values as supplied by the modeling groups, and highlight future directions. Cloud feedbacks and cloud-aerosol interactions are the most likely contributors to the high values and increased range of ECS in CMIP6.","container-title":"Science Advances","DOI":"10.1126/sciadv.aba1981","ISSN":"2375-2548","issue":"26","journalAbbreviation":"Sci. Adv.","language":"en","page":"eaba1981","source":"DOI.org (Crossref)","title":"Context for interpreting equilibrium climate sensitivity and transient climate response from the CMIP6 Earth system models","volume":"6","author":[{"family":"Meehl","given":"Gerald A."},{"family":"Senior","given":"Catherine A."},{"family":"Eyring","given":"Veronika"},{"family":"Flato","given":"Gregory"},{"family":"Lamarque","given":"Jean-Francois"},{"family":"Stouffer","given":"Ronald J."},{"family":"Taylor","given":"Karl E."},{"family":"Schlund","given":"Manuel"}],"issued":{"date-parts":[["2020",6,26]]}}}],"schema":"https://github.com/citation-style-language/schema/raw/master/csl-citation.json"} </w:instrText>
      </w:r>
      <w:r w:rsidR="001C7F39">
        <w:rPr>
          <w:rFonts w:eastAsia="Times New Roman"/>
          <w:sz w:val="24"/>
          <w:szCs w:val="24"/>
        </w:rPr>
        <w:fldChar w:fldCharType="separate"/>
      </w:r>
      <w:r w:rsidR="00FF3F75">
        <w:rPr>
          <w:rFonts w:eastAsia="Times New Roman"/>
          <w:noProof/>
          <w:sz w:val="24"/>
          <w:szCs w:val="24"/>
        </w:rPr>
        <w:t>(Charney et al., 1979; Meehl et al., 2020)</w:t>
      </w:r>
      <w:r w:rsidR="001C7F39">
        <w:rPr>
          <w:rFonts w:eastAsia="Times New Roman"/>
          <w:sz w:val="24"/>
          <w:szCs w:val="24"/>
        </w:rPr>
        <w:fldChar w:fldCharType="end"/>
      </w:r>
      <w:r w:rsidRPr="00065531">
        <w:rPr>
          <w:rFonts w:eastAsia="Times New Roman"/>
          <w:sz w:val="24"/>
          <w:szCs w:val="24"/>
        </w:rPr>
        <w:t xml:space="preserve">. Notably, the latest generation of models from the Coupled Model Intercomparison Project Phase 6 (CMIP6) exhibits an even broader range of 1.8-5.6 K, with a marked increase in the mean and upper-end values </w:t>
      </w:r>
      <w:r w:rsidR="00B64D92">
        <w:rPr>
          <w:rFonts w:eastAsia="Times New Roman"/>
          <w:sz w:val="24"/>
          <w:szCs w:val="24"/>
        </w:rPr>
        <w:fldChar w:fldCharType="begin"/>
      </w:r>
      <w:r w:rsidR="00B64D92">
        <w:rPr>
          <w:rFonts w:eastAsia="Times New Roman"/>
          <w:sz w:val="24"/>
          <w:szCs w:val="24"/>
        </w:rPr>
        <w:instrText xml:space="preserve"> ADDIN ZOTERO_ITEM CSL_CITATION {"citationID":"vjSJNuLC","properties":{"formattedCitation":"(Zelinka et al., 2020)","plainCitation":"(Zelinka et al., 2020)","noteIndex":0},"citationItems":[{"id":38,"uris":["http://zotero.org/users/local/6jdBalM8/items/RN4M4XWF"],"itemData":{"id":38,"type":"article-journal","abstract":"Equilibrium climate sensitivity, the global surface temperature response to CO2 doubling, has been persistently uncertain. Recent consensus places it likely within 1.5–4.5 K. Global climate models (GCMs), which attempt to represent all relevant physical processes, provide the most direct means of estimating climate sensitivity via CO2 quadrupling experiments. Here we show that the closely related effective climate sensitivity has increased substantially in Coupled Model Intercomparison Project phase 6 (CMIP6), with values spanning 1.8–5.6 K across 27 GCMs and exceeding 4.5 K in 10 of them. This (statistically insignificant) increase is primarily due to stronger positive cloud feedbacks from decreasing extratropical low cloud coverage and albedo. Both of these are tied to the physical representation of clouds which in CMIP6 models lead to weaker responses of extratropical low cloud cover and water content to unforced variations in surface temperature. Establishing the plausibility of these higher sensitivity models is imperative given their implied societal ramifications.","container-title":"Geophysical Research Letters","DOI":"10.1029/2019GL085782","ISSN":"0094-8276, 1944-8007","issue":"1","journalAbbreviation":"Geophysical Research Letters","language":"en","page":"e2019GL085782","source":"DOI.org (Crossref)","title":"Causes of Higher Climate Sensitivity in CMIP6 Models","volume":"47","author":[{"family":"Zelinka","given":"Mark D."},{"family":"Myers","given":"Timothy A."},{"family":"McCoy","given":"Daniel T."},{"family":"Po</w:instrText>
      </w:r>
      <w:r w:rsidR="00B64D92">
        <w:rPr>
          <w:rFonts w:eastAsia="Times New Roman" w:hint="eastAsia"/>
          <w:sz w:val="24"/>
          <w:szCs w:val="24"/>
        </w:rPr>
        <w:instrText>‐</w:instrText>
      </w:r>
      <w:r w:rsidR="00B64D92">
        <w:rPr>
          <w:rFonts w:eastAsia="Times New Roman"/>
          <w:sz w:val="24"/>
          <w:szCs w:val="24"/>
        </w:rPr>
        <w:instrText xml:space="preserve">Chedley","given":"Stephen"},{"family":"Caldwell","given":"Peter M."},{"family":"Ceppi","given":"Paulo"},{"family":"Klein","given":"Stephen A."},{"family":"Taylor","given":"Karl E."}],"issued":{"date-parts":[["2020",1,16]]}}}],"schema":"https://github.com/citation-style-language/schema/raw/master/csl-citation.json"} </w:instrText>
      </w:r>
      <w:r w:rsidR="00B64D92">
        <w:rPr>
          <w:rFonts w:eastAsia="Times New Roman"/>
          <w:sz w:val="24"/>
          <w:szCs w:val="24"/>
        </w:rPr>
        <w:fldChar w:fldCharType="separate"/>
      </w:r>
      <w:r w:rsidR="00B64D92">
        <w:rPr>
          <w:rFonts w:eastAsia="Times New Roman"/>
          <w:noProof/>
          <w:sz w:val="24"/>
          <w:szCs w:val="24"/>
        </w:rPr>
        <w:t>(Zelinka et al., 2020)</w:t>
      </w:r>
      <w:r w:rsidR="00B64D92">
        <w:rPr>
          <w:rFonts w:eastAsia="Times New Roman"/>
          <w:sz w:val="24"/>
          <w:szCs w:val="24"/>
        </w:rPr>
        <w:fldChar w:fldCharType="end"/>
      </w:r>
      <w:r w:rsidRPr="00065531">
        <w:rPr>
          <w:rFonts w:eastAsia="Times New Roman"/>
          <w:sz w:val="24"/>
          <w:szCs w:val="24"/>
        </w:rPr>
        <w:t xml:space="preserve">. A substantial portion of this inter-model spread, particularly the rise in the upper bound in CMIP6, is attributed to cloud feedbacks, among which low-cloud feedback is a primary contributor </w:t>
      </w:r>
      <w:r w:rsidR="00B64D92">
        <w:rPr>
          <w:rFonts w:eastAsia="Times New Roman"/>
          <w:sz w:val="24"/>
          <w:szCs w:val="24"/>
        </w:rPr>
        <w:fldChar w:fldCharType="begin"/>
      </w:r>
      <w:r w:rsidR="00B64D92">
        <w:rPr>
          <w:rFonts w:eastAsia="Times New Roman"/>
          <w:sz w:val="24"/>
          <w:szCs w:val="24"/>
        </w:rPr>
        <w:instrText xml:space="preserve"> ADDIN ZOTERO_ITEM CSL_CITATION {"citationID":"r3gu42FQ","properties":{"formattedCitation":"(Zelinka et al., 2020)","plainCitation":"(Zelinka et al., 2020)","noteIndex":0},"citationItems":[{"id":38,"uris":["http://zotero.org/users/local/6jdBalM8/items/RN4M4XWF"],"itemData":{"id":38,"type":"article-journal","abstract":"Equilibrium climate sensitivity, the global surface temperature response to CO2 doubling, has been persistently uncertain. Recent consensus places it likely within 1.5–4.5 K. Global climate models (GCMs), which attempt to represent all relevant physical processes, provide the most direct means of estimating climate sensitivity via CO2 quadrupling experiments. Here we show that the closely related effective climate sensitivity has increased substantially in Coupled Model Intercomparison Project phase 6 (CMIP6), with values spanning 1.8–5.6 K across 27 GCMs and exceeding 4.5 K in 10 of them. This (statistically insignificant) increase is primarily due to stronger positive cloud feedbacks from decreasing extratropical low cloud coverage and albedo. Both of these are tied to the physical representation of clouds which in CMIP6 models lead to weaker responses of extratropical low cloud cover and water content to unforced variations in surface temperature. Establishing the plausibility of these higher sensitivity models is imperative given their implied societal ramifications.","container-title":"Geophysical Research Letters","DOI":"10.1029/2019GL085782","ISSN":"0094-8276, 1944-8007","issue":"1","journalAbbreviation":"Geophysical Research Letters","language":"en","page":"e2019GL085782","source":"DOI.org (Crossref)","title":"Causes of Higher Climate Sensitivity in CMIP6 Models","volume":"47","author":[{"family":"Zelinka","given":"Mark D."},{"family":"Myers","given":"Timothy A."},{"family":"McCoy","given":"Daniel T."},{"family":"Po</w:instrText>
      </w:r>
      <w:r w:rsidR="00B64D92">
        <w:rPr>
          <w:rFonts w:eastAsia="Times New Roman" w:hint="eastAsia"/>
          <w:sz w:val="24"/>
          <w:szCs w:val="24"/>
        </w:rPr>
        <w:instrText>‐</w:instrText>
      </w:r>
      <w:r w:rsidR="00B64D92">
        <w:rPr>
          <w:rFonts w:eastAsia="Times New Roman"/>
          <w:sz w:val="24"/>
          <w:szCs w:val="24"/>
        </w:rPr>
        <w:instrText xml:space="preserve">Chedley","given":"Stephen"},{"family":"Caldwell","given":"Peter M."},{"family":"Ceppi","given":"Paulo"},{"family":"Klein","given":"Stephen A."},{"family":"Taylor","given":"Karl E."}],"issued":{"date-parts":[["2020",1,16]]}}}],"schema":"https://github.com/citation-style-language/schema/raw/master/csl-citation.json"} </w:instrText>
      </w:r>
      <w:r w:rsidR="00B64D92">
        <w:rPr>
          <w:rFonts w:eastAsia="Times New Roman"/>
          <w:sz w:val="24"/>
          <w:szCs w:val="24"/>
        </w:rPr>
        <w:fldChar w:fldCharType="separate"/>
      </w:r>
      <w:r w:rsidR="00B64D92">
        <w:rPr>
          <w:rFonts w:eastAsia="Times New Roman"/>
          <w:noProof/>
          <w:sz w:val="24"/>
          <w:szCs w:val="24"/>
        </w:rPr>
        <w:t>(Zelinka et al., 2020)</w:t>
      </w:r>
      <w:r w:rsidR="00B64D92">
        <w:rPr>
          <w:rFonts w:eastAsia="Times New Roman"/>
          <w:sz w:val="24"/>
          <w:szCs w:val="24"/>
        </w:rPr>
        <w:fldChar w:fldCharType="end"/>
      </w:r>
      <w:r w:rsidRPr="00065531">
        <w:rPr>
          <w:rFonts w:eastAsia="Times New Roman"/>
          <w:sz w:val="24"/>
          <w:szCs w:val="24"/>
        </w:rPr>
        <w:t>. In this context, emergent constraints-which leverage relationships between observable aspects of the present climate and future projections-offer a promising avenue to reduce this critical uncertainty.</w:t>
      </w:r>
    </w:p>
    <w:p w14:paraId="28F9A27E" w14:textId="77777777" w:rsidR="0095400F" w:rsidRPr="00065531" w:rsidRDefault="0095400F" w:rsidP="00065531">
      <w:pPr>
        <w:shd w:val="clear" w:color="auto" w:fill="FFFFFF"/>
        <w:spacing w:line="480" w:lineRule="auto"/>
        <w:ind w:firstLine="720"/>
        <w:jc w:val="both"/>
        <w:rPr>
          <w:rFonts w:eastAsia="Times New Roman"/>
          <w:sz w:val="24"/>
          <w:szCs w:val="24"/>
          <w:lang w:eastAsia="zh-CN"/>
        </w:rPr>
      </w:pPr>
    </w:p>
    <w:p w14:paraId="1B8348EE" w14:textId="00E6555B" w:rsidR="00065531" w:rsidRDefault="00065531" w:rsidP="00065531">
      <w:pPr>
        <w:shd w:val="clear" w:color="auto" w:fill="FFFFFF"/>
        <w:spacing w:line="480" w:lineRule="auto"/>
        <w:ind w:firstLine="720"/>
        <w:jc w:val="both"/>
        <w:rPr>
          <w:rFonts w:eastAsia="Times New Roman"/>
          <w:sz w:val="24"/>
          <w:szCs w:val="24"/>
          <w:lang w:eastAsia="zh-CN"/>
        </w:rPr>
      </w:pPr>
      <w:r w:rsidRPr="00065531">
        <w:rPr>
          <w:rFonts w:eastAsia="Times New Roman"/>
          <w:sz w:val="24"/>
          <w:szCs w:val="24"/>
        </w:rPr>
        <w:t>The pivotal role of cloud feedback in driving ECS variability is well-established</w:t>
      </w:r>
      <w:r w:rsidR="00B64D92">
        <w:rPr>
          <w:rFonts w:eastAsia="Times New Roman"/>
          <w:sz w:val="24"/>
          <w:szCs w:val="24"/>
        </w:rPr>
        <w:fldChar w:fldCharType="begin"/>
      </w:r>
      <w:r w:rsidR="00E121EF">
        <w:rPr>
          <w:rFonts w:eastAsia="Times New Roman"/>
          <w:sz w:val="24"/>
          <w:szCs w:val="24"/>
        </w:rPr>
        <w:instrText xml:space="preserve"> ADDIN ZOTERO_ITEM CSL_CITATION {"citationID":"eSWR1wDg","properties":{"formattedCitation":"(Cess et al., 1990; Sherwood et al., 2020; Stephens, 2005)","plainCitation":"(Cess et al., 1990; Sherwood et al., 2020; Stephens, 2005)","noteIndex":0},"citationItems":[{"id":41,"uris":["http://zotero.org/users/local/6jdBalM8/items/ZVHGJ5XZ"],"itemData":{"id":41,"type":"article-journal","abstract":"The need to understand differences among general circulation model projections of CO\n              2\n              </w:instrText>
      </w:r>
      <w:r w:rsidR="00E121EF">
        <w:rPr>
          <w:rFonts w:eastAsia="Times New Roman" w:hint="eastAsia"/>
          <w:sz w:val="24"/>
          <w:szCs w:val="24"/>
        </w:rPr>
        <w:instrText>‐</w:instrText>
      </w:r>
      <w:r w:rsidR="00E121EF">
        <w:rPr>
          <w:rFonts w:eastAsia="Times New Roman"/>
          <w:sz w:val="24"/>
          <w:szCs w:val="24"/>
        </w:rPr>
        <w:instrText>induced climatic change has motivated the present study, which provides an intercomparison and interpretation of climate feedback processes in 19 atmospheric general circulation models. This intercomparison uses sea surface temperature change as a surrogate for climate change. The interpretation of cloud</w:instrText>
      </w:r>
      <w:r w:rsidR="00E121EF">
        <w:rPr>
          <w:rFonts w:eastAsia="Times New Roman" w:hint="eastAsia"/>
          <w:sz w:val="24"/>
          <w:szCs w:val="24"/>
        </w:rPr>
        <w:instrText>‐</w:instrText>
      </w:r>
      <w:r w:rsidR="00E121EF">
        <w:rPr>
          <w:rFonts w:eastAsia="Times New Roman"/>
          <w:sz w:val="24"/>
          <w:szCs w:val="24"/>
        </w:rPr>
        <w:instrText>climate interactions is given special attention. A roughly threefold variation in one measure of global climate sensitivity is found among the 19 models. The important conclusion is that most of this variation is attributable to differences in the models' depiction of cloud feedback, a result that emphasizes the need for improvements in the treatment of clouds in these models if they are ultimately to be used as reliable climate predictors. It is further emphasized that cloud feedback is the consequence of all interacting physical and dynamical processes in a general circulation model. The result of these processes is to produce changes in temperature, moisture distribution, and clouds which are integrated into the radiative response termed cloud feedback.","container-title":"Journal of Geophysical Research: Atmospheres","DOI":"10.1029/JD095iD10p16601","ISSN":"0148-0227","issue":"D10","journalAbbreviation":"J. Geophys. Res.","language":"en","license":"http://onlinelibrary.wiley.com/termsAndConditions#vor","page":"16601-16615","source":"DOI.org (Crossref)","title":"Intercomparison and interpretation of climate feedback processes in 19 atmospheric general circulation models","volume":"95","author":[{"family":"Cess","given":"R. D."},{"family":"Potter","given":"G. L."},{"family":"Blanchet","given":"J. P."},{"family":"Boer","given":"G. J."},{"family":"Del Genio","given":"A. D."},{"family":"Déqué","given":"M."},{"family":"Dymnikov","given":"V."},{"family":"Galin","given":"V."},{"family":"Gates","given":"W. L."},{"family":"Ghan","given":"S. J."},{"family":"Kiehl","given":"J. T."},{"family":"Lacis","given":"A. A."},{"family":"Le Treut","given":"H."},{"family":"Li","given":"Z.</w:instrText>
      </w:r>
      <w:r w:rsidR="00E121EF">
        <w:rPr>
          <w:rFonts w:eastAsia="Times New Roman" w:hint="eastAsia"/>
          <w:sz w:val="24"/>
          <w:szCs w:val="24"/>
        </w:rPr>
        <w:instrText>‐</w:instrText>
      </w:r>
      <w:r w:rsidR="00E121EF">
        <w:rPr>
          <w:rFonts w:eastAsia="Times New Roman"/>
          <w:sz w:val="24"/>
          <w:szCs w:val="24"/>
        </w:rPr>
        <w:instrText>X."},{"family":"Liang","given":"X.</w:instrText>
      </w:r>
      <w:r w:rsidR="00E121EF">
        <w:rPr>
          <w:rFonts w:eastAsia="Times New Roman" w:hint="eastAsia"/>
          <w:sz w:val="24"/>
          <w:szCs w:val="24"/>
        </w:rPr>
        <w:instrText>‐</w:instrText>
      </w:r>
      <w:r w:rsidR="00E121EF">
        <w:rPr>
          <w:rFonts w:eastAsia="Times New Roman"/>
          <w:sz w:val="24"/>
          <w:szCs w:val="24"/>
        </w:rPr>
        <w:instrText>Z."},{"family":"McAvaney","given":"B. J."},{"family":"Meleshko","given":"V. P."},{"family":"Mitchell","given":"J. F. B."},{"family":"Morcrette","given":"J.</w:instrText>
      </w:r>
      <w:r w:rsidR="00E121EF">
        <w:rPr>
          <w:rFonts w:eastAsia="Times New Roman" w:hint="eastAsia"/>
          <w:sz w:val="24"/>
          <w:szCs w:val="24"/>
        </w:rPr>
        <w:instrText>‐</w:instrText>
      </w:r>
      <w:r w:rsidR="00E121EF">
        <w:rPr>
          <w:rFonts w:eastAsia="Times New Roman"/>
          <w:sz w:val="24"/>
          <w:szCs w:val="24"/>
        </w:rPr>
        <w:instrText>J."},{"family":"Randall","given":"D. A."},{"family":"Rikus","given":"L."},{"family":"Roeckner","given":"E."},{"family":"Royer","given":"J. F."},{"family":"Schlese","given":"U."},{"family":"Sheinin","given":"D. A."},{"family":"Slingo","given":"A."},{"family":"Sokolov","given":"A. P."},{"family":"Taylor","given":"K. E."},{"family":"Washington","given":"W. M."},{"family":"Wetherald","given":"R. T."},{"family":"Yagai","given":"I."},{"family":"Zhang","given":"M.</w:instrText>
      </w:r>
      <w:r w:rsidR="00E121EF">
        <w:rPr>
          <w:rFonts w:eastAsia="Times New Roman" w:hint="eastAsia"/>
          <w:sz w:val="24"/>
          <w:szCs w:val="24"/>
        </w:rPr>
        <w:instrText>‐</w:instrText>
      </w:r>
      <w:r w:rsidR="00E121EF">
        <w:rPr>
          <w:rFonts w:eastAsia="Times New Roman"/>
          <w:sz w:val="24"/>
          <w:szCs w:val="24"/>
        </w:rPr>
        <w:instrText>H."}],"issued":{"date-parts":[["1990",9,20]]}}},{"id":43,"uris":["http://zotero.org/users/local/6jdBalM8/items/NELN8ME7"],"itemData":{"id":43,"type":"article-journal","abstract":"Abstract\n            \n              We assess evidence relevant to Earth's equilibrium climate sensitivity per doubling of atmospheric CO\n              2\n              , characterized by an effective sensitivity\n              S\n              . This evidence includes feedback process understanding, the historical climate record, and the paleoclimate record. An\n              S\n              value lower than 2 K is difficult to reconcile with any of the three lines of evidence. The amount of cooling during the Last Glacial Maximum provides strong evidence against values of\n              S\n              greater than 4.5 K. Other lines of evidence in combination also show that this is relatively unlikely. We use a Bayesian approach to produce a probability density function (PDF) for\n              S\n              given all the evidence, including tests of robustness to difficult</w:instrText>
      </w:r>
      <w:r w:rsidR="00E121EF">
        <w:rPr>
          <w:rFonts w:eastAsia="Times New Roman" w:hint="eastAsia"/>
          <w:sz w:val="24"/>
          <w:szCs w:val="24"/>
        </w:rPr>
        <w:instrText>‐</w:instrText>
      </w:r>
      <w:r w:rsidR="00E121EF">
        <w:rPr>
          <w:rFonts w:eastAsia="Times New Roman"/>
          <w:sz w:val="24"/>
          <w:szCs w:val="24"/>
        </w:rPr>
        <w:instrText>to</w:instrText>
      </w:r>
      <w:r w:rsidR="00E121EF">
        <w:rPr>
          <w:rFonts w:eastAsia="Times New Roman" w:hint="eastAsia"/>
          <w:sz w:val="24"/>
          <w:szCs w:val="24"/>
        </w:rPr>
        <w:instrText>‐</w:instrText>
      </w:r>
      <w:r w:rsidR="00E121EF">
        <w:rPr>
          <w:rFonts w:eastAsia="Times New Roman"/>
          <w:sz w:val="24"/>
          <w:szCs w:val="24"/>
        </w:rPr>
        <w:instrText>quantify uncertainties and different priors. The 66% range is 2.6–3.9 K for our Baseline calculation and remains within 2.3–4.5 K under the robustness tests; corresponding 5–95% ranges are 2.3–4.7 K, bounded by 2.0–5.7 K (although such high</w:instrText>
      </w:r>
      <w:r w:rsidR="00E121EF">
        <w:rPr>
          <w:rFonts w:eastAsia="Times New Roman" w:hint="eastAsia"/>
          <w:sz w:val="24"/>
          <w:szCs w:val="24"/>
        </w:rPr>
        <w:instrText>‐</w:instrText>
      </w:r>
      <w:r w:rsidR="00E121EF">
        <w:rPr>
          <w:rFonts w:eastAsia="Times New Roman"/>
          <w:sz w:val="24"/>
          <w:szCs w:val="24"/>
        </w:rPr>
        <w:instrText>confidence ranges should be regarded more cautiously). This indicates a stronger constraint on\n              S\n              than reported in past assessments, by lifting the low end of the range. This narrowing occurs because the three lines of evidence agree and are judged to be largely independent and because of greater confidence in understanding feedback processes and in combining evidence. We identify promising avenues for further narrowing the range in\n              S\n              , in particular using comprehensive models and process understanding to address limitations in the traditional forcing</w:instrText>
      </w:r>
      <w:r w:rsidR="00E121EF">
        <w:rPr>
          <w:rFonts w:eastAsia="Times New Roman" w:hint="eastAsia"/>
          <w:sz w:val="24"/>
          <w:szCs w:val="24"/>
        </w:rPr>
        <w:instrText>‐</w:instrText>
      </w:r>
      <w:r w:rsidR="00E121EF">
        <w:rPr>
          <w:rFonts w:eastAsia="Times New Roman"/>
          <w:sz w:val="24"/>
          <w:szCs w:val="24"/>
        </w:rPr>
        <w:instrText>feedback paradigm for interpreting past changes.\n            \n          , \n            Plain Language Summary\n            Earth's global “climate sensitivity” is a fundamental quantitative measure of the susceptibility of Earth's climate to human influence. A landmark report in 1979 concluded that it probably lies between 1.5°C and 4.5°C per doubling of atmospheric carbon dioxide, assuming that other influences on climate remain unchanged. In the 40 years since, it has appeared difficult to reduce this uncertainty range. In this report we thoroughly assess all lines of evidence including some new developments. We find that a large volume of consistent evidence now points to a more confident view of a climate sensitivity near the middle or upper part of this range. In particular, it now appears extremely unlikely that the climate sensitivity could be low enough to avoid substantial climate change (well in excess of 2°C warming) under a high</w:instrText>
      </w:r>
      <w:r w:rsidR="00E121EF">
        <w:rPr>
          <w:rFonts w:eastAsia="Times New Roman" w:hint="eastAsia"/>
          <w:sz w:val="24"/>
          <w:szCs w:val="24"/>
        </w:rPr>
        <w:instrText>‐</w:instrText>
      </w:r>
      <w:r w:rsidR="00E121EF">
        <w:rPr>
          <w:rFonts w:eastAsia="Times New Roman"/>
          <w:sz w:val="24"/>
          <w:szCs w:val="24"/>
        </w:rPr>
        <w:instrText xml:space="preserve">emission future scenario. We remain unable to rule out that the sensitivity could be above 4.5°C per doubling of carbon dioxide levels, although this is not likely. Continued research is needed to further reduce the uncertainty, and we identify some of the more promising possibilities in this regard.\n          , \n            Key Points\n            \n              \n                \n                  \n                    We assess evidence relevant to Earth's climate sensitivity\n                    S\n                    : feedback process understanding and the historical and paleoclimate records\n                  \n                \n                \n                  \n                    All three lines of evidence are difficult to reconcile with\n                    S\n                     &lt; 2 K, while paleo evidence provides the strongest case against\n                    S\n                     &gt; 4.5 K\n                  \n                \n                \n                  A Bayesian calculation finds a 66% range of 2.6–3.9 K, which remains within the bounds 2.3–4.5 K under plausible robustness tests","container-title":"Reviews of Geophysics","DOI":"10.1029/2019RG000678","ISSN":"8755-1209, 1944-9208","issue":"4","journalAbbreviation":"Reviews of Geophysics","language":"en","page":"e2019RG000678","source":"DOI.org (Crossref)","title":"An Assessment of Earth's Climate Sensitivity Using Multiple Lines of Evidence","volume":"58","author":[{"family":"Sherwood","given":"S. C."},{"family":"Webb","given":"M. J."},{"family":"Annan","given":"J. D."},{"family":"Armour","given":"K. C."},{"family":"Forster","given":"P. M."},{"family":"Hargreaves","given":"J. C."},{"family":"Hegerl","given":"G."},{"family":"Klein","given":"S. A."},{"family":"Marvel","given":"K. D."},{"family":"Rohling","given":"E. J."},{"family":"Watanabe","given":"M."},{"family":"Andrews","given":"T."},{"family":"Braconnot","given":"P."},{"family":"Bretherton","given":"C. S."},{"family":"Foster","given":"G. L."},{"family":"Hausfather","given":"Z."},{"family":"Von Der Heydt","given":"A. S."},{"family":"Knutti","given":"R."},{"family":"Mauritsen","given":"T."},{"family":"Norris","given":"J. R."},{"family":"Proistosescu","given":"C."},{"family":"Rugenstein","given":"M."},{"family":"Schmidt","given":"G. A."},{"family":"Tokarska","given":"K. B."},{"family":"Zelinka","given":"M. D."}],"issued":{"date-parts":[["2020",12]]}}},{"id":56,"uris":["http://zotero.org/users/local/6jdBalM8/items/WFK6WGXN"],"itemData":{"id":56,"type":"article-journal","abstract":"Abstract\n            This paper offers a critical review of the topic of cloud–climate feedbacks and exposes some of the underlying reasons for the inherent lack of understanding of these feedbacks and why progress might be expected on this important climate problem in the coming decade. Although many processes and related parameters come under the influence of clouds, it is argued that atmospheric processes fundamentally govern the cloud feedbacks via the relationship between the atmospheric circulations, cloudiness, and the radiative and latent heating of the atmosphere. It is also shown how perturbations to the atmospheric radiation budget that are induced by cloud changes in response to climate forcing dictate the eventual response of the global-mean hydrological cycle of the climate model to climate forcing. This suggests that cloud feedbacks are likely to control the bulk precipitation efficiency and associated responses of the planet’s hydrological cycle to climate radiative forcings.\n            The paper provides a brief overview of the effects of clouds on the radiation budget of the earth–atmosphere system and a review of cloud feedbacks as they have been defined in simple systems, one being a system in radiative–convective equilibrium (RCE) and others relating to simple feedback ideas that regulate tropical SSTs. The systems perspective is reviewed as it has served as the basis for most feedback analyses. What emerges is the importance of being clear about the definition of the system. It is shown how different assumptions about the system produce very different conclusions about the magnitude and sign of feedbacks. Much more diligence is called for in terms of defining the system and justifying assumptions. In principle, there is also neither any theoretical basis to justify the system that defines feedbacks in terms of global–time-mean changes in surface temperature nor is there any compelling empirical evidence to do so. The lack of maturity of feedback analysis methods also suggests that progress in understanding climate feedback will require development of alternative methods of analysis.\n            It has been argued that, in view of the complex nature of the climate system, and the cumbersome problems encountered in diagnosing feedbacks, understanding cloud feedback will be gleaned neither from observations nor proved from simple theoretical argument alone. The blueprint for progress must follow a more arduous path that requires a carefully orchestrated and systematic combination of model and observations. Models provide the tool for diagnosing processes and quantifying feedbacks while observations provide the essential test of the model’s credibility in representing these processes. While GCM climate and NWP models represent the most complete description of all the interactions between the processes that presumably establish the main cloud feedbacks, the weak link in the use of these models lies in the cloud parameterization imbedded in them. Aspects of these parameterizations remain worrisome, containing levels of empiricism and assumptions that are hard to evaluate with current global observations. Clearly observationally based methods for evaluating cloud parameterizations are an important element in the road map to progress.\n            Although progress in understanding the cloud feedback problem has been slow and confused by past analysis, there are legitimate reasons outlined in the paper that give hope for real progress in the future.","container-title":"Journal of Climate","DOI":"10.1175/JCLI-3243.1","ISSN":"1520-0442, 0894-8755","issue":"2","language":"en","page":"237-273","source":"DOI.org (Crossref)","title":"Cloud Feedbacks in the Climate System: A Critical Review","title-short":"Cloud Feedbacks in the Climate System","volume":"18","author":[{"family":"Stephens","given":"Graeme L."}],"issued":{"date-parts":[["2005",1,15]]}}}],"schema":"https://github.com/citation-style-language/schema/raw/master/csl-citation.json"} </w:instrText>
      </w:r>
      <w:r w:rsidR="00B64D92">
        <w:rPr>
          <w:rFonts w:eastAsia="Times New Roman"/>
          <w:sz w:val="24"/>
          <w:szCs w:val="24"/>
        </w:rPr>
        <w:fldChar w:fldCharType="separate"/>
      </w:r>
      <w:r w:rsidR="00E121EF">
        <w:rPr>
          <w:rFonts w:eastAsia="Times New Roman"/>
          <w:noProof/>
          <w:sz w:val="24"/>
          <w:szCs w:val="24"/>
        </w:rPr>
        <w:t>(</w:t>
      </w:r>
      <w:r w:rsidR="00E121EF" w:rsidRPr="00065531">
        <w:rPr>
          <w:rFonts w:eastAsia="Times New Roman"/>
          <w:sz w:val="24"/>
          <w:szCs w:val="24"/>
        </w:rPr>
        <w:t xml:space="preserve">e.g., </w:t>
      </w:r>
      <w:r w:rsidR="00E121EF">
        <w:rPr>
          <w:rFonts w:eastAsia="Times New Roman"/>
          <w:noProof/>
          <w:sz w:val="24"/>
          <w:szCs w:val="24"/>
        </w:rPr>
        <w:t>Cess et al., 1990; Sherwood et al., 2020; Stephens, 2005)</w:t>
      </w:r>
      <w:r w:rsidR="00B64D92">
        <w:rPr>
          <w:rFonts w:eastAsia="Times New Roman"/>
          <w:sz w:val="24"/>
          <w:szCs w:val="24"/>
        </w:rPr>
        <w:fldChar w:fldCharType="end"/>
      </w:r>
      <w:r w:rsidRPr="00065531">
        <w:rPr>
          <w:rFonts w:eastAsia="Times New Roman"/>
          <w:sz w:val="24"/>
          <w:szCs w:val="24"/>
        </w:rPr>
        <w:t>. Clouds exert a dual radiative effect: they trap outgoing longwave radiation, causing warming, while reflecting incoming solar radiation, leading to cooling. The net cloud radiative effect (CRE) is highly sensitive to cloud properties such as cloud-top height (CTH), cloud optical thickness (COT), phase, and fractional cover</w:t>
      </w:r>
      <w:r w:rsidR="002348E8">
        <w:rPr>
          <w:rFonts w:eastAsia="Times New Roman"/>
          <w:sz w:val="24"/>
          <w:szCs w:val="24"/>
        </w:rPr>
        <w:t xml:space="preserve"> </w:t>
      </w:r>
      <w:r w:rsidR="002348E8">
        <w:rPr>
          <w:rFonts w:eastAsia="Times New Roman"/>
          <w:sz w:val="24"/>
          <w:szCs w:val="24"/>
        </w:rPr>
        <w:fldChar w:fldCharType="begin"/>
      </w:r>
      <w:r w:rsidR="002348E8">
        <w:rPr>
          <w:rFonts w:eastAsia="Times New Roman"/>
          <w:sz w:val="24"/>
          <w:szCs w:val="24"/>
        </w:rPr>
        <w:instrText xml:space="preserve"> ADDIN ZOTERO_ITEM CSL_CITATION {"citationID":"E7FTRbmN","properties":{"formattedCitation":"(Su &amp; Du, 2024)","plainCitation":"(Su &amp; Du, 2024)","noteIndex":0},"citationItems":[{"id":51,"uris":["http://zotero.org/users/local/6jdBalM8/items/TKU7C3PJ"],"itemData":{"id":51,"type":"chapter","container-title":"Reference Module in Earth Systems and Environmental Sciences","ISBN":"978-0-12-409548-9","language":"en","license":"https://www.elsevier.com/tdm/userlicense/1.0/","note":"DOI: 10.1016/B978-0-323-96026-7.00071-0","page":"B9780323960267000710","publisher":"Elsevier","source":"DOI.org (Crossref)","title":"Cloud Feedback","URL":"https://linkinghub.elsevier.com/retrieve/pii/B9780323960267000710","author":[{"family":"Su","given":"Hui"},{"family":"Du","given":"Shuangchen"}],"accessed":{"date-parts":[["2025",7,6]]},"issued":{"date-parts":[["2024"]]}}}],"schema":"https://github.com/citation-style-language/schema/raw/master/csl-citation.json"} </w:instrText>
      </w:r>
      <w:r w:rsidR="002348E8">
        <w:rPr>
          <w:rFonts w:eastAsia="Times New Roman"/>
          <w:sz w:val="24"/>
          <w:szCs w:val="24"/>
        </w:rPr>
        <w:fldChar w:fldCharType="separate"/>
      </w:r>
      <w:r w:rsidR="002348E8">
        <w:rPr>
          <w:rFonts w:eastAsia="Times New Roman"/>
          <w:noProof/>
          <w:sz w:val="24"/>
          <w:szCs w:val="24"/>
        </w:rPr>
        <w:t>(Su &amp; Du, 2024)</w:t>
      </w:r>
      <w:r w:rsidR="002348E8">
        <w:rPr>
          <w:rFonts w:eastAsia="Times New Roman"/>
          <w:sz w:val="24"/>
          <w:szCs w:val="24"/>
        </w:rPr>
        <w:fldChar w:fldCharType="end"/>
      </w:r>
      <w:r w:rsidRPr="00065531">
        <w:rPr>
          <w:rFonts w:eastAsia="Times New Roman"/>
          <w:sz w:val="24"/>
          <w:szCs w:val="24"/>
        </w:rPr>
        <w:t xml:space="preserve">. As the climate warms, changes in these properties can either amplify or dampen the initial warming. Low-level clouds are of great climatic importance because of their net cooling effect. If their coverage were to change as the climate warms, it could lead to either an enhancement or a reduction in the warming, acting as either a positive or negative feedback. Critically, the sign of the low-level cloud feedback in climate change remains profoundly uncertain. However, the representation of cloud processes in GCMs remains challenging due to limited physical understanding and the sub-grid scale of many key processes. Consequently, models produce diverse CRE responses to forcing, resulting in a wide range of ECS estimates. A robust correlation has been identified between shortwave low-cloud feedback and ECS, where more positive low-cloud feedback corresponds to higher ECS. Low clouds, typically defined as those with tops below approximately 3 km (~680 </w:t>
      </w:r>
      <w:proofErr w:type="spellStart"/>
      <w:r w:rsidRPr="00065531">
        <w:rPr>
          <w:rFonts w:eastAsia="Times New Roman"/>
          <w:sz w:val="24"/>
          <w:szCs w:val="24"/>
        </w:rPr>
        <w:t>hPa</w:t>
      </w:r>
      <w:proofErr w:type="spellEnd"/>
      <w:r w:rsidRPr="00065531">
        <w:rPr>
          <w:rFonts w:eastAsia="Times New Roman"/>
          <w:sz w:val="24"/>
          <w:szCs w:val="24"/>
        </w:rPr>
        <w:t>), generally induce a strong net radiative cooling. Therefore, any reduction in their coverage or optical thickness can significantly perturb the top-of-atmosphere (TOA) energy balance, thereby exerting a major influence on surface temperature.</w:t>
      </w:r>
    </w:p>
    <w:p w14:paraId="24F358A4" w14:textId="77777777" w:rsidR="0095400F" w:rsidRDefault="0095400F" w:rsidP="00065531">
      <w:pPr>
        <w:shd w:val="clear" w:color="auto" w:fill="FFFFFF"/>
        <w:spacing w:line="480" w:lineRule="auto"/>
        <w:ind w:firstLine="720"/>
        <w:jc w:val="both"/>
        <w:rPr>
          <w:rFonts w:eastAsia="Times New Roman"/>
          <w:sz w:val="24"/>
          <w:szCs w:val="24"/>
          <w:lang w:eastAsia="zh-CN"/>
        </w:rPr>
      </w:pPr>
    </w:p>
    <w:p w14:paraId="31316B3C" w14:textId="37FE4C0B" w:rsidR="00B04655" w:rsidRPr="00B04655" w:rsidRDefault="00B04655" w:rsidP="00B04655">
      <w:pPr>
        <w:shd w:val="clear" w:color="auto" w:fill="FFFFFF"/>
        <w:spacing w:line="480" w:lineRule="auto"/>
        <w:ind w:firstLine="720"/>
        <w:jc w:val="both"/>
        <w:rPr>
          <w:rFonts w:eastAsia="Times New Roman"/>
          <w:sz w:val="24"/>
          <w:szCs w:val="24"/>
        </w:rPr>
      </w:pPr>
      <w:r w:rsidRPr="00B04655">
        <w:rPr>
          <w:rFonts w:eastAsia="Times New Roman"/>
          <w:sz w:val="24"/>
          <w:szCs w:val="24"/>
        </w:rPr>
        <w:t xml:space="preserve">The persistent uncertainty surrounding low-cloud feedback arises from inherent limitations across diverse research methodologies </w:t>
      </w:r>
      <w:r w:rsidR="008F1F3A">
        <w:rPr>
          <w:rFonts w:eastAsia="Times New Roman"/>
          <w:sz w:val="24"/>
          <w:szCs w:val="24"/>
        </w:rPr>
        <w:fldChar w:fldCharType="begin"/>
      </w:r>
      <w:r w:rsidR="008F1F3A">
        <w:rPr>
          <w:rFonts w:eastAsia="Times New Roman"/>
          <w:sz w:val="24"/>
          <w:szCs w:val="24"/>
        </w:rPr>
        <w:instrText xml:space="preserve"> ADDIN ZOTERO_ITEM CSL_CITATION {"citationID":"lKee7Byt","properties":{"formattedCitation":"(Ceppi &amp; Nowack, 2021)","plainCitation":"(Ceppi &amp; Nowack, 2021)","noteIndex":0},"citationItems":[{"id":89,"uris":["http://zotero.org/users/local/6jdBalM8/items/4DFAACJ6"],"itemData":{"id":89,"type":"article-journal","abstract":"Significance\n            \n              A key challenge of our time is to accurately estimate future global warming in response to a doubling of atmospheric carbon dioxide—a number known as the\n              climate sensitivity\n              . This number is highly uncertain, mainly because it remains unclear how clouds will change with warming. Such changes in clouds could strongly amplify or dampen global warming, providing a climate feedback. Here, we perform a statistical learning analysis that provides a global observational constraint on the future cloud response. This constraint supports that cloud feedback will amplify global warming, making it very unlikely that climate sensitivity is smaller than 2 °C.\n            \n          , \n            \n              Global warming drives changes in Earth’s cloud cover, which, in turn, may amplify or dampen climate change. This “cloud feedback” is the single most important cause of uncertainty in Equilibrium Climate Sensitivity (ECS)—the equilibrium global warming following a doubling of atmospheric carbon dioxide. Using data from Earth observations and climate model simulations, we here develop a statistical learning analysis of how clouds respond to changes in the environment. We show that global cloud feedback is dominated by the sensitivity of clouds to surface temperature and tropospheric stability. Considering changes in just these two factors, we are able to constrain global cloud feedback to 0.43\n              \n                \n                  ±\n                \n              \n              0.35 W\n              \n                \n                  </w:instrText>
      </w:r>
      <w:r w:rsidR="008F1F3A">
        <w:rPr>
          <w:rFonts w:ascii="Cambria Math" w:eastAsia="Times New Roman" w:hAnsi="Cambria Math" w:cs="Cambria Math"/>
          <w:sz w:val="24"/>
          <w:szCs w:val="24"/>
        </w:rPr>
        <w:instrText>⋅</w:instrText>
      </w:r>
      <w:r w:rsidR="008F1F3A">
        <w:rPr>
          <w:rFonts w:eastAsia="Times New Roman"/>
          <w:sz w:val="24"/>
          <w:szCs w:val="24"/>
        </w:rPr>
        <w:instrText xml:space="preserve">\n                \n              \n              m\n              −2\n              \n                \n                  </w:instrText>
      </w:r>
      <w:r w:rsidR="008F1F3A">
        <w:rPr>
          <w:rFonts w:ascii="Cambria Math" w:eastAsia="Times New Roman" w:hAnsi="Cambria Math" w:cs="Cambria Math"/>
          <w:sz w:val="24"/>
          <w:szCs w:val="24"/>
        </w:rPr>
        <w:instrText>⋅</w:instrText>
      </w:r>
      <w:r w:rsidR="008F1F3A">
        <w:rPr>
          <w:rFonts w:eastAsia="Times New Roman"/>
          <w:sz w:val="24"/>
          <w:szCs w:val="24"/>
        </w:rPr>
        <w:instrText xml:space="preserve">\n                \n              \n              K\n              −1\n              (90% confidence), implying a robustly amplifying effect of clouds on global warming and only a 0.5% chance of ECS below 2 K. We thus anticipate that our approach will enable tighter constraints on climate change projections, including its manifold socioeconomic and ecological impacts.","container-title":"Proceedings of the National Academy of Sciences","DOI":"10.1073/pnas.2026290118","ISSN":"0027-8424, 1091-6490","issue":"30","journalAbbreviation":"Proc. Natl. Acad. Sci. U.S.A.","language":"en","page":"e2026290118","source":"DOI.org (Crossref)","title":"Observational evidence that cloud feedback amplifies global warming","volume":"118","author":[{"family":"Ceppi","given":"Paulo"},{"family":"Nowack","given":"Peer"}],"issued":{"date-parts":[["2021",7,27]]}}}],"schema":"https://github.com/citation-style-language/schema/raw/master/csl-citation.json"} </w:instrText>
      </w:r>
      <w:r w:rsidR="008F1F3A">
        <w:rPr>
          <w:rFonts w:eastAsia="Times New Roman"/>
          <w:sz w:val="24"/>
          <w:szCs w:val="24"/>
        </w:rPr>
        <w:fldChar w:fldCharType="separate"/>
      </w:r>
      <w:r w:rsidR="008F1F3A">
        <w:rPr>
          <w:rFonts w:eastAsia="Times New Roman"/>
          <w:noProof/>
          <w:sz w:val="24"/>
          <w:szCs w:val="24"/>
        </w:rPr>
        <w:t>(Ceppi &amp; Nowack, 2021)</w:t>
      </w:r>
      <w:r w:rsidR="008F1F3A">
        <w:rPr>
          <w:rFonts w:eastAsia="Times New Roman"/>
          <w:sz w:val="24"/>
          <w:szCs w:val="24"/>
        </w:rPr>
        <w:fldChar w:fldCharType="end"/>
      </w:r>
      <w:r w:rsidRPr="00B04655">
        <w:rPr>
          <w:rFonts w:eastAsia="Times New Roman"/>
          <w:sz w:val="24"/>
          <w:szCs w:val="24"/>
        </w:rPr>
        <w:t xml:space="preserve">. Theoretically, our understanding remains insufficient to produce precise quantitative predictions. In General Circulation Models (GCMs), coarse spatial resolution impedes the explicit representation of key small-scale cloud processes, contributing to a wide inter-model spread in simulated feedback strengths </w:t>
      </w:r>
      <w:r w:rsidR="002B0D93">
        <w:rPr>
          <w:rFonts w:eastAsia="Times New Roman"/>
          <w:sz w:val="24"/>
          <w:szCs w:val="24"/>
        </w:rPr>
        <w:fldChar w:fldCharType="begin"/>
      </w:r>
      <w:r w:rsidR="0090613A">
        <w:rPr>
          <w:rFonts w:eastAsia="Times New Roman"/>
          <w:sz w:val="24"/>
          <w:szCs w:val="24"/>
        </w:rPr>
        <w:instrText xml:space="preserve"> ADDIN ZOTERO_ITEM CSL_CITATION {"citationID":"s6gR0a4X","properties":{"formattedCitation":"(Ceppi et al., 2017; Zelinka et al., 2020)","plainCitation":"(Ceppi et al., 2017; Zelinka et al., 2020)","noteIndex":0},"citationItems":[{"id":108,"uris":["http://zotero.org/users/local/6jdBalM8/items/ZR56V7WC"],"itemData":{"id":108,"type":"article-journal","abstract":"Cloud feedback—the change in top</w:instrText>
      </w:r>
      <w:r w:rsidR="0090613A">
        <w:rPr>
          <w:rFonts w:eastAsia="Times New Roman" w:hint="eastAsia"/>
          <w:sz w:val="24"/>
          <w:szCs w:val="24"/>
        </w:rPr>
        <w:instrText>‐</w:instrText>
      </w:r>
      <w:r w:rsidR="0090613A">
        <w:rPr>
          <w:rFonts w:eastAsia="Times New Roman"/>
          <w:sz w:val="24"/>
          <w:szCs w:val="24"/>
        </w:rPr>
        <w:instrText>of</w:instrText>
      </w:r>
      <w:r w:rsidR="0090613A">
        <w:rPr>
          <w:rFonts w:eastAsia="Times New Roman" w:hint="eastAsia"/>
          <w:sz w:val="24"/>
          <w:szCs w:val="24"/>
        </w:rPr>
        <w:instrText>‐</w:instrText>
      </w:r>
      <w:r w:rsidR="0090613A">
        <w:rPr>
          <w:rFonts w:eastAsia="Times New Roman"/>
          <w:sz w:val="24"/>
          <w:szCs w:val="24"/>
        </w:rPr>
        <w:instrText>atmosphere radiative flux resulting from the cloud response to warming—constitutes by far the largest source of uncertainty in the climate response to\n              \n                CO\n                2\n              \n              forcing simulated by global climate models (\n              GCMs\n              ). We review the main mechanisms for cloud feedbacks, and discuss their representation in climate models and the sources of intermodel spread. Global</w:instrText>
      </w:r>
      <w:r w:rsidR="0090613A">
        <w:rPr>
          <w:rFonts w:eastAsia="Times New Roman" w:hint="eastAsia"/>
          <w:sz w:val="24"/>
          <w:szCs w:val="24"/>
        </w:rPr>
        <w:instrText>‐</w:instrText>
      </w:r>
      <w:r w:rsidR="0090613A">
        <w:rPr>
          <w:rFonts w:eastAsia="Times New Roman"/>
          <w:sz w:val="24"/>
          <w:szCs w:val="24"/>
        </w:rPr>
        <w:instrText>mean cloud feedback in\n              GCMs\n              results from three main effects: (1) rising free</w:instrText>
      </w:r>
      <w:r w:rsidR="0090613A">
        <w:rPr>
          <w:rFonts w:eastAsia="Times New Roman" w:hint="eastAsia"/>
          <w:sz w:val="24"/>
          <w:szCs w:val="24"/>
        </w:rPr>
        <w:instrText>‐</w:instrText>
      </w:r>
      <w:r w:rsidR="0090613A">
        <w:rPr>
          <w:rFonts w:eastAsia="Times New Roman"/>
          <w:sz w:val="24"/>
          <w:szCs w:val="24"/>
        </w:rPr>
        <w:instrText>tropospheric clouds (a positive longwave effect); (2) decreasing tropical low cloud amount (a positive shortwave [\n              SW\n              ] effect); (3) increasing high</w:instrText>
      </w:r>
      <w:r w:rsidR="0090613A">
        <w:rPr>
          <w:rFonts w:eastAsia="Times New Roman" w:hint="eastAsia"/>
          <w:sz w:val="24"/>
          <w:szCs w:val="24"/>
        </w:rPr>
        <w:instrText>‐</w:instrText>
      </w:r>
      <w:r w:rsidR="0090613A">
        <w:rPr>
          <w:rFonts w:eastAsia="Times New Roman"/>
          <w:sz w:val="24"/>
          <w:szCs w:val="24"/>
        </w:rPr>
        <w:instrText>latitude low cloud optical depth (a negative\n              SW\n              effect). These cloud responses simulated by\n              GCMs\n              are qualitatively supported by theory, high</w:instrText>
      </w:r>
      <w:r w:rsidR="0090613A">
        <w:rPr>
          <w:rFonts w:eastAsia="Times New Roman" w:hint="eastAsia"/>
          <w:sz w:val="24"/>
          <w:szCs w:val="24"/>
        </w:rPr>
        <w:instrText>‐</w:instrText>
      </w:r>
      <w:r w:rsidR="0090613A">
        <w:rPr>
          <w:rFonts w:eastAsia="Times New Roman"/>
          <w:sz w:val="24"/>
          <w:szCs w:val="24"/>
        </w:rPr>
        <w:instrText>resolution modeling, and observations. Rising high clouds are consistent with the fixed anvil temperature (\n              FAT\n              ) hypothesis, whereby enhanced upper</w:instrText>
      </w:r>
      <w:r w:rsidR="0090613A">
        <w:rPr>
          <w:rFonts w:eastAsia="Times New Roman" w:hint="eastAsia"/>
          <w:sz w:val="24"/>
          <w:szCs w:val="24"/>
        </w:rPr>
        <w:instrText>‐</w:instrText>
      </w:r>
      <w:r w:rsidR="0090613A">
        <w:rPr>
          <w:rFonts w:eastAsia="Times New Roman"/>
          <w:sz w:val="24"/>
          <w:szCs w:val="24"/>
        </w:rPr>
        <w:instrText>tropospheric radiative cooling causes anvil cloud tops to remain at a nearly fixed temperature as the atmosphere warms. Tropical low cloud amount decreases are driven by a delicate balance between the effects of vertical turbulent fluxes, radiative cooling, large</w:instrText>
      </w:r>
      <w:r w:rsidR="0090613A">
        <w:rPr>
          <w:rFonts w:eastAsia="Times New Roman" w:hint="eastAsia"/>
          <w:sz w:val="24"/>
          <w:szCs w:val="24"/>
        </w:rPr>
        <w:instrText>‐</w:instrText>
      </w:r>
      <w:r w:rsidR="0090613A">
        <w:rPr>
          <w:rFonts w:eastAsia="Times New Roman"/>
          <w:sz w:val="24"/>
          <w:szCs w:val="24"/>
        </w:rPr>
        <w:instrText>scale subsidence, and lower</w:instrText>
      </w:r>
      <w:r w:rsidR="0090613A">
        <w:rPr>
          <w:rFonts w:eastAsia="Times New Roman" w:hint="eastAsia"/>
          <w:sz w:val="24"/>
          <w:szCs w:val="24"/>
        </w:rPr>
        <w:instrText>‐</w:instrText>
      </w:r>
      <w:r w:rsidR="0090613A">
        <w:rPr>
          <w:rFonts w:eastAsia="Times New Roman"/>
          <w:sz w:val="24"/>
          <w:szCs w:val="24"/>
        </w:rPr>
        <w:instrText>tropospheric stability on the boundary</w:instrText>
      </w:r>
      <w:r w:rsidR="0090613A">
        <w:rPr>
          <w:rFonts w:eastAsia="Times New Roman" w:hint="eastAsia"/>
          <w:sz w:val="24"/>
          <w:szCs w:val="24"/>
        </w:rPr>
        <w:instrText>‐</w:instrText>
      </w:r>
      <w:r w:rsidR="0090613A">
        <w:rPr>
          <w:rFonts w:eastAsia="Times New Roman"/>
          <w:sz w:val="24"/>
          <w:szCs w:val="24"/>
        </w:rPr>
        <w:instrText>layer moisture budget. High</w:instrText>
      </w:r>
      <w:r w:rsidR="0090613A">
        <w:rPr>
          <w:rFonts w:eastAsia="Times New Roman" w:hint="eastAsia"/>
          <w:sz w:val="24"/>
          <w:szCs w:val="24"/>
        </w:rPr>
        <w:instrText>‐</w:instrText>
      </w:r>
      <w:r w:rsidR="0090613A">
        <w:rPr>
          <w:rFonts w:eastAsia="Times New Roman"/>
          <w:sz w:val="24"/>
          <w:szCs w:val="24"/>
        </w:rPr>
        <w:instrText>latitude low cloud optical depth increases are dominated by phase changes in mixed</w:instrText>
      </w:r>
      <w:r w:rsidR="0090613A">
        <w:rPr>
          <w:rFonts w:eastAsia="Times New Roman" w:hint="eastAsia"/>
          <w:sz w:val="24"/>
          <w:szCs w:val="24"/>
        </w:rPr>
        <w:instrText>‐</w:instrText>
      </w:r>
      <w:r w:rsidR="0090613A">
        <w:rPr>
          <w:rFonts w:eastAsia="Times New Roman"/>
          <w:sz w:val="24"/>
          <w:szCs w:val="24"/>
        </w:rPr>
        <w:instrText>phase clouds. The causes of intermodel spread in cloud feedback are discussed, focusing particularly on the role of unresolved parameterized processes such as cloud microphysics, turbulence, and convection.\n              WIREs Clim Change\n              2017, 8:e465. doi: 10.1002/wcc.465\n            \n            \n              This article is categorized under:\n              \n                \n                  Climate Models and Modeling &gt; Model Components","container-title":"WIREs Climate Change","DOI":"10.1002/wcc.465","ISSN":"1757-7780, 1757-7799","issue":"4","journalAbbreviation":"WIREs Climate Change","language":"en","license":"http://onlinelibrary.wiley.com/termsAndConditions#vor","page":"e465","source":"DOI.org (Crossref)","title":"Cloud feedback mechanisms and their representation in global climate models","volume":"8","author":[{"family":"Ceppi","given":"Paulo"},{"family":"Brient","given":"Florent"},{"family":"Zelinka","given":"Mark D."},{"family":"Hartmann","given":"Dennis L."}],"issued":{"date-parts":[["2017",7]]}}},{"id":38,"uris":["http://zotero.org/users/local/6jdBalM8/items/RN4M4XWF"],"itemData":{"id":38,"type":"article-journal","abstract":"Equilibrium climate sensitivity, the global surface temperature response to CO2 doubling, has been persistently uncertain. Recent consensus places it likely within 1.5–4.5 K. Global climate models (GCMs), which attempt to represent all relevant physical processes, provide the most direct means of estimating climate sensitivity via CO2 quadrupling experiments. Here we show that the closely related effective climate sensitivity has increased substantially in Coupled Model Intercomparison Project phase 6 (CMIP6), with values spanning 1.8–5.6 K across 27 GCMs and exceeding 4.5 K in 10 of them. This (statistically insignificant) increase is primarily due to stronger positive cloud feedbacks from decreasing extratropical low cloud coverage and albedo. Both of these are tied to the physical representation of clouds which in CMIP6 models lead to weaker responses of extratropical low cloud cover and water content to unforced variations in surface temperature. Establishing the plausibility of these higher sensitivity models is imperative given their implied societal ramifications.","container-title":"Geophysical Research Letters","DOI":"10.1029/2019GL085782","ISSN":"0094-8276, 1944-8007","issue":"1","journalAbbreviation":"Geophysical Research Letters","language":"en","page":"e2019GL085782","source":"DOI.org (Crossref)","title":"Causes of Higher Climate Sensitivity in CMIP6 Models","volume":"47","author":[{"family":"Zelinka","given":"Mark D."},{"family":"Myers","given":"Timothy A."},{"family":"McCoy","given":"Daniel T."},{"family":"Po</w:instrText>
      </w:r>
      <w:r w:rsidR="0090613A">
        <w:rPr>
          <w:rFonts w:eastAsia="Times New Roman" w:hint="eastAsia"/>
          <w:sz w:val="24"/>
          <w:szCs w:val="24"/>
        </w:rPr>
        <w:instrText>‐</w:instrText>
      </w:r>
      <w:r w:rsidR="0090613A">
        <w:rPr>
          <w:rFonts w:eastAsia="Times New Roman"/>
          <w:sz w:val="24"/>
          <w:szCs w:val="24"/>
        </w:rPr>
        <w:instrText xml:space="preserve">Chedley","given":"Stephen"},{"family":"Caldwell","given":"Peter M."},{"family":"Ceppi","given":"Paulo"},{"family":"Klein","given":"Stephen A."},{"family":"Taylor","given":"Karl E."}],"issued":{"date-parts":[["2020",1,16]]}}}],"schema":"https://github.com/citation-style-language/schema/raw/master/csl-citation.json"} </w:instrText>
      </w:r>
      <w:r w:rsidR="002B0D93">
        <w:rPr>
          <w:rFonts w:eastAsia="Times New Roman"/>
          <w:sz w:val="24"/>
          <w:szCs w:val="24"/>
        </w:rPr>
        <w:fldChar w:fldCharType="separate"/>
      </w:r>
      <w:r w:rsidR="0090613A">
        <w:rPr>
          <w:rFonts w:eastAsia="Times New Roman"/>
          <w:noProof/>
          <w:sz w:val="24"/>
          <w:szCs w:val="24"/>
        </w:rPr>
        <w:t>(Ceppi et al., 2017; Zelinka et al., 2020)</w:t>
      </w:r>
      <w:r w:rsidR="002B0D93">
        <w:rPr>
          <w:rFonts w:eastAsia="Times New Roman"/>
          <w:sz w:val="24"/>
          <w:szCs w:val="24"/>
        </w:rPr>
        <w:fldChar w:fldCharType="end"/>
      </w:r>
      <w:r w:rsidRPr="00B04655">
        <w:rPr>
          <w:rFonts w:eastAsia="Times New Roman"/>
          <w:sz w:val="24"/>
          <w:szCs w:val="24"/>
        </w:rPr>
        <w:t xml:space="preserve">. Although high-resolution models better capture these fine-scale dynamics, their extreme computational costs currently prohibit globally comprehensive, multi-decadal to centennial-scale climate projections </w:t>
      </w:r>
      <w:r w:rsidR="0090613A">
        <w:rPr>
          <w:rFonts w:eastAsia="Times New Roman"/>
          <w:sz w:val="24"/>
          <w:szCs w:val="24"/>
        </w:rPr>
        <w:fldChar w:fldCharType="begin"/>
      </w:r>
      <w:r w:rsidR="0090613A">
        <w:rPr>
          <w:rFonts w:eastAsia="Times New Roman"/>
          <w:sz w:val="24"/>
          <w:szCs w:val="24"/>
        </w:rPr>
        <w:instrText xml:space="preserve"> ADDIN ZOTERO_ITEM CSL_CITATION {"citationID":"2DPvzvbF","properties":{"formattedCitation":"(Schneider et al., 2017)","plainCitation":"(Schneider et al., 2017)","noteIndex":0},"citationItems":[{"id":104,"uris":["http://zotero.org/users/local/6jdBalM8/items/ZJXTSYIU"],"itemData":{"id":104,"type":"article-journal","container-title":"Nature Climate Change","DOI":"10.1038/nclimate3190","ISSN":"1758-678X, 1758-6798","issue":"1","journalAbbreviation":"Nature Clim Change","language":"en","page":"3-5","source":"DOI.org (Crossref)","title":"Climate goals and computing the future of clouds","volume":"7","author":[{"family":"Schneider","given":"Tapio"},{"family":"Teixeira","given":"João"},{"family":"Bretherton","given":"Christopher S."},{"family":"Brient","given":"Florent"},{"family":"Pressel","given":"Kyle G."},{"family":"Schär","given":"Christoph"},{"family":"Siebesma","given":"A. Pier"}],"issued":{"date-parts":[["2017",1]]}}}],"schema":"https://github.com/citation-style-language/schema/raw/master/csl-citation.json"} </w:instrText>
      </w:r>
      <w:r w:rsidR="0090613A">
        <w:rPr>
          <w:rFonts w:eastAsia="Times New Roman"/>
          <w:sz w:val="24"/>
          <w:szCs w:val="24"/>
        </w:rPr>
        <w:fldChar w:fldCharType="separate"/>
      </w:r>
      <w:r w:rsidR="0090613A">
        <w:rPr>
          <w:rFonts w:eastAsia="Times New Roman"/>
          <w:noProof/>
          <w:sz w:val="24"/>
          <w:szCs w:val="24"/>
        </w:rPr>
        <w:t>(Schneider et al., 2017)</w:t>
      </w:r>
      <w:r w:rsidR="0090613A">
        <w:rPr>
          <w:rFonts w:eastAsia="Times New Roman"/>
          <w:sz w:val="24"/>
          <w:szCs w:val="24"/>
        </w:rPr>
        <w:fldChar w:fldCharType="end"/>
      </w:r>
      <w:r w:rsidRPr="00B04655">
        <w:rPr>
          <w:rFonts w:eastAsia="Times New Roman"/>
          <w:sz w:val="24"/>
          <w:szCs w:val="24"/>
        </w:rPr>
        <w:t>. Observational estimates, often limited to specific regions and meteorological regime</w:t>
      </w:r>
      <w:r>
        <w:rPr>
          <w:rFonts w:eastAsia="Times New Roman"/>
          <w:sz w:val="24"/>
          <w:szCs w:val="24"/>
        </w:rPr>
        <w:t>s, (</w:t>
      </w:r>
      <w:r w:rsidRPr="00B04655">
        <w:rPr>
          <w:rFonts w:eastAsia="Times New Roman"/>
          <w:sz w:val="24"/>
          <w:szCs w:val="24"/>
        </w:rPr>
        <w:t xml:space="preserve">such as tropical subsidence zones </w:t>
      </w:r>
      <w:r w:rsidR="0090613A">
        <w:rPr>
          <w:rFonts w:eastAsia="Times New Roman"/>
          <w:sz w:val="24"/>
          <w:szCs w:val="24"/>
        </w:rPr>
        <w:fldChar w:fldCharType="begin"/>
      </w:r>
      <w:r w:rsidR="00A670DA">
        <w:rPr>
          <w:rFonts w:eastAsia="Times New Roman"/>
          <w:sz w:val="24"/>
          <w:szCs w:val="24"/>
        </w:rPr>
        <w:instrText xml:space="preserve"> ADDIN ZOTERO_ITEM CSL_CITATION {"citationID":"Xw5WOQ8Q","properties":{"unsorted":true,"formattedCitation":"(Qu et al., 2015; Brient &amp; Schneider, 2016; McCoy et al., 2017; Myers &amp; Norris, 2016; Klein et al., 2017)","plainCitation":"(Qu et al., 2015; Brient &amp; Schneider, 2016; McCoy et al., 2017; Myers &amp; Norris, 2016; Klein et al., 2017)","noteIndex":0},"citationItems":[{"id":8,"uris":["http://zotero.org/users/local/6jdBalM8/items/76KDM2Y8"],"itemData":{"id":8,"type":"article-journal","abstract":"Abstract\n            Differences in simulations of tropical marine low</w:instrText>
      </w:r>
      <w:r w:rsidR="00A670DA">
        <w:rPr>
          <w:rFonts w:eastAsia="Times New Roman" w:hint="eastAsia"/>
          <w:sz w:val="24"/>
          <w:szCs w:val="24"/>
        </w:rPr>
        <w:instrText>‐</w:instrText>
      </w:r>
      <w:r w:rsidR="00A670DA">
        <w:rPr>
          <w:rFonts w:eastAsia="Times New Roman"/>
          <w:sz w:val="24"/>
          <w:szCs w:val="24"/>
        </w:rPr>
        <w:instrText>cloud cover (LCC) feedback are sources of significant spread in temperature responses of climate models to anthropogenic forcing. Here we show that in models the feedback is mainly driven by three large</w:instrText>
      </w:r>
      <w:r w:rsidR="00A670DA">
        <w:rPr>
          <w:rFonts w:eastAsia="Times New Roman" w:hint="eastAsia"/>
          <w:sz w:val="24"/>
          <w:szCs w:val="24"/>
        </w:rPr>
        <w:instrText>‐</w:instrText>
      </w:r>
      <w:r w:rsidR="00A670DA">
        <w:rPr>
          <w:rFonts w:eastAsia="Times New Roman"/>
          <w:sz w:val="24"/>
          <w:szCs w:val="24"/>
        </w:rPr>
        <w:instrText>scale changes—a strengthening tropical inversion, increasing surface latent heat flux, and an increasing vertical moisture gradient. Variations in the LCC response to these changes alone account for most of the spread in model</w:instrText>
      </w:r>
      <w:r w:rsidR="00A670DA">
        <w:rPr>
          <w:rFonts w:eastAsia="Times New Roman" w:hint="eastAsia"/>
          <w:sz w:val="24"/>
          <w:szCs w:val="24"/>
        </w:rPr>
        <w:instrText>‐</w:instrText>
      </w:r>
      <w:r w:rsidR="00A670DA">
        <w:rPr>
          <w:rFonts w:eastAsia="Times New Roman"/>
          <w:sz w:val="24"/>
          <w:szCs w:val="24"/>
        </w:rPr>
        <w:instrText>projected 21st century LCC changes. A methodology is devised to constrain the LCC response observationally using sea surface temperature (SST) as a surrogate for the latent heat flux and moisture gradient. In models where the current climate's LCC sensitivities to inversion strength and SST variations are consistent with observed, LCC decreases systematically, which would increase absorption of solar radiation. These results support a positive LCC feedback. Correcting biases in the sensitivities will be an important step toward more credible simulation of cloud feedbacks.\n          , \n            Key Points\n            \n              \n                \n                  In climate models, the low</w:instrText>
      </w:r>
      <w:r w:rsidR="00A670DA">
        <w:rPr>
          <w:rFonts w:eastAsia="Times New Roman" w:hint="eastAsia"/>
          <w:sz w:val="24"/>
          <w:szCs w:val="24"/>
        </w:rPr>
        <w:instrText>‐</w:instrText>
      </w:r>
      <w:r w:rsidR="00A670DA">
        <w:rPr>
          <w:rFonts w:eastAsia="Times New Roman"/>
          <w:sz w:val="24"/>
          <w:szCs w:val="24"/>
        </w:rPr>
        <w:instrText>cloud cover (LCC) feedback is mainly driven by three large</w:instrText>
      </w:r>
      <w:r w:rsidR="00A670DA">
        <w:rPr>
          <w:rFonts w:eastAsia="Times New Roman" w:hint="eastAsia"/>
          <w:sz w:val="24"/>
          <w:szCs w:val="24"/>
        </w:rPr>
        <w:instrText>‐</w:instrText>
      </w:r>
      <w:r w:rsidR="00A670DA">
        <w:rPr>
          <w:rFonts w:eastAsia="Times New Roman"/>
          <w:sz w:val="24"/>
          <w:szCs w:val="24"/>
        </w:rPr>
        <w:instrText>scale changes\n                \n                \n                  The LCC feedback is positive in models where the LCC sensitivities to EIS and SST are realistic\n                \n                \n                  Correcting the sensitivity bias will be an important step toward more credible cloud simulation","container-title":"Geophysical Research Letters","DOI":"10.1002/2015GL065627","ISSN":"0094-8276, 1944-8007","issue":"18","journalAbbreviation":"Geophysical Research Letters","language":"en","license":"http://onlinelibrary.wiley.com/termsAndConditions#am","page":"7767-7775","source":"DOI.org (Crossref)","title":"Positive tropical marine low</w:instrText>
      </w:r>
      <w:r w:rsidR="00A670DA">
        <w:rPr>
          <w:rFonts w:eastAsia="Times New Roman" w:hint="eastAsia"/>
          <w:sz w:val="24"/>
          <w:szCs w:val="24"/>
        </w:rPr>
        <w:instrText>‐</w:instrText>
      </w:r>
      <w:r w:rsidR="00A670DA">
        <w:rPr>
          <w:rFonts w:eastAsia="Times New Roman"/>
          <w:sz w:val="24"/>
          <w:szCs w:val="24"/>
        </w:rPr>
        <w:instrText>cloud cover feedback inferred from cloud</w:instrText>
      </w:r>
      <w:r w:rsidR="00A670DA">
        <w:rPr>
          <w:rFonts w:eastAsia="Times New Roman" w:hint="eastAsia"/>
          <w:sz w:val="24"/>
          <w:szCs w:val="24"/>
        </w:rPr>
        <w:instrText>‐</w:instrText>
      </w:r>
      <w:r w:rsidR="00A670DA">
        <w:rPr>
          <w:rFonts w:eastAsia="Times New Roman"/>
          <w:sz w:val="24"/>
          <w:szCs w:val="24"/>
        </w:rPr>
        <w:instrText>controlling factors","volume":"42","author":[{"family":"Qu","given":"Xin"},{"family":"Hall","given":"Alex"},{"family":"Klein","given":"Stephen A."},{"family":"DeAngelis","given":"Anthony M."}],"issued":{"date-parts":[["2015",9,28]]}}},{"id":105,"uris":["http://zotero.org/users/local/6jdBalM8/items/LCYSYYGH"],"itemData":{"id":105,"type":"article-journal","abstract":"Physical uncertainties in global-warming projections are dominated by uncertainties about how the fraction of incoming shortwave radiation that clouds re</w:instrText>
      </w:r>
      <w:r w:rsidR="00A670DA">
        <w:rPr>
          <w:rFonts w:eastAsia="Times New Roman" w:hint="eastAsia"/>
          <w:sz w:val="24"/>
          <w:szCs w:val="24"/>
        </w:rPr>
        <w:instrText>ﬂ</w:instrText>
      </w:r>
      <w:r w:rsidR="00A670DA">
        <w:rPr>
          <w:rFonts w:eastAsia="Times New Roman"/>
          <w:sz w:val="24"/>
          <w:szCs w:val="24"/>
        </w:rPr>
        <w:instrText>ect will change as greenhouse gas concentrations rise. Differences in the shortwave re</w:instrText>
      </w:r>
      <w:r w:rsidR="00A670DA">
        <w:rPr>
          <w:rFonts w:eastAsia="Times New Roman" w:hint="eastAsia"/>
          <w:sz w:val="24"/>
          <w:szCs w:val="24"/>
        </w:rPr>
        <w:instrText>ﬂ</w:instrText>
      </w:r>
      <w:r w:rsidR="00A670DA">
        <w:rPr>
          <w:rFonts w:eastAsia="Times New Roman"/>
          <w:sz w:val="24"/>
          <w:szCs w:val="24"/>
        </w:rPr>
        <w:instrText>ection by low clouds over tropical oceans alone account for more than half of the variance of the equilibrium climate sensitivity (ECS) among climate models, which ranges from 2.1 to 4.7 K. Space-based measurements now provide an opportunity to assess how well models reproduce temporal variations of this shortwave re</w:instrText>
      </w:r>
      <w:r w:rsidR="00A670DA">
        <w:rPr>
          <w:rFonts w:eastAsia="Times New Roman" w:hint="eastAsia"/>
          <w:sz w:val="24"/>
          <w:szCs w:val="24"/>
        </w:rPr>
        <w:instrText>ﬂ</w:instrText>
      </w:r>
      <w:r w:rsidR="00A670DA">
        <w:rPr>
          <w:rFonts w:eastAsia="Times New Roman"/>
          <w:sz w:val="24"/>
          <w:szCs w:val="24"/>
        </w:rPr>
        <w:instrText>ection on seasonal to interannual time scales. Here such space-based measurements are used to show that shortwave re</w:instrText>
      </w:r>
      <w:r w:rsidR="00A670DA">
        <w:rPr>
          <w:rFonts w:eastAsia="Times New Roman" w:hint="eastAsia"/>
          <w:sz w:val="24"/>
          <w:szCs w:val="24"/>
        </w:rPr>
        <w:instrText>ﬂ</w:instrText>
      </w:r>
      <w:r w:rsidR="00A670DA">
        <w:rPr>
          <w:rFonts w:eastAsia="Times New Roman"/>
          <w:sz w:val="24"/>
          <w:szCs w:val="24"/>
        </w:rPr>
        <w:instrText>ection by low clouds over tropical oceans decreases robustly when the underlying surface warms, for example, by 2(0.96 6 0.22)% K21 (90% con</w:instrText>
      </w:r>
      <w:r w:rsidR="00A670DA">
        <w:rPr>
          <w:rFonts w:eastAsia="Times New Roman" w:hint="eastAsia"/>
          <w:sz w:val="24"/>
          <w:szCs w:val="24"/>
        </w:rPr>
        <w:instrText>ﬁ</w:instrText>
      </w:r>
      <w:r w:rsidR="00A670DA">
        <w:rPr>
          <w:rFonts w:eastAsia="Times New Roman"/>
          <w:sz w:val="24"/>
          <w:szCs w:val="24"/>
        </w:rPr>
        <w:instrText>dence level) for deseasonalized variations. Additionally, the temporal covariance of low-cloud re</w:instrText>
      </w:r>
      <w:r w:rsidR="00A670DA">
        <w:rPr>
          <w:rFonts w:eastAsia="Times New Roman" w:hint="eastAsia"/>
          <w:sz w:val="24"/>
          <w:szCs w:val="24"/>
        </w:rPr>
        <w:instrText>ﬂ</w:instrText>
      </w:r>
      <w:r w:rsidR="00A670DA">
        <w:rPr>
          <w:rFonts w:eastAsia="Times New Roman"/>
          <w:sz w:val="24"/>
          <w:szCs w:val="24"/>
        </w:rPr>
        <w:instrText>ection with temperature in historical simulations with current climate models correlates strongly (r 5 20.67) with the models’ ECS. Therefore, measurements of temporal low-cloud variations can be used to constrain ECS estimates based on climate models. An information-theoretic weighting of climate models by how well they reproduce the measured deseasonalized covariance of shortwave cloud re</w:instrText>
      </w:r>
      <w:r w:rsidR="00A670DA">
        <w:rPr>
          <w:rFonts w:eastAsia="Times New Roman" w:hint="eastAsia"/>
          <w:sz w:val="24"/>
          <w:szCs w:val="24"/>
        </w:rPr>
        <w:instrText>ﬂ</w:instrText>
      </w:r>
      <w:r w:rsidR="00A670DA">
        <w:rPr>
          <w:rFonts w:eastAsia="Times New Roman"/>
          <w:sz w:val="24"/>
          <w:szCs w:val="24"/>
        </w:rPr>
        <w:instrText>ection with temperature yields a most likely ECS estimate around 4.0 K; an ECS below 2.3 K becomes very unlikely (90% con</w:instrText>
      </w:r>
      <w:r w:rsidR="00A670DA">
        <w:rPr>
          <w:rFonts w:eastAsia="Times New Roman" w:hint="eastAsia"/>
          <w:sz w:val="24"/>
          <w:szCs w:val="24"/>
        </w:rPr>
        <w:instrText>ﬁ</w:instrText>
      </w:r>
      <w:r w:rsidR="00A670DA">
        <w:rPr>
          <w:rFonts w:eastAsia="Times New Roman"/>
          <w:sz w:val="24"/>
          <w:szCs w:val="24"/>
        </w:rPr>
        <w:instrText>dence).","container-title":"Journal of Climate","DOI":"10.1175/JCLI-D-15-0897.1","ISSN":"0894-8755, 1520-0442","issue":"16","language":"en","page":"5821-5835","source":"DOI.org (Crossref)","title":"Constraints on Climate Sensitivity from Space-Based Measurements of Low-Cloud Reflection","volume":"29","author":[{"family":"Brient","given":"Florent"},{"family":"Schneider","given":"Tapio"}],"issued":{"date-parts":[["2016",8,15]]}}},{"id":102,"uris":["http://zotero.org/users/local/6jdBalM8/items/4SNDMJTP"],"itemData":{"id":102,"type":"article-journal","abstract":"Decreases in subtropical low cloud cover (LCC) occur in climate model simulations of global warming. In this study 8-day-averaged observations from the Moderate Resolution Imaging Spectroradiometer (MODIS) and the Atmospheric Infrared Sounder (AIRS) spanning 2002</w:instrText>
      </w:r>
      <w:r w:rsidR="00A670DA">
        <w:rPr>
          <w:rFonts w:eastAsia="Times New Roman" w:hint="eastAsia"/>
          <w:sz w:val="24"/>
          <w:szCs w:val="24"/>
        </w:rPr>
        <w:instrText>–</w:instrText>
      </w:r>
      <w:r w:rsidR="00A670DA">
        <w:rPr>
          <w:rFonts w:eastAsia="Times New Roman"/>
          <w:sz w:val="24"/>
          <w:szCs w:val="24"/>
        </w:rPr>
        <w:instrText xml:space="preserve">14 are combined with European Centre for Medium-Range Weather Forecasts (ECMWF) interim reanalysis to compute the dependence of the observed variability of LCC on various predictor variables. Large-scale thermodynamic and dynamic predictors of LCC are selected based on insight from large-eddy simulations (LESs) and observational analysis. It is found that increased estimated inversion strength (EIS) is associated with increased LCC. Drying of the free troposphere is associated with decreased LCC. Decreased LCC accompanies subsidence in regions of relatively low EIS; the opposite is found in regions of high EIS. Finally, it is found that increasing sea surface temperature (SST) leads to a decrease in LCC. These results are in keeping with previous studies of monthly and annual data. Based upon the observed response of LCC to natural variability of the control parameters, the change in LCC is estimated for an idealized warming scenario where SST increases by 1 K and EIS increases by 0.2 K. For this change in EIS and SST the LCC is inferred to decrease by 0.5%–2.7% when the regression models are trained on data observed between 408S and 408N and by 1.1%–1.4% when trained on data from trade cumulus–dominated regions. When the data used to train the regression model are restricted to stratocumulusdominated regions the change in LCC is highly uncertain and varies between 21.6% and 11.4%, depending on the stratocumulus-dominated region used to train the regression model.","container-title":"Journal of Climate","DOI":"10.1175/JCLI-D-15-0734.1","ISSN":"0894-8755, 1520-0442","issue":"10","language":"en","license":"http://www.ametsoc.org/PUBSReuseLicenses","page":"3609-3620","source":"DOI.org (Crossref)","title":"The Change in Low Cloud Cover in a Warmed Climate Inferred from AIRS, MODIS, and ERA-Interim","volume":"30","author":[{"family":"McCoy","given":"Daniel T."},{"family":"Eastman","given":"Ryan"},{"family":"Hartmann","given":"Dennis L."},{"family":"Wood","given":"Robert"}],"issued":{"date-parts":[["2017",5,15]]}}},{"id":5,"uris":["http://zotero.org/users/local/6jdBalM8/items/69GGPP25"],"itemData":{"id":5,"type":"article-journal","abstract":"Abstract\n            \n              Large uncertainty remains on how subtropical clouds will respond to anthropogenic climate change and therefore whether they will act as a positive feedback that amplifies global warming or negative feedback that dampens global warming by altering Earth's energy budget. Here we reduce this uncertainty using an observationally constrained formulation of the response of subtropical clouds to greenhouse forcing. The observed interannual sensitivity of cloud solar reflection to varying meteorological conditions suggests that increasing sea surface temperature and atmospheric stability in the future climate will have largely canceling effects on subtropical cloudiness, overall leading to a weak positive shortwave cloud feedback (0.4 ± 0.9 W m\n              −2\n               K\n              −1\n              ). The uncertainty of this observationally based approximation of the cloud feedback is narrower than the intermodel spread of the feedback produced by climate models. Subtropical cloud changes will therefore complement positive cloud feedbacks identified by previous work, suggesting that future global cloud changes will amplify global warming.\n            \n          , \n            Key Points\n            \n              \n                \n                  The subtropical shortwave cloud feedback can be understood in a linear framework\n                \n                \n                  Observed interannual cloud sensitivity to meteorological changes constrains the feedback\n                \n                \n                  This constrained feedback is positive with less uncertainty than that produced by climate models","container-title":"Geophysical Research Letters","DOI":"10.1002/2015GL067416","ISSN":"0094-8276, 1944-8007","issue":"5","journalAbbreviation":"Geophysical Research Letters","language":"en","license":"http://onlinelibrary.wiley.com/termsAndConditions#am","page":"2144-2148","source":"DOI.org (Crossref)","title":"Reducing the uncertainty in subtropical cloud feedback","volume":"43","author":[{"family":"Myers","given":"Timothy A."},{"family":"Norris","given":"Joel R."}],"issued":{"date-parts":[["2016",3,16]]}}},{"id":46,"uris":["http://zotero.org/users/local/6jdBalM8/items/GIPBI7UG"],"itemData":{"id":46,"type":"article-journal","abstract":"Abstract\n            \n              The response to warming of tropical low-level clouds including both marine stratocumulus and trade cumulus is a major source of uncertainty in projections of future climate. Climate model simulations of the response vary widely, reflecting the difficulty the models have in simulating these clouds. These inadequacies have led to alternative approaches to predict low-cloud feedbacks. Here, we review an observational approach that relies on the assumption that observed relationships between low clouds and the “cloud-controlling factors” of the large-scale environment are invariant across time-scales. With this assumption, and given predictions of how the cloud-controlling factors change with climate warming, one can predict low-cloud feedbacks without using any model simulation of low clouds. We discuss both fundamental and implementation issues with this approach and suggest steps that could reduce uncertainty in the predicted low-cloud feedback. Recent studies using this approach predict that the tropical low-cloud feedback is positive mainly due to the observation that reflection of solar radiation by low clouds decreases as temperature increases, holding all other cloud-controlling factors fixed. The positive feedback from temperature is partially offset by a negative feedback from the tendency for the inversion strength to increase in a warming world, with other cloud-controlling factors playing a smaller role. A consensus estimate from these studies for the contribution of tropical low clouds to the global mean cloud feedback is 0.25 ± 0.18 W m\n              −2\n               K\n              −1\n              (90% confidence interval), suggesting it is very unlikely that tropical low clouds reduce total global cloud feedback. Because the prediction of positive tropical low-cloud feedback with this approach is consistent with independent evidence from low-cloud feedback studies using high-resolution cloud models, progress is being made in reducing this key climate uncertainty.","container-title":"Surveys in Geophysics","DOI":"10.1007/s10712-017-9433-3","ISSN":"0169-3298, 1573-0956","issue":"6","journalAbbreviation":"Surv Geophys","language":"en","page":"1307-1329","source":"DOI.org (Crossref)","title":"Low-Cloud Feedbacks from Cloud-Controlling Factors: A Review","title-short":"Low-Cloud Feedbacks from Cloud-Controlling Factors","volume":"38","author":[{"family":"Klein","given":"Stephen A."},{"family":"Hall","given":"Alex"},{"family":"Norris","given":"Joel R."},{"family":"Pincus","given":"Robert"}],"issued":{"date-parts":[["2017",11]]}}}],"schema":"https://github.com/citation-style-language/schema/raw/master/csl-citation.json"} </w:instrText>
      </w:r>
      <w:r w:rsidR="0090613A">
        <w:rPr>
          <w:rFonts w:eastAsia="Times New Roman"/>
          <w:sz w:val="24"/>
          <w:szCs w:val="24"/>
        </w:rPr>
        <w:fldChar w:fldCharType="separate"/>
      </w:r>
      <w:r w:rsidR="00A670DA">
        <w:rPr>
          <w:rFonts w:eastAsia="Times New Roman"/>
          <w:noProof/>
          <w:sz w:val="24"/>
          <w:szCs w:val="24"/>
        </w:rPr>
        <w:t>(Qu et al., 2015; Brient &amp; Schneider, 2016; McCoy et al., 2017; Myers &amp; Norris, 2016; Klein et al., 2017)</w:t>
      </w:r>
      <w:r w:rsidR="0090613A">
        <w:rPr>
          <w:rFonts w:eastAsia="Times New Roman"/>
          <w:sz w:val="24"/>
          <w:szCs w:val="24"/>
        </w:rPr>
        <w:fldChar w:fldCharType="end"/>
      </w:r>
      <w:r>
        <w:rPr>
          <w:rFonts w:eastAsia="Times New Roman"/>
          <w:sz w:val="24"/>
          <w:szCs w:val="24"/>
        </w:rPr>
        <w:t xml:space="preserve">) </w:t>
      </w:r>
      <w:r w:rsidRPr="00B04655">
        <w:rPr>
          <w:rFonts w:eastAsia="Times New Roman"/>
          <w:sz w:val="24"/>
          <w:szCs w:val="24"/>
        </w:rPr>
        <w:t>face additional constraints from the relatively short satellite record and the difficulty of isolating the cloud response to warming from natural variability.</w:t>
      </w:r>
    </w:p>
    <w:p w14:paraId="4FEB9B70" w14:textId="77777777" w:rsidR="00B04655" w:rsidRPr="00B04655" w:rsidRDefault="00B04655" w:rsidP="00B04655">
      <w:pPr>
        <w:shd w:val="clear" w:color="auto" w:fill="FFFFFF"/>
        <w:spacing w:line="480" w:lineRule="auto"/>
        <w:jc w:val="both"/>
        <w:rPr>
          <w:rFonts w:eastAsia="Times New Roman"/>
          <w:sz w:val="24"/>
          <w:szCs w:val="24"/>
        </w:rPr>
      </w:pPr>
    </w:p>
    <w:p w14:paraId="511D67F2" w14:textId="4E6E9C70" w:rsidR="00AB4850" w:rsidRPr="00065531" w:rsidRDefault="00B04655" w:rsidP="008131E7">
      <w:pPr>
        <w:shd w:val="clear" w:color="auto" w:fill="FFFFFF"/>
        <w:spacing w:line="480" w:lineRule="auto"/>
        <w:ind w:firstLine="720"/>
        <w:jc w:val="both"/>
        <w:rPr>
          <w:rFonts w:eastAsia="Times New Roman"/>
          <w:sz w:val="24"/>
          <w:szCs w:val="24"/>
        </w:rPr>
      </w:pPr>
      <w:r w:rsidRPr="00B04655">
        <w:rPr>
          <w:rFonts w:eastAsia="Times New Roman"/>
          <w:sz w:val="24"/>
          <w:szCs w:val="24"/>
        </w:rPr>
        <w:t>Geographically, low clouds in both subtropical (0–30°N/S) and extratropical (30–60°N/S) regions significantly contribute to total cloud feedback</w:t>
      </w:r>
      <w:r w:rsidR="00470591">
        <w:rPr>
          <w:rFonts w:eastAsia="Times New Roman"/>
          <w:sz w:val="24"/>
          <w:szCs w:val="24"/>
        </w:rPr>
        <w:fldChar w:fldCharType="begin"/>
      </w:r>
      <w:r w:rsidR="005611A8">
        <w:rPr>
          <w:rFonts w:eastAsia="Times New Roman"/>
          <w:sz w:val="24"/>
          <w:szCs w:val="24"/>
        </w:rPr>
        <w:instrText xml:space="preserve"> ADDIN ZOTERO_ITEM CSL_CITATION {"citationID":"kTw27vfl","properties":{"formattedCitation":"(Gettelman &amp; Sherwood, 2016; Klein et al., 2017)","plainCitation":"(Gettelman &amp; Sherwood, 2016; Klein et al., 2017)","noteIndex":0},"citationItems":[{"id":47,"uris":["http://zotero.org/users/local/6jdBalM8/items/XRZARJM8"],"itemData":{"id":47,"type":"article-journal","abstract":"Cloud feedback on global climate is determined by the combined action of multiple processes that have different relevance in different cloud regimes. This review lays out the framework for cloud feedback and highlights recent advances and outstanding issues. A consensus is emerging on large-scale controls on cloud feedback. Recent work has made significant progress in the understanding and observationally constraining the local response of shallow clouds. But significant uncertainties remain in microphysical mechanisms for cloud feedback. Important microphysical mechanisms include cloud phase changes, precipitation processes and even aerosol distributions. The treatment of these processes varies across climate models and may contribute to greater spread in feedbacks across models as models advance. Future work will need to try to bound the range of possible cloud microphysical feedback mechanisms and seek observational constraints on them.","container-title":"Current Climate Change Reports","DOI":"10.1007/s40641-016-0052-8","ISSN":"2198-6061","issue":"4","journalAbbreviation":"Curr Clim Change Rep","language":"en","page":"179-189","source":"DOI.org (Crossref)","title":"Processes Responsible for Cloud Feedback","volume":"2","author":[{"family":"Gettelman","given":"A."},{"family":"Sherwood","given":"S. C."}],"issued":{"date-parts":[["2016",12]]}}},{"id":46,"uris":["http://zotero.org/users/local/6jdBalM8/items/GIPBI7UG"],"itemData":{"id":46,"type":"article-journal","abstract":"Abstract\n            \n              The response to warming of tropical low-level clouds including both marine stratocumulus and trade cumulus is a major source of uncertainty in projections of future climate. Climate model simulations of the response vary widely, reflecting the difficulty the models have in simulating these clouds. These inadequacies have led to alternative approaches to predict low-cloud feedbacks. Here, we review an observational approach that relies on the assumption that observed relationships between low clouds and the “cloud-controlling factors” of the large-scale environment are invariant across time-scales. With this assumption, and given predictions of how the cloud-controlling factors change with climate warming, one can predict low-cloud feedbacks without using any model simulation of low clouds. We discuss both fundamental and implementation issues with this approach and suggest steps that could reduce uncertainty in the predicted low-cloud feedback. Recent studies using this approach predict that the tropical low-cloud feedback is positive mainly due to the observation that reflection of solar radiation by low clouds decreases as temperature increases, holding all other cloud-controlling factors fixed. The positive feedback from temperature is partially offset by a negative feedback from the tendency for the inversion strength to increase in a warming world, with other cloud-controlling factors playing a smaller role. A consensus estimate from these studies for the contribution of tropical low clouds to the global mean cloud feedback is 0.25 ± 0.18 W m\n              −2\n               K\n              −1\n              (90% confidence interval), suggesting it is very unlikely that tropical low clouds reduce total global cloud feedback. Because the prediction of positive tropical low-cloud feedback with this approach is consistent with independent evidence from low-cloud feedback studies using high-resolution cloud models, progress is being made in reducing this key climate uncertainty.","container-title":"Surveys in Geophysics","DOI":"10.1007/s10712-017-9433-3","ISSN":"0169-3298, 1573-0956","issue":"6","journalAbbreviation":"Surv Geophys","language":"en","page":"1307-1329","source":"DOI.org (Crossref)","title":"Low-Cloud Feedbacks from Cloud-Controlling Factors: A Review","title-short":"Low-Cloud Feedbacks from Cloud-Controlling Factors","volume":"38","author":[{"family":"Klein","given":"Stephen A."},{"family":"Hall","given":"Alex"},{"family":"Norris","given":"Joel R."},{"family":"Pincus","given":"Robert"}],"issued":{"date-parts":[["2017",11]]}}}],"schema":"https://github.com/citation-style-language/schema/raw/master/csl-citation.json"} </w:instrText>
      </w:r>
      <w:r w:rsidR="00470591">
        <w:rPr>
          <w:rFonts w:eastAsia="Times New Roman"/>
          <w:sz w:val="24"/>
          <w:szCs w:val="24"/>
        </w:rPr>
        <w:fldChar w:fldCharType="separate"/>
      </w:r>
      <w:r w:rsidR="005611A8">
        <w:rPr>
          <w:rFonts w:eastAsia="Times New Roman"/>
          <w:noProof/>
          <w:sz w:val="24"/>
          <w:szCs w:val="24"/>
        </w:rPr>
        <w:t>(Gettelman &amp; Sherwood, 2016; Klein et al., 2017)</w:t>
      </w:r>
      <w:r w:rsidR="00470591">
        <w:rPr>
          <w:rFonts w:eastAsia="Times New Roman"/>
          <w:sz w:val="24"/>
          <w:szCs w:val="24"/>
        </w:rPr>
        <w:fldChar w:fldCharType="end"/>
      </w:r>
      <w:r w:rsidRPr="00B04655">
        <w:rPr>
          <w:rFonts w:eastAsia="Times New Roman"/>
          <w:sz w:val="24"/>
          <w:szCs w:val="24"/>
        </w:rPr>
        <w:t xml:space="preserve">. While subtropical low clouds have received extensive attention </w:t>
      </w:r>
      <w:r w:rsidR="004816CB">
        <w:rPr>
          <w:rFonts w:eastAsia="Times New Roman"/>
          <w:sz w:val="24"/>
          <w:szCs w:val="24"/>
        </w:rPr>
        <w:fldChar w:fldCharType="begin"/>
      </w:r>
      <w:r w:rsidR="004816CB">
        <w:rPr>
          <w:rFonts w:eastAsia="Times New Roman"/>
          <w:sz w:val="24"/>
          <w:szCs w:val="24"/>
        </w:rPr>
        <w:instrText xml:space="preserve"> ADDIN ZOTERO_ITEM CSL_CITATION {"citationID":"fK6z5o1K","properties":{"formattedCitation":"(Bony &amp; Dufresne, 2005)","plainCitation":"(Bony &amp; Dufresne, 2005)","noteIndex":0},"citationItems":[{"id":36,"uris":["http://zotero.org/users/local/6jdBalM8/items/3SF7F3EB"],"itemData":{"id":36,"type":"article-journal","abstract":"The radiative response of tropical clouds to global warming exhibits a large spread among climate models, and this constitutes a major source of uncertainty for climate sensitivity estimates. To better interpret the origin of that uncertainty, we analyze the sensitivity of the tropical cloud radiative forcing to a change in sea surface temperature that is simulated by 15 coupled models simulating climate change and current interannual variability. We show that it is in regimes of large</w:instrText>
      </w:r>
      <w:r w:rsidR="004816CB">
        <w:rPr>
          <w:rFonts w:eastAsia="Times New Roman" w:hint="eastAsia"/>
          <w:sz w:val="24"/>
          <w:szCs w:val="24"/>
        </w:rPr>
        <w:instrText>‐</w:instrText>
      </w:r>
      <w:r w:rsidR="004816CB">
        <w:rPr>
          <w:rFonts w:eastAsia="Times New Roman"/>
          <w:sz w:val="24"/>
          <w:szCs w:val="24"/>
        </w:rPr>
        <w:instrText>scale subsidence that the model results (1) differ the most in climate change and (2) disagree the most with observations in the current climate (most models underestimate the interannual sensitivity of clouds albedo to a change in temperature). This suggests that the simulation of the sensitivity of marine boundary layer clouds to changing environmental conditions constitutes, currently, the main source of uncertainty in tropical cloud feedbacks simulated by general circulation models.","container-title":"Geophysical Research Letters","DOI":"10.1029/2005GL023851","ISSN":"0094-8276, 1944-8007","issue":"20","journalAbbreviation":"Geophysical Research Letters","language":"en","license":"http://onlinelibrary.wiley.com/termsAndConditions#vor","page":"2005GL023851","source":"DOI.org (Crossref)","title":"Marine boundary layer clouds at the heart of tropical cloud feedback uncertainties in climate models","volume":"32","author":[{"family":"Bony","given":"Sandrine"},{"family":"Dufresne","given":"Jean</w:instrText>
      </w:r>
      <w:r w:rsidR="004816CB">
        <w:rPr>
          <w:rFonts w:eastAsia="Times New Roman" w:hint="eastAsia"/>
          <w:sz w:val="24"/>
          <w:szCs w:val="24"/>
        </w:rPr>
        <w:instrText>‐</w:instrText>
      </w:r>
      <w:r w:rsidR="004816CB">
        <w:rPr>
          <w:rFonts w:eastAsia="Times New Roman"/>
          <w:sz w:val="24"/>
          <w:szCs w:val="24"/>
        </w:rPr>
        <w:instrText xml:space="preserve">Louis"}],"issued":{"date-parts":[["2005",10]]}}}],"schema":"https://github.com/citation-style-language/schema/raw/master/csl-citation.json"} </w:instrText>
      </w:r>
      <w:r w:rsidR="004816CB">
        <w:rPr>
          <w:rFonts w:eastAsia="Times New Roman"/>
          <w:sz w:val="24"/>
          <w:szCs w:val="24"/>
        </w:rPr>
        <w:fldChar w:fldCharType="separate"/>
      </w:r>
      <w:r w:rsidR="004816CB">
        <w:rPr>
          <w:rFonts w:eastAsia="Times New Roman"/>
          <w:noProof/>
          <w:sz w:val="24"/>
          <w:szCs w:val="24"/>
        </w:rPr>
        <w:t>(</w:t>
      </w:r>
      <w:r w:rsidR="004816CB" w:rsidRPr="00B04655">
        <w:rPr>
          <w:rFonts w:eastAsia="Times New Roman"/>
          <w:sz w:val="24"/>
          <w:szCs w:val="24"/>
        </w:rPr>
        <w:t>e.g.,</w:t>
      </w:r>
      <w:r w:rsidR="004816CB">
        <w:rPr>
          <w:rFonts w:eastAsia="Times New Roman"/>
          <w:sz w:val="24"/>
          <w:szCs w:val="24"/>
        </w:rPr>
        <w:t xml:space="preserve"> </w:t>
      </w:r>
      <w:r w:rsidR="004816CB">
        <w:rPr>
          <w:rFonts w:eastAsia="Times New Roman"/>
          <w:noProof/>
          <w:sz w:val="24"/>
          <w:szCs w:val="24"/>
        </w:rPr>
        <w:t>Bony &amp; Dufresne, 2005)</w:t>
      </w:r>
      <w:r w:rsidR="004816CB">
        <w:rPr>
          <w:rFonts w:eastAsia="Times New Roman"/>
          <w:sz w:val="24"/>
          <w:szCs w:val="24"/>
        </w:rPr>
        <w:fldChar w:fldCharType="end"/>
      </w:r>
      <w:r w:rsidRPr="00B04655">
        <w:rPr>
          <w:rFonts w:eastAsia="Times New Roman"/>
          <w:sz w:val="24"/>
          <w:szCs w:val="24"/>
        </w:rPr>
        <w:t xml:space="preserve">, the role of extratropical low-cloud feedback has only recently been more widely recognized. </w:t>
      </w:r>
      <w:r w:rsidR="00597EF1">
        <w:rPr>
          <w:rFonts w:eastAsia="Times New Roman"/>
          <w:sz w:val="24"/>
          <w:szCs w:val="24"/>
        </w:rPr>
        <w:fldChar w:fldCharType="begin"/>
      </w:r>
      <w:r w:rsidR="00BD7934">
        <w:rPr>
          <w:rFonts w:eastAsia="Times New Roman"/>
          <w:sz w:val="24"/>
          <w:szCs w:val="24"/>
        </w:rPr>
        <w:instrText xml:space="preserve"> ADDIN ZOTERO_ITEM CSL_CITATION {"citationID":"nKsdaPmP","properties":{"formattedCitation":"(Zelinka et al., 2020)","plainCitation":"(Zelinka et al., 2020)","noteIndex":0},"citationItems":[{"id":38,"uris":["http://zotero.org/users/local/6jdBalM8/items/RN4M4XWF"],"itemData":{"id":38,"type":"article-journal","abstract":"Equilibrium climate sensitivity, the global surface temperature response to CO2 doubling, has been persistently uncertain. Recent consensus places it likely within 1.5–4.5 K. Global climate models (GCMs), which attempt to represent all relevant physical processes, provide the most direct means of estimating climate sensitivity via CO2 quadrupling experiments. Here we show that the closely related effective climate sensitivity has increased substantially in Coupled Model Intercomparison Project phase 6 (CMIP6), with values spanning 1.8–5.6 K across 27 GCMs and exceeding 4.5 K in 10 of them. This (statistically insignificant) increase is primarily due to stronger positive cloud feedbacks from decreasing extratropical low cloud coverage and albedo. Both of these are tied to the physical representation of clouds which in CMIP6 models lead to weaker responses of extratropical low cloud cover and water content to unforced variations in surface temperature. Establishing the plausibility of these higher sensitivity models is imperative given their implied societal ramifications.","container-title":"Geophysical Research Letters","DOI":"10.1029/2019GL085782","ISSN":"0094-8276, 1944-8007","issue":"1","journalAbbreviation":"Geophysical Research Letters","language":"en","page":"e2019GL085782","source":"DOI.org (Crossref)","title":"Causes of Higher Climate Sensitivity in CMIP6 Models","volume":"47","author":[{"family":"Zelinka","given":"Mark D."},{"family":"Myers","given":"Timothy A."},{"family":"McCoy","given":"Daniel T."},{"family":"Po</w:instrText>
      </w:r>
      <w:r w:rsidR="00BD7934">
        <w:rPr>
          <w:rFonts w:eastAsia="Times New Roman" w:hint="eastAsia"/>
          <w:sz w:val="24"/>
          <w:szCs w:val="24"/>
        </w:rPr>
        <w:instrText>‐</w:instrText>
      </w:r>
      <w:r w:rsidR="00BD7934">
        <w:rPr>
          <w:rFonts w:eastAsia="Times New Roman"/>
          <w:sz w:val="24"/>
          <w:szCs w:val="24"/>
        </w:rPr>
        <w:instrText xml:space="preserve">Chedley","given":"Stephen"},{"family":"Caldwell","given":"Peter M."},{"family":"Ceppi","given":"Paulo"},{"family":"Klein","given":"Stephen A."},{"family":"Taylor","given":"Karl E."}],"issued":{"date-parts":[["2020",1,16]]}}}],"schema":"https://github.com/citation-style-language/schema/raw/master/csl-citation.json"} </w:instrText>
      </w:r>
      <w:r w:rsidR="00597EF1">
        <w:rPr>
          <w:rFonts w:eastAsia="Times New Roman"/>
          <w:sz w:val="24"/>
          <w:szCs w:val="24"/>
        </w:rPr>
        <w:fldChar w:fldCharType="separate"/>
      </w:r>
      <w:r w:rsidR="00BD7934">
        <w:rPr>
          <w:rFonts w:eastAsia="Times New Roman"/>
          <w:noProof/>
          <w:sz w:val="24"/>
          <w:szCs w:val="24"/>
        </w:rPr>
        <w:t>Zelinka et al. (2020)</w:t>
      </w:r>
      <w:r w:rsidR="00597EF1">
        <w:rPr>
          <w:rFonts w:eastAsia="Times New Roman"/>
          <w:sz w:val="24"/>
          <w:szCs w:val="24"/>
        </w:rPr>
        <w:fldChar w:fldCharType="end"/>
      </w:r>
      <w:r w:rsidRPr="00B04655">
        <w:rPr>
          <w:rFonts w:eastAsia="Times New Roman"/>
          <w:sz w:val="24"/>
          <w:szCs w:val="24"/>
        </w:rPr>
        <w:t xml:space="preserve"> identified </w:t>
      </w:r>
      <w:proofErr w:type="gramStart"/>
      <w:r w:rsidRPr="00B04655">
        <w:rPr>
          <w:rFonts w:eastAsia="Times New Roman"/>
          <w:sz w:val="24"/>
          <w:szCs w:val="24"/>
        </w:rPr>
        <w:t>an intensified positive low-cloud feedback</w:t>
      </w:r>
      <w:proofErr w:type="gramEnd"/>
      <w:r w:rsidRPr="00B04655">
        <w:rPr>
          <w:rFonts w:eastAsia="Times New Roman"/>
          <w:sz w:val="24"/>
          <w:szCs w:val="24"/>
        </w:rPr>
        <w:t xml:space="preserve"> in the </w:t>
      </w:r>
      <w:proofErr w:type="spellStart"/>
      <w:r w:rsidRPr="00B04655">
        <w:rPr>
          <w:rFonts w:eastAsia="Times New Roman"/>
          <w:sz w:val="24"/>
          <w:szCs w:val="24"/>
        </w:rPr>
        <w:t>extratropics</w:t>
      </w:r>
      <w:proofErr w:type="spellEnd"/>
      <w:r w:rsidRPr="00B04655">
        <w:rPr>
          <w:rFonts w:eastAsia="Times New Roman"/>
          <w:sz w:val="24"/>
          <w:szCs w:val="24"/>
        </w:rPr>
        <w:t xml:space="preserve"> as a key factor driving the increase in equilibrium climate sensitivity (ECS) from CMIP5 to CMIP6. Studies further suggest that misrepresenting mixed-phase cloud processes at extratropical latitudes may lead to an overestimation of negative cloud-phase feedback, thereby artificially suppressing ECS values in models </w:t>
      </w:r>
      <w:r w:rsidR="00D1479B">
        <w:rPr>
          <w:rFonts w:eastAsia="Times New Roman"/>
          <w:sz w:val="24"/>
          <w:szCs w:val="24"/>
        </w:rPr>
        <w:fldChar w:fldCharType="begin"/>
      </w:r>
      <w:r w:rsidR="00FB4FBF">
        <w:rPr>
          <w:rFonts w:eastAsia="Times New Roman"/>
          <w:sz w:val="24"/>
          <w:szCs w:val="24"/>
        </w:rPr>
        <w:instrText xml:space="preserve"> ADDIN ZOTERO_ITEM CSL_CITATION {"citationID":"OWzzaGOc","properties":{"unsorted":true,"formattedCitation":"(Gettelman &amp; Sherwood, 2016; Tan et al., 2016; Frey &amp; Kay, 2018; Bodas\\uc0\\u8208{}Salcedo et al., 2019)","plainCitation":"(Gettelman &amp; Sherwood, 2016; Tan et al., 2016; Frey &amp; Kay, 2018; Bodas</w:instrText>
      </w:r>
      <w:r w:rsidR="00FB4FBF">
        <w:rPr>
          <w:rFonts w:eastAsia="Times New Roman" w:hint="eastAsia"/>
          <w:sz w:val="24"/>
          <w:szCs w:val="24"/>
        </w:rPr>
        <w:instrText>‐</w:instrText>
      </w:r>
      <w:r w:rsidR="00FB4FBF">
        <w:rPr>
          <w:rFonts w:eastAsia="Times New Roman"/>
          <w:sz w:val="24"/>
          <w:szCs w:val="24"/>
        </w:rPr>
        <w:instrText>Salcedo et al., 2019)","noteIndex":0},"citationItems":[{"id":47,"uris":["http://zotero.org/users/local/6jdBalM8/items/XRZARJM8"],"itemData":{"id":47,"type":"article-journal","abstract":"Cloud feedback on global climate is determined by the combined action of multiple processes that have different relevance in different cloud regimes. This review lays out the framework for cloud feedback and highlights recent advances and outstanding issues. A consensus is emerging on large-scale controls on cloud feedback. Recent work has made significant progress in the understanding and observationally constraining the local response of shallow clouds. But significant uncertainties remain in microphysical mechanisms for cloud feedback. Important microphysical mechanisms include cloud phase changes, precipitation processes and even aerosol distributions. The treatment of these processes varies across climate models and may contribute to greater spread in feedbacks across models as models advance. Future work will need to try to bound the range of possible cloud microphysical feedback mechanisms and seek observational constraints on them.","container-title":"Current Climate Change Reports","DOI":"10.1007/s40641-016-0052-8","ISSN":"2198-6061","issue":"4","journalAbbreviation":"Curr Clim Change Rep","language":"en","page":"179-189","source":"DOI.org (Crossref)","title":"Processes Responsible for Cloud Feedback","volume":"2","author":[{"family":"Gettelman","given":"A."},{"family":"Sherwood","given":"S. C."}],"issued":{"date-parts":[["2016",12]]}}},{"id":50,"uris":["http://zotero.org/users/local/6jdBalM8/items/R5EC2V69"],"itemData":{"id":50,"type":"article-journal","abstract":"A more sensitive climate system\n            \n              How much global average temperature eventually will rise depends on the Equilibrium Climate Sensitivity (ECS), which relates atmospheric CO\n              2\n              concentration to atmospheric temperature. For decades, ECS has been estimated to be between 2.0° and 4.6°C, with much of that uncertainty owing to the difficulty of establishing the effects of clouds on Earth's energy budget. Tan\n              et al.\n              used satellite observations to constrain the radiative impact of mixed phase clouds. They conclude that ECS could be between 5.0° and 5.3°C—higher than suggested by most global climate models.\n            \n            \n              Science\n              , this issue p.\n              224\n            \n          , \n            Weaknesses in cloud parameterizations may be causing global climate models to underestimate future warming.\n          , \n            \n              Global climate model (GCM) estimates of the equilibrium global mean surface temperature response to a doubling of atmospheric CO\n              2\n              , measured by the equilibrium climate sensitivity (ECS), range from 2.0° to 4.6°C. Clouds are among the leading causes of this uncertainty. Here we show that the ECS can be up to 1.3°C higher in simulations where mixed-phase clouds consisting of ice crystals and supercooled liquid droplets are constrained by global satellite observations. The higher ECS estimates are directly linked to a weakened cloud-phase feedback arising from a decreased cloud glaciation rate in a warmer climate. We point out the need for realistic representations of the supercooled liquid fraction in mixed-phase clouds in GCMs, given the sensitivity of the ECS to the cloud-phase feedback.","container-title":"Science","DOI":"10.1126/science.aad5300","ISSN":"0036-8075, 1095-9203","issue":"6282","journalAbbreviation":"Science","language":"en","page":"224-227","source":"DOI.org (Crossref)","title":"Observational constraints on mixed-phase clouds imply higher climate sensitivity","volume":"352","author":[{"family":"Tan","given":"Ivy"},{"family":"Storelvmo","given":"Trude"},{"family":"Zelinka","given":"Mark D."}],"issued":{"date-parts":[["2016",4,8]]}}},{"id":44,"uris":["http://zotero.org/users/local/6jdBalM8/items/L5JYD9YY"],"itemData":{"id":44,"type":"article-journal","container-title":"Climate Dynamics","DOI":"10.1007/s00382-017-3796-5","ISSN":"0930-7575, 1432-0894","issue":"7-8","journalAbbreviation":"Clim Dyn","language":"en","page":"3097-3116","source":"DOI.org (Crossref)","title":"The influence of extratropical cloud phase and amount feedbacks on climate sensitivity","volume":"50","author":[{"family":"Frey","given":"William R."},{"family":"Kay","given":"Jennifer E."}],"issued":{"date-parts":[["2018",4]]}}},{"id":120,"uris":["http://zotero.org/users/local/6jdBalM8/items/GLFRQU45"],"itemData":{"id":120,"type":"article-journal","abstract":"We analyze the atmospheric processes that explain the large changes in radiative feedbacks between the two latest climate configurations of the Hadley Centre Global Environmental model. We use a large set of atmosphere-only climate change simulations (amip and amip-p4K) to separate the contributions to the differences in feedback parameter from all the atmospheric model developments between the two latest model configurations. We show that the differences are mostly driven by changes in the shortwave cloud radiative feedback in the midlatitudes, mainly over the Southern Ocean. Two new schemes explain most of the differences: the introduction of a new aerosol scheme and the development of a new mixed-phase cloud scheme. Both schemes reduce the strength of the preexisting shortwave negative cloud feedback in the midlatitudes. The new aerosol scheme dampens a strong aerosol-cloud interaction, and it also suppresses a negative clear-sky shortwave feedback. The mixed-phase scheme increases the amount of cloud liquid water path (LWP) in the present day and reduces the increase in LWP with warming. Both changes contribute to reducing the negative radiative feedback of the increase of LWP in the warmer climate. The mixed-phase scheme also enhances a strong, preexisting, positive cloud fraction feedback. We assess the realism of the changes by comparing present-day simulations against observations and discuss avenues that could help constrain the relevant processes.","container-title":"Journal of Advances in Modeling Earth Systems","DOI":"10.1029/2019MS001688","ISSN":"1942-2466, 1942-2466","issue":"6","journalAbbreviation":"J Adv Model Earth Syst","language":"en","page":"1735-1758","source":"DOI.org (Crossref)","title":"Strong Dependence of Atmospheric Feedbacks on Mixed</w:instrText>
      </w:r>
      <w:r w:rsidR="00FB4FBF">
        <w:rPr>
          <w:rFonts w:eastAsia="Times New Roman" w:hint="eastAsia"/>
          <w:sz w:val="24"/>
          <w:szCs w:val="24"/>
        </w:rPr>
        <w:instrText>‐</w:instrText>
      </w:r>
      <w:r w:rsidR="00FB4FBF">
        <w:rPr>
          <w:rFonts w:eastAsia="Times New Roman"/>
          <w:sz w:val="24"/>
          <w:szCs w:val="24"/>
        </w:rPr>
        <w:instrText>Phase Microphysics and Aerosol</w:instrText>
      </w:r>
      <w:r w:rsidR="00FB4FBF">
        <w:rPr>
          <w:rFonts w:eastAsia="Times New Roman" w:hint="eastAsia"/>
          <w:sz w:val="24"/>
          <w:szCs w:val="24"/>
        </w:rPr>
        <w:instrText>‐</w:instrText>
      </w:r>
      <w:r w:rsidR="00FB4FBF">
        <w:rPr>
          <w:rFonts w:eastAsia="Times New Roman"/>
          <w:sz w:val="24"/>
          <w:szCs w:val="24"/>
        </w:rPr>
        <w:instrText>Cloud Interactions in HadGEM3","volume":"11","author":[{"family":"Bodas</w:instrText>
      </w:r>
      <w:r w:rsidR="00FB4FBF">
        <w:rPr>
          <w:rFonts w:eastAsia="Times New Roman" w:hint="eastAsia"/>
          <w:sz w:val="24"/>
          <w:szCs w:val="24"/>
        </w:rPr>
        <w:instrText>‐</w:instrText>
      </w:r>
      <w:r w:rsidR="00FB4FBF">
        <w:rPr>
          <w:rFonts w:eastAsia="Times New Roman"/>
          <w:sz w:val="24"/>
          <w:szCs w:val="24"/>
        </w:rPr>
        <w:instrText xml:space="preserve">Salcedo","given":"A."},{"family":"Mulcahy","given":"J. P."},{"family":"Andrews","given":"T."},{"family":"Williams","given":"K. D."},{"family":"Ringer","given":"M. A."},{"family":"Field","given":"P. R."},{"family":"Elsaesser","given":"G. S."}],"issued":{"date-parts":[["2019",6]]}}}],"schema":"https://github.com/citation-style-language/schema/raw/master/csl-citation.json"} </w:instrText>
      </w:r>
      <w:r w:rsidR="00D1479B">
        <w:rPr>
          <w:rFonts w:eastAsia="Times New Roman"/>
          <w:sz w:val="24"/>
          <w:szCs w:val="24"/>
        </w:rPr>
        <w:fldChar w:fldCharType="separate"/>
      </w:r>
      <w:r w:rsidR="00FB4FBF" w:rsidRPr="00FB4FBF">
        <w:rPr>
          <w:rFonts w:eastAsia="SimSun"/>
          <w:sz w:val="24"/>
          <w:szCs w:val="24"/>
        </w:rPr>
        <w:t>(Gettelman &amp; Sherwood, 2016; Tan et al., 2016; Frey &amp; Kay, 2018; Bodas‐Salcedo et al., 2019)</w:t>
      </w:r>
      <w:r w:rsidR="00D1479B">
        <w:rPr>
          <w:rFonts w:eastAsia="Times New Roman"/>
          <w:sz w:val="24"/>
          <w:szCs w:val="24"/>
        </w:rPr>
        <w:fldChar w:fldCharType="end"/>
      </w:r>
      <w:r w:rsidRPr="00B04655">
        <w:rPr>
          <w:rFonts w:eastAsia="Times New Roman"/>
          <w:sz w:val="24"/>
          <w:szCs w:val="24"/>
        </w:rPr>
        <w:t xml:space="preserve">. In addition, extratropical cloud systems are often multi-layered and structurally complex, posing challenges for both passive and active satellite retrievals </w:t>
      </w:r>
      <w:r w:rsidR="00FB4FBF">
        <w:rPr>
          <w:rFonts w:eastAsia="Times New Roman"/>
          <w:sz w:val="24"/>
          <w:szCs w:val="24"/>
        </w:rPr>
        <w:fldChar w:fldCharType="begin"/>
      </w:r>
      <w:r w:rsidR="005B6958">
        <w:rPr>
          <w:rFonts w:eastAsia="Times New Roman"/>
          <w:sz w:val="24"/>
          <w:szCs w:val="24"/>
        </w:rPr>
        <w:instrText xml:space="preserve"> ADDIN ZOTERO_ITEM CSL_CITATION {"citationID":"LrVIWocK","properties":{"unsorted":true,"formattedCitation":"(Marchand et al., 2009; Haynes et al., 2011; Sourdeval et al., 2016)","plainCitation":"(Marchand et al., 2009; Haynes et al., 2011; Sourdeval et al., 2016)","noteIndex":0},"citationItems":[{"id":121,"uris":["http://zotero.org/users/local/6jdBalM8/items/ZIRPB9PN"],"itemData":{"id":121,"type":"article-journal","abstract":"Over the last few years a new type of global climate model (GCM) has emerged in which a cloud</w:instrText>
      </w:r>
      <w:r w:rsidR="005B6958">
        <w:rPr>
          <w:rFonts w:eastAsia="Times New Roman" w:hint="eastAsia"/>
          <w:sz w:val="24"/>
          <w:szCs w:val="24"/>
        </w:rPr>
        <w:instrText>‐</w:instrText>
      </w:r>
      <w:r w:rsidR="005B6958">
        <w:rPr>
          <w:rFonts w:eastAsia="Times New Roman"/>
          <w:sz w:val="24"/>
          <w:szCs w:val="24"/>
        </w:rPr>
        <w:instrText>resolving model is embedded into each grid cell of a GCM. This new approach is frequently called a multiscale modeling framework (MMF) or superparameterization. In this article we present a comparison of MMF output with radar observations from the NASA CloudSat mission, which uses a near</w:instrText>
      </w:r>
      <w:r w:rsidR="005B6958">
        <w:rPr>
          <w:rFonts w:eastAsia="Times New Roman" w:hint="eastAsia"/>
          <w:sz w:val="24"/>
          <w:szCs w:val="24"/>
        </w:rPr>
        <w:instrText>‐</w:instrText>
      </w:r>
      <w:r w:rsidR="005B6958">
        <w:rPr>
          <w:rFonts w:eastAsia="Times New Roman"/>
          <w:sz w:val="24"/>
          <w:szCs w:val="24"/>
        </w:rPr>
        <w:instrText>nadir</w:instrText>
      </w:r>
      <w:r w:rsidR="005B6958">
        <w:rPr>
          <w:rFonts w:eastAsia="Times New Roman" w:hint="eastAsia"/>
          <w:sz w:val="24"/>
          <w:szCs w:val="24"/>
        </w:rPr>
        <w:instrText>‐</w:instrText>
      </w:r>
      <w:r w:rsidR="005B6958">
        <w:rPr>
          <w:rFonts w:eastAsia="Times New Roman"/>
          <w:sz w:val="24"/>
          <w:szCs w:val="24"/>
        </w:rPr>
        <w:instrText>pointing millimeter</w:instrText>
      </w:r>
      <w:r w:rsidR="005B6958">
        <w:rPr>
          <w:rFonts w:eastAsia="Times New Roman" w:hint="eastAsia"/>
          <w:sz w:val="24"/>
          <w:szCs w:val="24"/>
        </w:rPr>
        <w:instrText>‐</w:instrText>
      </w:r>
      <w:r w:rsidR="005B6958">
        <w:rPr>
          <w:rFonts w:eastAsia="Times New Roman"/>
          <w:sz w:val="24"/>
          <w:szCs w:val="24"/>
        </w:rPr>
        <w:instrText>wavelength radar to probe the vertical structure of clouds and precipitation. We account for radar detection limits by simulating the 94 GHz radar reflectivity that CloudSat would observe from the high</w:instrText>
      </w:r>
      <w:r w:rsidR="005B6958">
        <w:rPr>
          <w:rFonts w:eastAsia="Times New Roman" w:hint="eastAsia"/>
          <w:sz w:val="24"/>
          <w:szCs w:val="24"/>
        </w:rPr>
        <w:instrText>‐</w:instrText>
      </w:r>
      <w:r w:rsidR="005B6958">
        <w:rPr>
          <w:rFonts w:eastAsia="Times New Roman"/>
          <w:sz w:val="24"/>
          <w:szCs w:val="24"/>
        </w:rPr>
        <w:instrText>resolution cloud</w:instrText>
      </w:r>
      <w:r w:rsidR="005B6958">
        <w:rPr>
          <w:rFonts w:eastAsia="Times New Roman" w:hint="eastAsia"/>
          <w:sz w:val="24"/>
          <w:szCs w:val="24"/>
        </w:rPr>
        <w:instrText>‐</w:instrText>
      </w:r>
      <w:r w:rsidR="005B6958">
        <w:rPr>
          <w:rFonts w:eastAsia="Times New Roman"/>
          <w:sz w:val="24"/>
          <w:szCs w:val="24"/>
        </w:rPr>
        <w:instrText>resolving model output produced by the MMF. Overall, the MMF does a good job of reproducing the broad pattern of tropical convergence zones, subtropical belts, and midlatitude storm tracks, as well as their changes in position with the annual solar cycle. Nonetheless, the comparison also reveals a number of model shortfalls including (1) excessive hydrometeor coverage at all altitudes over many convectively active regions, (2) a lack of low</w:instrText>
      </w:r>
      <w:r w:rsidR="005B6958">
        <w:rPr>
          <w:rFonts w:eastAsia="Times New Roman" w:hint="eastAsia"/>
          <w:sz w:val="24"/>
          <w:szCs w:val="24"/>
        </w:rPr>
        <w:instrText>‐</w:instrText>
      </w:r>
      <w:r w:rsidR="005B6958">
        <w:rPr>
          <w:rFonts w:eastAsia="Times New Roman"/>
          <w:sz w:val="24"/>
          <w:szCs w:val="24"/>
        </w:rPr>
        <w:instrText>level hydrometeors over all subtropical oceanic basins, (3) excessive low</w:instrText>
      </w:r>
      <w:r w:rsidR="005B6958">
        <w:rPr>
          <w:rFonts w:eastAsia="Times New Roman" w:hint="eastAsia"/>
          <w:sz w:val="24"/>
          <w:szCs w:val="24"/>
        </w:rPr>
        <w:instrText>‐</w:instrText>
      </w:r>
      <w:r w:rsidR="005B6958">
        <w:rPr>
          <w:rFonts w:eastAsia="Times New Roman"/>
          <w:sz w:val="24"/>
          <w:szCs w:val="24"/>
        </w:rPr>
        <w:instrText>level hydrometeor coverage (principally precipitating hydrometeors) in the midlatitude storm tracks of both hemispheres during the summer season (in each hemisphere), and (4) a thin band of low</w:instrText>
      </w:r>
      <w:r w:rsidR="005B6958">
        <w:rPr>
          <w:rFonts w:eastAsia="Times New Roman" w:hint="eastAsia"/>
          <w:sz w:val="24"/>
          <w:szCs w:val="24"/>
        </w:rPr>
        <w:instrText>‐</w:instrText>
      </w:r>
      <w:r w:rsidR="005B6958">
        <w:rPr>
          <w:rFonts w:eastAsia="Times New Roman"/>
          <w:sz w:val="24"/>
          <w:szCs w:val="24"/>
        </w:rPr>
        <w:instrText>level hydrometeors in the Southern Hemisphere of the central (and at times eastern and western) Pacific in the MMF, which is not observed by CloudSat. This band resembles a second much weaker ITCZ but is restricted to low levels.","container-title":"Journal of Geophysical Research: Atmospheres","DOI":"10.1029/2008JD009790","ISSN":"0148-0227","issue":"D8","journalAbbreviation":"J. Geophys. Res.","language":"en","license":"http://onlinelibrary.wiley.com/termsAndConditions#vor","page":"2008JD009790","source":"DOI.org (Crossref)","title":"A comparison of simulated cloud radar output from the multiscale modeling framework global climate model with CloudSat cloud radar observations","volume":"114","author":[{"family":"Marchand","given":"Roger"},{"family":"Haynes","given":"John"},{"family":"Mace","given":"Gerald G."},{"family":"Ackerman","given":"Thomas"},{"family":"Stephens","given":"Graeme"}],"issued":{"date-parts":[["2009",4,27]]}}},{"id":118,"uris":["http://zotero.org/users/local/6jdBalM8/items/NZCNBP66"],"itemData":{"id":118,"type":"article-journal","abstract":"Clouds over the Southern Ocean are often poorly represented by climate models, but they make a signi</w:instrText>
      </w:r>
      <w:r w:rsidR="005B6958">
        <w:rPr>
          <w:rFonts w:eastAsia="Times New Roman" w:hint="eastAsia"/>
          <w:sz w:val="24"/>
          <w:szCs w:val="24"/>
        </w:rPr>
        <w:instrText>ﬁ</w:instrText>
      </w:r>
      <w:r w:rsidR="005B6958">
        <w:rPr>
          <w:rFonts w:eastAsia="Times New Roman"/>
          <w:sz w:val="24"/>
          <w:szCs w:val="24"/>
        </w:rPr>
        <w:instrText>cant contribution to the top-of-atmosphere (TOA) radiation balance, particularly in the shortwave portion of the energy spectrum. This study seeks to better quantify the organization and structure of Southern Hemisphere midlatitude clouds by combining measurements from active and passive satellite-based datasets. Geostationary and polarorbiter satellite data from the International Satellite Cloud Climatology Project (ISCCP) are used to quantify largescale, recurring modes of cloudiness, and active observations from CloudSat and Cloud–Aerosol Lidar and Infrared Path</w:instrText>
      </w:r>
      <w:r w:rsidR="005B6958">
        <w:rPr>
          <w:rFonts w:eastAsia="Times New Roman" w:hint="eastAsia"/>
          <w:sz w:val="24"/>
          <w:szCs w:val="24"/>
        </w:rPr>
        <w:instrText>ﬁ</w:instrText>
      </w:r>
      <w:r w:rsidR="005B6958">
        <w:rPr>
          <w:rFonts w:eastAsia="Times New Roman"/>
          <w:sz w:val="24"/>
          <w:szCs w:val="24"/>
        </w:rPr>
        <w:instrText>nder Satellite Observation (CALIPSO) are used to examine vertical structure, radiative heating rates, and precipitation associated with these clouds. It is found that cloud systems are organized into eight distinct regimes and that ISCCP overestimates the midlevel cloudiness of these regimes. All regimes contain a relatively high occurrence of low cloud, with 79% of all cloud layers observed having tops below 3 km, but multiple-layered clouds systems are present in approximately 34% of observed cloud pro</w:instrText>
      </w:r>
      <w:r w:rsidR="005B6958">
        <w:rPr>
          <w:rFonts w:eastAsia="Times New Roman" w:hint="eastAsia"/>
          <w:sz w:val="24"/>
          <w:szCs w:val="24"/>
        </w:rPr>
        <w:instrText>ﬁ</w:instrText>
      </w:r>
      <w:r w:rsidR="005B6958">
        <w:rPr>
          <w:rFonts w:eastAsia="Times New Roman"/>
          <w:sz w:val="24"/>
          <w:szCs w:val="24"/>
        </w:rPr>
        <w:instrText>les. The spatial distribution of regimes varies according to season, with cloud systems being geometrically thicker, on average, during the austral winter. Those regimes found to be most closely associated with midlatitude cyclones produce precipitation the most frequently, although drizzle is extremely common in low-cloud regimes. The regimes associated with cyclones have the highest in-regime shortwave cloud radiative effect at the TOA, but the low-cloud regimes, by virtue of their high frequency of occurrence over the oceans, dominate both TOA and surface shortwave effects in this region as a whole.","container-title":"Journal of Climate","DOI":"10.1175/2011JCLI4052.1","ISSN":"0894-8755, 1520-0442","issue":"19","journalAbbreviation":"J. Climate","language":"en","page":"5061-5080","source":"DOI.org (Crossref)","title":"Major Characteristics of Southern Ocean Cloud Regimes and Their Effects on the Energy Budget","volume":"24","author":[{"family":"Haynes","given":"John M."},{"family":"Jakob","given":"Christian"},{"family":"Rossow","given":"William B."},{"family":"Tselioudis","given":"George"},{"family":"Brown","given":"Josephine"}],"issued":{"date-parts":[["2011",10]]}}},{"id":123,"uris":["http://zotero.org/users/local/6jdBalM8/items/DU63C5FX"],"itemData":{"id":123,"type":"article-journal","abstract":"This article presents results of a novel methodology capable of simultaneously retrieving optical and microphysical properties of multi</w:instrText>
      </w:r>
      <w:r w:rsidR="005B6958">
        <w:rPr>
          <w:rFonts w:eastAsia="Times New Roman" w:hint="eastAsia"/>
          <w:sz w:val="24"/>
          <w:szCs w:val="24"/>
        </w:rPr>
        <w:instrText>‐</w:instrText>
      </w:r>
      <w:r w:rsidR="005B6958">
        <w:rPr>
          <w:rFonts w:eastAsia="Times New Roman"/>
          <w:sz w:val="24"/>
          <w:szCs w:val="24"/>
        </w:rPr>
        <w:instrText>level ice and liquid clouds. The method was introduced in Part I, which theoretically demonstrated its capabilities, and its results are here analysed and evaluated against A</w:instrText>
      </w:r>
      <w:r w:rsidR="005B6958">
        <w:rPr>
          <w:rFonts w:eastAsia="Times New Roman" w:hint="eastAsia"/>
          <w:sz w:val="24"/>
          <w:szCs w:val="24"/>
        </w:rPr>
        <w:instrText>‐</w:instrText>
      </w:r>
      <w:r w:rsidR="005B6958">
        <w:rPr>
          <w:rFonts w:eastAsia="Times New Roman"/>
          <w:sz w:val="24"/>
          <w:szCs w:val="24"/>
        </w:rPr>
        <w:instrText>Train operational products. In addition to being robust to multi</w:instrText>
      </w:r>
      <w:r w:rsidR="005B6958">
        <w:rPr>
          <w:rFonts w:eastAsia="Times New Roman" w:hint="eastAsia"/>
          <w:sz w:val="24"/>
          <w:szCs w:val="24"/>
        </w:rPr>
        <w:instrText>‐</w:instrText>
      </w:r>
      <w:r w:rsidR="005B6958">
        <w:rPr>
          <w:rFonts w:eastAsia="Times New Roman"/>
          <w:sz w:val="24"/>
          <w:szCs w:val="24"/>
        </w:rPr>
        <w:instrText>layer conditions, another advantage of the method is that rigorous uncertainties and analysis tools are attached to its retrievals. Also, the combined use of short</w:instrText>
      </w:r>
      <w:r w:rsidR="005B6958">
        <w:rPr>
          <w:rFonts w:eastAsia="Times New Roman" w:hint="eastAsia"/>
          <w:sz w:val="24"/>
          <w:szCs w:val="24"/>
        </w:rPr>
        <w:instrText>‐</w:instrText>
      </w:r>
      <w:r w:rsidR="005B6958">
        <w:rPr>
          <w:rFonts w:eastAsia="Times New Roman"/>
          <w:sz w:val="24"/>
          <w:szCs w:val="24"/>
        </w:rPr>
        <w:instrText>wave and thermal infrared channels provides a wide range of sensitivity from moderately thin to thick ice cloud layers. Finally, the method is also novel in that the ice water path (IWP) is directly retrieved. These new retrievals should therefore be useful in providing new data for evaluating climate model predictions of IWP. In this study, our methodology has been applied to one year of A</w:instrText>
      </w:r>
      <w:r w:rsidR="005B6958">
        <w:rPr>
          <w:rFonts w:eastAsia="Times New Roman" w:hint="eastAsia"/>
          <w:sz w:val="24"/>
          <w:szCs w:val="24"/>
        </w:rPr>
        <w:instrText>‐</w:instrText>
      </w:r>
      <w:r w:rsidR="005B6958">
        <w:rPr>
          <w:rFonts w:eastAsia="Times New Roman"/>
          <w:sz w:val="24"/>
          <w:szCs w:val="24"/>
        </w:rPr>
        <w:instrText>Train measurements, narrowed to daytime conditions over oceanic surfaces. The retrievals and their uncertainties are statistically analysed, after a thorough discussion of the filtering process. It appears that our method is sensitive to IWPs ranging between about 0.5 and 1000 g m\n              −2\n              , with uncertainties better than 25% between 5 and 500 g m\n              −2\n              . Retrievals of the optical depth and effective radius of liquid layers have uncertainties better than 20%. Our retrievals are then compared to five independent operational A</w:instrText>
      </w:r>
      <w:r w:rsidR="005B6958">
        <w:rPr>
          <w:rFonts w:eastAsia="Times New Roman" w:hint="eastAsia"/>
          <w:sz w:val="24"/>
          <w:szCs w:val="24"/>
        </w:rPr>
        <w:instrText>‐</w:instrText>
      </w:r>
      <w:r w:rsidR="005B6958">
        <w:rPr>
          <w:rFonts w:eastAsia="Times New Roman"/>
          <w:sz w:val="24"/>
          <w:szCs w:val="24"/>
        </w:rPr>
        <w:instrText>Train products. Very good agreements, well within a factor of 2, are found by comparisons to products from active and passive instruments. These results overall lead to the validation of our method. Additionally, the robustness of passive operational products to multi</w:instrText>
      </w:r>
      <w:r w:rsidR="005B6958">
        <w:rPr>
          <w:rFonts w:eastAsia="Times New Roman" w:hint="eastAsia"/>
          <w:sz w:val="24"/>
          <w:szCs w:val="24"/>
        </w:rPr>
        <w:instrText>‐</w:instrText>
      </w:r>
      <w:r w:rsidR="005B6958">
        <w:rPr>
          <w:rFonts w:eastAsia="Times New Roman"/>
          <w:sz w:val="24"/>
          <w:szCs w:val="24"/>
        </w:rPr>
        <w:instrText>layer conditions is discussed. Preliminary comparisons show a possible overestimation of retrievals obtained under the single</w:instrText>
      </w:r>
      <w:r w:rsidR="005B6958">
        <w:rPr>
          <w:rFonts w:eastAsia="Times New Roman" w:hint="eastAsia"/>
          <w:sz w:val="24"/>
          <w:szCs w:val="24"/>
        </w:rPr>
        <w:instrText>‐</w:instrText>
      </w:r>
      <w:r w:rsidR="005B6958">
        <w:rPr>
          <w:rFonts w:eastAsia="Times New Roman"/>
          <w:sz w:val="24"/>
          <w:szCs w:val="24"/>
        </w:rPr>
        <w:instrText>layer approximation. A thorough assessment of this problem will be addressed in a following study.","container-title":"Quarterly Journal of the Royal Meteorological Society","DOI":"10.1002/qj.2889","ISSN":"0035-9009, 1477-870X","issue":"701","journalAbbreviation":"Quart J Royal Meteoro Soc","language":"en","page":"3063-3081","source":"DOI.org (Crossref)","title":"A methodology for simultaneous retrieval of ice and liquid water cloud properties. Part 2: Near</w:instrText>
      </w:r>
      <w:r w:rsidR="005B6958">
        <w:rPr>
          <w:rFonts w:eastAsia="Times New Roman" w:hint="eastAsia"/>
          <w:sz w:val="24"/>
          <w:szCs w:val="24"/>
        </w:rPr>
        <w:instrText>‐</w:instrText>
      </w:r>
      <w:r w:rsidR="005B6958">
        <w:rPr>
          <w:rFonts w:eastAsia="Times New Roman"/>
          <w:sz w:val="24"/>
          <w:szCs w:val="24"/>
        </w:rPr>
        <w:instrText>global retrievals and evaluation against A</w:instrText>
      </w:r>
      <w:r w:rsidR="005B6958">
        <w:rPr>
          <w:rFonts w:eastAsia="Times New Roman" w:hint="eastAsia"/>
          <w:sz w:val="24"/>
          <w:szCs w:val="24"/>
        </w:rPr>
        <w:instrText>‐</w:instrText>
      </w:r>
      <w:r w:rsidR="005B6958">
        <w:rPr>
          <w:rFonts w:eastAsia="Times New Roman"/>
          <w:sz w:val="24"/>
          <w:szCs w:val="24"/>
        </w:rPr>
        <w:instrText>Train products","title-short":"A methodology for simultaneous retrieval of ice and liquid water cloud properties. Part 2","volume":"142","author":[{"family":"Sourdeval","given":"Odran"},{"family":"C.</w:instrText>
      </w:r>
      <w:r w:rsidR="005B6958">
        <w:rPr>
          <w:rFonts w:eastAsia="Times New Roman" w:hint="eastAsia"/>
          <w:sz w:val="24"/>
          <w:szCs w:val="24"/>
        </w:rPr>
        <w:instrText>‐</w:instrText>
      </w:r>
      <w:r w:rsidR="005B6958">
        <w:rPr>
          <w:rFonts w:eastAsia="Times New Roman"/>
          <w:sz w:val="24"/>
          <w:szCs w:val="24"/>
        </w:rPr>
        <w:instrText xml:space="preserve">Labonnote","given":"Laurent"},{"family":"Baran","given":"Anthony J."},{"family":"Mülmenstädt","given":"Johannes"},{"family":"Brogniez","given":"Gérard"}],"issued":{"date-parts":[["2016",10]]}}}],"schema":"https://github.com/citation-style-language/schema/raw/master/csl-citation.json"} </w:instrText>
      </w:r>
      <w:r w:rsidR="00FB4FBF">
        <w:rPr>
          <w:rFonts w:eastAsia="Times New Roman"/>
          <w:sz w:val="24"/>
          <w:szCs w:val="24"/>
        </w:rPr>
        <w:fldChar w:fldCharType="separate"/>
      </w:r>
      <w:r w:rsidR="005B6958">
        <w:rPr>
          <w:rFonts w:eastAsia="Times New Roman"/>
          <w:noProof/>
          <w:sz w:val="24"/>
          <w:szCs w:val="24"/>
        </w:rPr>
        <w:t>(Marchand et al., 2009; Haynes et al., 2011; Sourdeval et al., 2016)</w:t>
      </w:r>
      <w:r w:rsidR="00FB4FBF">
        <w:rPr>
          <w:rFonts w:eastAsia="Times New Roman"/>
          <w:sz w:val="24"/>
          <w:szCs w:val="24"/>
        </w:rPr>
        <w:fldChar w:fldCharType="end"/>
      </w:r>
      <w:r w:rsidRPr="00B04655">
        <w:rPr>
          <w:rFonts w:eastAsia="Times New Roman"/>
          <w:sz w:val="24"/>
          <w:szCs w:val="24"/>
        </w:rPr>
        <w:t xml:space="preserve">. These observational limitations, combined with model structural uncertainties, underline the need for more focused research on extratropical cloud </w:t>
      </w:r>
      <w:proofErr w:type="gramStart"/>
      <w:r w:rsidRPr="00B04655">
        <w:rPr>
          <w:rFonts w:eastAsia="Times New Roman"/>
          <w:sz w:val="24"/>
          <w:szCs w:val="24"/>
        </w:rPr>
        <w:t>feedbacks</w:t>
      </w:r>
      <w:proofErr w:type="gramEnd"/>
      <w:r w:rsidRPr="00B04655">
        <w:rPr>
          <w:rFonts w:eastAsia="Times New Roman"/>
          <w:sz w:val="24"/>
          <w:szCs w:val="24"/>
        </w:rPr>
        <w:t>.</w:t>
      </w:r>
    </w:p>
    <w:p w14:paraId="5B6670BE" w14:textId="77777777" w:rsidR="0095400F" w:rsidRPr="00065531" w:rsidRDefault="0095400F" w:rsidP="00065531">
      <w:pPr>
        <w:shd w:val="clear" w:color="auto" w:fill="FFFFFF"/>
        <w:spacing w:line="480" w:lineRule="auto"/>
        <w:ind w:firstLine="720"/>
        <w:jc w:val="both"/>
        <w:rPr>
          <w:rFonts w:eastAsia="Times New Roman"/>
          <w:sz w:val="24"/>
          <w:szCs w:val="24"/>
          <w:lang w:eastAsia="zh-CN"/>
        </w:rPr>
      </w:pPr>
    </w:p>
    <w:p w14:paraId="76AED607" w14:textId="1B1EA8AE" w:rsidR="00065531" w:rsidRDefault="00065531" w:rsidP="00065531">
      <w:pPr>
        <w:shd w:val="clear" w:color="auto" w:fill="FFFFFF"/>
        <w:spacing w:line="480" w:lineRule="auto"/>
        <w:ind w:firstLine="720"/>
        <w:jc w:val="both"/>
        <w:rPr>
          <w:rFonts w:eastAsia="Times New Roman"/>
          <w:sz w:val="24"/>
          <w:szCs w:val="24"/>
          <w:lang w:eastAsia="zh-CN"/>
        </w:rPr>
      </w:pPr>
      <w:r w:rsidRPr="00065531">
        <w:rPr>
          <w:rFonts w:eastAsia="Times New Roman"/>
          <w:sz w:val="24"/>
          <w:szCs w:val="24"/>
        </w:rPr>
        <w:t>These deep-seated uncertainties are starkly highlighted by recent, seemingly contradictory studies that employ the emergent constraint approach. For instance, the seasonal cycle of extratropical low cloud fraction (ELCF) has been proposed as a potential emergent constraint</w:t>
      </w:r>
      <w:r w:rsidR="007B1412">
        <w:rPr>
          <w:rFonts w:eastAsia="Times New Roman"/>
          <w:sz w:val="24"/>
          <w:szCs w:val="24"/>
        </w:rPr>
        <w:t xml:space="preserve"> </w:t>
      </w:r>
      <w:r w:rsidR="000433C8">
        <w:rPr>
          <w:rFonts w:eastAsia="Times New Roman"/>
          <w:sz w:val="24"/>
          <w:szCs w:val="24"/>
        </w:rPr>
        <w:fldChar w:fldCharType="begin"/>
      </w:r>
      <w:r w:rsidR="007B1412">
        <w:rPr>
          <w:rFonts w:eastAsia="Times New Roman"/>
          <w:sz w:val="24"/>
          <w:szCs w:val="24"/>
        </w:rPr>
        <w:instrText xml:space="preserve"> ADDIN ZOTERO_ITEM CSL_CITATION {"citationID":"JoMhtlQn","properties":{"formattedCitation":"(Zhai et al., 2015)","plainCitation":"(Zhai et al., 2015)","noteIndex":0},"citationItems":[{"id":65,"uris":["http://zotero.org/users/local/6jdBalM8/items/77DGE7B4"],"itemData":{"id":65,"type":"article-journal","container-title":"Geophysical Research Letters","DOI":"10.1002/2015GL065911","ISSN":"0094-8276, 1944-8007","issue":"20","journalAbbreviation":"Geophysical Research Letters","language":"en","license":"http://onlinelibrary.wiley.com/termsAndConditions#vor","page":"8729-8737","source":"DOI.org (Crossref)","title":"Long</w:instrText>
      </w:r>
      <w:r w:rsidR="007B1412">
        <w:rPr>
          <w:rFonts w:eastAsia="Times New Roman" w:hint="eastAsia"/>
          <w:sz w:val="24"/>
          <w:szCs w:val="24"/>
        </w:rPr>
        <w:instrText>‐</w:instrText>
      </w:r>
      <w:r w:rsidR="007B1412">
        <w:rPr>
          <w:rFonts w:eastAsia="Times New Roman"/>
          <w:sz w:val="24"/>
          <w:szCs w:val="24"/>
        </w:rPr>
        <w:instrText>term cloud change imprinted in seasonal cloud variation: More evidence of high climate sensitivity","title-short":"Long</w:instrText>
      </w:r>
      <w:r w:rsidR="007B1412">
        <w:rPr>
          <w:rFonts w:eastAsia="Times New Roman" w:hint="eastAsia"/>
          <w:sz w:val="24"/>
          <w:szCs w:val="24"/>
        </w:rPr>
        <w:instrText>‐</w:instrText>
      </w:r>
      <w:r w:rsidR="007B1412">
        <w:rPr>
          <w:rFonts w:eastAsia="Times New Roman"/>
          <w:sz w:val="24"/>
          <w:szCs w:val="24"/>
        </w:rPr>
        <w:instrText xml:space="preserve">term cloud change imprinted in seasonal cloud variation","volume":"42","author":[{"family":"Zhai","given":"Chengxing"},{"family":"Jiang","given":"Jonathan H."},{"family":"Su","given":"Hui"}],"issued":{"date-parts":[["2015",10,28]]}}}],"schema":"https://github.com/citation-style-language/schema/raw/master/csl-citation.json"} </w:instrText>
      </w:r>
      <w:r w:rsidR="000433C8">
        <w:rPr>
          <w:rFonts w:eastAsia="Times New Roman"/>
          <w:sz w:val="24"/>
          <w:szCs w:val="24"/>
        </w:rPr>
        <w:fldChar w:fldCharType="separate"/>
      </w:r>
      <w:r w:rsidR="007B1412">
        <w:rPr>
          <w:rFonts w:eastAsia="Times New Roman"/>
          <w:noProof/>
          <w:sz w:val="24"/>
          <w:szCs w:val="24"/>
        </w:rPr>
        <w:t>(Zhai et al., 2015)</w:t>
      </w:r>
      <w:r w:rsidR="000433C8">
        <w:rPr>
          <w:rFonts w:eastAsia="Times New Roman"/>
          <w:sz w:val="24"/>
          <w:szCs w:val="24"/>
        </w:rPr>
        <w:fldChar w:fldCharType="end"/>
      </w:r>
      <w:r w:rsidRPr="00065531">
        <w:rPr>
          <w:rFonts w:eastAsia="Times New Roman"/>
          <w:sz w:val="24"/>
          <w:szCs w:val="24"/>
        </w:rPr>
        <w:t xml:space="preserve">. </w:t>
      </w:r>
      <w:r w:rsidR="005B6958">
        <w:rPr>
          <w:rFonts w:eastAsia="Times New Roman"/>
          <w:sz w:val="24"/>
          <w:szCs w:val="24"/>
        </w:rPr>
        <w:fldChar w:fldCharType="begin"/>
      </w:r>
      <w:r w:rsidR="00A9053C">
        <w:rPr>
          <w:rFonts w:eastAsia="Times New Roman"/>
          <w:sz w:val="24"/>
          <w:szCs w:val="24"/>
        </w:rPr>
        <w:instrText xml:space="preserve"> ADDIN ZOTERO_ITEM CSL_CITATION {"citationID":"YdXwR6Uh","properties":{"formattedCitation":"(Jiang et al., 2023)","plainCitation":"(Jiang et al., 2023)","dontUpdate":true,"noteIndex":0},"citationItems":[{"id":48,"uris":["http://zotero.org/users/local/6jdBalM8/items/IDWRNWHU"],"itemData":{"id":48,"type":"article-journal","abstract":"Abstract\n            \n              A large spread in model estimates of the equilibrium climate sensitivity (ECS), defined as the global mean near-surface air-temperature increase following a doubling of atmospheric CO\n              2\n              concentration, leaves us greatly disadvantaged in guiding policy-making for climate change adaptation and mitigation. In this study, we show that the projected ECS in the latest generation of climate models is highly related to seasonal variations of extratropical low-cloud fraction (LCF) in historical simulations. Marked reduction of extratropical LCF from winter to summer is found in models with ECS &gt; 4.75 K, in accordance with the significant reduction of extratropical LCF under a warming climate in these models. In contrast, a pronounced seasonal cycle of extratropical LCF, as supported by satellite observations, is largely absent in models with ECS &lt; 3.3 K. The distinct seasonality in extratropical LCF in climate models is ascribed to their different prevailing cloud regimes governing the extratropical LCF variability.","container-title":"Nature Communications","DOI":"10.1038/s41467-023-41360-0","ISSN":"2041-1723","issue":"1","journalAbbreviation":"Nat Commun","language":"en","page":"5586","source":"DOI.org (Crossref)","title":"Muted extratropical low cloud seasonal cycle is closely linked to underestimated climate sensitivity in models","volume":"14","author":[{"family":"Jiang","given":"Xianan"},{"family":"Su","given":"Hui"},{"family":"Jiang","given":"Jonathan H."},{"family":"Neelin","given":"J. David"},{"family":"Wu","given":"Longtao"},{"family":"Tsushima","given":"Yoko"},{"family":"Elsaesser","given":"Gregory"}],"issued":{"date-parts":[["2023",9,11]]}}}],"schema":"https://github.com/citation-style-language/schema/raw/master/csl-citation.json"} </w:instrText>
      </w:r>
      <w:r w:rsidR="005B6958">
        <w:rPr>
          <w:rFonts w:eastAsia="Times New Roman"/>
          <w:sz w:val="24"/>
          <w:szCs w:val="24"/>
        </w:rPr>
        <w:fldChar w:fldCharType="separate"/>
      </w:r>
      <w:r w:rsidR="00A9053C">
        <w:rPr>
          <w:rFonts w:eastAsia="Times New Roman"/>
          <w:noProof/>
          <w:sz w:val="24"/>
          <w:szCs w:val="24"/>
        </w:rPr>
        <w:t>Jiang et al. (2023)</w:t>
      </w:r>
      <w:r w:rsidR="005B6958">
        <w:rPr>
          <w:rFonts w:eastAsia="Times New Roman"/>
          <w:sz w:val="24"/>
          <w:szCs w:val="24"/>
        </w:rPr>
        <w:fldChar w:fldCharType="end"/>
      </w:r>
      <w:r w:rsidRPr="00065531">
        <w:rPr>
          <w:rFonts w:eastAsia="Times New Roman"/>
          <w:sz w:val="24"/>
          <w:szCs w:val="24"/>
        </w:rPr>
        <w:t xml:space="preserve"> demonstrated a strong correlation (R = 0.86) between the long-term ELCF response to warming and its seasonal cycle in the present climate. They found that high-ECS models (&gt;4.75 K) simulate a stronger reduction in ELCF from winter to summer, aligning better with </w:t>
      </w:r>
      <w:proofErr w:type="spellStart"/>
      <w:r w:rsidRPr="00065531">
        <w:rPr>
          <w:rFonts w:eastAsia="Times New Roman"/>
          <w:sz w:val="24"/>
          <w:szCs w:val="24"/>
        </w:rPr>
        <w:t>CloudSat</w:t>
      </w:r>
      <w:proofErr w:type="spellEnd"/>
      <w:r w:rsidRPr="00065531">
        <w:rPr>
          <w:rFonts w:eastAsia="Times New Roman"/>
          <w:sz w:val="24"/>
          <w:szCs w:val="24"/>
        </w:rPr>
        <w:t xml:space="preserve">-CALIPSO observations, whereas low-ECS models (&lt;3.3 K) simulate a weaker or even opposite cycle. This suggests a winter-maximum/summer-minimum seasonal cycle is indicative of positive low-cloud feedback and higher ECS. Contradicting this finding, </w:t>
      </w:r>
      <w:r w:rsidR="00A9053C">
        <w:rPr>
          <w:rFonts w:eastAsia="Times New Roman"/>
          <w:sz w:val="24"/>
          <w:szCs w:val="24"/>
        </w:rPr>
        <w:fldChar w:fldCharType="begin"/>
      </w:r>
      <w:r w:rsidR="00A9053C">
        <w:rPr>
          <w:rFonts w:eastAsia="Times New Roman"/>
          <w:sz w:val="24"/>
          <w:szCs w:val="24"/>
        </w:rPr>
        <w:instrText xml:space="preserve"> ADDIN ZOTERO_ITEM CSL_CITATION {"citationID":"8qb3qSIN","properties":{"formattedCitation":"(Furtado et al., 2023)","plainCitation":"(Furtado et al., 2023)","dontUpdate":true,"noteIndex":0},"citationItems":[{"id":39,"uris":["http://zotero.org/users/local/6jdBalM8/items/IQCNN4BD"],"itemData":{"id":39,"type":"article-journal","abstract":"We show that the seasonal cycles of clouds over the mid-latitude oceans in the Northern Hemisphere are predictors of the responses of clouds to increasing sea-surface temperatures globally. These regions are therefore “natural laboratories” in which the processes responsible for low-cloud feedbacks on global scales are observed as seasonal changes in local cloud properties. We use an ensemble of configurations of a global-climate model to show that the sensitivities of cloud-radiative anomalies to surface temperature and lower-tropospheric stability in the “laboratory” regions predict the models' global cloud-radiative feedbacks.","container-title":"Geophysical Research Letters","DOI":"10.1029/2023GL103902","ISSN":"0094-8276, 1944-8007","issue":"15","journalAbbreviation":"Geophysical Research Letters","language":"en","page":"e2023GL103902","source":"DOI.org (Crossref)","title":"The Relationship Between the Present</w:instrText>
      </w:r>
      <w:r w:rsidR="00A9053C">
        <w:rPr>
          <w:rFonts w:eastAsia="Times New Roman" w:hint="eastAsia"/>
          <w:sz w:val="24"/>
          <w:szCs w:val="24"/>
        </w:rPr>
        <w:instrText>‐</w:instrText>
      </w:r>
      <w:r w:rsidR="00A9053C">
        <w:rPr>
          <w:rFonts w:eastAsia="Times New Roman"/>
          <w:sz w:val="24"/>
          <w:szCs w:val="24"/>
        </w:rPr>
        <w:instrText>Day Seasonal Cycles of Clouds in the Mid</w:instrText>
      </w:r>
      <w:r w:rsidR="00A9053C">
        <w:rPr>
          <w:rFonts w:eastAsia="Times New Roman" w:hint="eastAsia"/>
          <w:sz w:val="24"/>
          <w:szCs w:val="24"/>
        </w:rPr>
        <w:instrText>‐</w:instrText>
      </w:r>
      <w:r w:rsidR="00A9053C">
        <w:rPr>
          <w:rFonts w:eastAsia="Times New Roman"/>
          <w:sz w:val="24"/>
          <w:szCs w:val="24"/>
        </w:rPr>
        <w:instrText>Latitudes and Cloud</w:instrText>
      </w:r>
      <w:r w:rsidR="00A9053C">
        <w:rPr>
          <w:rFonts w:eastAsia="Times New Roman" w:hint="eastAsia"/>
          <w:sz w:val="24"/>
          <w:szCs w:val="24"/>
        </w:rPr>
        <w:instrText>‐</w:instrText>
      </w:r>
      <w:r w:rsidR="00A9053C">
        <w:rPr>
          <w:rFonts w:eastAsia="Times New Roman"/>
          <w:sz w:val="24"/>
          <w:szCs w:val="24"/>
        </w:rPr>
        <w:instrText xml:space="preserve">Radiative Feedback","volume":"50","author":[{"family":"Furtado","given":"K."},{"family":"Tsushima","given":"Y."},{"family":"Field","given":"P. R."},{"family":"Rostron","given":"J."},{"family":"Sexton","given":"D."}],"issued":{"date-parts":[["2023",8,16]]}}}],"schema":"https://github.com/citation-style-language/schema/raw/master/csl-citation.json"} </w:instrText>
      </w:r>
      <w:r w:rsidR="00A9053C">
        <w:rPr>
          <w:rFonts w:eastAsia="Times New Roman"/>
          <w:sz w:val="24"/>
          <w:szCs w:val="24"/>
        </w:rPr>
        <w:fldChar w:fldCharType="separate"/>
      </w:r>
      <w:r w:rsidR="00A9053C">
        <w:rPr>
          <w:rFonts w:eastAsia="Times New Roman"/>
          <w:noProof/>
          <w:sz w:val="24"/>
          <w:szCs w:val="24"/>
        </w:rPr>
        <w:t>Furtado et al. (2023)</w:t>
      </w:r>
      <w:r w:rsidR="00A9053C">
        <w:rPr>
          <w:rFonts w:eastAsia="Times New Roman"/>
          <w:sz w:val="24"/>
          <w:szCs w:val="24"/>
        </w:rPr>
        <w:fldChar w:fldCharType="end"/>
      </w:r>
      <w:r w:rsidRPr="00065531">
        <w:rPr>
          <w:rFonts w:eastAsia="Times New Roman"/>
          <w:sz w:val="24"/>
          <w:szCs w:val="24"/>
        </w:rPr>
        <w:t xml:space="preserve"> analyzed low clouds over the extratropical oceans, specifically the Northwest Pacific </w:t>
      </w:r>
      <w:proofErr w:type="spellStart"/>
      <w:r w:rsidRPr="00065531">
        <w:rPr>
          <w:rFonts w:eastAsia="Times New Roman"/>
          <w:sz w:val="24"/>
          <w:szCs w:val="24"/>
        </w:rPr>
        <w:t>Oyashio</w:t>
      </w:r>
      <w:proofErr w:type="spellEnd"/>
      <w:r w:rsidRPr="00065531">
        <w:rPr>
          <w:rFonts w:eastAsia="Times New Roman"/>
          <w:sz w:val="24"/>
          <w:szCs w:val="24"/>
        </w:rPr>
        <w:t xml:space="preserve"> region (139-191</w:t>
      </w:r>
      <w:r w:rsidR="006B4C45" w:rsidRPr="00D8668E">
        <w:rPr>
          <w:rFonts w:eastAsia="Times New Roman"/>
          <w:sz w:val="24"/>
          <w:szCs w:val="24"/>
        </w:rPr>
        <w:t>°</w:t>
      </w:r>
      <w:r w:rsidRPr="00065531">
        <w:rPr>
          <w:rFonts w:eastAsia="Times New Roman"/>
          <w:sz w:val="24"/>
          <w:szCs w:val="24"/>
        </w:rPr>
        <w:t>E, 42-54</w:t>
      </w:r>
      <w:r w:rsidR="006B4C45" w:rsidRPr="00D8668E">
        <w:rPr>
          <w:rFonts w:eastAsia="Times New Roman"/>
          <w:sz w:val="24"/>
          <w:szCs w:val="24"/>
        </w:rPr>
        <w:t>°N</w:t>
      </w:r>
      <w:r w:rsidRPr="00065531">
        <w:rPr>
          <w:rFonts w:eastAsia="Times New Roman"/>
          <w:sz w:val="24"/>
          <w:szCs w:val="24"/>
        </w:rPr>
        <w:t xml:space="preserve">). Using ISCCP data and a perturbed parameter ensemble from the HadGEM3 model, they concluded that models simulating stronger seasonal variations tend to produce stronger negative low-cloud feedback. Their analysis, focusing on clouds with tops below 680 </w:t>
      </w:r>
      <w:proofErr w:type="spellStart"/>
      <w:r w:rsidRPr="00065531">
        <w:rPr>
          <w:rFonts w:eastAsia="Times New Roman"/>
          <w:sz w:val="24"/>
          <w:szCs w:val="24"/>
        </w:rPr>
        <w:t>hPa</w:t>
      </w:r>
      <w:proofErr w:type="spellEnd"/>
      <w:r w:rsidRPr="00065531">
        <w:rPr>
          <w:rFonts w:eastAsia="Times New Roman"/>
          <w:sz w:val="24"/>
          <w:szCs w:val="24"/>
        </w:rPr>
        <w:t>, suggested a summer-maximum seasonal cycle.</w:t>
      </w:r>
    </w:p>
    <w:p w14:paraId="28BBFBC1" w14:textId="77777777" w:rsidR="0095400F" w:rsidRPr="00065531" w:rsidRDefault="0095400F" w:rsidP="00065531">
      <w:pPr>
        <w:shd w:val="clear" w:color="auto" w:fill="FFFFFF"/>
        <w:spacing w:line="480" w:lineRule="auto"/>
        <w:ind w:firstLine="720"/>
        <w:jc w:val="both"/>
        <w:rPr>
          <w:rFonts w:eastAsia="Times New Roman"/>
          <w:sz w:val="24"/>
          <w:szCs w:val="24"/>
          <w:lang w:eastAsia="zh-CN"/>
        </w:rPr>
      </w:pPr>
    </w:p>
    <w:p w14:paraId="2C55B265" w14:textId="634D25B4" w:rsidR="00065531" w:rsidRDefault="00065531" w:rsidP="00065531">
      <w:pPr>
        <w:shd w:val="clear" w:color="auto" w:fill="FFFFFF"/>
        <w:spacing w:line="480" w:lineRule="auto"/>
        <w:ind w:firstLine="720"/>
        <w:jc w:val="both"/>
        <w:rPr>
          <w:rFonts w:eastAsia="Times New Roman"/>
          <w:sz w:val="24"/>
          <w:szCs w:val="24"/>
          <w:lang w:eastAsia="zh-CN"/>
        </w:rPr>
      </w:pPr>
      <w:r w:rsidRPr="00065531">
        <w:rPr>
          <w:rFonts w:eastAsia="Times New Roman"/>
          <w:sz w:val="24"/>
          <w:szCs w:val="24"/>
        </w:rPr>
        <w:t>This stark contrast-a winter peak signaling high ECS versus a summer peak associated with strong negative feedback-epitomizes the broader conundrum in low-cloud feedback research and underscores the peril of treating "low clouds" as a single entity. The discrepancy likely originates from the ambiguous definition of low clouds and the limitations of different observational datasets, preventing a coherent path toward constraining ECS.</w:t>
      </w:r>
    </w:p>
    <w:p w14:paraId="6DF26ABD" w14:textId="77777777" w:rsidR="0095400F" w:rsidRPr="00065531" w:rsidRDefault="0095400F" w:rsidP="00065531">
      <w:pPr>
        <w:shd w:val="clear" w:color="auto" w:fill="FFFFFF"/>
        <w:spacing w:line="480" w:lineRule="auto"/>
        <w:ind w:firstLine="720"/>
        <w:jc w:val="both"/>
        <w:rPr>
          <w:rFonts w:eastAsia="Times New Roman"/>
          <w:sz w:val="24"/>
          <w:szCs w:val="24"/>
          <w:lang w:eastAsia="zh-CN"/>
        </w:rPr>
      </w:pPr>
    </w:p>
    <w:p w14:paraId="07349046" w14:textId="77777777" w:rsidR="008131E7" w:rsidRDefault="00065531" w:rsidP="008131E7">
      <w:pPr>
        <w:shd w:val="clear" w:color="auto" w:fill="FFFFFF"/>
        <w:spacing w:line="480" w:lineRule="auto"/>
        <w:ind w:firstLine="720"/>
        <w:jc w:val="both"/>
        <w:rPr>
          <w:rFonts w:eastAsia="Times New Roman"/>
          <w:sz w:val="24"/>
          <w:szCs w:val="24"/>
        </w:rPr>
      </w:pPr>
      <w:r w:rsidRPr="00065531">
        <w:rPr>
          <w:rFonts w:eastAsia="Times New Roman"/>
          <w:sz w:val="24"/>
          <w:szCs w:val="24"/>
        </w:rPr>
        <w:t xml:space="preserve">We posit that the current monolithic treatment of "low clouds" obscures the distinct seasonal behaviors and physical mechanisms of different cloud types within this category. To address the fundamental uncertainties in low-cloud feedback and reconcile these conflicting findings, a more nuanced, </w:t>
      </w:r>
      <w:proofErr w:type="gramStart"/>
      <w:r w:rsidRPr="00065531">
        <w:rPr>
          <w:rFonts w:eastAsia="Times New Roman"/>
          <w:sz w:val="24"/>
          <w:szCs w:val="24"/>
        </w:rPr>
        <w:t>physically-based</w:t>
      </w:r>
      <w:proofErr w:type="gramEnd"/>
      <w:r w:rsidRPr="00065531">
        <w:rPr>
          <w:rFonts w:eastAsia="Times New Roman"/>
          <w:sz w:val="24"/>
          <w:szCs w:val="24"/>
        </w:rPr>
        <w:t xml:space="preserve"> analysis is required. This study introduces a novel classification scheme that stratifies low clouds into three distinct types based on cloud-top height. Employing this framework, along with advanced active satellite observations from </w:t>
      </w:r>
      <w:proofErr w:type="spellStart"/>
      <w:r w:rsidRPr="00065531">
        <w:rPr>
          <w:rFonts w:eastAsia="Times New Roman"/>
          <w:sz w:val="24"/>
          <w:szCs w:val="24"/>
        </w:rPr>
        <w:t>CloudSat</w:t>
      </w:r>
      <w:proofErr w:type="spellEnd"/>
      <w:r w:rsidRPr="00065531">
        <w:rPr>
          <w:rFonts w:eastAsia="Times New Roman"/>
          <w:sz w:val="24"/>
          <w:szCs w:val="24"/>
        </w:rPr>
        <w:t>-CALIPSO and model outputs, we aim to:</w:t>
      </w:r>
    </w:p>
    <w:p w14:paraId="7B68B520" w14:textId="77777777" w:rsidR="008131E7" w:rsidRPr="008131E7" w:rsidRDefault="00065531" w:rsidP="008131E7">
      <w:pPr>
        <w:pStyle w:val="ListParagraph"/>
        <w:numPr>
          <w:ilvl w:val="0"/>
          <w:numId w:val="32"/>
        </w:numPr>
        <w:shd w:val="clear" w:color="auto" w:fill="FFFFFF"/>
        <w:spacing w:line="480" w:lineRule="auto"/>
        <w:jc w:val="both"/>
        <w:rPr>
          <w:rFonts w:ascii="Times New Roman" w:eastAsia="Times New Roman" w:hAnsi="Times New Roman" w:cs="Times New Roman"/>
          <w:lang w:eastAsia="en-US"/>
        </w:rPr>
      </w:pPr>
      <w:r w:rsidRPr="008131E7">
        <w:rPr>
          <w:rFonts w:ascii="Times New Roman" w:eastAsia="Times New Roman" w:hAnsi="Times New Roman" w:cs="Times New Roman"/>
          <w:lang w:eastAsia="en-US"/>
        </w:rPr>
        <w:t>Decompose the total ELCF into its constituent cloud types and quantify their distinct seasonal cycles.</w:t>
      </w:r>
    </w:p>
    <w:p w14:paraId="11326C3B" w14:textId="77777777" w:rsidR="008131E7" w:rsidRPr="008131E7" w:rsidRDefault="00065531" w:rsidP="008131E7">
      <w:pPr>
        <w:pStyle w:val="ListParagraph"/>
        <w:numPr>
          <w:ilvl w:val="0"/>
          <w:numId w:val="32"/>
        </w:numPr>
        <w:shd w:val="clear" w:color="auto" w:fill="FFFFFF"/>
        <w:spacing w:line="480" w:lineRule="auto"/>
        <w:jc w:val="both"/>
        <w:rPr>
          <w:rFonts w:ascii="Times New Roman" w:eastAsia="Times New Roman" w:hAnsi="Times New Roman" w:cs="Times New Roman"/>
          <w:lang w:eastAsia="en-US"/>
        </w:rPr>
      </w:pPr>
      <w:r w:rsidRPr="008131E7">
        <w:rPr>
          <w:rFonts w:ascii="Times New Roman" w:eastAsia="Times New Roman" w:hAnsi="Times New Roman" w:cs="Times New Roman"/>
          <w:lang w:eastAsia="en-US"/>
        </w:rPr>
        <w:t>Identify which specific cloud type(s) are misrepresented in models and are responsible for the divergent conclusions in the literature.</w:t>
      </w:r>
    </w:p>
    <w:p w14:paraId="41842EBF" w14:textId="2FBFB43A" w:rsidR="001D0AFE" w:rsidRPr="008131E7" w:rsidRDefault="00065531" w:rsidP="008131E7">
      <w:pPr>
        <w:pStyle w:val="ListParagraph"/>
        <w:numPr>
          <w:ilvl w:val="0"/>
          <w:numId w:val="32"/>
        </w:numPr>
        <w:shd w:val="clear" w:color="auto" w:fill="FFFFFF"/>
        <w:spacing w:line="480" w:lineRule="auto"/>
        <w:jc w:val="both"/>
        <w:rPr>
          <w:rFonts w:ascii="Times New Roman" w:eastAsia="Times New Roman" w:hAnsi="Times New Roman" w:cs="Times New Roman"/>
          <w:lang w:eastAsia="en-US"/>
        </w:rPr>
      </w:pPr>
      <w:r w:rsidRPr="008131E7">
        <w:rPr>
          <w:rFonts w:ascii="Times New Roman" w:eastAsia="Times New Roman" w:hAnsi="Times New Roman" w:cs="Times New Roman"/>
          <w:lang w:eastAsia="en-US"/>
        </w:rPr>
        <w:t xml:space="preserve">Reconcile the findings of </w:t>
      </w:r>
      <w:r w:rsidR="00A9053C" w:rsidRPr="00A9053C">
        <w:rPr>
          <w:rFonts w:ascii="Times New Roman" w:eastAsia="Times New Roman" w:hAnsi="Times New Roman" w:cs="Times New Roman"/>
          <w:lang w:eastAsia="en-US"/>
        </w:rPr>
        <w:fldChar w:fldCharType="begin"/>
      </w:r>
      <w:r w:rsidR="00A9053C">
        <w:rPr>
          <w:rFonts w:ascii="Times New Roman" w:eastAsia="Times New Roman" w:hAnsi="Times New Roman" w:cs="Times New Roman"/>
          <w:lang w:eastAsia="en-US"/>
        </w:rPr>
        <w:instrText xml:space="preserve"> ADDIN ZOTERO_ITEM CSL_CITATION {"citationID":"5ZgF5DkH","properties":{"formattedCitation":"(Jiang et al., 2023)","plainCitation":"(Jiang et al., 2023)","dontUpdate":true,"noteIndex":0},"citationItems":[{"id":48,"uris":["http://zotero.org/users/local/6jdBalM8/items/IDWRNWHU"],"itemData":{"id":48,"type":"article-journal","abstract":"Abstract\n            \n              A large spread in model estimates of the equilibrium climate sensitivity (ECS), defined as the global mean near-surface air-temperature increase following a doubling of atmospheric CO\n              2\n              concentration, leaves us greatly disadvantaged in guiding policy-making for climate change adaptation and mitigation. In this study, we show that the projected ECS in the latest generation of climate models is highly related to seasonal variations of extratropical low-cloud fraction (LCF) in historical simulations. Marked reduction of extratropical LCF from winter to summer is found in models with ECS &gt; 4.75 K, in accordance with the significant reduction of extratropical LCF under a warming climate in these models. In contrast, a pronounced seasonal cycle of extratropical LCF, as supported by satellite observations, is largely absent in models with ECS &lt; 3.3 K. The distinct seasonality in extratropical LCF in climate models is ascribed to their different prevailing cloud regimes governing the extratropical LCF variability.","container-title":"Nature Communications","DOI":"10.1038/s41467-023-41360-0","ISSN":"2041-1723","issue":"1","journalAbbreviation":"Nat Commun","language":"en","page":"5586","source":"DOI.org (Crossref)","title":"Muted extratropical low cloud seasonal cycle is closely linked to underestimated climate sensitivity in models","volume":"14","author":[{"family":"Jiang","given":"Xianan"},{"family":"Su","given":"Hui"},{"family":"Jiang","given":"Jonathan H."},{"family":"Neelin","given":"J. David"},{"family":"Wu","given":"Longtao"},{"family":"Tsushima","given":"Yoko"},{"family":"Elsaesser","given":"Gregory"}],"issued":{"date-parts":[["2023",9,11]]}}}],"schema":"https://github.com/citation-style-language/schema/raw/master/csl-citation.json"} </w:instrText>
      </w:r>
      <w:r w:rsidR="00A9053C" w:rsidRPr="00A9053C">
        <w:rPr>
          <w:rFonts w:ascii="Times New Roman" w:eastAsia="Times New Roman" w:hAnsi="Times New Roman" w:cs="Times New Roman"/>
          <w:lang w:eastAsia="en-US"/>
        </w:rPr>
        <w:fldChar w:fldCharType="separate"/>
      </w:r>
      <w:r w:rsidR="00A9053C" w:rsidRPr="00A9053C">
        <w:rPr>
          <w:rFonts w:ascii="Times New Roman" w:eastAsia="Times New Roman" w:hAnsi="Times New Roman" w:cs="Times New Roman"/>
          <w:lang w:eastAsia="en-US"/>
        </w:rPr>
        <w:t>Jiang et al. (2023)</w:t>
      </w:r>
      <w:r w:rsidR="00A9053C" w:rsidRPr="00A9053C">
        <w:rPr>
          <w:rFonts w:ascii="Times New Roman" w:eastAsia="Times New Roman" w:hAnsi="Times New Roman" w:cs="Times New Roman"/>
          <w:lang w:eastAsia="en-US"/>
        </w:rPr>
        <w:fldChar w:fldCharType="end"/>
      </w:r>
      <w:r w:rsidRPr="008131E7">
        <w:rPr>
          <w:rFonts w:ascii="Times New Roman" w:eastAsia="Times New Roman" w:hAnsi="Times New Roman" w:cs="Times New Roman"/>
          <w:lang w:eastAsia="en-US"/>
        </w:rPr>
        <w:t xml:space="preserve"> and </w:t>
      </w:r>
      <w:r w:rsidR="00A9053C" w:rsidRPr="00A9053C">
        <w:rPr>
          <w:rFonts w:ascii="Times New Roman" w:eastAsia="Times New Roman" w:hAnsi="Times New Roman" w:cs="Times New Roman"/>
          <w:lang w:eastAsia="en-US"/>
        </w:rPr>
        <w:fldChar w:fldCharType="begin"/>
      </w:r>
      <w:r w:rsidR="00A9053C">
        <w:rPr>
          <w:rFonts w:ascii="Times New Roman" w:eastAsia="Times New Roman" w:hAnsi="Times New Roman" w:cs="Times New Roman"/>
          <w:lang w:eastAsia="en-US"/>
        </w:rPr>
        <w:instrText xml:space="preserve"> ADDIN ZOTERO_ITEM CSL_CITATION {"citationID":"J08Nt3sF","properties":{"formattedCitation":"(Furtado et al., 2023)","plainCitation":"(Furtado et al., 2023)","dontUpdate":true,"noteIndex":0},"citationItems":[{"id":39,"uris":["http://zotero.org/users/local/6jdBalM8/items/IQCNN4BD"],"itemData":{"id":39,"type":"article-journal","abstract":"We show that the seasonal cycles of clouds over the mid-latitude oceans in the Northern Hemisphere are predictors of the responses of clouds to increasing sea-surface temperatures globally. These regions are therefore “natural laboratories” in which the processes responsible for low-cloud feedbacks on global scales are observed as seasonal changes in local cloud properties. We use an ensemble of configurations of a global-climate model to show that the sensitivities of cloud-radiative anomalies to surface temperature and lower-tropospheric stability in the “laboratory” regions predict the models' global cloud-radiative feedbacks.","container-title":"Geophysical Research Letters","DOI":"10.1029/2023GL103902","ISSN":"0094-8276, 1944-8007","issue":"15","journalAbbreviation":"Geophysical Research Letters","language":"en","page":"e2023GL103902","source":"DOI.org (Crossref)","title":"The Relationship Between the Present</w:instrText>
      </w:r>
      <w:r w:rsidR="00A9053C">
        <w:rPr>
          <w:rFonts w:ascii="Times New Roman" w:eastAsia="Times New Roman" w:hAnsi="Times New Roman" w:cs="Times New Roman" w:hint="eastAsia"/>
          <w:lang w:eastAsia="en-US"/>
        </w:rPr>
        <w:instrText>‐</w:instrText>
      </w:r>
      <w:r w:rsidR="00A9053C">
        <w:rPr>
          <w:rFonts w:ascii="Times New Roman" w:eastAsia="Times New Roman" w:hAnsi="Times New Roman" w:cs="Times New Roman"/>
          <w:lang w:eastAsia="en-US"/>
        </w:rPr>
        <w:instrText>Day Seasonal Cycles of Clouds in the Mid</w:instrText>
      </w:r>
      <w:r w:rsidR="00A9053C">
        <w:rPr>
          <w:rFonts w:ascii="Times New Roman" w:eastAsia="Times New Roman" w:hAnsi="Times New Roman" w:cs="Times New Roman" w:hint="eastAsia"/>
          <w:lang w:eastAsia="en-US"/>
        </w:rPr>
        <w:instrText>‐</w:instrText>
      </w:r>
      <w:r w:rsidR="00A9053C">
        <w:rPr>
          <w:rFonts w:ascii="Times New Roman" w:eastAsia="Times New Roman" w:hAnsi="Times New Roman" w:cs="Times New Roman"/>
          <w:lang w:eastAsia="en-US"/>
        </w:rPr>
        <w:instrText>Latitudes and Cloud</w:instrText>
      </w:r>
      <w:r w:rsidR="00A9053C">
        <w:rPr>
          <w:rFonts w:ascii="Times New Roman" w:eastAsia="Times New Roman" w:hAnsi="Times New Roman" w:cs="Times New Roman" w:hint="eastAsia"/>
          <w:lang w:eastAsia="en-US"/>
        </w:rPr>
        <w:instrText>‐</w:instrText>
      </w:r>
      <w:r w:rsidR="00A9053C">
        <w:rPr>
          <w:rFonts w:ascii="Times New Roman" w:eastAsia="Times New Roman" w:hAnsi="Times New Roman" w:cs="Times New Roman"/>
          <w:lang w:eastAsia="en-US"/>
        </w:rPr>
        <w:instrText xml:space="preserve">Radiative Feedback","volume":"50","author":[{"family":"Furtado","given":"K."},{"family":"Tsushima","given":"Y."},{"family":"Field","given":"P. R."},{"family":"Rostron","given":"J."},{"family":"Sexton","given":"D."}],"issued":{"date-parts":[["2023",8,16]]}}}],"schema":"https://github.com/citation-style-language/schema/raw/master/csl-citation.json"} </w:instrText>
      </w:r>
      <w:r w:rsidR="00A9053C" w:rsidRPr="00A9053C">
        <w:rPr>
          <w:rFonts w:ascii="Times New Roman" w:eastAsia="Times New Roman" w:hAnsi="Times New Roman" w:cs="Times New Roman"/>
          <w:lang w:eastAsia="en-US"/>
        </w:rPr>
        <w:fldChar w:fldCharType="separate"/>
      </w:r>
      <w:r w:rsidR="00A9053C" w:rsidRPr="00A9053C">
        <w:rPr>
          <w:rFonts w:ascii="Times New Roman" w:eastAsia="Times New Roman" w:hAnsi="Times New Roman" w:cs="Times New Roman"/>
          <w:lang w:eastAsia="en-US"/>
        </w:rPr>
        <w:t>Furtado et al. (2023)</w:t>
      </w:r>
      <w:r w:rsidR="00A9053C" w:rsidRPr="00A9053C">
        <w:rPr>
          <w:rFonts w:ascii="Times New Roman" w:eastAsia="Times New Roman" w:hAnsi="Times New Roman" w:cs="Times New Roman"/>
          <w:lang w:eastAsia="en-US"/>
        </w:rPr>
        <w:fldChar w:fldCharType="end"/>
      </w:r>
      <w:r w:rsidRPr="008131E7">
        <w:rPr>
          <w:rFonts w:ascii="Times New Roman" w:eastAsia="Times New Roman" w:hAnsi="Times New Roman" w:cs="Times New Roman"/>
          <w:lang w:eastAsia="en-US"/>
        </w:rPr>
        <w:t xml:space="preserve"> by clarifying the roles of cloud definition and observational dataset selection.</w:t>
      </w:r>
    </w:p>
    <w:p w14:paraId="59FC2059" w14:textId="6312F94D" w:rsidR="00FB71A0" w:rsidRPr="00D05C88" w:rsidRDefault="002F3B11" w:rsidP="004162E1">
      <w:pPr>
        <w:pStyle w:val="Heading-Main"/>
        <w:rPr>
          <w:kern w:val="0"/>
        </w:rPr>
      </w:pPr>
      <w:r w:rsidRPr="00D05C88">
        <w:rPr>
          <w:kern w:val="0"/>
        </w:rPr>
        <w:t xml:space="preserve">2 </w:t>
      </w:r>
      <w:r w:rsidR="00FA539E" w:rsidRPr="00FA539E">
        <w:rPr>
          <w:kern w:val="0"/>
        </w:rPr>
        <w:t>Data and Methods</w:t>
      </w:r>
    </w:p>
    <w:p w14:paraId="305EE37E" w14:textId="77777777" w:rsidR="00916A4E" w:rsidRPr="00BA1622" w:rsidRDefault="00916A4E" w:rsidP="00916A4E">
      <w:pPr>
        <w:pStyle w:val="Heading4"/>
        <w:spacing w:before="240" w:after="240"/>
        <w:rPr>
          <w:rFonts w:ascii="Times New Roman" w:eastAsia="Times New Roman" w:hAnsi="Times New Roman" w:cs="Times New Roman"/>
          <w:sz w:val="24"/>
          <w:szCs w:val="24"/>
        </w:rPr>
      </w:pPr>
      <w:r w:rsidRPr="00BA1622">
        <w:rPr>
          <w:rFonts w:ascii="Times New Roman" w:eastAsia="Times New Roman" w:hAnsi="Times New Roman" w:cs="Times New Roman"/>
          <w:sz w:val="24"/>
          <w:szCs w:val="24"/>
        </w:rPr>
        <w:t>2.1. Data Sources and Processing</w:t>
      </w:r>
    </w:p>
    <w:p w14:paraId="21062AA9" w14:textId="1C7F1961" w:rsidR="005410B3" w:rsidRPr="008E3BA8" w:rsidRDefault="00F45AEC"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Our analysis focuses on the period from 19</w:t>
      </w:r>
      <w:r w:rsidRPr="008E3BA8">
        <w:rPr>
          <w:rFonts w:eastAsia="Times New Roman" w:hint="eastAsia"/>
          <w:sz w:val="24"/>
          <w:szCs w:val="24"/>
        </w:rPr>
        <w:t>86</w:t>
      </w:r>
      <w:r w:rsidRPr="008E3BA8">
        <w:rPr>
          <w:rFonts w:eastAsia="Times New Roman"/>
          <w:sz w:val="24"/>
          <w:szCs w:val="24"/>
        </w:rPr>
        <w:t xml:space="preserve"> to 2014 for model simulations, and from 200</w:t>
      </w:r>
      <w:r w:rsidR="007162CB" w:rsidRPr="008E3BA8">
        <w:rPr>
          <w:rFonts w:eastAsia="Times New Roman" w:hint="eastAsia"/>
          <w:sz w:val="24"/>
          <w:szCs w:val="24"/>
        </w:rPr>
        <w:t>6</w:t>
      </w:r>
      <w:r w:rsidRPr="008E3BA8">
        <w:rPr>
          <w:rFonts w:eastAsia="Times New Roman"/>
          <w:sz w:val="24"/>
          <w:szCs w:val="24"/>
        </w:rPr>
        <w:t xml:space="preserve"> to 20</w:t>
      </w:r>
      <w:r w:rsidR="007162CB" w:rsidRPr="008E3BA8">
        <w:rPr>
          <w:rFonts w:eastAsia="Times New Roman" w:hint="eastAsia"/>
          <w:sz w:val="24"/>
          <w:szCs w:val="24"/>
        </w:rPr>
        <w:t>11</w:t>
      </w:r>
      <w:r w:rsidRPr="008E3BA8">
        <w:rPr>
          <w:rFonts w:eastAsia="Times New Roman"/>
          <w:sz w:val="24"/>
          <w:szCs w:val="24"/>
        </w:rPr>
        <w:t xml:space="preserve"> for satellite observations</w:t>
      </w:r>
      <w:r w:rsidR="007162CB" w:rsidRPr="008E3BA8">
        <w:rPr>
          <w:rFonts w:eastAsia="Times New Roman"/>
          <w:sz w:val="24"/>
          <w:szCs w:val="24"/>
        </w:rPr>
        <w:t xml:space="preserve"> and </w:t>
      </w:r>
      <w:proofErr w:type="spellStart"/>
      <w:r w:rsidR="007162CB" w:rsidRPr="008E3BA8">
        <w:rPr>
          <w:rFonts w:eastAsia="Times New Roman"/>
          <w:sz w:val="24"/>
          <w:szCs w:val="24"/>
        </w:rPr>
        <w:t>reanalyses</w:t>
      </w:r>
      <w:proofErr w:type="spellEnd"/>
      <w:r w:rsidRPr="008E3BA8">
        <w:rPr>
          <w:rFonts w:eastAsia="Times New Roman"/>
          <w:sz w:val="24"/>
          <w:szCs w:val="24"/>
        </w:rPr>
        <w:t xml:space="preserve">. We utilize daily fields of </w:t>
      </w:r>
      <w:r w:rsidR="003F62A5" w:rsidRPr="008E3BA8">
        <w:rPr>
          <w:rFonts w:eastAsia="Times New Roman" w:hint="eastAsia"/>
          <w:sz w:val="24"/>
          <w:szCs w:val="24"/>
        </w:rPr>
        <w:t>cloud</w:t>
      </w:r>
      <w:r w:rsidR="003F62A5" w:rsidRPr="008E3BA8">
        <w:rPr>
          <w:rFonts w:eastAsia="Times New Roman"/>
          <w:sz w:val="24"/>
          <w:szCs w:val="24"/>
        </w:rPr>
        <w:t xml:space="preserve"> fraction</w:t>
      </w:r>
      <w:r w:rsidRPr="008E3BA8">
        <w:rPr>
          <w:rFonts w:eastAsia="Times New Roman"/>
          <w:sz w:val="24"/>
          <w:szCs w:val="24"/>
        </w:rPr>
        <w:t xml:space="preserve"> (</w:t>
      </w:r>
      <w:r w:rsidR="003F62A5" w:rsidRPr="008E3BA8">
        <w:rPr>
          <w:rFonts w:eastAsia="Times New Roman"/>
          <w:sz w:val="24"/>
          <w:szCs w:val="24"/>
        </w:rPr>
        <w:t>cl</w:t>
      </w:r>
      <w:r w:rsidRPr="008E3BA8">
        <w:rPr>
          <w:rFonts w:eastAsia="Times New Roman"/>
          <w:sz w:val="24"/>
          <w:szCs w:val="24"/>
        </w:rPr>
        <w:t xml:space="preserve">), </w:t>
      </w:r>
      <w:r w:rsidR="003F62A5" w:rsidRPr="008E3BA8">
        <w:rPr>
          <w:rFonts w:eastAsia="Times New Roman"/>
          <w:sz w:val="24"/>
          <w:szCs w:val="24"/>
        </w:rPr>
        <w:t>surface temperature</w:t>
      </w:r>
      <w:r w:rsidRPr="008E3BA8">
        <w:rPr>
          <w:rFonts w:eastAsia="Times New Roman"/>
          <w:sz w:val="24"/>
          <w:szCs w:val="24"/>
        </w:rPr>
        <w:t xml:space="preserve"> (</w:t>
      </w:r>
      <w:proofErr w:type="spellStart"/>
      <w:r w:rsidR="003F62A5" w:rsidRPr="008E3BA8">
        <w:rPr>
          <w:rFonts w:eastAsia="Times New Roman"/>
          <w:sz w:val="24"/>
          <w:szCs w:val="24"/>
        </w:rPr>
        <w:t>tas</w:t>
      </w:r>
      <w:proofErr w:type="spellEnd"/>
      <w:r w:rsidRPr="008E3BA8">
        <w:rPr>
          <w:rFonts w:eastAsia="Times New Roman"/>
          <w:sz w:val="24"/>
          <w:szCs w:val="24"/>
        </w:rPr>
        <w:t xml:space="preserve">), </w:t>
      </w:r>
      <w:r w:rsidR="003F62A5" w:rsidRPr="008E3BA8">
        <w:rPr>
          <w:rFonts w:eastAsia="Times New Roman"/>
          <w:sz w:val="24"/>
          <w:szCs w:val="24"/>
        </w:rPr>
        <w:t>sea surface temperature</w:t>
      </w:r>
      <w:r w:rsidRPr="008E3BA8">
        <w:rPr>
          <w:rFonts w:eastAsia="Times New Roman"/>
          <w:sz w:val="24"/>
          <w:szCs w:val="24"/>
        </w:rPr>
        <w:t xml:space="preserve"> (</w:t>
      </w:r>
      <w:proofErr w:type="spellStart"/>
      <w:r w:rsidR="003F62A5" w:rsidRPr="008E3BA8">
        <w:rPr>
          <w:rFonts w:eastAsia="Times New Roman"/>
          <w:sz w:val="24"/>
          <w:szCs w:val="24"/>
        </w:rPr>
        <w:t>tos</w:t>
      </w:r>
      <w:proofErr w:type="spellEnd"/>
      <w:r w:rsidRPr="008E3BA8">
        <w:rPr>
          <w:rFonts w:eastAsia="Times New Roman"/>
          <w:sz w:val="24"/>
          <w:szCs w:val="24"/>
        </w:rPr>
        <w:t>)</w:t>
      </w:r>
      <w:r w:rsidR="00E909E6" w:rsidRPr="008E3BA8">
        <w:rPr>
          <w:rFonts w:eastAsia="Times New Roman"/>
          <w:sz w:val="24"/>
          <w:szCs w:val="24"/>
        </w:rPr>
        <w:t xml:space="preserve">, vertical velocity (OMEGA), </w:t>
      </w:r>
      <w:r w:rsidR="00B01EAD" w:rsidRPr="008E3BA8">
        <w:rPr>
          <w:rFonts w:eastAsia="Times New Roman"/>
          <w:sz w:val="24"/>
          <w:szCs w:val="24"/>
        </w:rPr>
        <w:t>temperature (T)</w:t>
      </w:r>
      <w:r w:rsidRPr="008E3BA8">
        <w:rPr>
          <w:rFonts w:eastAsia="Times New Roman"/>
          <w:sz w:val="24"/>
          <w:szCs w:val="24"/>
        </w:rPr>
        <w:t xml:space="preserve">, and </w:t>
      </w:r>
      <w:proofErr w:type="spellStart"/>
      <w:r w:rsidR="00E909E6" w:rsidRPr="008E3BA8">
        <w:rPr>
          <w:rFonts w:eastAsia="Times New Roman"/>
          <w:sz w:val="24"/>
          <w:szCs w:val="24"/>
        </w:rPr>
        <w:t>relateive</w:t>
      </w:r>
      <w:proofErr w:type="spellEnd"/>
      <w:r w:rsidR="00E909E6" w:rsidRPr="008E3BA8">
        <w:rPr>
          <w:rFonts w:eastAsia="Times New Roman"/>
          <w:sz w:val="24"/>
          <w:szCs w:val="24"/>
        </w:rPr>
        <w:t xml:space="preserve"> humidity</w:t>
      </w:r>
      <w:r w:rsidRPr="008E3BA8">
        <w:rPr>
          <w:rFonts w:eastAsia="Times New Roman"/>
          <w:sz w:val="24"/>
          <w:szCs w:val="24"/>
        </w:rPr>
        <w:t xml:space="preserve"> (</w:t>
      </w:r>
      <w:r w:rsidR="00E909E6" w:rsidRPr="008E3BA8">
        <w:rPr>
          <w:rFonts w:eastAsia="Times New Roman"/>
          <w:sz w:val="24"/>
          <w:szCs w:val="24"/>
        </w:rPr>
        <w:t>rh</w:t>
      </w:r>
      <w:r w:rsidRPr="008E3BA8">
        <w:rPr>
          <w:rFonts w:eastAsia="Times New Roman"/>
          <w:sz w:val="24"/>
          <w:szCs w:val="24"/>
        </w:rPr>
        <w:t xml:space="preserve">), using the CMIP variable naming convention. </w:t>
      </w:r>
      <w:r w:rsidR="001E08FE" w:rsidRPr="008E3BA8">
        <w:rPr>
          <w:rFonts w:eastAsia="Times New Roman"/>
          <w:sz w:val="24"/>
          <w:szCs w:val="24"/>
        </w:rPr>
        <w:t xml:space="preserve">To ensure a consistent and physically meaningful comparison across all datasets, the vertical levels of all model outputs were standardized to a common pressure coordinate </w:t>
      </w:r>
      <w:proofErr w:type="spellStart"/>
      <w:proofErr w:type="gramStart"/>
      <w:r w:rsidR="001E08FE" w:rsidRPr="008E3BA8">
        <w:rPr>
          <w:rFonts w:eastAsia="Times New Roman"/>
          <w:sz w:val="24"/>
          <w:szCs w:val="24"/>
        </w:rPr>
        <w:t>system.The</w:t>
      </w:r>
      <w:proofErr w:type="spellEnd"/>
      <w:proofErr w:type="gramEnd"/>
      <w:r w:rsidR="001E08FE" w:rsidRPr="008E3BA8">
        <w:rPr>
          <w:rFonts w:eastAsia="Times New Roman"/>
          <w:sz w:val="24"/>
          <w:szCs w:val="24"/>
        </w:rPr>
        <w:t xml:space="preserve"> CESM2 simulation was conducted specifically for this study. Its output was natively provided on 32 standard pressure levels. In contrast, the daily data from other CMIP6 models were typically archived on model-specific hybrid sigma-pressure coordinates. To eliminate inter-model discrepancies arising from differing vertical coordinates, we first calculated the corresponding pressure at each model level for these datasets. Subsequently, </w:t>
      </w:r>
      <w:r w:rsidR="00BB2944" w:rsidRPr="008E3BA8">
        <w:rPr>
          <w:rFonts w:eastAsia="Times New Roman" w:hint="eastAsia"/>
          <w:sz w:val="24"/>
          <w:szCs w:val="24"/>
        </w:rPr>
        <w:t>cloud fraction</w:t>
      </w:r>
      <w:r w:rsidR="001E08FE" w:rsidRPr="008E3BA8">
        <w:rPr>
          <w:rFonts w:eastAsia="Times New Roman"/>
          <w:sz w:val="24"/>
          <w:szCs w:val="24"/>
        </w:rPr>
        <w:t xml:space="preserve"> variables were vertically interpolated using linear interpolation in log-pressure space to the same set of 32 pressure levels as the CESM2 output. This crucial step guarantees that the vertical structure of cloud fields is compared consistently and accurately across all models and observations.</w:t>
      </w:r>
    </w:p>
    <w:p w14:paraId="17CC5172" w14:textId="77777777" w:rsidR="000A0082" w:rsidRDefault="000A0082" w:rsidP="000A0082">
      <w:pPr>
        <w:pStyle w:val="Text"/>
        <w:ind w:firstLine="0"/>
        <w:jc w:val="both"/>
        <w:rPr>
          <w:lang w:eastAsia="zh-CN"/>
        </w:rPr>
      </w:pPr>
    </w:p>
    <w:p w14:paraId="2CC61639" w14:textId="208B62CF" w:rsidR="000A0082" w:rsidRPr="00BA1622" w:rsidRDefault="000A0082" w:rsidP="000A0082">
      <w:pPr>
        <w:pStyle w:val="Text"/>
        <w:ind w:firstLine="0"/>
        <w:jc w:val="both"/>
        <w:rPr>
          <w:b/>
          <w:bCs/>
        </w:rPr>
      </w:pPr>
      <w:r w:rsidRPr="00BA1622">
        <w:rPr>
          <w:b/>
          <w:bCs/>
        </w:rPr>
        <w:t>2.1.1. Climate Model Simulations</w:t>
      </w:r>
    </w:p>
    <w:p w14:paraId="697CFE9C" w14:textId="77777777" w:rsidR="004265A8" w:rsidRPr="00BA1622" w:rsidRDefault="004265A8" w:rsidP="004265A8">
      <w:pPr>
        <w:pStyle w:val="ds-markdown-paragraph"/>
        <w:spacing w:before="0" w:beforeAutospacing="0" w:after="0" w:afterAutospacing="0"/>
        <w:rPr>
          <w:rFonts w:ascii="Times New Roman" w:eastAsia="Times New Roman" w:hAnsi="Times New Roman" w:cs="Times New Roman"/>
          <w:b/>
          <w:bCs/>
          <w:lang w:eastAsia="en-US"/>
        </w:rPr>
      </w:pPr>
    </w:p>
    <w:p w14:paraId="606B59E6" w14:textId="093927E4" w:rsidR="00330941" w:rsidRPr="00BA1622" w:rsidRDefault="004265A8" w:rsidP="004265A8">
      <w:pPr>
        <w:pStyle w:val="ds-markdown-paragraph"/>
        <w:spacing w:before="0" w:beforeAutospacing="0" w:after="0" w:afterAutospacing="0"/>
        <w:rPr>
          <w:rFonts w:ascii="Times New Roman" w:eastAsia="Times New Roman" w:hAnsi="Times New Roman" w:cs="Times New Roman"/>
          <w:b/>
          <w:bCs/>
          <w:lang w:eastAsia="en-US"/>
        </w:rPr>
      </w:pPr>
      <w:r w:rsidRPr="00BA1622">
        <w:rPr>
          <w:rFonts w:ascii="Times New Roman" w:eastAsia="Times New Roman" w:hAnsi="Times New Roman" w:cs="Times New Roman" w:hint="eastAsia"/>
          <w:b/>
          <w:bCs/>
          <w:lang w:eastAsia="en-US"/>
        </w:rPr>
        <w:t xml:space="preserve">2.1.1.1 </w:t>
      </w:r>
      <w:r w:rsidR="00AC6751" w:rsidRPr="00AC6751">
        <w:rPr>
          <w:rFonts w:ascii="Times New Roman" w:eastAsia="Times New Roman" w:hAnsi="Times New Roman" w:cs="Times New Roman"/>
          <w:b/>
          <w:bCs/>
          <w:lang w:eastAsia="en-US"/>
        </w:rPr>
        <w:t>CMIP6 Models</w:t>
      </w:r>
    </w:p>
    <w:p w14:paraId="69B2FF01" w14:textId="77777777" w:rsidR="00AC6751" w:rsidRDefault="00AC6751" w:rsidP="00AC6751">
      <w:pPr>
        <w:shd w:val="clear" w:color="auto" w:fill="FFFFFF"/>
        <w:spacing w:line="480" w:lineRule="auto"/>
        <w:ind w:firstLine="720"/>
        <w:jc w:val="both"/>
        <w:rPr>
          <w:rFonts w:eastAsia="Times New Roman"/>
          <w:sz w:val="24"/>
          <w:szCs w:val="24"/>
          <w:lang w:eastAsia="zh-CN"/>
        </w:rPr>
      </w:pPr>
      <w:r w:rsidRPr="008E3BA8">
        <w:rPr>
          <w:rFonts w:eastAsia="Times New Roman"/>
          <w:sz w:val="24"/>
          <w:szCs w:val="24"/>
        </w:rPr>
        <w:t xml:space="preserve">Daily averaged output from </w:t>
      </w:r>
      <w:r>
        <w:rPr>
          <w:rFonts w:eastAsia="Times New Roman"/>
          <w:sz w:val="24"/>
          <w:szCs w:val="24"/>
        </w:rPr>
        <w:t>five</w:t>
      </w:r>
      <w:r w:rsidRPr="008E3BA8">
        <w:rPr>
          <w:rFonts w:eastAsia="Times New Roman"/>
          <w:sz w:val="24"/>
          <w:szCs w:val="24"/>
        </w:rPr>
        <w:t xml:space="preserve"> CMIP6 models (Table 1) was selected for this study. All selected models followed the Atmospheric Model Intercomparison Project (AMIP) protocol to ensure experimental consistency. The relatively small ensemble size is a direct result of the limited availability of daily output for the required cloud and dynamical variables across the full CMIP6 archive.</w:t>
      </w:r>
    </w:p>
    <w:p w14:paraId="12EDC2E6" w14:textId="77777777" w:rsidR="00AC6751" w:rsidRDefault="00AC6751" w:rsidP="00AC6751">
      <w:pPr>
        <w:shd w:val="clear" w:color="auto" w:fill="FFFFFF"/>
        <w:spacing w:line="480" w:lineRule="auto"/>
        <w:jc w:val="center"/>
        <w:rPr>
          <w:rFonts w:eastAsia="Times New Roman"/>
          <w:sz w:val="24"/>
          <w:szCs w:val="24"/>
          <w:lang w:eastAsia="zh-CN"/>
        </w:rPr>
      </w:pPr>
      <w:r>
        <w:rPr>
          <w:rFonts w:eastAsia="Times New Roman" w:hint="eastAsia"/>
          <w:sz w:val="24"/>
          <w:szCs w:val="24"/>
          <w:lang w:eastAsia="zh-CN"/>
        </w:rPr>
        <w:t>Ta</w:t>
      </w:r>
      <w:r>
        <w:rPr>
          <w:rFonts w:eastAsia="Times New Roman"/>
          <w:sz w:val="24"/>
          <w:szCs w:val="24"/>
          <w:lang w:eastAsia="zh-CN"/>
        </w:rPr>
        <w:t xml:space="preserve">ble 1. </w:t>
      </w:r>
      <w:r w:rsidRPr="008E3BA8">
        <w:rPr>
          <w:rFonts w:eastAsia="Times New Roman"/>
          <w:sz w:val="24"/>
          <w:szCs w:val="24"/>
          <w:lang w:eastAsia="zh-CN"/>
        </w:rPr>
        <w:t xml:space="preserve">List of the </w:t>
      </w:r>
      <w:r>
        <w:rPr>
          <w:rFonts w:eastAsia="Times New Roman"/>
          <w:sz w:val="24"/>
          <w:szCs w:val="24"/>
          <w:lang w:eastAsia="zh-CN"/>
        </w:rPr>
        <w:t>5</w:t>
      </w:r>
      <w:r w:rsidRPr="008E3BA8">
        <w:rPr>
          <w:rFonts w:eastAsia="Times New Roman"/>
          <w:sz w:val="24"/>
          <w:szCs w:val="24"/>
          <w:lang w:eastAsia="zh-CN"/>
        </w:rPr>
        <w:t xml:space="preserve"> CMIP6 Models Used in This Study</w:t>
      </w:r>
    </w:p>
    <w:tbl>
      <w:tblPr>
        <w:tblStyle w:val="TableGrid"/>
        <w:tblW w:w="0" w:type="auto"/>
        <w:tblLook w:val="04A0" w:firstRow="1" w:lastRow="0" w:firstColumn="1" w:lastColumn="0" w:noHBand="0" w:noVBand="1"/>
      </w:tblPr>
      <w:tblGrid>
        <w:gridCol w:w="4675"/>
        <w:gridCol w:w="4675"/>
      </w:tblGrid>
      <w:tr w:rsidR="00AC6751" w14:paraId="43469163" w14:textId="77777777" w:rsidTr="00416539">
        <w:tc>
          <w:tcPr>
            <w:tcW w:w="4675" w:type="dxa"/>
          </w:tcPr>
          <w:p w14:paraId="465ABCDC" w14:textId="77777777" w:rsidR="00AC6751" w:rsidRPr="00BE52EB" w:rsidRDefault="00AC6751" w:rsidP="00416539">
            <w:pPr>
              <w:spacing w:line="480" w:lineRule="auto"/>
              <w:jc w:val="center"/>
              <w:rPr>
                <w:rFonts w:eastAsia="Times New Roman"/>
                <w:kern w:val="0"/>
                <w:sz w:val="24"/>
                <w:szCs w:val="24"/>
                <w:lang w:eastAsia="en-US"/>
                <w14:ligatures w14:val="none"/>
              </w:rPr>
            </w:pPr>
            <w:r w:rsidRPr="00BE52EB">
              <w:rPr>
                <w:rFonts w:eastAsia="Times New Roman"/>
                <w:kern w:val="0"/>
                <w:sz w:val="24"/>
                <w:szCs w:val="24"/>
                <w:lang w:eastAsia="en-US"/>
                <w14:ligatures w14:val="none"/>
              </w:rPr>
              <w:t>Models</w:t>
            </w:r>
          </w:p>
        </w:tc>
        <w:tc>
          <w:tcPr>
            <w:tcW w:w="4675" w:type="dxa"/>
          </w:tcPr>
          <w:p w14:paraId="220C0C74" w14:textId="77777777" w:rsidR="00AC6751" w:rsidRPr="00BE52EB" w:rsidRDefault="00AC6751" w:rsidP="00416539">
            <w:pPr>
              <w:spacing w:line="480" w:lineRule="auto"/>
              <w:jc w:val="center"/>
              <w:rPr>
                <w:rFonts w:eastAsia="Times New Roman"/>
                <w:kern w:val="0"/>
                <w:sz w:val="24"/>
                <w:szCs w:val="24"/>
                <w:lang w:eastAsia="en-US"/>
                <w14:ligatures w14:val="none"/>
              </w:rPr>
            </w:pPr>
            <w:r w:rsidRPr="00BE52EB">
              <w:rPr>
                <w:rFonts w:eastAsia="Times New Roman"/>
                <w:kern w:val="0"/>
                <w:sz w:val="24"/>
                <w:szCs w:val="24"/>
                <w:lang w:eastAsia="en-US"/>
                <w14:ligatures w14:val="none"/>
              </w:rPr>
              <w:t>Institution/Country</w:t>
            </w:r>
          </w:p>
        </w:tc>
      </w:tr>
      <w:tr w:rsidR="00AC6751" w14:paraId="32EFB9A9" w14:textId="77777777" w:rsidTr="00416539">
        <w:tc>
          <w:tcPr>
            <w:tcW w:w="4675" w:type="dxa"/>
          </w:tcPr>
          <w:p w14:paraId="0544553D" w14:textId="77777777" w:rsidR="00AC6751" w:rsidRPr="00BE52EB" w:rsidRDefault="00AC6751" w:rsidP="00416539">
            <w:pPr>
              <w:jc w:val="center"/>
              <w:rPr>
                <w:rFonts w:eastAsia="Times New Roman"/>
                <w:kern w:val="0"/>
                <w:sz w:val="24"/>
                <w:szCs w:val="24"/>
                <w:lang w:eastAsia="en-US"/>
                <w14:ligatures w14:val="none"/>
              </w:rPr>
            </w:pPr>
            <w:r w:rsidRPr="00BE52EB">
              <w:rPr>
                <w:rFonts w:eastAsia="Times New Roman"/>
                <w:kern w:val="0"/>
                <w:sz w:val="24"/>
                <w:szCs w:val="24"/>
                <w:lang w:eastAsia="en-US"/>
                <w14:ligatures w14:val="none"/>
              </w:rPr>
              <w:t>CNRM-CM</w:t>
            </w:r>
            <w:r>
              <w:rPr>
                <w:rFonts w:eastAsia="Times New Roman"/>
                <w:kern w:val="0"/>
                <w:sz w:val="24"/>
                <w:szCs w:val="24"/>
                <w:lang w:eastAsia="en-US"/>
                <w14:ligatures w14:val="none"/>
              </w:rPr>
              <w:t>6-1</w:t>
            </w:r>
          </w:p>
        </w:tc>
        <w:tc>
          <w:tcPr>
            <w:tcW w:w="4675" w:type="dxa"/>
          </w:tcPr>
          <w:p w14:paraId="2986C992" w14:textId="77777777" w:rsidR="00AC6751" w:rsidRPr="00BE52EB" w:rsidRDefault="00AC6751" w:rsidP="00416539">
            <w:pPr>
              <w:spacing w:line="480" w:lineRule="auto"/>
              <w:jc w:val="center"/>
              <w:rPr>
                <w:rFonts w:eastAsia="Times New Roman"/>
                <w:kern w:val="0"/>
                <w:sz w:val="22"/>
                <w:szCs w:val="22"/>
                <w:lang w:eastAsia="en-US"/>
                <w14:ligatures w14:val="none"/>
              </w:rPr>
            </w:pPr>
            <w:r>
              <w:rPr>
                <w:rStyle w:val="apple-converted-space"/>
                <w:rFonts w:ascii="Roboto" w:hAnsi="Roboto"/>
                <w:color w:val="0A0A0A"/>
                <w:shd w:val="clear" w:color="auto" w:fill="FFFFFF"/>
              </w:rPr>
              <w:t> </w:t>
            </w:r>
            <w:r>
              <w:t xml:space="preserve">French Centre National de </w:t>
            </w:r>
            <w:proofErr w:type="spellStart"/>
            <w:r>
              <w:t>Recherches</w:t>
            </w:r>
            <w:proofErr w:type="spellEnd"/>
            <w:r>
              <w:t xml:space="preserve"> </w:t>
            </w:r>
            <w:proofErr w:type="spellStart"/>
            <w:r>
              <w:t>Météorologiques</w:t>
            </w:r>
            <w:proofErr w:type="spellEnd"/>
            <w:r w:rsidRPr="00E17206">
              <w:t xml:space="preserve"> and </w:t>
            </w:r>
            <w:proofErr w:type="spellStart"/>
            <w:r w:rsidRPr="00E17206">
              <w:t>Cerfacs</w:t>
            </w:r>
            <w:proofErr w:type="spellEnd"/>
            <w:r>
              <w:t>, French</w:t>
            </w:r>
          </w:p>
        </w:tc>
      </w:tr>
      <w:tr w:rsidR="00AC6751" w14:paraId="4378C22A" w14:textId="77777777" w:rsidTr="00416539">
        <w:tc>
          <w:tcPr>
            <w:tcW w:w="4675" w:type="dxa"/>
          </w:tcPr>
          <w:p w14:paraId="31B25725" w14:textId="77777777" w:rsidR="00AC6751" w:rsidRPr="00BE52EB" w:rsidRDefault="00AC6751" w:rsidP="00416539">
            <w:pPr>
              <w:pStyle w:val="NormalWeb"/>
              <w:jc w:val="center"/>
              <w:rPr>
                <w:rFonts w:eastAsia="Times New Roman"/>
                <w:kern w:val="0"/>
                <w:lang w:eastAsia="en-US"/>
                <w14:ligatures w14:val="none"/>
              </w:rPr>
            </w:pPr>
            <w:r w:rsidRPr="00BE52EB">
              <w:rPr>
                <w:rFonts w:eastAsia="Times New Roman"/>
                <w:kern w:val="0"/>
                <w:lang w:eastAsia="en-US"/>
                <w14:ligatures w14:val="none"/>
              </w:rPr>
              <w:t>CNRM-ESM</w:t>
            </w:r>
            <w:r>
              <w:rPr>
                <w:rFonts w:eastAsia="Times New Roman"/>
                <w:kern w:val="0"/>
                <w:lang w:eastAsia="en-US"/>
                <w14:ligatures w14:val="none"/>
              </w:rPr>
              <w:t>2-1</w:t>
            </w:r>
          </w:p>
        </w:tc>
        <w:tc>
          <w:tcPr>
            <w:tcW w:w="4675" w:type="dxa"/>
          </w:tcPr>
          <w:p w14:paraId="21C5FC9C" w14:textId="77777777" w:rsidR="00AC6751" w:rsidRPr="00BE52EB" w:rsidRDefault="00AC6751" w:rsidP="00416539">
            <w:pPr>
              <w:spacing w:line="480" w:lineRule="auto"/>
              <w:jc w:val="center"/>
              <w:rPr>
                <w:rFonts w:eastAsia="Times New Roman"/>
                <w:kern w:val="0"/>
                <w:sz w:val="22"/>
                <w:szCs w:val="22"/>
                <w:lang w:eastAsia="en-US"/>
                <w14:ligatures w14:val="none"/>
              </w:rPr>
            </w:pPr>
            <w:r w:rsidRPr="00E17206">
              <w:rPr>
                <w:rFonts w:eastAsia="Times New Roman"/>
                <w:kern w:val="0"/>
                <w:sz w:val="22"/>
                <w:szCs w:val="22"/>
                <w:lang w:eastAsia="en-US"/>
                <w14:ligatures w14:val="none"/>
              </w:rPr>
              <w:t xml:space="preserve">Centre National de </w:t>
            </w:r>
            <w:proofErr w:type="spellStart"/>
            <w:r w:rsidRPr="00E17206">
              <w:rPr>
                <w:rFonts w:eastAsia="Times New Roman"/>
                <w:kern w:val="0"/>
                <w:sz w:val="22"/>
                <w:szCs w:val="22"/>
                <w:lang w:eastAsia="en-US"/>
                <w14:ligatures w14:val="none"/>
              </w:rPr>
              <w:t>Recherches</w:t>
            </w:r>
            <w:proofErr w:type="spellEnd"/>
            <w:r w:rsidRPr="00E17206">
              <w:rPr>
                <w:rFonts w:eastAsia="Times New Roman"/>
                <w:kern w:val="0"/>
                <w:sz w:val="22"/>
                <w:szCs w:val="22"/>
                <w:lang w:eastAsia="en-US"/>
                <w14:ligatures w14:val="none"/>
              </w:rPr>
              <w:t xml:space="preserve"> </w:t>
            </w:r>
            <w:proofErr w:type="spellStart"/>
            <w:r w:rsidRPr="00E17206">
              <w:rPr>
                <w:rFonts w:eastAsia="Times New Roman"/>
                <w:kern w:val="0"/>
                <w:sz w:val="22"/>
                <w:szCs w:val="22"/>
                <w:lang w:eastAsia="en-US"/>
                <w14:ligatures w14:val="none"/>
              </w:rPr>
              <w:t>Météorologiques</w:t>
            </w:r>
            <w:proofErr w:type="spellEnd"/>
            <w:r w:rsidRPr="00E17206">
              <w:rPr>
                <w:rFonts w:eastAsia="Times New Roman"/>
                <w:kern w:val="0"/>
                <w:sz w:val="22"/>
                <w:szCs w:val="22"/>
                <w:lang w:eastAsia="en-US"/>
                <w14:ligatures w14:val="none"/>
              </w:rPr>
              <w:t xml:space="preserve"> (CNRM) and the Centre </w:t>
            </w:r>
            <w:proofErr w:type="spellStart"/>
            <w:r w:rsidRPr="00E17206">
              <w:rPr>
                <w:rFonts w:eastAsia="Times New Roman"/>
                <w:kern w:val="0"/>
                <w:sz w:val="22"/>
                <w:szCs w:val="22"/>
                <w:lang w:eastAsia="en-US"/>
                <w14:ligatures w14:val="none"/>
              </w:rPr>
              <w:t>Européen</w:t>
            </w:r>
            <w:proofErr w:type="spellEnd"/>
            <w:r w:rsidRPr="00E17206">
              <w:rPr>
                <w:rFonts w:eastAsia="Times New Roman"/>
                <w:kern w:val="0"/>
                <w:sz w:val="22"/>
                <w:szCs w:val="22"/>
                <w:lang w:eastAsia="en-US"/>
                <w14:ligatures w14:val="none"/>
              </w:rPr>
              <w:t xml:space="preserve"> de Recherche et de Formation </w:t>
            </w:r>
            <w:proofErr w:type="spellStart"/>
            <w:r w:rsidRPr="00E17206">
              <w:rPr>
                <w:rFonts w:eastAsia="Times New Roman"/>
                <w:kern w:val="0"/>
                <w:sz w:val="22"/>
                <w:szCs w:val="22"/>
                <w:lang w:eastAsia="en-US"/>
                <w14:ligatures w14:val="none"/>
              </w:rPr>
              <w:t>Avancée</w:t>
            </w:r>
            <w:proofErr w:type="spellEnd"/>
            <w:r w:rsidRPr="00E17206">
              <w:rPr>
                <w:rFonts w:eastAsia="Times New Roman"/>
                <w:kern w:val="0"/>
                <w:sz w:val="22"/>
                <w:szCs w:val="22"/>
                <w:lang w:eastAsia="en-US"/>
                <w14:ligatures w14:val="none"/>
              </w:rPr>
              <w:t xml:space="preserve"> </w:t>
            </w:r>
            <w:proofErr w:type="spellStart"/>
            <w:r w:rsidRPr="00E17206">
              <w:rPr>
                <w:rFonts w:eastAsia="Times New Roman"/>
                <w:kern w:val="0"/>
                <w:sz w:val="22"/>
                <w:szCs w:val="22"/>
                <w:lang w:eastAsia="en-US"/>
                <w14:ligatures w14:val="none"/>
              </w:rPr>
              <w:t>en</w:t>
            </w:r>
            <w:proofErr w:type="spellEnd"/>
            <w:r w:rsidRPr="00E17206">
              <w:rPr>
                <w:rFonts w:eastAsia="Times New Roman"/>
                <w:kern w:val="0"/>
                <w:sz w:val="22"/>
                <w:szCs w:val="22"/>
                <w:lang w:eastAsia="en-US"/>
                <w14:ligatures w14:val="none"/>
              </w:rPr>
              <w:t xml:space="preserve"> </w:t>
            </w:r>
            <w:proofErr w:type="spellStart"/>
            <w:r w:rsidRPr="00E17206">
              <w:rPr>
                <w:rFonts w:eastAsia="Times New Roman"/>
                <w:kern w:val="0"/>
                <w:sz w:val="22"/>
                <w:szCs w:val="22"/>
                <w:lang w:eastAsia="en-US"/>
                <w14:ligatures w14:val="none"/>
              </w:rPr>
              <w:t>Calcul</w:t>
            </w:r>
            <w:proofErr w:type="spellEnd"/>
            <w:r w:rsidRPr="00E17206">
              <w:rPr>
                <w:rFonts w:eastAsia="Times New Roman"/>
                <w:kern w:val="0"/>
                <w:sz w:val="22"/>
                <w:szCs w:val="22"/>
                <w:lang w:eastAsia="en-US"/>
                <w14:ligatures w14:val="none"/>
              </w:rPr>
              <w:t xml:space="preserve"> Scientifique (CERFACS)</w:t>
            </w:r>
            <w:r>
              <w:rPr>
                <w:rFonts w:eastAsia="Times New Roman"/>
                <w:kern w:val="0"/>
                <w:sz w:val="22"/>
                <w:szCs w:val="22"/>
                <w:lang w:eastAsia="en-US"/>
                <w14:ligatures w14:val="none"/>
              </w:rPr>
              <w:t>, French</w:t>
            </w:r>
          </w:p>
        </w:tc>
      </w:tr>
      <w:tr w:rsidR="00AC6751" w14:paraId="054E4867" w14:textId="77777777" w:rsidTr="00416539">
        <w:tc>
          <w:tcPr>
            <w:tcW w:w="4675" w:type="dxa"/>
          </w:tcPr>
          <w:p w14:paraId="0ABDA8C4" w14:textId="77777777" w:rsidR="00AC6751" w:rsidRPr="00BE52EB" w:rsidRDefault="00AC6751" w:rsidP="00416539">
            <w:pPr>
              <w:jc w:val="center"/>
              <w:rPr>
                <w:rFonts w:eastAsia="Times New Roman"/>
                <w:kern w:val="0"/>
                <w:sz w:val="24"/>
                <w:szCs w:val="24"/>
                <w:lang w:eastAsia="en-US"/>
                <w14:ligatures w14:val="none"/>
              </w:rPr>
            </w:pPr>
            <w:r w:rsidRPr="00BE52EB">
              <w:rPr>
                <w:rFonts w:eastAsia="Times New Roman"/>
                <w:kern w:val="0"/>
                <w:sz w:val="24"/>
                <w:szCs w:val="24"/>
                <w:lang w:eastAsia="en-US"/>
                <w14:ligatures w14:val="none"/>
              </w:rPr>
              <w:t>HadGEM3</w:t>
            </w:r>
            <w:r>
              <w:rPr>
                <w:rFonts w:eastAsia="Times New Roman"/>
                <w:kern w:val="0"/>
                <w:sz w:val="24"/>
                <w:szCs w:val="24"/>
                <w:lang w:eastAsia="en-US"/>
                <w14:ligatures w14:val="none"/>
              </w:rPr>
              <w:t>-GC31-LL</w:t>
            </w:r>
          </w:p>
        </w:tc>
        <w:tc>
          <w:tcPr>
            <w:tcW w:w="4675" w:type="dxa"/>
          </w:tcPr>
          <w:p w14:paraId="29002313" w14:textId="77777777" w:rsidR="00AC6751" w:rsidRPr="00BE52EB" w:rsidRDefault="00AC6751" w:rsidP="00416539">
            <w:pPr>
              <w:spacing w:line="480" w:lineRule="auto"/>
              <w:jc w:val="center"/>
              <w:rPr>
                <w:rFonts w:eastAsia="Times New Roman"/>
                <w:kern w:val="0"/>
                <w:sz w:val="22"/>
                <w:szCs w:val="22"/>
                <w:lang w:eastAsia="en-US"/>
                <w14:ligatures w14:val="none"/>
              </w:rPr>
            </w:pPr>
            <w:r w:rsidRPr="007E6C8D">
              <w:rPr>
                <w:rFonts w:eastAsia="Times New Roman"/>
                <w:kern w:val="0"/>
                <w:sz w:val="22"/>
                <w:szCs w:val="22"/>
                <w:lang w:eastAsia="en-US"/>
                <w14:ligatures w14:val="none"/>
              </w:rPr>
              <w:t>Met Office Hadley Centre</w:t>
            </w:r>
            <w:r>
              <w:rPr>
                <w:rFonts w:eastAsia="Times New Roman"/>
                <w:kern w:val="0"/>
                <w:sz w:val="22"/>
                <w:szCs w:val="22"/>
                <w:lang w:eastAsia="en-US"/>
                <w14:ligatures w14:val="none"/>
              </w:rPr>
              <w:t xml:space="preserve">, </w:t>
            </w:r>
            <w:r>
              <w:t>United Kingdom</w:t>
            </w:r>
          </w:p>
        </w:tc>
      </w:tr>
      <w:tr w:rsidR="00AC6751" w14:paraId="07445215" w14:textId="77777777" w:rsidTr="00416539">
        <w:tc>
          <w:tcPr>
            <w:tcW w:w="4675" w:type="dxa"/>
          </w:tcPr>
          <w:p w14:paraId="273C493F" w14:textId="77777777" w:rsidR="00AC6751" w:rsidRPr="00BE52EB" w:rsidRDefault="00AC6751" w:rsidP="00416539">
            <w:pPr>
              <w:jc w:val="center"/>
              <w:rPr>
                <w:rFonts w:eastAsia="Times New Roman"/>
                <w:kern w:val="0"/>
                <w:sz w:val="24"/>
                <w:szCs w:val="24"/>
                <w:lang w:eastAsia="en-US"/>
                <w14:ligatures w14:val="none"/>
              </w:rPr>
            </w:pPr>
            <w:r w:rsidRPr="00BE52EB">
              <w:rPr>
                <w:rFonts w:eastAsia="Times New Roman"/>
                <w:kern w:val="0"/>
                <w:sz w:val="24"/>
                <w:szCs w:val="24"/>
                <w:lang w:eastAsia="en-US"/>
                <w14:ligatures w14:val="none"/>
              </w:rPr>
              <w:t>MPI-ESM1-2-LR</w:t>
            </w:r>
          </w:p>
        </w:tc>
        <w:tc>
          <w:tcPr>
            <w:tcW w:w="4675" w:type="dxa"/>
          </w:tcPr>
          <w:p w14:paraId="4ED2C7B5" w14:textId="77777777" w:rsidR="00AC6751" w:rsidRPr="00BE52EB" w:rsidRDefault="00AC6751" w:rsidP="00416539">
            <w:pPr>
              <w:spacing w:line="480" w:lineRule="auto"/>
              <w:jc w:val="center"/>
              <w:rPr>
                <w:rFonts w:eastAsia="Times New Roman"/>
                <w:kern w:val="0"/>
                <w:sz w:val="22"/>
                <w:szCs w:val="22"/>
                <w:lang w:eastAsia="en-US"/>
                <w14:ligatures w14:val="none"/>
              </w:rPr>
            </w:pPr>
            <w:r w:rsidRPr="00BE52EB">
              <w:rPr>
                <w:rFonts w:eastAsia="Times New Roman"/>
                <w:kern w:val="0"/>
                <w:sz w:val="22"/>
                <w:szCs w:val="22"/>
                <w:lang w:eastAsia="en-US"/>
                <w14:ligatures w14:val="none"/>
              </w:rPr>
              <w:t>Max Planck Institute for Meteorology, Germany</w:t>
            </w:r>
          </w:p>
        </w:tc>
      </w:tr>
      <w:tr w:rsidR="00AC6751" w14:paraId="4B09B711" w14:textId="77777777" w:rsidTr="00416539">
        <w:tc>
          <w:tcPr>
            <w:tcW w:w="4675" w:type="dxa"/>
          </w:tcPr>
          <w:p w14:paraId="630DB59C" w14:textId="77777777" w:rsidR="00AC6751" w:rsidRPr="00BE52EB" w:rsidRDefault="00AC6751" w:rsidP="00416539">
            <w:pPr>
              <w:jc w:val="center"/>
              <w:rPr>
                <w:rFonts w:eastAsia="Times New Roman"/>
                <w:kern w:val="0"/>
                <w:sz w:val="24"/>
                <w:szCs w:val="24"/>
                <w:lang w:eastAsia="en-US"/>
                <w14:ligatures w14:val="none"/>
              </w:rPr>
            </w:pPr>
            <w:r w:rsidRPr="00BE52EB">
              <w:rPr>
                <w:rFonts w:eastAsia="Times New Roman"/>
                <w:kern w:val="0"/>
                <w:sz w:val="24"/>
                <w:szCs w:val="24"/>
                <w:lang w:eastAsia="en-US"/>
                <w14:ligatures w14:val="none"/>
              </w:rPr>
              <w:t>TaiESM1</w:t>
            </w:r>
          </w:p>
        </w:tc>
        <w:tc>
          <w:tcPr>
            <w:tcW w:w="4675" w:type="dxa"/>
          </w:tcPr>
          <w:p w14:paraId="1FFD148A" w14:textId="77777777" w:rsidR="00AC6751" w:rsidRPr="00BE52EB" w:rsidRDefault="00AC6751" w:rsidP="00416539">
            <w:pPr>
              <w:spacing w:line="480" w:lineRule="auto"/>
              <w:jc w:val="center"/>
              <w:rPr>
                <w:rFonts w:eastAsia="Times New Roman"/>
                <w:kern w:val="0"/>
                <w:sz w:val="22"/>
                <w:szCs w:val="22"/>
                <w:lang w:eastAsia="en-US"/>
                <w14:ligatures w14:val="none"/>
              </w:rPr>
            </w:pPr>
            <w:r w:rsidRPr="00BE52EB">
              <w:rPr>
                <w:rFonts w:eastAsia="Times New Roman"/>
                <w:kern w:val="0"/>
                <w:sz w:val="22"/>
                <w:szCs w:val="22"/>
                <w:lang w:eastAsia="en-US"/>
                <w14:ligatures w14:val="none"/>
              </w:rPr>
              <w:t>Research Center for Environmental Changes, Academia Sinica, Taiwan, China</w:t>
            </w:r>
          </w:p>
        </w:tc>
      </w:tr>
    </w:tbl>
    <w:p w14:paraId="4EC0E536" w14:textId="77777777" w:rsidR="00AC6751" w:rsidRPr="008E3BA8" w:rsidRDefault="00AC6751" w:rsidP="00AC6751">
      <w:pPr>
        <w:shd w:val="clear" w:color="auto" w:fill="FFFFFF"/>
        <w:spacing w:line="480" w:lineRule="auto"/>
        <w:ind w:firstLine="720"/>
        <w:jc w:val="both"/>
        <w:rPr>
          <w:rFonts w:eastAsia="Times New Roman"/>
          <w:sz w:val="24"/>
          <w:szCs w:val="24"/>
        </w:rPr>
      </w:pPr>
    </w:p>
    <w:p w14:paraId="592620E2" w14:textId="77777777" w:rsidR="00AC6751" w:rsidRPr="008E3BA8" w:rsidRDefault="00AC6751" w:rsidP="00AC6751">
      <w:pPr>
        <w:shd w:val="clear" w:color="auto" w:fill="FFFFFF"/>
        <w:spacing w:line="480" w:lineRule="auto"/>
        <w:ind w:firstLine="720"/>
        <w:jc w:val="both"/>
        <w:rPr>
          <w:rFonts w:eastAsia="Times New Roman"/>
          <w:sz w:val="24"/>
          <w:szCs w:val="24"/>
        </w:rPr>
      </w:pPr>
      <w:r w:rsidRPr="008E3BA8">
        <w:rPr>
          <w:rFonts w:eastAsia="Times New Roman"/>
          <w:sz w:val="24"/>
          <w:szCs w:val="24"/>
        </w:rPr>
        <w:t>To enable a robust comparison between the CESM2 simulation and the CMIP6 models, a uniform temporal processing procedure was applied. First, a 5-day running mean was calculated from the daily data. In this averaging process, if a specific cloud type was not present on a given day, its cloud fraction was treated as zero. Subsequently, monthly means were derived from these 5-day averaged values to analyze the seasonal cycle. This two-step approach ensures a consistent and comparable analysis of the cloud seasonal cycles across all models, despite their differing native temporal outputs.</w:t>
      </w:r>
    </w:p>
    <w:p w14:paraId="26C856E5" w14:textId="77777777" w:rsidR="00AC6751" w:rsidRPr="008E3BA8" w:rsidRDefault="00AC6751" w:rsidP="00AC6751">
      <w:pPr>
        <w:shd w:val="clear" w:color="auto" w:fill="FFFFFF"/>
        <w:spacing w:line="480" w:lineRule="auto"/>
        <w:ind w:firstLine="720"/>
        <w:jc w:val="both"/>
        <w:rPr>
          <w:rFonts w:eastAsia="Times New Roman"/>
          <w:sz w:val="24"/>
          <w:szCs w:val="24"/>
        </w:rPr>
      </w:pPr>
    </w:p>
    <w:p w14:paraId="161E6878" w14:textId="137DE0F3" w:rsidR="00330941" w:rsidRPr="00AC6751" w:rsidRDefault="00AC6751" w:rsidP="00AC6751">
      <w:pPr>
        <w:shd w:val="clear" w:color="auto" w:fill="FFFFFF"/>
        <w:spacing w:line="480" w:lineRule="auto"/>
        <w:ind w:firstLine="720"/>
        <w:jc w:val="both"/>
        <w:rPr>
          <w:rStyle w:val="apple-converted-space"/>
          <w:rFonts w:eastAsia="Times New Roman"/>
          <w:sz w:val="24"/>
          <w:szCs w:val="24"/>
        </w:rPr>
      </w:pPr>
      <w:r w:rsidRPr="008E3BA8">
        <w:rPr>
          <w:rFonts w:eastAsia="Times New Roman"/>
          <w:sz w:val="24"/>
          <w:szCs w:val="24"/>
        </w:rPr>
        <w:t xml:space="preserve">To ensure all model analyses represent a fully </w:t>
      </w:r>
      <w:proofErr w:type="gramStart"/>
      <w:r w:rsidRPr="008E3BA8">
        <w:rPr>
          <w:rFonts w:eastAsia="Times New Roman"/>
          <w:sz w:val="24"/>
          <w:szCs w:val="24"/>
        </w:rPr>
        <w:t>spun-up</w:t>
      </w:r>
      <w:proofErr w:type="gramEnd"/>
      <w:r w:rsidRPr="008E3BA8">
        <w:rPr>
          <w:rFonts w:eastAsia="Times New Roman"/>
          <w:sz w:val="24"/>
          <w:szCs w:val="24"/>
        </w:rPr>
        <w:t xml:space="preserve"> and equilibrated climate state, and to maintain temporal consistency across the ensemble, the analysis period for all climate models (including the dedicated CESM2 run) is unified from 1986 to 2014. This start date accounts for the 6-year spin-up period required for the CESM2 simulation to stabilize.</w:t>
      </w:r>
    </w:p>
    <w:p w14:paraId="42D4F19A" w14:textId="44EB29F9" w:rsidR="000A0082" w:rsidRDefault="000A0082" w:rsidP="000A0082">
      <w:pPr>
        <w:pStyle w:val="Text"/>
        <w:ind w:firstLine="0"/>
        <w:jc w:val="both"/>
        <w:rPr>
          <w:rStyle w:val="Strong"/>
          <w:rFonts w:ascii="Segoe UI" w:hAnsi="Segoe UI" w:cs="Segoe UI"/>
          <w:color w:val="0F1115"/>
          <w:lang w:eastAsia="zh-CN"/>
        </w:rPr>
      </w:pPr>
    </w:p>
    <w:p w14:paraId="5CB83895" w14:textId="487DCDBA" w:rsidR="004265A8" w:rsidRPr="00BA1622" w:rsidRDefault="004265A8" w:rsidP="000A0082">
      <w:pPr>
        <w:pStyle w:val="Text"/>
        <w:ind w:firstLine="0"/>
        <w:jc w:val="both"/>
        <w:rPr>
          <w:b/>
          <w:bCs/>
        </w:rPr>
      </w:pPr>
      <w:r w:rsidRPr="00BA1622">
        <w:rPr>
          <w:b/>
          <w:bCs/>
        </w:rPr>
        <w:t xml:space="preserve">2.1.1.2 </w:t>
      </w:r>
      <w:r w:rsidR="00AC6751" w:rsidRPr="00BA1622">
        <w:rPr>
          <w:b/>
          <w:bCs/>
        </w:rPr>
        <w:t>CESM2 (Community Earth System Model version 2)</w:t>
      </w:r>
    </w:p>
    <w:p w14:paraId="2B62A178" w14:textId="77777777" w:rsidR="00AC6751" w:rsidRPr="008E3BA8" w:rsidRDefault="00AC6751" w:rsidP="00AC6751">
      <w:pPr>
        <w:shd w:val="clear" w:color="auto" w:fill="FFFFFF"/>
        <w:spacing w:line="480" w:lineRule="auto"/>
        <w:ind w:firstLine="720"/>
        <w:jc w:val="both"/>
        <w:rPr>
          <w:rFonts w:eastAsia="Times New Roman"/>
          <w:sz w:val="24"/>
          <w:szCs w:val="24"/>
        </w:rPr>
      </w:pPr>
      <w:r w:rsidRPr="008E3BA8">
        <w:rPr>
          <w:rFonts w:eastAsia="Times New Roman"/>
          <w:sz w:val="24"/>
          <w:szCs w:val="24"/>
        </w:rPr>
        <w:t>The atmospheric simulations were conducted using the Community Atmosphere Model version 6 (CAM6), the atmospheric component of the Community Earth System Model version 2.1.5 (CESM2), developed at the National Center for Atmospheric Research (NCAR), which is funded by the National Science Foundation (NSF) (Bogenschutz et al., 2018; Gettelman et al., 2018). The model was run following the Atmospheric Model Intercomparison Project (AMIP) protocols, prescribed with observational sea surface temperatures and sea ice coverage from 1979 to 2014 (Huang et al., 2021; Rayner et al., 2003). Monthly boundary condition data were linearly interpolated in time to generate daily forcing inputs. The modeling framework was also forced with temporally evolving aerosol emissions and greenhouse gas concentrations (including CO₂) to maintain fidelity with historical atmospheric composition.</w:t>
      </w:r>
    </w:p>
    <w:p w14:paraId="01D94E17" w14:textId="77777777" w:rsidR="00AC6751" w:rsidRPr="008E3BA8" w:rsidRDefault="00AC6751" w:rsidP="00AC6751">
      <w:pPr>
        <w:shd w:val="clear" w:color="auto" w:fill="FFFFFF"/>
        <w:spacing w:line="480" w:lineRule="auto"/>
        <w:ind w:firstLine="720"/>
        <w:jc w:val="both"/>
        <w:rPr>
          <w:rFonts w:eastAsia="Times New Roman"/>
          <w:sz w:val="24"/>
          <w:szCs w:val="24"/>
        </w:rPr>
      </w:pPr>
    </w:p>
    <w:p w14:paraId="08958580" w14:textId="77777777" w:rsidR="00AC6751" w:rsidRPr="008E3BA8" w:rsidRDefault="00AC6751" w:rsidP="00AC6751">
      <w:pPr>
        <w:shd w:val="clear" w:color="auto" w:fill="FFFFFF"/>
        <w:spacing w:line="480" w:lineRule="auto"/>
        <w:ind w:firstLine="720"/>
        <w:jc w:val="both"/>
        <w:rPr>
          <w:rFonts w:eastAsia="Times New Roman"/>
          <w:sz w:val="24"/>
          <w:szCs w:val="24"/>
        </w:rPr>
      </w:pPr>
      <w:r w:rsidRPr="008E3BA8">
        <w:rPr>
          <w:rFonts w:eastAsia="Times New Roman"/>
          <w:sz w:val="24"/>
          <w:szCs w:val="24"/>
        </w:rPr>
        <w:t xml:space="preserve">The numerical experiments adopted the standard CAM6 scientific resolution: the horizontal discretization featured a 0.94° latitude × 1.25° longitude grid, while the vertical structure employed 32 hybrid sigma-pressure layers extending to 2.26 </w:t>
      </w:r>
      <w:proofErr w:type="spellStart"/>
      <w:r w:rsidRPr="008E3BA8">
        <w:rPr>
          <w:rFonts w:eastAsia="Times New Roman"/>
          <w:sz w:val="24"/>
          <w:szCs w:val="24"/>
        </w:rPr>
        <w:t>hPa</w:t>
      </w:r>
      <w:proofErr w:type="spellEnd"/>
      <w:r w:rsidRPr="008E3BA8">
        <w:rPr>
          <w:rFonts w:eastAsia="Times New Roman"/>
          <w:sz w:val="24"/>
          <w:szCs w:val="24"/>
        </w:rPr>
        <w:t>. Output datasets encompassed both static and dynamic prognostic variables, archived at a 6-hour temporal resolution. The horizontal and vertical grid specifications remained unchanged throughout the simulations for consistency.</w:t>
      </w:r>
    </w:p>
    <w:p w14:paraId="0325E5B0" w14:textId="77777777" w:rsidR="00F53DBB" w:rsidRPr="00E31D22" w:rsidRDefault="00F53DBB" w:rsidP="00AC6751">
      <w:pPr>
        <w:pStyle w:val="Text"/>
        <w:ind w:firstLine="0"/>
        <w:jc w:val="both"/>
        <w:rPr>
          <w:lang w:eastAsia="zh-CN"/>
        </w:rPr>
      </w:pPr>
    </w:p>
    <w:p w14:paraId="45D65F9F" w14:textId="3408DDEE" w:rsidR="000A0082" w:rsidRPr="00BA1622" w:rsidRDefault="004265A8" w:rsidP="00BA1622">
      <w:pPr>
        <w:pStyle w:val="Heading-Main"/>
        <w:rPr>
          <w:kern w:val="0"/>
        </w:rPr>
      </w:pPr>
      <w:r w:rsidRPr="00BA1622">
        <w:rPr>
          <w:kern w:val="0"/>
        </w:rPr>
        <w:t>2.1.2. Observational and Reanalysis Datasets</w:t>
      </w:r>
    </w:p>
    <w:p w14:paraId="4B9C6B1B" w14:textId="709EAED0" w:rsidR="000771D4" w:rsidRPr="00BA1622" w:rsidRDefault="003B3617" w:rsidP="00BA1622">
      <w:pPr>
        <w:pStyle w:val="Heading-Main"/>
        <w:rPr>
          <w:kern w:val="0"/>
        </w:rPr>
      </w:pPr>
      <w:r w:rsidRPr="00BA1622">
        <w:rPr>
          <w:rFonts w:hint="eastAsia"/>
          <w:kern w:val="0"/>
        </w:rPr>
        <w:t xml:space="preserve">2.1.2.1 </w:t>
      </w:r>
      <w:proofErr w:type="spellStart"/>
      <w:r w:rsidR="00AC2F1B" w:rsidRPr="00BA1622">
        <w:rPr>
          <w:kern w:val="0"/>
        </w:rPr>
        <w:t>CloudSat</w:t>
      </w:r>
      <w:proofErr w:type="spellEnd"/>
      <w:r w:rsidR="00AC2F1B" w:rsidRPr="00BA1622">
        <w:rPr>
          <w:kern w:val="0"/>
        </w:rPr>
        <w:t>-CALIPSO (Active Sensor)</w:t>
      </w:r>
    </w:p>
    <w:p w14:paraId="5ED339CD" w14:textId="77777777" w:rsidR="00116726" w:rsidRPr="008E3BA8" w:rsidRDefault="00116726"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 xml:space="preserve">To accurately characterize cloud vertical structure, this study utilized the </w:t>
      </w:r>
      <w:proofErr w:type="spellStart"/>
      <w:r w:rsidRPr="008E3BA8">
        <w:rPr>
          <w:rFonts w:eastAsia="Times New Roman"/>
          <w:sz w:val="24"/>
          <w:szCs w:val="24"/>
        </w:rPr>
        <w:t>CloudSat</w:t>
      </w:r>
      <w:proofErr w:type="spellEnd"/>
      <w:r w:rsidRPr="008E3BA8">
        <w:rPr>
          <w:rFonts w:eastAsia="Times New Roman"/>
          <w:sz w:val="24"/>
          <w:szCs w:val="24"/>
        </w:rPr>
        <w:t xml:space="preserve">-CALIPSO (C-C) cloud classification product. Our primary dataset for cloud vertical structure is calculated from the </w:t>
      </w:r>
      <w:proofErr w:type="gramStart"/>
      <w:r w:rsidRPr="008E3BA8">
        <w:rPr>
          <w:rFonts w:eastAsia="Times New Roman"/>
          <w:sz w:val="24"/>
          <w:szCs w:val="24"/>
        </w:rPr>
        <w:t>level-2</w:t>
      </w:r>
      <w:proofErr w:type="gramEnd"/>
      <w:r w:rsidRPr="008E3BA8">
        <w:rPr>
          <w:rFonts w:eastAsia="Times New Roman"/>
          <w:sz w:val="24"/>
          <w:szCs w:val="24"/>
        </w:rPr>
        <w:t xml:space="preserve"> data streams 2B-GEOPROF and 2B-GEOPROF-LIDAR. The 2B-GEOPROF product provides a confidence-graded hydrometeor mask from </w:t>
      </w:r>
      <w:proofErr w:type="spellStart"/>
      <w:r w:rsidRPr="008E3BA8">
        <w:rPr>
          <w:rFonts w:eastAsia="Times New Roman"/>
          <w:sz w:val="24"/>
          <w:szCs w:val="24"/>
        </w:rPr>
        <w:t>CloudSat's</w:t>
      </w:r>
      <w:proofErr w:type="spellEnd"/>
      <w:r w:rsidRPr="008E3BA8">
        <w:rPr>
          <w:rFonts w:eastAsia="Times New Roman"/>
          <w:sz w:val="24"/>
          <w:szCs w:val="24"/>
        </w:rPr>
        <w:t xml:space="preserve"> Cloud Profiling Radar (CPR), while the 2B-GEOPROF-LIDAR product contains CALIPSO's lidar cloud mask resampled to the </w:t>
      </w:r>
      <w:proofErr w:type="spellStart"/>
      <w:r w:rsidRPr="008E3BA8">
        <w:rPr>
          <w:rFonts w:eastAsia="Times New Roman"/>
          <w:sz w:val="24"/>
          <w:szCs w:val="24"/>
        </w:rPr>
        <w:t>CloudSat</w:t>
      </w:r>
      <w:proofErr w:type="spellEnd"/>
      <w:r w:rsidRPr="008E3BA8">
        <w:rPr>
          <w:rFonts w:eastAsia="Times New Roman"/>
          <w:sz w:val="24"/>
          <w:szCs w:val="24"/>
        </w:rPr>
        <w:t xml:space="preserve"> footprint.</w:t>
      </w:r>
    </w:p>
    <w:p w14:paraId="685D4703" w14:textId="77777777" w:rsidR="00116726" w:rsidRPr="008E3BA8" w:rsidRDefault="00116726" w:rsidP="008E3BA8">
      <w:pPr>
        <w:shd w:val="clear" w:color="auto" w:fill="FFFFFF"/>
        <w:spacing w:line="480" w:lineRule="auto"/>
        <w:ind w:firstLine="720"/>
        <w:jc w:val="both"/>
        <w:rPr>
          <w:rFonts w:eastAsia="Times New Roman"/>
          <w:sz w:val="24"/>
          <w:szCs w:val="24"/>
        </w:rPr>
      </w:pPr>
    </w:p>
    <w:p w14:paraId="5D7A1A40" w14:textId="77777777" w:rsidR="00116726" w:rsidRPr="008E3BA8" w:rsidRDefault="00116726"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 xml:space="preserve">These foundational data are integrated into the 2B-CLDCLASS-LIDAR product (version R05), which synergistically combines the CPR on </w:t>
      </w:r>
      <w:proofErr w:type="spellStart"/>
      <w:r w:rsidRPr="008E3BA8">
        <w:rPr>
          <w:rFonts w:eastAsia="Times New Roman"/>
          <w:sz w:val="24"/>
          <w:szCs w:val="24"/>
        </w:rPr>
        <w:t>CloudSat</w:t>
      </w:r>
      <w:proofErr w:type="spellEnd"/>
      <w:r w:rsidRPr="008E3BA8">
        <w:rPr>
          <w:rFonts w:eastAsia="Times New Roman"/>
          <w:sz w:val="24"/>
          <w:szCs w:val="24"/>
        </w:rPr>
        <w:t xml:space="preserve"> and the CALIOP lidar on CALIPSO. This synergistic product offers unparalleled detection of multi-layer and thin clouds (Mace et al., 2009) and provides a </w:t>
      </w:r>
      <w:proofErr w:type="gramStart"/>
      <w:r w:rsidRPr="008E3BA8">
        <w:rPr>
          <w:rFonts w:eastAsia="Times New Roman"/>
          <w:sz w:val="24"/>
          <w:szCs w:val="24"/>
        </w:rPr>
        <w:t>physically-based</w:t>
      </w:r>
      <w:proofErr w:type="gramEnd"/>
      <w:r w:rsidRPr="008E3BA8">
        <w:rPr>
          <w:rFonts w:eastAsia="Times New Roman"/>
          <w:sz w:val="24"/>
          <w:szCs w:val="24"/>
        </w:rPr>
        <w:t xml:space="preserve"> cloud type classification, which is central to our analysis. We analyzed data from January 2006 to December 2011, excluding the period after November 2011 due to a battery anomaly that limited </w:t>
      </w:r>
      <w:proofErr w:type="spellStart"/>
      <w:r w:rsidRPr="008E3BA8">
        <w:rPr>
          <w:rFonts w:eastAsia="Times New Roman"/>
          <w:sz w:val="24"/>
          <w:szCs w:val="24"/>
        </w:rPr>
        <w:t>CloudSat's</w:t>
      </w:r>
      <w:proofErr w:type="spellEnd"/>
      <w:r w:rsidRPr="008E3BA8">
        <w:rPr>
          <w:rFonts w:eastAsia="Times New Roman"/>
          <w:sz w:val="24"/>
          <w:szCs w:val="24"/>
        </w:rPr>
        <w:t xml:space="preserve"> operational coverage.</w:t>
      </w:r>
    </w:p>
    <w:p w14:paraId="304DF320" w14:textId="77777777" w:rsidR="00116726" w:rsidRPr="008E3BA8" w:rsidRDefault="00116726" w:rsidP="008E3BA8">
      <w:pPr>
        <w:shd w:val="clear" w:color="auto" w:fill="FFFFFF"/>
        <w:spacing w:line="480" w:lineRule="auto"/>
        <w:ind w:firstLine="720"/>
        <w:jc w:val="both"/>
        <w:rPr>
          <w:rFonts w:eastAsia="Times New Roman"/>
          <w:sz w:val="24"/>
          <w:szCs w:val="24"/>
        </w:rPr>
      </w:pPr>
    </w:p>
    <w:p w14:paraId="629F8286" w14:textId="77777777" w:rsidR="00116726" w:rsidRPr="008E3BA8" w:rsidRDefault="00116726"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To conform with the gridding of our climate model data, the native satellite curtain data were aggregated onto a common global grid. The cloud mask information from the combined radar-lidar product was first converted into a binary cloud/no-cloud field at each native profile. These profiles were then spatiotemporally collocated and averaged onto a 2° × 2° horizontal grid at a 6-hourly temporal resolution, matching the output frequency of our model analysis. For each grid box and time interval, the cloud fraction was calculated as the number of satellite profiles identified as "cloudy" divided by the total number of observed profiles within that grid box and time window.</w:t>
      </w:r>
    </w:p>
    <w:p w14:paraId="7BA77359" w14:textId="77777777" w:rsidR="00116726" w:rsidRDefault="00116726" w:rsidP="00116726">
      <w:pPr>
        <w:pStyle w:val="ds-markdown-paragraph"/>
        <w:spacing w:before="0" w:beforeAutospacing="0" w:after="0" w:afterAutospacing="0"/>
        <w:rPr>
          <w:rFonts w:ascii="Times New Roman" w:eastAsia="Times New Roman" w:hAnsi="Times New Roman" w:cs="Times New Roman"/>
        </w:rPr>
      </w:pPr>
    </w:p>
    <w:p w14:paraId="26F2227B" w14:textId="5CA1989B" w:rsidR="000771D4" w:rsidRPr="00BA1622" w:rsidRDefault="00116726" w:rsidP="00BA1622">
      <w:pPr>
        <w:pStyle w:val="Heading-Main"/>
        <w:rPr>
          <w:kern w:val="0"/>
        </w:rPr>
      </w:pPr>
      <w:r w:rsidRPr="00BA1622">
        <w:rPr>
          <w:rFonts w:hint="eastAsia"/>
          <w:kern w:val="0"/>
        </w:rPr>
        <w:t xml:space="preserve">2.1.2.2 </w:t>
      </w:r>
      <w:r w:rsidR="00AC2F1B" w:rsidRPr="00BA1622">
        <w:rPr>
          <w:kern w:val="0"/>
        </w:rPr>
        <w:t>ISCCP (Passive Sensor)</w:t>
      </w:r>
    </w:p>
    <w:p w14:paraId="2FAFFBE4" w14:textId="77777777" w:rsidR="00105920" w:rsidRPr="008E3BA8" w:rsidRDefault="00105920"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 xml:space="preserve">For historical context and comparison with traditional low-cloud definitions, we utilized cloud top pressure and optical depth data from the International Satellite Cloud Climatology Project (ISCCP) H-series dataset. As a foundational passive sensor product, ISCCP relies on a </w:t>
      </w:r>
      <w:proofErr w:type="spellStart"/>
      <w:r w:rsidRPr="008E3BA8">
        <w:rPr>
          <w:rFonts w:eastAsia="Times New Roman"/>
          <w:sz w:val="24"/>
          <w:szCs w:val="24"/>
        </w:rPr>
        <w:t>bispectral</w:t>
      </w:r>
      <w:proofErr w:type="spellEnd"/>
      <w:r w:rsidRPr="008E3BA8">
        <w:rPr>
          <w:rFonts w:eastAsia="Times New Roman"/>
          <w:sz w:val="24"/>
          <w:szCs w:val="24"/>
        </w:rPr>
        <w:t xml:space="preserve"> (visible and infrared window) algorithm to detect clouds by identifying deviations in radiance from a statistically derived clear-sky reference (Rossow and Garder, 1993).</w:t>
      </w:r>
    </w:p>
    <w:p w14:paraId="0D5F32EC" w14:textId="77777777" w:rsidR="00105920" w:rsidRPr="008E3BA8" w:rsidRDefault="00105920" w:rsidP="008E3BA8">
      <w:pPr>
        <w:shd w:val="clear" w:color="auto" w:fill="FFFFFF"/>
        <w:spacing w:line="480" w:lineRule="auto"/>
        <w:ind w:firstLine="720"/>
        <w:jc w:val="both"/>
        <w:rPr>
          <w:rFonts w:eastAsia="Times New Roman"/>
          <w:sz w:val="24"/>
          <w:szCs w:val="24"/>
        </w:rPr>
      </w:pPr>
    </w:p>
    <w:p w14:paraId="18313A17" w14:textId="77777777" w:rsidR="00105920" w:rsidRPr="008E3BA8" w:rsidRDefault="00105920"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A key characteristic of this passive sensor approach is its inherent limitation in resolving cloud vertical structure. The ISCCP cloud top pressure is primarily retrieved from infrared brightness temperatures, which represent the radiatively effective level of the cloud top. Consequently, when low-level clouds are overlain by higher, optically thin clouds, the ISCCP algorithm will typically assign the cloud top pressure of the upper-level cloud, thereby failing to detect the underlying low clouds. This leads to a systematic underestimation of low cloud amount in multi-layer scenarios, a critical factor in interpreting the discrepancies among different observational datasets.</w:t>
      </w:r>
    </w:p>
    <w:p w14:paraId="338E3A3B" w14:textId="77777777" w:rsidR="00105920" w:rsidRPr="008E3BA8" w:rsidRDefault="00105920" w:rsidP="008E3BA8">
      <w:pPr>
        <w:shd w:val="clear" w:color="auto" w:fill="FFFFFF"/>
        <w:spacing w:line="480" w:lineRule="auto"/>
        <w:ind w:firstLine="720"/>
        <w:jc w:val="both"/>
        <w:rPr>
          <w:rFonts w:eastAsia="Times New Roman"/>
          <w:sz w:val="24"/>
          <w:szCs w:val="24"/>
        </w:rPr>
      </w:pPr>
    </w:p>
    <w:p w14:paraId="60D437C0" w14:textId="6F92673E" w:rsidR="00116726" w:rsidRPr="008E3BA8" w:rsidRDefault="00105920"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 xml:space="preserve">Its cloud type classification scheme, which categorizes clouds based on cloud top pressure and optical thickness, is illustrated in Figure </w:t>
      </w:r>
      <w:r w:rsidR="00CF63C6">
        <w:rPr>
          <w:rFonts w:eastAsia="Times New Roman" w:hint="eastAsia"/>
          <w:sz w:val="24"/>
          <w:szCs w:val="24"/>
          <w:lang w:eastAsia="zh-CN"/>
        </w:rPr>
        <w:t>1</w:t>
      </w:r>
      <w:r w:rsidRPr="008E3BA8">
        <w:rPr>
          <w:rFonts w:eastAsia="Times New Roman"/>
          <w:sz w:val="24"/>
          <w:szCs w:val="24"/>
        </w:rPr>
        <w:t xml:space="preserve"> and provides the basis for the conventional "low cloud" definition used in many climate studies.</w:t>
      </w:r>
    </w:p>
    <w:p w14:paraId="7A5C6633" w14:textId="77777777" w:rsidR="00105920" w:rsidRDefault="00105920" w:rsidP="008E3BA8">
      <w:pPr>
        <w:pStyle w:val="ds-markdown-paragraph"/>
        <w:spacing w:before="0" w:beforeAutospacing="0" w:after="0" w:afterAutospacing="0"/>
        <w:jc w:val="both"/>
        <w:rPr>
          <w:rFonts w:ascii="Segoe UI" w:hAnsi="Segoe UI" w:cs="Segoe UI"/>
          <w:color w:val="0F1115"/>
        </w:rPr>
      </w:pPr>
    </w:p>
    <w:p w14:paraId="67E34348" w14:textId="77777777" w:rsidR="00105920" w:rsidRDefault="00105920" w:rsidP="00105920">
      <w:pPr>
        <w:pStyle w:val="ListParagraph"/>
        <w:keepNext/>
        <w:ind w:left="360"/>
        <w:jc w:val="center"/>
      </w:pPr>
      <w:r>
        <w:rPr>
          <w:noProof/>
        </w:rPr>
        <w:drawing>
          <wp:inline distT="0" distB="0" distL="0" distR="0" wp14:anchorId="51C9D648" wp14:editId="620077AE">
            <wp:extent cx="3049185" cy="2787805"/>
            <wp:effectExtent l="0" t="0" r="0" b="0"/>
            <wp:docPr id="1320059095" name="图片 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59095" name="图片 1" descr="表格&#10;&#10;AI 生成的内容可能不正确。"/>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8691" cy="2842210"/>
                    </a:xfrm>
                    <a:prstGeom prst="rect">
                      <a:avLst/>
                    </a:prstGeom>
                  </pic:spPr>
                </pic:pic>
              </a:graphicData>
            </a:graphic>
          </wp:inline>
        </w:drawing>
      </w:r>
    </w:p>
    <w:p w14:paraId="14992269" w14:textId="45FB2C10" w:rsidR="00105920" w:rsidRPr="00C4681A" w:rsidRDefault="00105920" w:rsidP="00105920">
      <w:pPr>
        <w:pStyle w:val="Caption"/>
        <w:rPr>
          <w:rFonts w:ascii="Times New Roman" w:hAnsi="Times New Roman" w:cs="Times New Roman"/>
        </w:rPr>
      </w:pPr>
      <w:bookmarkStart w:id="0" w:name="_Toc213082860"/>
      <w:r w:rsidRPr="00DD768C">
        <w:rPr>
          <w:rFonts w:ascii="Times New Roman" w:hAnsi="Times New Roman" w:cs="Times New Roman"/>
          <w:sz w:val="21"/>
          <w:szCs w:val="21"/>
        </w:rPr>
        <w:t xml:space="preserve">Figure </w:t>
      </w:r>
      <w:r w:rsidR="00CF63C6">
        <w:rPr>
          <w:rFonts w:ascii="Times New Roman" w:hAnsi="Times New Roman" w:cs="Times New Roman" w:hint="eastAsia"/>
          <w:sz w:val="21"/>
          <w:szCs w:val="21"/>
        </w:rPr>
        <w:t>1</w:t>
      </w:r>
      <w:r>
        <w:rPr>
          <w:rFonts w:ascii="Times New Roman" w:hAnsi="Times New Roman" w:cs="Times New Roman"/>
          <w:sz w:val="21"/>
          <w:szCs w:val="21"/>
        </w:rPr>
        <w:t>.</w:t>
      </w:r>
      <w:r w:rsidRPr="004C3824">
        <w:rPr>
          <w:rFonts w:ascii="Times New Roman" w:hAnsi="Times New Roman" w:cs="Times New Roman"/>
          <w:sz w:val="21"/>
          <w:szCs w:val="21"/>
        </w:rPr>
        <w:t xml:space="preserve"> Cloud types defined by the International Satellite Cloud Climatology Project (ISCCP), </w:t>
      </w:r>
      <w:hyperlink r:id="rId16" w:history="1">
        <w:r w:rsidRPr="00502260">
          <w:rPr>
            <w:rStyle w:val="Hyperlink"/>
            <w:rFonts w:ascii="Times New Roman" w:hAnsi="Times New Roman" w:cs="Times New Roman"/>
            <w:sz w:val="21"/>
            <w:szCs w:val="21"/>
          </w:rPr>
          <w:t>https://isccp.giss.nasa.gov/cloudtypes.html</w:t>
        </w:r>
      </w:hyperlink>
      <w:r>
        <w:rPr>
          <w:rFonts w:ascii="Times New Roman" w:hAnsi="Times New Roman" w:cs="Times New Roman"/>
          <w:sz w:val="21"/>
          <w:szCs w:val="21"/>
        </w:rPr>
        <w:t xml:space="preserve"> (From </w:t>
      </w:r>
      <w:r>
        <w:rPr>
          <w:rFonts w:ascii="Times New Roman" w:hAnsi="Times New Roman" w:cs="Times New Roman"/>
          <w:sz w:val="21"/>
          <w:szCs w:val="21"/>
        </w:rPr>
        <w:fldChar w:fldCharType="begin"/>
      </w:r>
      <w:r>
        <w:rPr>
          <w:rFonts w:ascii="Times New Roman" w:hAnsi="Times New Roman" w:cs="Times New Roman"/>
          <w:sz w:val="21"/>
          <w:szCs w:val="21"/>
        </w:rPr>
        <w:instrText xml:space="preserve"> ADDIN ZOTERO_ITEM CSL_CITATION {"citationID":"6aDwkzg1","properties":{"formattedCitation":"(Su &amp; Du, 2024)","plainCitation":"(Su &amp; Du, 2024)","dontUpdate":true,"noteIndex":0},"citationItems":[{"id":51,"uris":["http://zotero.org/users/local/6jdBalM8/items/TKU7C3PJ"],"itemData":{"id":51,"type":"chapter","container-title":"Reference Module in Earth Systems and Environmental Sciences","ISBN":"978-0-12-409548-9","language":"en","license":"https://www.elsevier.com/tdm/userlicense/1.0/","note":"DOI: 10.1016/B978-0-323-96026-7.00071-0","page":"B9780323960267000710","publisher":"Elsevier","source":"DOI.org (Crossref)","title":"Cloud Feedback","URL":"https://linkinghub.elsevier.com/retrieve/pii/B9780323960267000710","author":[{"family":"Su","given":"Hui"},{"family":"Du","given":"Shuangchen"}],"accessed":{"date-parts":[["2025",7,6]]},"issued":{"date-parts":[["2024"]]}}}],"schema":"https://github.com/citation-style-language/schema/raw/master/csl-citation.json"} </w:instrText>
      </w:r>
      <w:r>
        <w:rPr>
          <w:rFonts w:ascii="Times New Roman" w:hAnsi="Times New Roman" w:cs="Times New Roman"/>
          <w:sz w:val="21"/>
          <w:szCs w:val="21"/>
        </w:rPr>
        <w:fldChar w:fldCharType="separate"/>
      </w:r>
      <w:r>
        <w:rPr>
          <w:rFonts w:ascii="Times New Roman" w:hAnsi="Times New Roman" w:cs="Times New Roman"/>
          <w:noProof/>
          <w:sz w:val="21"/>
          <w:szCs w:val="21"/>
        </w:rPr>
        <w:t>Su &amp; Du, 2024)</w:t>
      </w:r>
      <w:r>
        <w:rPr>
          <w:rFonts w:ascii="Times New Roman" w:hAnsi="Times New Roman" w:cs="Times New Roman"/>
          <w:sz w:val="21"/>
          <w:szCs w:val="21"/>
        </w:rPr>
        <w:fldChar w:fldCharType="end"/>
      </w:r>
      <w:r w:rsidRPr="004C3824">
        <w:rPr>
          <w:rFonts w:ascii="Times New Roman" w:hAnsi="Times New Roman" w:cs="Times New Roman"/>
          <w:sz w:val="21"/>
          <w:szCs w:val="21"/>
        </w:rPr>
        <w:t>.</w:t>
      </w:r>
      <w:bookmarkEnd w:id="0"/>
    </w:p>
    <w:p w14:paraId="5C5AE00B" w14:textId="77777777" w:rsidR="00105920" w:rsidRPr="00105920" w:rsidRDefault="00105920" w:rsidP="00105920">
      <w:pPr>
        <w:pStyle w:val="ds-markdown-paragraph"/>
        <w:spacing w:before="0" w:beforeAutospacing="0" w:after="0" w:afterAutospacing="0"/>
        <w:rPr>
          <w:rFonts w:ascii="Segoe UI" w:hAnsi="Segoe UI" w:cs="Segoe UI"/>
          <w:color w:val="0F1115"/>
        </w:rPr>
      </w:pPr>
    </w:p>
    <w:p w14:paraId="768B5EB1" w14:textId="77777777" w:rsidR="007D2002" w:rsidRPr="00BA1622" w:rsidRDefault="007D2002" w:rsidP="00BA1622">
      <w:pPr>
        <w:pStyle w:val="Heading-Main"/>
        <w:rPr>
          <w:kern w:val="0"/>
          <w:lang w:eastAsia="zh-CN"/>
        </w:rPr>
      </w:pPr>
      <w:r w:rsidRPr="00BA1622">
        <w:rPr>
          <w:kern w:val="0"/>
        </w:rPr>
        <w:t>2.1.2.3 CLARA-A3</w:t>
      </w:r>
    </w:p>
    <w:p w14:paraId="5BBC9FB0" w14:textId="77777777" w:rsidR="007D2002" w:rsidRPr="007D2002" w:rsidRDefault="007D2002" w:rsidP="007D2002">
      <w:pPr>
        <w:pStyle w:val="ds-markdown-paragraph"/>
        <w:rPr>
          <w:rFonts w:ascii="Times New Roman" w:eastAsia="Times New Roman" w:hAnsi="Times New Roman" w:cs="Times New Roman"/>
          <w:lang w:eastAsia="en-US"/>
        </w:rPr>
      </w:pPr>
    </w:p>
    <w:p w14:paraId="6E4718A6" w14:textId="77777777" w:rsidR="007D2002" w:rsidRPr="008E3BA8" w:rsidRDefault="007D2002"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To leverage the long-term coverage of passive satellite observations while mitigating their known limitations in detecting low clouds beneath higher layers, we additionally utilized the CLARA-A3 climate data record. This dataset, compiled by the EUMETSAT Satellite Application Facility on Climate Monitoring (CM SAF), derives cloud properties from over four decades of Advanced Very High-Resolution Radiometer (AVHRR) observations.</w:t>
      </w:r>
    </w:p>
    <w:p w14:paraId="38897FDB" w14:textId="77777777" w:rsidR="007D2002" w:rsidRPr="008E3BA8" w:rsidRDefault="007D2002" w:rsidP="008E3BA8">
      <w:pPr>
        <w:shd w:val="clear" w:color="auto" w:fill="FFFFFF"/>
        <w:spacing w:line="480" w:lineRule="auto"/>
        <w:ind w:firstLine="720"/>
        <w:jc w:val="both"/>
        <w:rPr>
          <w:rFonts w:eastAsia="Times New Roman"/>
          <w:sz w:val="24"/>
          <w:szCs w:val="24"/>
        </w:rPr>
      </w:pPr>
    </w:p>
    <w:p w14:paraId="0DFACF73" w14:textId="77777777" w:rsidR="007D2002" w:rsidRPr="008E3BA8" w:rsidRDefault="007D2002"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A key advancement in CLARA-A3 is its application of a CALIPSO-informed Naïve Bayesian classification, which significantly improves the detection of low clouds that are often obscured in traditional passive sensor products like ISCCP. This correction is crucial for reconciling dataset-dependent biases in the low cloud seasonal cycle.</w:t>
      </w:r>
    </w:p>
    <w:p w14:paraId="69F52EEA" w14:textId="77777777" w:rsidR="007D2002" w:rsidRPr="008E3BA8" w:rsidRDefault="007D2002" w:rsidP="008E3BA8">
      <w:pPr>
        <w:shd w:val="clear" w:color="auto" w:fill="FFFFFF"/>
        <w:spacing w:line="480" w:lineRule="auto"/>
        <w:ind w:firstLine="720"/>
        <w:jc w:val="both"/>
        <w:rPr>
          <w:rFonts w:eastAsia="Times New Roman"/>
          <w:sz w:val="24"/>
          <w:szCs w:val="24"/>
        </w:rPr>
      </w:pPr>
    </w:p>
    <w:p w14:paraId="6C12C1B3" w14:textId="7E15B36D" w:rsidR="00AC2F1B" w:rsidRPr="008E3BA8" w:rsidRDefault="007D2002" w:rsidP="008E3BA8">
      <w:pPr>
        <w:shd w:val="clear" w:color="auto" w:fill="FFFFFF"/>
        <w:spacing w:line="480" w:lineRule="auto"/>
        <w:ind w:firstLine="720"/>
        <w:jc w:val="both"/>
        <w:rPr>
          <w:rFonts w:eastAsia="Times New Roman"/>
          <w:sz w:val="24"/>
          <w:szCs w:val="24"/>
        </w:rPr>
      </w:pPr>
      <w:r w:rsidRPr="008E3BA8">
        <w:rPr>
          <w:rFonts w:eastAsia="Times New Roman"/>
          <w:sz w:val="24"/>
          <w:szCs w:val="24"/>
        </w:rPr>
        <w:t xml:space="preserve">We used the Cloud Fraction Cover (CFC) product, which provides the fractional coverage of clouds on a 0.25° × 0.25° global grid. The dataset follows the ISCCP convention for vertical level separation (Low: CTP </w:t>
      </w:r>
      <w:r w:rsidRPr="008E3BA8">
        <w:rPr>
          <w:rFonts w:eastAsia="Times New Roman" w:hint="eastAsia"/>
          <w:sz w:val="24"/>
          <w:szCs w:val="24"/>
        </w:rPr>
        <w:t>≥</w:t>
      </w:r>
      <w:r w:rsidRPr="008E3BA8">
        <w:rPr>
          <w:rFonts w:eastAsia="Times New Roman"/>
          <w:sz w:val="24"/>
          <w:szCs w:val="24"/>
        </w:rPr>
        <w:t xml:space="preserve"> 680 </w:t>
      </w:r>
      <w:proofErr w:type="spellStart"/>
      <w:r w:rsidRPr="008E3BA8">
        <w:rPr>
          <w:rFonts w:eastAsia="Times New Roman"/>
          <w:sz w:val="24"/>
          <w:szCs w:val="24"/>
        </w:rPr>
        <w:t>hPa</w:t>
      </w:r>
      <w:proofErr w:type="spellEnd"/>
      <w:r w:rsidRPr="008E3BA8">
        <w:rPr>
          <w:rFonts w:eastAsia="Times New Roman"/>
          <w:sz w:val="24"/>
          <w:szCs w:val="24"/>
        </w:rPr>
        <w:t xml:space="preserve">, Mid: 440 </w:t>
      </w:r>
      <w:proofErr w:type="spellStart"/>
      <w:r w:rsidRPr="008E3BA8">
        <w:rPr>
          <w:rFonts w:eastAsia="Times New Roman"/>
          <w:sz w:val="24"/>
          <w:szCs w:val="24"/>
        </w:rPr>
        <w:t>hPa</w:t>
      </w:r>
      <w:proofErr w:type="spellEnd"/>
      <w:r w:rsidRPr="008E3BA8">
        <w:rPr>
          <w:rFonts w:eastAsia="Times New Roman"/>
          <w:sz w:val="24"/>
          <w:szCs w:val="24"/>
        </w:rPr>
        <w:t xml:space="preserve"> </w:t>
      </w:r>
      <w:r w:rsidRPr="008E3BA8">
        <w:rPr>
          <w:rFonts w:eastAsia="Times New Roman" w:hint="eastAsia"/>
          <w:sz w:val="24"/>
          <w:szCs w:val="24"/>
        </w:rPr>
        <w:t>≤</w:t>
      </w:r>
      <w:r w:rsidRPr="008E3BA8">
        <w:rPr>
          <w:rFonts w:eastAsia="Times New Roman"/>
          <w:sz w:val="24"/>
          <w:szCs w:val="24"/>
        </w:rPr>
        <w:t xml:space="preserve"> CTP &lt; 680 </w:t>
      </w:r>
      <w:proofErr w:type="spellStart"/>
      <w:r w:rsidRPr="008E3BA8">
        <w:rPr>
          <w:rFonts w:eastAsia="Times New Roman"/>
          <w:sz w:val="24"/>
          <w:szCs w:val="24"/>
        </w:rPr>
        <w:t>hPa</w:t>
      </w:r>
      <w:proofErr w:type="spellEnd"/>
      <w:r w:rsidRPr="008E3BA8">
        <w:rPr>
          <w:rFonts w:eastAsia="Times New Roman"/>
          <w:sz w:val="24"/>
          <w:szCs w:val="24"/>
        </w:rPr>
        <w:t xml:space="preserve">, High: CTP &lt; 440 </w:t>
      </w:r>
      <w:proofErr w:type="spellStart"/>
      <w:r w:rsidRPr="008E3BA8">
        <w:rPr>
          <w:rFonts w:eastAsia="Times New Roman"/>
          <w:sz w:val="24"/>
          <w:szCs w:val="24"/>
        </w:rPr>
        <w:t>hPa</w:t>
      </w:r>
      <w:proofErr w:type="spellEnd"/>
      <w:r w:rsidRPr="008E3BA8">
        <w:rPr>
          <w:rFonts w:eastAsia="Times New Roman"/>
          <w:sz w:val="24"/>
          <w:szCs w:val="24"/>
        </w:rPr>
        <w:t xml:space="preserve">), ensuring consistency for comparative analysis. In this study, CLARA-A3 serves as a valuable bridge, offering a multi-decadal context that complements the high-fidelity but shorter </w:t>
      </w:r>
      <w:proofErr w:type="spellStart"/>
      <w:r w:rsidRPr="008E3BA8">
        <w:rPr>
          <w:rFonts w:eastAsia="Times New Roman"/>
          <w:sz w:val="24"/>
          <w:szCs w:val="24"/>
        </w:rPr>
        <w:t>CloudSat</w:t>
      </w:r>
      <w:proofErr w:type="spellEnd"/>
      <w:r w:rsidRPr="008E3BA8">
        <w:rPr>
          <w:rFonts w:eastAsia="Times New Roman"/>
          <w:sz w:val="24"/>
          <w:szCs w:val="24"/>
        </w:rPr>
        <w:t>-CALIPSO record and providing a corrected perspective on the ISCCP heritage.</w:t>
      </w:r>
      <w:r w:rsidR="00AC2F1B" w:rsidRPr="008E3BA8">
        <w:rPr>
          <w:rFonts w:eastAsia="Times New Roman"/>
          <w:sz w:val="24"/>
          <w:szCs w:val="24"/>
        </w:rPr>
        <w:t xml:space="preserve"> (Karlsson et al., 2023).</w:t>
      </w:r>
    </w:p>
    <w:p w14:paraId="64B01FE6" w14:textId="77777777" w:rsidR="004265A8" w:rsidRPr="00916A4E" w:rsidRDefault="004265A8" w:rsidP="000A0082">
      <w:pPr>
        <w:pStyle w:val="Text"/>
        <w:ind w:firstLine="0"/>
        <w:jc w:val="both"/>
        <w:rPr>
          <w:lang w:eastAsia="zh-CN"/>
        </w:rPr>
      </w:pPr>
    </w:p>
    <w:p w14:paraId="65E1BC78" w14:textId="7CD68CCD" w:rsidR="00AE53A7" w:rsidRPr="00BA1622" w:rsidRDefault="003340C9" w:rsidP="00BA1622">
      <w:pPr>
        <w:pStyle w:val="Heading-Main"/>
        <w:rPr>
          <w:kern w:val="0"/>
        </w:rPr>
      </w:pPr>
      <w:r w:rsidRPr="00BA1622">
        <w:rPr>
          <w:kern w:val="0"/>
        </w:rPr>
        <w:t>2.</w:t>
      </w:r>
      <w:r w:rsidRPr="00BA1622">
        <w:rPr>
          <w:rFonts w:hint="eastAsia"/>
          <w:kern w:val="0"/>
        </w:rPr>
        <w:t>2</w:t>
      </w:r>
      <w:r w:rsidRPr="00BA1622">
        <w:rPr>
          <w:kern w:val="0"/>
        </w:rPr>
        <w:t xml:space="preserve"> A Novel </w:t>
      </w:r>
      <w:proofErr w:type="gramStart"/>
      <w:r w:rsidRPr="00BA1622">
        <w:rPr>
          <w:kern w:val="0"/>
        </w:rPr>
        <w:t>Physically-Based</w:t>
      </w:r>
      <w:proofErr w:type="gramEnd"/>
      <w:r w:rsidRPr="00BA1622">
        <w:rPr>
          <w:kern w:val="0"/>
        </w:rPr>
        <w:t xml:space="preserve"> Low Cloud Classification Scheme </w:t>
      </w:r>
    </w:p>
    <w:p w14:paraId="3A5C870B" w14:textId="77777777" w:rsidR="00753887" w:rsidRDefault="00753887" w:rsidP="00B866F1">
      <w:pPr>
        <w:shd w:val="clear" w:color="auto" w:fill="FFFFFF"/>
        <w:spacing w:line="480" w:lineRule="auto"/>
        <w:ind w:firstLine="720"/>
        <w:jc w:val="both"/>
        <w:rPr>
          <w:rFonts w:eastAsia="Times New Roman"/>
          <w:sz w:val="24"/>
          <w:szCs w:val="24"/>
          <w:lang w:eastAsia="zh-CN"/>
        </w:rPr>
      </w:pPr>
    </w:p>
    <w:p w14:paraId="2737846A" w14:textId="6DAF4B8D" w:rsidR="00753887" w:rsidRPr="00753887" w:rsidRDefault="00753887" w:rsidP="00753887">
      <w:pPr>
        <w:shd w:val="clear" w:color="auto" w:fill="FFFFFF"/>
        <w:spacing w:line="480" w:lineRule="auto"/>
        <w:ind w:firstLine="720"/>
        <w:jc w:val="both"/>
        <w:rPr>
          <w:rFonts w:eastAsia="Times New Roman"/>
          <w:sz w:val="24"/>
          <w:szCs w:val="24"/>
        </w:rPr>
      </w:pPr>
      <w:r w:rsidRPr="00753887">
        <w:rPr>
          <w:rFonts w:eastAsia="Times New Roman"/>
          <w:sz w:val="24"/>
          <w:szCs w:val="24"/>
        </w:rPr>
        <w:t>To reconcile the conflicting findings regarding the seasonal cycle of extratropical low clouds (ELCF), we posit that the monolithic treatment of "low clouds" in prior studies obscures the distinct behaviors of cloud regimes governed by different physical mechanisms. While Jiang et al. (2023) employed an EOF analysis that is statistically robust but not directly grounded in cloud formation physics, our approach seeks a more direct physical interpretation.</w:t>
      </w:r>
    </w:p>
    <w:p w14:paraId="17DFAE2D" w14:textId="77777777" w:rsidR="00753887" w:rsidRPr="00753887" w:rsidRDefault="00753887" w:rsidP="00753887">
      <w:pPr>
        <w:shd w:val="clear" w:color="auto" w:fill="FFFFFF"/>
        <w:spacing w:line="480" w:lineRule="auto"/>
        <w:ind w:firstLine="720"/>
        <w:jc w:val="both"/>
        <w:rPr>
          <w:rFonts w:eastAsia="Times New Roman"/>
          <w:sz w:val="24"/>
          <w:szCs w:val="24"/>
        </w:rPr>
      </w:pPr>
    </w:p>
    <w:p w14:paraId="7B29BBC0" w14:textId="19381677" w:rsidR="00753887" w:rsidRPr="00753887" w:rsidRDefault="00753887" w:rsidP="00753887">
      <w:pPr>
        <w:shd w:val="clear" w:color="auto" w:fill="FFFFFF"/>
        <w:spacing w:line="480" w:lineRule="auto"/>
        <w:ind w:firstLine="720"/>
        <w:jc w:val="both"/>
        <w:rPr>
          <w:rFonts w:eastAsia="Times New Roman"/>
          <w:sz w:val="24"/>
          <w:szCs w:val="24"/>
        </w:rPr>
      </w:pPr>
      <w:r w:rsidRPr="00753887">
        <w:rPr>
          <w:rFonts w:eastAsia="Times New Roman"/>
          <w:sz w:val="24"/>
          <w:szCs w:val="24"/>
        </w:rPr>
        <w:t xml:space="preserve">We therefore develop a novel, </w:t>
      </w:r>
      <w:proofErr w:type="gramStart"/>
      <w:r w:rsidRPr="00753887">
        <w:rPr>
          <w:rFonts w:eastAsia="Times New Roman"/>
          <w:sz w:val="24"/>
          <w:szCs w:val="24"/>
        </w:rPr>
        <w:t>physically-based</w:t>
      </w:r>
      <w:proofErr w:type="gramEnd"/>
      <w:r w:rsidRPr="00753887">
        <w:rPr>
          <w:rFonts w:eastAsia="Times New Roman"/>
          <w:sz w:val="24"/>
          <w:szCs w:val="24"/>
        </w:rPr>
        <w:t xml:space="preserve"> classification scheme using cloud-top pressure (CTP), a key parameter controlling cloud radiative effects and formation processes. This framework categorizes extratropical low clouds into three fundamental types (Figure </w:t>
      </w:r>
      <w:r w:rsidR="00CF63C6">
        <w:rPr>
          <w:rFonts w:eastAsia="Times New Roman" w:hint="eastAsia"/>
          <w:sz w:val="24"/>
          <w:szCs w:val="24"/>
          <w:lang w:eastAsia="zh-CN"/>
        </w:rPr>
        <w:t>2</w:t>
      </w:r>
      <w:r w:rsidRPr="00753887">
        <w:rPr>
          <w:rFonts w:eastAsia="Times New Roman"/>
          <w:sz w:val="24"/>
          <w:szCs w:val="24"/>
        </w:rPr>
        <w:t xml:space="preserve">). Multi-layer Clouds (MLC), defined by a cloud top above 700 </w:t>
      </w:r>
      <w:proofErr w:type="spellStart"/>
      <w:r w:rsidRPr="00753887">
        <w:rPr>
          <w:rFonts w:eastAsia="Times New Roman"/>
          <w:sz w:val="24"/>
          <w:szCs w:val="24"/>
        </w:rPr>
        <w:t>hPa</w:t>
      </w:r>
      <w:proofErr w:type="spellEnd"/>
      <w:r w:rsidRPr="00753887">
        <w:rPr>
          <w:rFonts w:eastAsia="Times New Roman"/>
          <w:sz w:val="24"/>
          <w:szCs w:val="24"/>
        </w:rPr>
        <w:t xml:space="preserve">, typically include deep frontal systems and are primarily driven by synoptic-scale uplift, playing a crucial role in planetary albedo and longwave trapping. Upper Boundary-layer Clouds (UBC), characterized by cloud tops between 700 and 850 </w:t>
      </w:r>
      <w:proofErr w:type="spellStart"/>
      <w:r w:rsidRPr="00753887">
        <w:rPr>
          <w:rFonts w:eastAsia="Times New Roman"/>
          <w:sz w:val="24"/>
          <w:szCs w:val="24"/>
        </w:rPr>
        <w:t>hPa</w:t>
      </w:r>
      <w:proofErr w:type="spellEnd"/>
      <w:r w:rsidRPr="00753887">
        <w:rPr>
          <w:rFonts w:eastAsia="Times New Roman"/>
          <w:sz w:val="24"/>
          <w:szCs w:val="24"/>
        </w:rPr>
        <w:t xml:space="preserve">, generally consist of decoupled cumulus or altocumulus forming near the boundary layer top, with properties sensitive to lower free atmosphere humidity and stability. Lower Boundary-layer Clouds (LBC), defined by cloud tops at or below 850 </w:t>
      </w:r>
      <w:proofErr w:type="spellStart"/>
      <w:r w:rsidRPr="00753887">
        <w:rPr>
          <w:rFonts w:eastAsia="Times New Roman"/>
          <w:sz w:val="24"/>
          <w:szCs w:val="24"/>
        </w:rPr>
        <w:t>hPa</w:t>
      </w:r>
      <w:proofErr w:type="spellEnd"/>
      <w:r w:rsidRPr="00753887">
        <w:rPr>
          <w:rFonts w:eastAsia="Times New Roman"/>
          <w:sz w:val="24"/>
          <w:szCs w:val="24"/>
        </w:rPr>
        <w:t>, comprise well-mixed marine stratocumulus and shallow cumulus tightly coupled to surface fluxes and capped by strong inversions, known for their profound net cooling effect.</w:t>
      </w:r>
    </w:p>
    <w:p w14:paraId="0B14B8ED" w14:textId="77777777" w:rsidR="00753887" w:rsidRPr="00753887" w:rsidRDefault="00753887" w:rsidP="00753887">
      <w:pPr>
        <w:shd w:val="clear" w:color="auto" w:fill="FFFFFF"/>
        <w:spacing w:line="480" w:lineRule="auto"/>
        <w:ind w:firstLine="720"/>
        <w:jc w:val="both"/>
        <w:rPr>
          <w:rFonts w:eastAsia="Times New Roman"/>
          <w:sz w:val="24"/>
          <w:szCs w:val="24"/>
        </w:rPr>
      </w:pPr>
    </w:p>
    <w:p w14:paraId="35071F76" w14:textId="77777777" w:rsidR="00753887" w:rsidRPr="00753887" w:rsidRDefault="00753887" w:rsidP="00753887">
      <w:pPr>
        <w:shd w:val="clear" w:color="auto" w:fill="FFFFFF"/>
        <w:spacing w:line="480" w:lineRule="auto"/>
        <w:ind w:firstLine="720"/>
        <w:jc w:val="both"/>
        <w:rPr>
          <w:rFonts w:eastAsia="Times New Roman"/>
          <w:sz w:val="24"/>
          <w:szCs w:val="24"/>
        </w:rPr>
      </w:pPr>
      <w:r w:rsidRPr="00753887">
        <w:rPr>
          <w:rFonts w:eastAsia="Times New Roman"/>
          <w:sz w:val="24"/>
          <w:szCs w:val="24"/>
        </w:rPr>
        <w:t xml:space="preserve">The selection of 850 </w:t>
      </w:r>
      <w:proofErr w:type="spellStart"/>
      <w:r w:rsidRPr="00753887">
        <w:rPr>
          <w:rFonts w:eastAsia="Times New Roman"/>
          <w:sz w:val="24"/>
          <w:szCs w:val="24"/>
        </w:rPr>
        <w:t>hPa</w:t>
      </w:r>
      <w:proofErr w:type="spellEnd"/>
      <w:r w:rsidRPr="00753887">
        <w:rPr>
          <w:rFonts w:eastAsia="Times New Roman"/>
          <w:sz w:val="24"/>
          <w:szCs w:val="24"/>
        </w:rPr>
        <w:t xml:space="preserve"> and 700 </w:t>
      </w:r>
      <w:proofErr w:type="spellStart"/>
      <w:r w:rsidRPr="00753887">
        <w:rPr>
          <w:rFonts w:eastAsia="Times New Roman"/>
          <w:sz w:val="24"/>
          <w:szCs w:val="24"/>
        </w:rPr>
        <w:t>hPa</w:t>
      </w:r>
      <w:proofErr w:type="spellEnd"/>
      <w:r w:rsidRPr="00753887">
        <w:rPr>
          <w:rFonts w:eastAsia="Times New Roman"/>
          <w:sz w:val="24"/>
          <w:szCs w:val="24"/>
        </w:rPr>
        <w:t xml:space="preserve"> thresholds is physically grounded. The 850 </w:t>
      </w:r>
      <w:proofErr w:type="spellStart"/>
      <w:r w:rsidRPr="00753887">
        <w:rPr>
          <w:rFonts w:eastAsia="Times New Roman"/>
          <w:sz w:val="24"/>
          <w:szCs w:val="24"/>
        </w:rPr>
        <w:t>hPa</w:t>
      </w:r>
      <w:proofErr w:type="spellEnd"/>
      <w:r w:rsidRPr="00753887">
        <w:rPr>
          <w:rFonts w:eastAsia="Times New Roman"/>
          <w:sz w:val="24"/>
          <w:szCs w:val="24"/>
        </w:rPr>
        <w:t xml:space="preserve"> level approximates the climatological boundary layer top in extratropical oceans, separating the turbulent surface-forced layer from the stably stratified free atmosphere. Meanwhile, the 700 </w:t>
      </w:r>
      <w:proofErr w:type="spellStart"/>
      <w:r w:rsidRPr="00753887">
        <w:rPr>
          <w:rFonts w:eastAsia="Times New Roman"/>
          <w:sz w:val="24"/>
          <w:szCs w:val="24"/>
        </w:rPr>
        <w:t>hPa</w:t>
      </w:r>
      <w:proofErr w:type="spellEnd"/>
      <w:r w:rsidRPr="00753887">
        <w:rPr>
          <w:rFonts w:eastAsia="Times New Roman"/>
          <w:sz w:val="24"/>
          <w:szCs w:val="24"/>
        </w:rPr>
        <w:t xml:space="preserve"> level serves as a critical indicator for lower free-atmosphere stability and correlates with the lifting condensation level for synoptic-scale systems, effectively distinguishing boundary-layer-dominated clouds from those governed by large-scale meteorological forcing.</w:t>
      </w:r>
    </w:p>
    <w:p w14:paraId="6D4EB0A8" w14:textId="77777777" w:rsidR="00753887" w:rsidRPr="00753887" w:rsidRDefault="00753887" w:rsidP="00753887">
      <w:pPr>
        <w:shd w:val="clear" w:color="auto" w:fill="FFFFFF"/>
        <w:spacing w:line="480" w:lineRule="auto"/>
        <w:ind w:firstLine="720"/>
        <w:jc w:val="both"/>
        <w:rPr>
          <w:rFonts w:eastAsia="Times New Roman"/>
          <w:sz w:val="24"/>
          <w:szCs w:val="24"/>
        </w:rPr>
      </w:pPr>
    </w:p>
    <w:p w14:paraId="5E0D891E" w14:textId="0E57164E" w:rsidR="001C72A6" w:rsidRPr="00B866F1" w:rsidRDefault="00753887" w:rsidP="00381A7D">
      <w:pPr>
        <w:shd w:val="clear" w:color="auto" w:fill="FFFFFF"/>
        <w:spacing w:line="480" w:lineRule="auto"/>
        <w:ind w:firstLine="720"/>
        <w:rPr>
          <w:rFonts w:eastAsia="Times New Roman"/>
          <w:sz w:val="24"/>
          <w:szCs w:val="24"/>
        </w:rPr>
      </w:pPr>
      <w:r w:rsidRPr="00753887">
        <w:rPr>
          <w:rFonts w:eastAsia="Times New Roman"/>
          <w:sz w:val="24"/>
          <w:szCs w:val="24"/>
        </w:rPr>
        <w:t xml:space="preserve">This three-tiered classification enables us to disentangle the seasonal cycles and climate </w:t>
      </w:r>
      <w:proofErr w:type="gramStart"/>
      <w:r w:rsidRPr="00753887">
        <w:rPr>
          <w:rFonts w:eastAsia="Times New Roman"/>
          <w:sz w:val="24"/>
          <w:szCs w:val="24"/>
        </w:rPr>
        <w:t>feedbacks</w:t>
      </w:r>
      <w:proofErr w:type="gramEnd"/>
      <w:r w:rsidRPr="00753887">
        <w:rPr>
          <w:rFonts w:eastAsia="Times New Roman"/>
          <w:sz w:val="24"/>
          <w:szCs w:val="24"/>
        </w:rPr>
        <w:t xml:space="preserve"> of clouds formed through fundamentally different mechanisms—the key to resolving the current literature discrepancy.</w:t>
      </w:r>
      <w:r w:rsidR="001E54C3">
        <w:rPr>
          <w:rFonts w:eastAsia="Times New Roman"/>
          <w:noProof/>
          <w:sz w:val="24"/>
          <w:szCs w:val="24"/>
        </w:rPr>
        <w:drawing>
          <wp:inline distT="0" distB="0" distL="0" distR="0" wp14:anchorId="49B24868" wp14:editId="3DFF6BB4">
            <wp:extent cx="5943600" cy="3959860"/>
            <wp:effectExtent l="0" t="0" r="0" b="2540"/>
            <wp:docPr id="760729718" name="图片 1" descr="海上的风景&#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29718" name="图片 1" descr="海上的风景&#10;&#10;AI 生成的内容可能不正确。"/>
                    <pic:cNvPicPr/>
                  </pic:nvPicPr>
                  <pic:blipFill>
                    <a:blip r:embed="rId17"/>
                    <a:stretch>
                      <a:fillRect/>
                    </a:stretch>
                  </pic:blipFill>
                  <pic:spPr>
                    <a:xfrm>
                      <a:off x="0" y="0"/>
                      <a:ext cx="5943600" cy="3959860"/>
                    </a:xfrm>
                    <a:prstGeom prst="rect">
                      <a:avLst/>
                    </a:prstGeom>
                  </pic:spPr>
                </pic:pic>
              </a:graphicData>
            </a:graphic>
          </wp:inline>
        </w:drawing>
      </w:r>
    </w:p>
    <w:p w14:paraId="48521DD0" w14:textId="68814E4E" w:rsidR="001C72A6" w:rsidRPr="00B866F1" w:rsidRDefault="001C72A6" w:rsidP="001C72A6">
      <w:pPr>
        <w:pStyle w:val="Caption"/>
        <w:rPr>
          <w:rFonts w:ascii="Times New Roman" w:eastAsia="Times New Roman" w:hAnsi="Times New Roman" w:cs="Times New Roman"/>
          <w:color w:val="auto"/>
          <w:kern w:val="0"/>
          <w:sz w:val="24"/>
          <w:szCs w:val="24"/>
          <w:lang w:eastAsia="en-US"/>
          <w14:ligatures w14:val="none"/>
        </w:rPr>
      </w:pPr>
      <w:bookmarkStart w:id="1" w:name="_Toc213082863"/>
      <w:r w:rsidRPr="00B866F1">
        <w:rPr>
          <w:rFonts w:ascii="Times New Roman" w:eastAsia="Times New Roman" w:hAnsi="Times New Roman" w:cs="Times New Roman"/>
          <w:color w:val="auto"/>
          <w:kern w:val="0"/>
          <w:sz w:val="24"/>
          <w:szCs w:val="24"/>
          <w:lang w:eastAsia="en-US"/>
          <w14:ligatures w14:val="none"/>
        </w:rPr>
        <w:t xml:space="preserve">Figure </w:t>
      </w:r>
      <w:r w:rsidR="00CF63C6">
        <w:rPr>
          <w:rFonts w:ascii="Times New Roman" w:eastAsia="Times New Roman" w:hAnsi="Times New Roman" w:cs="Times New Roman" w:hint="eastAsia"/>
          <w:color w:val="auto"/>
          <w:kern w:val="0"/>
          <w:sz w:val="24"/>
          <w:szCs w:val="24"/>
          <w14:ligatures w14:val="none"/>
        </w:rPr>
        <w:t>2</w:t>
      </w:r>
      <w:r w:rsidRPr="00B866F1">
        <w:rPr>
          <w:rFonts w:ascii="Times New Roman" w:eastAsia="Times New Roman" w:hAnsi="Times New Roman" w:cs="Times New Roman"/>
          <w:color w:val="auto"/>
          <w:kern w:val="0"/>
          <w:sz w:val="24"/>
          <w:szCs w:val="24"/>
          <w:lang w:eastAsia="en-US"/>
          <w14:ligatures w14:val="none"/>
        </w:rPr>
        <w:t>. Schematic of the three cloud types</w:t>
      </w:r>
      <w:r w:rsidRPr="00B866F1">
        <w:rPr>
          <w:rFonts w:ascii="Times New Roman" w:eastAsia="Times New Roman" w:hAnsi="Times New Roman" w:cs="Times New Roman" w:hint="eastAsia"/>
          <w:color w:val="auto"/>
          <w:kern w:val="0"/>
          <w:sz w:val="24"/>
          <w:szCs w:val="24"/>
          <w:lang w:eastAsia="en-US"/>
          <w14:ligatures w14:val="none"/>
        </w:rPr>
        <w:t xml:space="preserve"> </w:t>
      </w:r>
      <w:r w:rsidRPr="00B866F1">
        <w:rPr>
          <w:rFonts w:ascii="Times New Roman" w:eastAsia="Times New Roman" w:hAnsi="Times New Roman" w:cs="Times New Roman"/>
          <w:color w:val="auto"/>
          <w:kern w:val="0"/>
          <w:sz w:val="24"/>
          <w:szCs w:val="24"/>
          <w:lang w:eastAsia="en-US"/>
          <w14:ligatures w14:val="none"/>
        </w:rPr>
        <w:t>(Multi-layer Cloud; Upper Boundary Layer Cloud; Lower Boundary Layer Cloud)</w:t>
      </w:r>
      <w:bookmarkEnd w:id="1"/>
    </w:p>
    <w:p w14:paraId="151EE963" w14:textId="73F2F8C6" w:rsidR="001E59B1" w:rsidRPr="00FB71A0" w:rsidRDefault="001E59B1" w:rsidP="002933B3">
      <w:pPr>
        <w:pStyle w:val="Text"/>
        <w:ind w:firstLine="0"/>
        <w:jc w:val="both"/>
        <w:rPr>
          <w:lang w:eastAsia="zh-CN"/>
        </w:rPr>
      </w:pPr>
    </w:p>
    <w:p w14:paraId="3D859954" w14:textId="3D6749D4" w:rsidR="006B53EB" w:rsidRPr="00BA1622" w:rsidRDefault="001E59B1" w:rsidP="005D78CE">
      <w:pPr>
        <w:pStyle w:val="Heading-Main"/>
        <w:rPr>
          <w:kern w:val="0"/>
        </w:rPr>
      </w:pPr>
      <w:r w:rsidRPr="00BA1622">
        <w:rPr>
          <w:kern w:val="0"/>
        </w:rPr>
        <w:t>3. Results</w:t>
      </w:r>
    </w:p>
    <w:p w14:paraId="3CED00A1" w14:textId="1034C80B" w:rsidR="00854FD5" w:rsidRPr="00BA1622" w:rsidRDefault="00854FD5" w:rsidP="00BA1622">
      <w:pPr>
        <w:pStyle w:val="Heading-Main"/>
        <w:rPr>
          <w:kern w:val="0"/>
        </w:rPr>
      </w:pPr>
      <w:r w:rsidRPr="00BA1622">
        <w:rPr>
          <w:kern w:val="0"/>
        </w:rPr>
        <w:t>3.1. Model Biases in the Mean-State Distribution of Cloud Types</w:t>
      </w:r>
    </w:p>
    <w:p w14:paraId="718E2EDF" w14:textId="77777777" w:rsidR="002737B9" w:rsidRDefault="002737B9" w:rsidP="00854FD5">
      <w:pPr>
        <w:rPr>
          <w:rFonts w:eastAsia="Times New Roman"/>
          <w:sz w:val="24"/>
          <w:szCs w:val="24"/>
          <w:lang w:eastAsia="zh-CN"/>
        </w:rPr>
      </w:pPr>
    </w:p>
    <w:p w14:paraId="282E2BFE" w14:textId="77777777" w:rsidR="002737B9" w:rsidRPr="002737B9" w:rsidRDefault="002737B9" w:rsidP="00F529BC">
      <w:pPr>
        <w:shd w:val="clear" w:color="auto" w:fill="FFFFFF"/>
        <w:spacing w:line="480" w:lineRule="auto"/>
        <w:ind w:firstLine="720"/>
        <w:jc w:val="both"/>
        <w:rPr>
          <w:rFonts w:eastAsia="Times New Roman"/>
          <w:sz w:val="24"/>
          <w:szCs w:val="24"/>
        </w:rPr>
      </w:pPr>
      <w:r w:rsidRPr="002737B9">
        <w:rPr>
          <w:rFonts w:eastAsia="Times New Roman"/>
          <w:sz w:val="24"/>
          <w:szCs w:val="24"/>
        </w:rPr>
        <w:t xml:space="preserve">To establish a baseline for evaluating model performance and to contextualize the subsequent analysis of seasonal cycles, we first apply our novel cloud classification scheme to assess how GCMs represent the mean-state distribution of the three cloud types against the </w:t>
      </w:r>
      <w:proofErr w:type="spellStart"/>
      <w:r w:rsidRPr="002737B9">
        <w:rPr>
          <w:rFonts w:eastAsia="Times New Roman"/>
          <w:sz w:val="24"/>
          <w:szCs w:val="24"/>
        </w:rPr>
        <w:t>CloudSat</w:t>
      </w:r>
      <w:proofErr w:type="spellEnd"/>
      <w:r w:rsidRPr="002737B9">
        <w:rPr>
          <w:rFonts w:eastAsia="Times New Roman"/>
          <w:sz w:val="24"/>
          <w:szCs w:val="24"/>
        </w:rPr>
        <w:t>-CALIPSO benchmark.</w:t>
      </w:r>
    </w:p>
    <w:p w14:paraId="0E5A8691" w14:textId="77777777" w:rsidR="002737B9" w:rsidRPr="002737B9" w:rsidRDefault="002737B9" w:rsidP="00F529BC">
      <w:pPr>
        <w:shd w:val="clear" w:color="auto" w:fill="FFFFFF"/>
        <w:spacing w:line="480" w:lineRule="auto"/>
        <w:jc w:val="both"/>
        <w:rPr>
          <w:rFonts w:eastAsia="Times New Roman"/>
          <w:sz w:val="24"/>
          <w:szCs w:val="24"/>
        </w:rPr>
      </w:pPr>
    </w:p>
    <w:p w14:paraId="41E9339B" w14:textId="09716F32" w:rsidR="002737B9" w:rsidRPr="002737B9" w:rsidRDefault="002737B9" w:rsidP="00F529BC">
      <w:pPr>
        <w:shd w:val="clear" w:color="auto" w:fill="FFFFFF"/>
        <w:spacing w:line="480" w:lineRule="auto"/>
        <w:ind w:firstLine="720"/>
        <w:jc w:val="both"/>
        <w:rPr>
          <w:rFonts w:eastAsia="Times New Roman"/>
          <w:sz w:val="24"/>
          <w:szCs w:val="24"/>
        </w:rPr>
      </w:pPr>
      <w:r w:rsidRPr="002737B9">
        <w:rPr>
          <w:rFonts w:eastAsia="Times New Roman"/>
          <w:sz w:val="24"/>
          <w:szCs w:val="24"/>
        </w:rPr>
        <w:t xml:space="preserve">The observational baseline reveals a clear hierarchy in cloud amount (Table </w:t>
      </w:r>
      <w:r w:rsidR="00136FF9">
        <w:rPr>
          <w:rFonts w:eastAsia="Times New Roman" w:hint="eastAsia"/>
          <w:sz w:val="24"/>
          <w:szCs w:val="24"/>
          <w:lang w:eastAsia="zh-CN"/>
        </w:rPr>
        <w:t>2</w:t>
      </w:r>
      <w:r w:rsidRPr="002737B9">
        <w:rPr>
          <w:rFonts w:eastAsia="Times New Roman"/>
          <w:sz w:val="24"/>
          <w:szCs w:val="24"/>
        </w:rPr>
        <w:t>): Multi-layer Clouds (MLC) are the most prevalent (17.0%), followed by Upper Boundary-layer Clouds (UBC, 6.1%) and Lower Boundary-layer Clouds (LBC, 4.4%). Against this benchmark, model simulations exhibit striking and systematic biases. A pervasive underestimation of UBC emerges as a fundamental model deficiency. With the notable exception of CESM2, nearly all models severely underestimate the global-mean UBC fraction, with values clustered around 1.4-1.9% compared to the observed 6.1%. This indicates a widespread failure in representing cloud processes within the upper boundary layer and lower free atmosphere across most contemporary GCMs.</w:t>
      </w:r>
    </w:p>
    <w:p w14:paraId="2A6D8D5D" w14:textId="77777777" w:rsidR="002737B9" w:rsidRPr="002737B9" w:rsidRDefault="002737B9" w:rsidP="00F529BC">
      <w:pPr>
        <w:shd w:val="clear" w:color="auto" w:fill="FFFFFF"/>
        <w:spacing w:line="480" w:lineRule="auto"/>
        <w:jc w:val="both"/>
        <w:rPr>
          <w:rFonts w:eastAsia="Times New Roman"/>
          <w:sz w:val="24"/>
          <w:szCs w:val="24"/>
        </w:rPr>
      </w:pPr>
    </w:p>
    <w:p w14:paraId="47D4EA46" w14:textId="77777777" w:rsidR="002737B9" w:rsidRPr="002737B9" w:rsidRDefault="002737B9" w:rsidP="00F529BC">
      <w:pPr>
        <w:shd w:val="clear" w:color="auto" w:fill="FFFFFF"/>
        <w:spacing w:line="480" w:lineRule="auto"/>
        <w:ind w:firstLine="720"/>
        <w:jc w:val="both"/>
        <w:rPr>
          <w:rFonts w:eastAsia="Times New Roman"/>
          <w:sz w:val="24"/>
          <w:szCs w:val="24"/>
        </w:rPr>
      </w:pPr>
      <w:r w:rsidRPr="002737B9">
        <w:rPr>
          <w:rFonts w:eastAsia="Times New Roman"/>
          <w:sz w:val="24"/>
          <w:szCs w:val="24"/>
        </w:rPr>
        <w:t xml:space="preserve">A second critical bias is linked to a model's Equilibrium Climate Sensitivity, manifesting in the simulation of MLC. High-ECS models (e.g., CESM2, </w:t>
      </w:r>
      <w:proofErr w:type="spellStart"/>
      <w:r w:rsidRPr="002737B9">
        <w:rPr>
          <w:rFonts w:eastAsia="Times New Roman"/>
          <w:sz w:val="24"/>
          <w:szCs w:val="24"/>
        </w:rPr>
        <w:t>TaiESM</w:t>
      </w:r>
      <w:proofErr w:type="spellEnd"/>
      <w:r w:rsidRPr="002737B9">
        <w:rPr>
          <w:rFonts w:eastAsia="Times New Roman"/>
          <w:sz w:val="24"/>
          <w:szCs w:val="24"/>
        </w:rPr>
        <w:t>; ECS &gt; 5.1 K) tend to overestimate MLC, while low-ECS models (e.g., MPI-ESM1; ECS ~ 3.0 K) systematically underestimate it. In contrast, the simulation of LBC—clouds tightly coupled to the surface and boundary-layer inversion—shows relatively small and consistent biases across all models, indicating that this regime is more robustly captured by current model physics.</w:t>
      </w:r>
    </w:p>
    <w:p w14:paraId="4E2C4FD4" w14:textId="77777777" w:rsidR="002737B9" w:rsidRDefault="002737B9" w:rsidP="002737B9">
      <w:pPr>
        <w:jc w:val="both"/>
        <w:rPr>
          <w:rFonts w:eastAsia="Times New Roman"/>
          <w:sz w:val="24"/>
          <w:szCs w:val="24"/>
          <w:lang w:eastAsia="zh-CN"/>
        </w:rPr>
      </w:pPr>
    </w:p>
    <w:p w14:paraId="6B77C21E" w14:textId="6272FE4F" w:rsidR="002737B9" w:rsidRPr="00507E64" w:rsidRDefault="002737B9" w:rsidP="002737B9">
      <w:pPr>
        <w:pStyle w:val="Caption"/>
        <w:keepNext/>
        <w:jc w:val="center"/>
        <w:rPr>
          <w:rFonts w:ascii="Times New Roman" w:hAnsi="Times New Roman" w:cs="Times New Roman"/>
          <w:sz w:val="21"/>
          <w:szCs w:val="21"/>
        </w:rPr>
      </w:pPr>
      <w:bookmarkStart w:id="2" w:name="_Toc213082845"/>
      <w:r w:rsidRPr="00507E64">
        <w:rPr>
          <w:rFonts w:ascii="Times New Roman" w:hAnsi="Times New Roman" w:cs="Times New Roman"/>
          <w:sz w:val="21"/>
          <w:szCs w:val="21"/>
        </w:rPr>
        <w:t>Table</w:t>
      </w:r>
      <w:r w:rsidR="00136FF9">
        <w:rPr>
          <w:rFonts w:ascii="Times New Roman" w:hAnsi="Times New Roman" w:cs="Times New Roman" w:hint="eastAsia"/>
          <w:sz w:val="21"/>
          <w:szCs w:val="21"/>
        </w:rPr>
        <w:t xml:space="preserve"> 2</w:t>
      </w:r>
      <w:r w:rsidRPr="00507E64">
        <w:rPr>
          <w:rFonts w:ascii="Times New Roman" w:hAnsi="Times New Roman" w:cs="Times New Roman"/>
          <w:sz w:val="21"/>
          <w:szCs w:val="21"/>
        </w:rPr>
        <w:t>. Percentage of three clouds on both observation and models</w:t>
      </w:r>
      <w:bookmarkEnd w:id="2"/>
    </w:p>
    <w:p w14:paraId="6C5EE278" w14:textId="77777777" w:rsidR="002737B9" w:rsidRPr="0022166B" w:rsidRDefault="002737B9" w:rsidP="002737B9">
      <w:pPr>
        <w:jc w:val="center"/>
        <w:rPr>
          <w:rFonts w:eastAsia="SimHei"/>
          <w:sz w:val="21"/>
          <w:szCs w:val="21"/>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861"/>
        <w:gridCol w:w="1069"/>
        <w:gridCol w:w="1207"/>
        <w:gridCol w:w="1207"/>
        <w:gridCol w:w="1207"/>
        <w:gridCol w:w="1207"/>
        <w:gridCol w:w="1207"/>
        <w:gridCol w:w="1207"/>
      </w:tblGrid>
      <w:tr w:rsidR="002737B9" w:rsidRPr="00E1035C" w14:paraId="7CE17023" w14:textId="77777777" w:rsidTr="00416539">
        <w:trPr>
          <w:trHeight w:val="378"/>
        </w:trPr>
        <w:tc>
          <w:tcPr>
            <w:tcW w:w="861" w:type="dxa"/>
            <w:vAlign w:val="center"/>
          </w:tcPr>
          <w:p w14:paraId="0F231340" w14:textId="77777777" w:rsidR="002737B9" w:rsidRPr="00E1035C" w:rsidRDefault="002737B9" w:rsidP="00416539">
            <w:pPr>
              <w:rPr>
                <w:kern w:val="24"/>
                <w:sz w:val="15"/>
                <w:szCs w:val="15"/>
              </w:rPr>
            </w:pPr>
          </w:p>
        </w:tc>
        <w:tc>
          <w:tcPr>
            <w:tcW w:w="1069" w:type="dxa"/>
            <w:vAlign w:val="center"/>
          </w:tcPr>
          <w:p w14:paraId="4FA64941" w14:textId="77777777" w:rsidR="002737B9" w:rsidRPr="00E1035C" w:rsidRDefault="002737B9" w:rsidP="00416539">
            <w:pPr>
              <w:jc w:val="center"/>
              <w:rPr>
                <w:b/>
                <w:kern w:val="24"/>
                <w:sz w:val="15"/>
                <w:szCs w:val="15"/>
              </w:rPr>
            </w:pPr>
            <w:proofErr w:type="spellStart"/>
            <w:r w:rsidRPr="00E1035C">
              <w:rPr>
                <w:b/>
                <w:kern w:val="24"/>
                <w:sz w:val="15"/>
                <w:szCs w:val="15"/>
              </w:rPr>
              <w:t>CloudSat</w:t>
            </w:r>
            <w:proofErr w:type="spellEnd"/>
          </w:p>
        </w:tc>
        <w:tc>
          <w:tcPr>
            <w:tcW w:w="1207" w:type="dxa"/>
            <w:vAlign w:val="center"/>
          </w:tcPr>
          <w:p w14:paraId="395515A2" w14:textId="77777777" w:rsidR="002737B9" w:rsidRPr="00E1035C" w:rsidRDefault="002737B9" w:rsidP="00416539">
            <w:pPr>
              <w:pStyle w:val="NormalWeb"/>
              <w:jc w:val="center"/>
              <w:rPr>
                <w:rFonts w:eastAsiaTheme="minorEastAsia"/>
                <w:b/>
                <w:color w:val="000000" w:themeColor="text1"/>
                <w:kern w:val="24"/>
                <w:sz w:val="15"/>
                <w:szCs w:val="15"/>
              </w:rPr>
            </w:pPr>
            <w:r w:rsidRPr="00E1035C">
              <w:rPr>
                <w:rFonts w:eastAsiaTheme="minorEastAsia"/>
                <w:b/>
                <w:color w:val="000000" w:themeColor="text1"/>
                <w:kern w:val="24"/>
                <w:sz w:val="15"/>
                <w:szCs w:val="15"/>
              </w:rPr>
              <w:t>MPI-ESM</w:t>
            </w:r>
          </w:p>
          <w:p w14:paraId="102BCB96" w14:textId="77777777" w:rsidR="002737B9" w:rsidRPr="00E1035C" w:rsidRDefault="002737B9" w:rsidP="00931BC9">
            <w:pPr>
              <w:jc w:val="center"/>
              <w:rPr>
                <w:b/>
                <w:kern w:val="24"/>
                <w:sz w:val="15"/>
                <w:szCs w:val="15"/>
              </w:rPr>
            </w:pPr>
            <w:r w:rsidRPr="00D24899">
              <w:rPr>
                <w:b/>
                <w:bCs/>
                <w:color w:val="EE0000"/>
                <w:kern w:val="24"/>
                <w:sz w:val="15"/>
                <w:szCs w:val="15"/>
              </w:rPr>
              <w:t>ECS=2.98K</w:t>
            </w:r>
          </w:p>
        </w:tc>
        <w:tc>
          <w:tcPr>
            <w:tcW w:w="1207" w:type="dxa"/>
            <w:vAlign w:val="center"/>
          </w:tcPr>
          <w:p w14:paraId="7B2DE3E6" w14:textId="77777777" w:rsidR="002737B9" w:rsidRPr="00E1035C" w:rsidRDefault="002737B9" w:rsidP="00931BC9">
            <w:pPr>
              <w:pStyle w:val="NormalWeb"/>
              <w:jc w:val="center"/>
              <w:rPr>
                <w:rFonts w:eastAsiaTheme="minorEastAsia"/>
                <w:b/>
                <w:color w:val="000000" w:themeColor="text1"/>
                <w:kern w:val="24"/>
                <w:sz w:val="13"/>
                <w:szCs w:val="13"/>
              </w:rPr>
            </w:pPr>
            <w:r w:rsidRPr="00E1035C">
              <w:rPr>
                <w:rFonts w:eastAsiaTheme="minorEastAsia"/>
                <w:b/>
                <w:color w:val="000000" w:themeColor="text1"/>
                <w:kern w:val="24"/>
                <w:sz w:val="13"/>
                <w:szCs w:val="13"/>
              </w:rPr>
              <w:t>CNRM-ESM</w:t>
            </w:r>
          </w:p>
          <w:p w14:paraId="2A8CE76A" w14:textId="77777777" w:rsidR="002737B9" w:rsidRPr="00E1035C" w:rsidRDefault="002737B9" w:rsidP="00931BC9">
            <w:pPr>
              <w:jc w:val="center"/>
              <w:rPr>
                <w:b/>
                <w:kern w:val="24"/>
                <w:sz w:val="15"/>
                <w:szCs w:val="15"/>
              </w:rPr>
            </w:pPr>
            <w:r w:rsidRPr="00D24899">
              <w:rPr>
                <w:b/>
                <w:bCs/>
                <w:color w:val="EE0000"/>
                <w:kern w:val="24"/>
                <w:sz w:val="15"/>
                <w:szCs w:val="15"/>
              </w:rPr>
              <w:t>ECS=4.76K</w:t>
            </w:r>
          </w:p>
        </w:tc>
        <w:tc>
          <w:tcPr>
            <w:tcW w:w="1207" w:type="dxa"/>
            <w:vAlign w:val="center"/>
          </w:tcPr>
          <w:p w14:paraId="7A96A6E5" w14:textId="77777777" w:rsidR="002737B9" w:rsidRPr="00E1035C" w:rsidRDefault="002737B9" w:rsidP="00931BC9">
            <w:pPr>
              <w:pStyle w:val="NormalWeb"/>
              <w:jc w:val="center"/>
              <w:rPr>
                <w:rFonts w:eastAsiaTheme="minorEastAsia"/>
                <w:b/>
                <w:color w:val="000000" w:themeColor="text1"/>
                <w:kern w:val="24"/>
                <w:sz w:val="13"/>
                <w:szCs w:val="13"/>
              </w:rPr>
            </w:pPr>
            <w:r w:rsidRPr="00E1035C">
              <w:rPr>
                <w:rFonts w:eastAsiaTheme="minorEastAsia"/>
                <w:b/>
                <w:color w:val="000000" w:themeColor="text1"/>
                <w:kern w:val="24"/>
                <w:sz w:val="13"/>
                <w:szCs w:val="13"/>
              </w:rPr>
              <w:t>CNRM-CM</w:t>
            </w:r>
          </w:p>
          <w:p w14:paraId="008D93C9" w14:textId="77777777" w:rsidR="002737B9" w:rsidRPr="00E1035C" w:rsidRDefault="002737B9" w:rsidP="00931BC9">
            <w:pPr>
              <w:jc w:val="center"/>
              <w:rPr>
                <w:b/>
                <w:kern w:val="24"/>
                <w:sz w:val="15"/>
                <w:szCs w:val="15"/>
              </w:rPr>
            </w:pPr>
            <w:r w:rsidRPr="00D24899">
              <w:rPr>
                <w:b/>
                <w:bCs/>
                <w:color w:val="EE0000"/>
                <w:kern w:val="24"/>
                <w:sz w:val="15"/>
                <w:szCs w:val="15"/>
              </w:rPr>
              <w:t>ECS=4.83K</w:t>
            </w:r>
          </w:p>
        </w:tc>
        <w:tc>
          <w:tcPr>
            <w:tcW w:w="1207" w:type="dxa"/>
            <w:vAlign w:val="center"/>
          </w:tcPr>
          <w:p w14:paraId="526B2B68" w14:textId="77777777" w:rsidR="002737B9" w:rsidRPr="00E1035C" w:rsidRDefault="002737B9" w:rsidP="00931BC9">
            <w:pPr>
              <w:pStyle w:val="NormalWeb"/>
              <w:jc w:val="center"/>
              <w:rPr>
                <w:rFonts w:eastAsiaTheme="minorEastAsia"/>
                <w:b/>
                <w:color w:val="000000" w:themeColor="text1"/>
                <w:kern w:val="24"/>
                <w:sz w:val="15"/>
                <w:szCs w:val="15"/>
              </w:rPr>
            </w:pPr>
            <w:r w:rsidRPr="00E1035C">
              <w:rPr>
                <w:rFonts w:eastAsiaTheme="minorEastAsia"/>
                <w:b/>
                <w:color w:val="000000" w:themeColor="text1"/>
                <w:kern w:val="24"/>
                <w:sz w:val="15"/>
                <w:szCs w:val="15"/>
              </w:rPr>
              <w:t>CESM2</w:t>
            </w:r>
          </w:p>
          <w:p w14:paraId="746D271F" w14:textId="77777777" w:rsidR="002737B9" w:rsidRPr="00E1035C" w:rsidRDefault="002737B9" w:rsidP="00931BC9">
            <w:pPr>
              <w:jc w:val="center"/>
              <w:rPr>
                <w:b/>
                <w:kern w:val="24"/>
                <w:sz w:val="15"/>
                <w:szCs w:val="15"/>
              </w:rPr>
            </w:pPr>
            <w:r w:rsidRPr="00D24899">
              <w:rPr>
                <w:b/>
                <w:bCs/>
                <w:color w:val="EE0000"/>
                <w:kern w:val="24"/>
                <w:sz w:val="15"/>
                <w:szCs w:val="15"/>
              </w:rPr>
              <w:t>ECS=5.16K</w:t>
            </w:r>
          </w:p>
        </w:tc>
        <w:tc>
          <w:tcPr>
            <w:tcW w:w="1207" w:type="dxa"/>
            <w:vAlign w:val="center"/>
          </w:tcPr>
          <w:p w14:paraId="1A82BC9C" w14:textId="77777777" w:rsidR="002737B9" w:rsidRPr="00E1035C" w:rsidRDefault="002737B9" w:rsidP="00931BC9">
            <w:pPr>
              <w:pStyle w:val="NormalWeb"/>
              <w:jc w:val="center"/>
              <w:rPr>
                <w:rFonts w:eastAsiaTheme="minorEastAsia"/>
                <w:b/>
                <w:color w:val="000000" w:themeColor="text1"/>
                <w:kern w:val="24"/>
                <w:sz w:val="15"/>
                <w:szCs w:val="15"/>
              </w:rPr>
            </w:pPr>
            <w:proofErr w:type="spellStart"/>
            <w:r w:rsidRPr="00E1035C">
              <w:rPr>
                <w:rFonts w:eastAsiaTheme="minorEastAsia"/>
                <w:b/>
                <w:color w:val="000000" w:themeColor="text1"/>
                <w:kern w:val="24"/>
                <w:sz w:val="15"/>
                <w:szCs w:val="15"/>
              </w:rPr>
              <w:t>TaiESM</w:t>
            </w:r>
            <w:proofErr w:type="spellEnd"/>
          </w:p>
          <w:p w14:paraId="248A792D" w14:textId="77777777" w:rsidR="002737B9" w:rsidRPr="00E1035C" w:rsidRDefault="002737B9" w:rsidP="00931BC9">
            <w:pPr>
              <w:jc w:val="center"/>
              <w:rPr>
                <w:b/>
                <w:kern w:val="24"/>
                <w:sz w:val="15"/>
                <w:szCs w:val="15"/>
              </w:rPr>
            </w:pPr>
            <w:r w:rsidRPr="00D24899">
              <w:rPr>
                <w:b/>
                <w:bCs/>
                <w:color w:val="EE0000"/>
                <w:kern w:val="24"/>
                <w:sz w:val="15"/>
                <w:szCs w:val="15"/>
              </w:rPr>
              <w:t>ECS=5.34K</w:t>
            </w:r>
          </w:p>
        </w:tc>
        <w:tc>
          <w:tcPr>
            <w:tcW w:w="1207" w:type="dxa"/>
            <w:vAlign w:val="center"/>
          </w:tcPr>
          <w:p w14:paraId="6F577847" w14:textId="77777777" w:rsidR="002737B9" w:rsidRPr="00E1035C" w:rsidRDefault="002737B9" w:rsidP="00931BC9">
            <w:pPr>
              <w:pStyle w:val="NormalWeb"/>
              <w:jc w:val="center"/>
              <w:rPr>
                <w:rFonts w:eastAsiaTheme="minorEastAsia"/>
                <w:b/>
                <w:color w:val="000000" w:themeColor="text1"/>
                <w:kern w:val="24"/>
                <w:sz w:val="15"/>
                <w:szCs w:val="15"/>
              </w:rPr>
            </w:pPr>
            <w:r w:rsidRPr="00E1035C">
              <w:rPr>
                <w:rFonts w:eastAsiaTheme="minorEastAsia"/>
                <w:b/>
                <w:color w:val="000000" w:themeColor="text1"/>
                <w:kern w:val="24"/>
                <w:sz w:val="15"/>
                <w:szCs w:val="15"/>
              </w:rPr>
              <w:t>HadGEM3</w:t>
            </w:r>
          </w:p>
          <w:p w14:paraId="09AE4032" w14:textId="77777777" w:rsidR="002737B9" w:rsidRPr="00E1035C" w:rsidRDefault="002737B9" w:rsidP="00931BC9">
            <w:pPr>
              <w:jc w:val="center"/>
              <w:rPr>
                <w:b/>
                <w:kern w:val="24"/>
                <w:sz w:val="15"/>
                <w:szCs w:val="15"/>
              </w:rPr>
            </w:pPr>
            <w:r w:rsidRPr="00D24899">
              <w:rPr>
                <w:b/>
                <w:bCs/>
                <w:color w:val="EE0000"/>
                <w:kern w:val="24"/>
                <w:sz w:val="15"/>
                <w:szCs w:val="15"/>
              </w:rPr>
              <w:t>ECS=5.55K</w:t>
            </w:r>
          </w:p>
        </w:tc>
      </w:tr>
      <w:tr w:rsidR="002737B9" w14:paraId="52A0F866" w14:textId="77777777" w:rsidTr="00416539">
        <w:trPr>
          <w:trHeight w:val="226"/>
        </w:trPr>
        <w:tc>
          <w:tcPr>
            <w:tcW w:w="861" w:type="dxa"/>
            <w:vAlign w:val="center"/>
          </w:tcPr>
          <w:p w14:paraId="6F97F4D5" w14:textId="77777777" w:rsidR="002737B9" w:rsidRPr="00E1035C" w:rsidRDefault="002737B9" w:rsidP="00416539">
            <w:pPr>
              <w:jc w:val="center"/>
              <w:rPr>
                <w:kern w:val="24"/>
                <w:sz w:val="18"/>
                <w:szCs w:val="18"/>
              </w:rPr>
            </w:pPr>
            <w:r w:rsidRPr="00E1035C">
              <w:rPr>
                <w:kern w:val="24"/>
                <w:sz w:val="18"/>
                <w:szCs w:val="18"/>
              </w:rPr>
              <w:t>MLC</w:t>
            </w:r>
          </w:p>
        </w:tc>
        <w:tc>
          <w:tcPr>
            <w:tcW w:w="1069" w:type="dxa"/>
            <w:vAlign w:val="center"/>
          </w:tcPr>
          <w:p w14:paraId="339894D4" w14:textId="77777777" w:rsidR="002737B9" w:rsidRPr="00E1035C" w:rsidRDefault="002737B9" w:rsidP="00416539">
            <w:pPr>
              <w:jc w:val="center"/>
              <w:rPr>
                <w:kern w:val="24"/>
                <w:sz w:val="18"/>
                <w:szCs w:val="18"/>
              </w:rPr>
            </w:pPr>
            <w:r w:rsidRPr="00E1035C">
              <w:rPr>
                <w:kern w:val="24"/>
                <w:sz w:val="18"/>
                <w:szCs w:val="18"/>
              </w:rPr>
              <w:t>17.0%</w:t>
            </w:r>
          </w:p>
        </w:tc>
        <w:tc>
          <w:tcPr>
            <w:tcW w:w="1207" w:type="dxa"/>
            <w:vAlign w:val="center"/>
          </w:tcPr>
          <w:p w14:paraId="7F924FD2" w14:textId="77777777" w:rsidR="002737B9" w:rsidRPr="00E1035C" w:rsidRDefault="002737B9" w:rsidP="00416539">
            <w:pPr>
              <w:jc w:val="center"/>
              <w:rPr>
                <w:kern w:val="24"/>
                <w:sz w:val="18"/>
                <w:szCs w:val="18"/>
              </w:rPr>
            </w:pPr>
            <w:r w:rsidRPr="00E1035C">
              <w:rPr>
                <w:kern w:val="24"/>
                <w:sz w:val="18"/>
                <w:szCs w:val="18"/>
              </w:rPr>
              <w:t>11.3%</w:t>
            </w:r>
          </w:p>
        </w:tc>
        <w:tc>
          <w:tcPr>
            <w:tcW w:w="1207" w:type="dxa"/>
            <w:vAlign w:val="center"/>
          </w:tcPr>
          <w:p w14:paraId="2B0D1E15" w14:textId="77777777" w:rsidR="002737B9" w:rsidRPr="00E1035C" w:rsidRDefault="002737B9" w:rsidP="00416539">
            <w:pPr>
              <w:jc w:val="center"/>
              <w:rPr>
                <w:kern w:val="24"/>
                <w:sz w:val="18"/>
                <w:szCs w:val="18"/>
              </w:rPr>
            </w:pPr>
            <w:r w:rsidRPr="00E1035C">
              <w:rPr>
                <w:kern w:val="24"/>
                <w:sz w:val="18"/>
                <w:szCs w:val="18"/>
              </w:rPr>
              <w:t>13.6%</w:t>
            </w:r>
          </w:p>
        </w:tc>
        <w:tc>
          <w:tcPr>
            <w:tcW w:w="1207" w:type="dxa"/>
            <w:vAlign w:val="center"/>
          </w:tcPr>
          <w:p w14:paraId="3147C999" w14:textId="77777777" w:rsidR="002737B9" w:rsidRPr="00E1035C" w:rsidRDefault="002737B9" w:rsidP="00416539">
            <w:pPr>
              <w:jc w:val="center"/>
              <w:rPr>
                <w:kern w:val="24"/>
                <w:sz w:val="18"/>
                <w:szCs w:val="18"/>
              </w:rPr>
            </w:pPr>
            <w:r w:rsidRPr="00E1035C">
              <w:rPr>
                <w:kern w:val="24"/>
                <w:sz w:val="18"/>
                <w:szCs w:val="18"/>
              </w:rPr>
              <w:t>13.6%</w:t>
            </w:r>
          </w:p>
        </w:tc>
        <w:tc>
          <w:tcPr>
            <w:tcW w:w="1207" w:type="dxa"/>
            <w:vAlign w:val="center"/>
          </w:tcPr>
          <w:p w14:paraId="2A0DAE60" w14:textId="77777777" w:rsidR="002737B9" w:rsidRPr="00E1035C" w:rsidRDefault="002737B9" w:rsidP="00416539">
            <w:pPr>
              <w:jc w:val="center"/>
              <w:rPr>
                <w:kern w:val="24"/>
                <w:sz w:val="18"/>
                <w:szCs w:val="18"/>
              </w:rPr>
            </w:pPr>
            <w:r w:rsidRPr="00E1035C">
              <w:rPr>
                <w:kern w:val="24"/>
                <w:sz w:val="18"/>
                <w:szCs w:val="18"/>
              </w:rPr>
              <w:t>19.3%</w:t>
            </w:r>
          </w:p>
        </w:tc>
        <w:tc>
          <w:tcPr>
            <w:tcW w:w="1207" w:type="dxa"/>
            <w:vAlign w:val="center"/>
          </w:tcPr>
          <w:p w14:paraId="69E770C3" w14:textId="77777777" w:rsidR="002737B9" w:rsidRPr="00E1035C" w:rsidRDefault="002737B9" w:rsidP="00416539">
            <w:pPr>
              <w:jc w:val="center"/>
              <w:rPr>
                <w:kern w:val="24"/>
                <w:sz w:val="18"/>
                <w:szCs w:val="18"/>
              </w:rPr>
            </w:pPr>
            <w:r w:rsidRPr="00E1035C">
              <w:rPr>
                <w:kern w:val="24"/>
                <w:sz w:val="18"/>
                <w:szCs w:val="18"/>
              </w:rPr>
              <w:t>19.1%</w:t>
            </w:r>
          </w:p>
        </w:tc>
        <w:tc>
          <w:tcPr>
            <w:tcW w:w="1207" w:type="dxa"/>
            <w:vAlign w:val="center"/>
          </w:tcPr>
          <w:p w14:paraId="6EDDEB83" w14:textId="77777777" w:rsidR="002737B9" w:rsidRPr="00E1035C" w:rsidRDefault="002737B9" w:rsidP="00416539">
            <w:pPr>
              <w:jc w:val="center"/>
              <w:rPr>
                <w:kern w:val="24"/>
                <w:sz w:val="18"/>
                <w:szCs w:val="18"/>
              </w:rPr>
            </w:pPr>
            <w:r w:rsidRPr="00E1035C">
              <w:rPr>
                <w:kern w:val="24"/>
                <w:sz w:val="18"/>
                <w:szCs w:val="18"/>
              </w:rPr>
              <w:t>20.0%</w:t>
            </w:r>
          </w:p>
        </w:tc>
      </w:tr>
      <w:tr w:rsidR="002737B9" w14:paraId="7A992E9A" w14:textId="77777777" w:rsidTr="00416539">
        <w:trPr>
          <w:trHeight w:val="226"/>
        </w:trPr>
        <w:tc>
          <w:tcPr>
            <w:tcW w:w="861" w:type="dxa"/>
            <w:vAlign w:val="center"/>
          </w:tcPr>
          <w:p w14:paraId="04664BFB" w14:textId="77777777" w:rsidR="002737B9" w:rsidRPr="00E1035C" w:rsidRDefault="002737B9" w:rsidP="00416539">
            <w:pPr>
              <w:jc w:val="center"/>
              <w:rPr>
                <w:kern w:val="24"/>
                <w:sz w:val="18"/>
                <w:szCs w:val="18"/>
              </w:rPr>
            </w:pPr>
            <w:r w:rsidRPr="00E1035C">
              <w:rPr>
                <w:kern w:val="24"/>
                <w:sz w:val="18"/>
                <w:szCs w:val="18"/>
              </w:rPr>
              <w:t>UBC</w:t>
            </w:r>
          </w:p>
        </w:tc>
        <w:tc>
          <w:tcPr>
            <w:tcW w:w="1069" w:type="dxa"/>
            <w:vAlign w:val="center"/>
          </w:tcPr>
          <w:p w14:paraId="637D9760" w14:textId="77777777" w:rsidR="002737B9" w:rsidRPr="00E1035C" w:rsidRDefault="002737B9" w:rsidP="00416539">
            <w:pPr>
              <w:jc w:val="center"/>
              <w:rPr>
                <w:kern w:val="24"/>
                <w:sz w:val="18"/>
                <w:szCs w:val="18"/>
              </w:rPr>
            </w:pPr>
            <w:r w:rsidRPr="00E1035C">
              <w:rPr>
                <w:kern w:val="24"/>
                <w:sz w:val="18"/>
                <w:szCs w:val="18"/>
              </w:rPr>
              <w:t>6.1%</w:t>
            </w:r>
          </w:p>
        </w:tc>
        <w:tc>
          <w:tcPr>
            <w:tcW w:w="1207" w:type="dxa"/>
            <w:vAlign w:val="center"/>
          </w:tcPr>
          <w:p w14:paraId="64252ABE" w14:textId="77777777" w:rsidR="002737B9" w:rsidRPr="00E1035C" w:rsidRDefault="002737B9" w:rsidP="00416539">
            <w:pPr>
              <w:jc w:val="center"/>
              <w:rPr>
                <w:kern w:val="24"/>
                <w:sz w:val="18"/>
                <w:szCs w:val="18"/>
              </w:rPr>
            </w:pPr>
            <w:r w:rsidRPr="00E1035C">
              <w:rPr>
                <w:kern w:val="24"/>
                <w:sz w:val="18"/>
                <w:szCs w:val="18"/>
              </w:rPr>
              <w:t>1.7%</w:t>
            </w:r>
          </w:p>
        </w:tc>
        <w:tc>
          <w:tcPr>
            <w:tcW w:w="1207" w:type="dxa"/>
            <w:vAlign w:val="center"/>
          </w:tcPr>
          <w:p w14:paraId="00E5B84F" w14:textId="77777777" w:rsidR="002737B9" w:rsidRPr="00E1035C" w:rsidRDefault="002737B9" w:rsidP="00416539">
            <w:pPr>
              <w:jc w:val="center"/>
              <w:rPr>
                <w:kern w:val="24"/>
                <w:sz w:val="18"/>
                <w:szCs w:val="18"/>
              </w:rPr>
            </w:pPr>
            <w:r w:rsidRPr="00E1035C">
              <w:rPr>
                <w:kern w:val="24"/>
                <w:sz w:val="18"/>
                <w:szCs w:val="18"/>
              </w:rPr>
              <w:t>1.4%</w:t>
            </w:r>
          </w:p>
        </w:tc>
        <w:tc>
          <w:tcPr>
            <w:tcW w:w="1207" w:type="dxa"/>
            <w:vAlign w:val="center"/>
          </w:tcPr>
          <w:p w14:paraId="07DC56CA" w14:textId="77777777" w:rsidR="002737B9" w:rsidRPr="00E1035C" w:rsidRDefault="002737B9" w:rsidP="00416539">
            <w:pPr>
              <w:jc w:val="center"/>
              <w:rPr>
                <w:kern w:val="24"/>
                <w:sz w:val="18"/>
                <w:szCs w:val="18"/>
              </w:rPr>
            </w:pPr>
            <w:r w:rsidRPr="00E1035C">
              <w:rPr>
                <w:kern w:val="24"/>
                <w:sz w:val="18"/>
                <w:szCs w:val="18"/>
              </w:rPr>
              <w:t>1.4%</w:t>
            </w:r>
          </w:p>
        </w:tc>
        <w:tc>
          <w:tcPr>
            <w:tcW w:w="1207" w:type="dxa"/>
            <w:vAlign w:val="center"/>
          </w:tcPr>
          <w:p w14:paraId="2AFA3DAE" w14:textId="77777777" w:rsidR="002737B9" w:rsidRPr="00E1035C" w:rsidRDefault="002737B9" w:rsidP="00416539">
            <w:pPr>
              <w:jc w:val="center"/>
              <w:rPr>
                <w:kern w:val="24"/>
                <w:sz w:val="18"/>
                <w:szCs w:val="18"/>
              </w:rPr>
            </w:pPr>
            <w:r w:rsidRPr="00E1035C">
              <w:rPr>
                <w:kern w:val="24"/>
                <w:sz w:val="18"/>
                <w:szCs w:val="18"/>
              </w:rPr>
              <w:t>7.5%</w:t>
            </w:r>
          </w:p>
        </w:tc>
        <w:tc>
          <w:tcPr>
            <w:tcW w:w="1207" w:type="dxa"/>
            <w:vAlign w:val="center"/>
          </w:tcPr>
          <w:p w14:paraId="5D1D0753" w14:textId="77777777" w:rsidR="002737B9" w:rsidRPr="00E1035C" w:rsidRDefault="002737B9" w:rsidP="00416539">
            <w:pPr>
              <w:jc w:val="center"/>
              <w:rPr>
                <w:kern w:val="24"/>
                <w:sz w:val="18"/>
                <w:szCs w:val="18"/>
              </w:rPr>
            </w:pPr>
            <w:r w:rsidRPr="00E1035C">
              <w:rPr>
                <w:kern w:val="24"/>
                <w:sz w:val="18"/>
                <w:szCs w:val="18"/>
              </w:rPr>
              <w:t>1.6%</w:t>
            </w:r>
          </w:p>
        </w:tc>
        <w:tc>
          <w:tcPr>
            <w:tcW w:w="1207" w:type="dxa"/>
            <w:vAlign w:val="center"/>
          </w:tcPr>
          <w:p w14:paraId="3DAEEBCF" w14:textId="77777777" w:rsidR="002737B9" w:rsidRPr="00E1035C" w:rsidRDefault="002737B9" w:rsidP="00416539">
            <w:pPr>
              <w:jc w:val="center"/>
              <w:rPr>
                <w:kern w:val="24"/>
                <w:sz w:val="18"/>
                <w:szCs w:val="18"/>
              </w:rPr>
            </w:pPr>
            <w:r w:rsidRPr="00E1035C">
              <w:rPr>
                <w:kern w:val="24"/>
                <w:sz w:val="18"/>
                <w:szCs w:val="18"/>
              </w:rPr>
              <w:t>1.9%</w:t>
            </w:r>
          </w:p>
        </w:tc>
      </w:tr>
      <w:tr w:rsidR="002737B9" w14:paraId="18D705B4" w14:textId="77777777" w:rsidTr="00416539">
        <w:trPr>
          <w:trHeight w:val="226"/>
        </w:trPr>
        <w:tc>
          <w:tcPr>
            <w:tcW w:w="861" w:type="dxa"/>
            <w:vAlign w:val="center"/>
          </w:tcPr>
          <w:p w14:paraId="619DB1F2" w14:textId="77777777" w:rsidR="002737B9" w:rsidRPr="00E1035C" w:rsidRDefault="002737B9" w:rsidP="00416539">
            <w:pPr>
              <w:jc w:val="center"/>
              <w:rPr>
                <w:kern w:val="24"/>
                <w:sz w:val="18"/>
                <w:szCs w:val="18"/>
              </w:rPr>
            </w:pPr>
            <w:r w:rsidRPr="00E1035C">
              <w:rPr>
                <w:kern w:val="24"/>
                <w:sz w:val="18"/>
                <w:szCs w:val="18"/>
              </w:rPr>
              <w:t>LBC</w:t>
            </w:r>
          </w:p>
        </w:tc>
        <w:tc>
          <w:tcPr>
            <w:tcW w:w="1069" w:type="dxa"/>
            <w:vAlign w:val="center"/>
          </w:tcPr>
          <w:p w14:paraId="79C06F3F" w14:textId="77777777" w:rsidR="002737B9" w:rsidRPr="00E1035C" w:rsidRDefault="002737B9" w:rsidP="00416539">
            <w:pPr>
              <w:jc w:val="center"/>
              <w:rPr>
                <w:kern w:val="24"/>
                <w:sz w:val="18"/>
                <w:szCs w:val="18"/>
              </w:rPr>
            </w:pPr>
            <w:r w:rsidRPr="00E1035C">
              <w:rPr>
                <w:kern w:val="24"/>
                <w:sz w:val="18"/>
                <w:szCs w:val="18"/>
              </w:rPr>
              <w:t>4.4%</w:t>
            </w:r>
          </w:p>
        </w:tc>
        <w:tc>
          <w:tcPr>
            <w:tcW w:w="1207" w:type="dxa"/>
            <w:vAlign w:val="center"/>
          </w:tcPr>
          <w:p w14:paraId="6678B806" w14:textId="77777777" w:rsidR="002737B9" w:rsidRPr="00E1035C" w:rsidRDefault="002737B9" w:rsidP="00416539">
            <w:pPr>
              <w:jc w:val="center"/>
              <w:rPr>
                <w:kern w:val="24"/>
                <w:sz w:val="18"/>
                <w:szCs w:val="18"/>
              </w:rPr>
            </w:pPr>
            <w:r w:rsidRPr="00E1035C">
              <w:rPr>
                <w:kern w:val="24"/>
                <w:sz w:val="18"/>
                <w:szCs w:val="18"/>
              </w:rPr>
              <w:t>4.2%</w:t>
            </w:r>
          </w:p>
        </w:tc>
        <w:tc>
          <w:tcPr>
            <w:tcW w:w="1207" w:type="dxa"/>
            <w:vAlign w:val="center"/>
          </w:tcPr>
          <w:p w14:paraId="4038ACD9" w14:textId="77777777" w:rsidR="002737B9" w:rsidRPr="00E1035C" w:rsidRDefault="002737B9" w:rsidP="00416539">
            <w:pPr>
              <w:jc w:val="center"/>
              <w:rPr>
                <w:kern w:val="24"/>
                <w:sz w:val="18"/>
                <w:szCs w:val="18"/>
              </w:rPr>
            </w:pPr>
            <w:r w:rsidRPr="00E1035C">
              <w:rPr>
                <w:kern w:val="24"/>
                <w:sz w:val="18"/>
                <w:szCs w:val="18"/>
              </w:rPr>
              <w:t>4.1%</w:t>
            </w:r>
          </w:p>
        </w:tc>
        <w:tc>
          <w:tcPr>
            <w:tcW w:w="1207" w:type="dxa"/>
            <w:vAlign w:val="center"/>
          </w:tcPr>
          <w:p w14:paraId="594BE589" w14:textId="77777777" w:rsidR="002737B9" w:rsidRPr="00E1035C" w:rsidRDefault="002737B9" w:rsidP="00416539">
            <w:pPr>
              <w:jc w:val="center"/>
              <w:rPr>
                <w:kern w:val="24"/>
                <w:sz w:val="18"/>
                <w:szCs w:val="18"/>
              </w:rPr>
            </w:pPr>
            <w:r w:rsidRPr="00E1035C">
              <w:rPr>
                <w:kern w:val="24"/>
                <w:sz w:val="18"/>
                <w:szCs w:val="18"/>
              </w:rPr>
              <w:t>4.1%</w:t>
            </w:r>
          </w:p>
        </w:tc>
        <w:tc>
          <w:tcPr>
            <w:tcW w:w="1207" w:type="dxa"/>
            <w:vAlign w:val="center"/>
          </w:tcPr>
          <w:p w14:paraId="4FB19767" w14:textId="77777777" w:rsidR="002737B9" w:rsidRPr="00E1035C" w:rsidRDefault="002737B9" w:rsidP="00416539">
            <w:pPr>
              <w:jc w:val="center"/>
              <w:rPr>
                <w:kern w:val="24"/>
                <w:sz w:val="18"/>
                <w:szCs w:val="18"/>
              </w:rPr>
            </w:pPr>
            <w:r w:rsidRPr="00E1035C">
              <w:rPr>
                <w:kern w:val="24"/>
                <w:sz w:val="18"/>
                <w:szCs w:val="18"/>
              </w:rPr>
              <w:t>5.2%</w:t>
            </w:r>
          </w:p>
        </w:tc>
        <w:tc>
          <w:tcPr>
            <w:tcW w:w="1207" w:type="dxa"/>
            <w:vAlign w:val="center"/>
          </w:tcPr>
          <w:p w14:paraId="6B0A3411" w14:textId="77777777" w:rsidR="002737B9" w:rsidRPr="00E1035C" w:rsidRDefault="002737B9" w:rsidP="00416539">
            <w:pPr>
              <w:jc w:val="center"/>
              <w:rPr>
                <w:kern w:val="24"/>
                <w:sz w:val="18"/>
                <w:szCs w:val="18"/>
              </w:rPr>
            </w:pPr>
            <w:r w:rsidRPr="00E1035C">
              <w:rPr>
                <w:kern w:val="24"/>
                <w:sz w:val="18"/>
                <w:szCs w:val="18"/>
              </w:rPr>
              <w:t>3.5%</w:t>
            </w:r>
          </w:p>
        </w:tc>
        <w:tc>
          <w:tcPr>
            <w:tcW w:w="1207" w:type="dxa"/>
            <w:vAlign w:val="center"/>
          </w:tcPr>
          <w:p w14:paraId="017C4E5D" w14:textId="77777777" w:rsidR="002737B9" w:rsidRPr="00E1035C" w:rsidRDefault="002737B9" w:rsidP="00416539">
            <w:pPr>
              <w:jc w:val="center"/>
              <w:rPr>
                <w:kern w:val="24"/>
                <w:sz w:val="18"/>
                <w:szCs w:val="18"/>
              </w:rPr>
            </w:pPr>
            <w:r w:rsidRPr="00E1035C">
              <w:rPr>
                <w:kern w:val="24"/>
                <w:sz w:val="18"/>
                <w:szCs w:val="18"/>
              </w:rPr>
              <w:t>3.8%</w:t>
            </w:r>
          </w:p>
        </w:tc>
      </w:tr>
    </w:tbl>
    <w:p w14:paraId="7F3C5D35" w14:textId="77777777" w:rsidR="002737B9" w:rsidRPr="002737B9" w:rsidRDefault="002737B9" w:rsidP="002737B9">
      <w:pPr>
        <w:jc w:val="both"/>
        <w:rPr>
          <w:rFonts w:eastAsia="Times New Roman"/>
          <w:sz w:val="24"/>
          <w:szCs w:val="24"/>
          <w:lang w:eastAsia="zh-CN"/>
        </w:rPr>
      </w:pPr>
    </w:p>
    <w:p w14:paraId="14FF4E09" w14:textId="785D8888" w:rsidR="002737B9" w:rsidRPr="002737B9" w:rsidRDefault="002737B9" w:rsidP="00F529BC">
      <w:pPr>
        <w:shd w:val="clear" w:color="auto" w:fill="FFFFFF"/>
        <w:spacing w:line="480" w:lineRule="auto"/>
        <w:ind w:firstLine="720"/>
        <w:jc w:val="both"/>
        <w:rPr>
          <w:rFonts w:eastAsia="Times New Roman"/>
          <w:sz w:val="24"/>
          <w:szCs w:val="24"/>
        </w:rPr>
      </w:pPr>
      <w:r w:rsidRPr="002737B9">
        <w:rPr>
          <w:rFonts w:eastAsia="Times New Roman"/>
          <w:sz w:val="24"/>
          <w:szCs w:val="24"/>
        </w:rPr>
        <w:t xml:space="preserve">The spatial patterns of these biases provide further critical insight (Figure </w:t>
      </w:r>
      <w:r w:rsidR="00BD7ACB">
        <w:rPr>
          <w:rFonts w:eastAsia="Times New Roman" w:hint="eastAsia"/>
          <w:sz w:val="24"/>
          <w:szCs w:val="24"/>
          <w:lang w:eastAsia="zh-CN"/>
        </w:rPr>
        <w:t>3</w:t>
      </w:r>
      <w:r w:rsidRPr="002737B9">
        <w:rPr>
          <w:rFonts w:eastAsia="Times New Roman"/>
          <w:sz w:val="24"/>
          <w:szCs w:val="24"/>
        </w:rPr>
        <w:t xml:space="preserve">). Observations show that MLC are predominantly located in the ITCZ and the extratropical storm tracks (Figure 6a), regions dominated by large-scale dynamical uplift. UBC and LBC are co-located in the subtropical stratocumulus decks off the western coasts of continents (Figures </w:t>
      </w:r>
      <w:r w:rsidR="00BD7ACB">
        <w:rPr>
          <w:rFonts w:eastAsia="Times New Roman" w:hint="eastAsia"/>
          <w:sz w:val="24"/>
          <w:szCs w:val="24"/>
          <w:lang w:eastAsia="zh-CN"/>
        </w:rPr>
        <w:t>3</w:t>
      </w:r>
      <w:r w:rsidRPr="002737B9">
        <w:rPr>
          <w:rFonts w:eastAsia="Times New Roman"/>
          <w:sz w:val="24"/>
          <w:szCs w:val="24"/>
        </w:rPr>
        <w:t xml:space="preserve">d, 6g). The spatial analysis uncovers a crucial nuance: although CESM2 accurately simulates the global-mean UBC amount (Table </w:t>
      </w:r>
      <w:r w:rsidR="00BD7ACB">
        <w:rPr>
          <w:rFonts w:eastAsia="Times New Roman" w:hint="eastAsia"/>
          <w:sz w:val="24"/>
          <w:szCs w:val="24"/>
          <w:lang w:eastAsia="zh-CN"/>
        </w:rPr>
        <w:t>2</w:t>
      </w:r>
      <w:r w:rsidRPr="002737B9">
        <w:rPr>
          <w:rFonts w:eastAsia="Times New Roman"/>
          <w:sz w:val="24"/>
          <w:szCs w:val="24"/>
        </w:rPr>
        <w:t xml:space="preserve">), its spatial distribution is profoundly erroneous. The model fails to replicate the observed concentration of UBC in the subtropical regimes, instead producing a much more diffuse and likely physically incorrect pattern (Figure </w:t>
      </w:r>
      <w:r w:rsidR="00BD7ACB">
        <w:rPr>
          <w:rFonts w:eastAsia="Times New Roman" w:hint="eastAsia"/>
          <w:sz w:val="24"/>
          <w:szCs w:val="24"/>
          <w:lang w:eastAsia="zh-CN"/>
        </w:rPr>
        <w:t>3</w:t>
      </w:r>
      <w:r w:rsidRPr="002737B9">
        <w:rPr>
          <w:rFonts w:eastAsia="Times New Roman"/>
          <w:sz w:val="24"/>
          <w:szCs w:val="24"/>
        </w:rPr>
        <w:t>f). This "right-for-the-wrong-reasons" simulation highlights the danger of relying solely on globally averaged metrics for model evaluation.</w:t>
      </w:r>
    </w:p>
    <w:p w14:paraId="167C4DAF" w14:textId="77777777" w:rsidR="002737B9" w:rsidRPr="002737B9" w:rsidRDefault="002737B9" w:rsidP="00F529BC">
      <w:pPr>
        <w:shd w:val="clear" w:color="auto" w:fill="FFFFFF"/>
        <w:spacing w:line="480" w:lineRule="auto"/>
        <w:jc w:val="both"/>
        <w:rPr>
          <w:rFonts w:eastAsia="Times New Roman"/>
          <w:sz w:val="24"/>
          <w:szCs w:val="24"/>
        </w:rPr>
      </w:pPr>
    </w:p>
    <w:p w14:paraId="2248223D" w14:textId="33186866" w:rsidR="002737B9" w:rsidRDefault="002737B9" w:rsidP="00F529BC">
      <w:pPr>
        <w:shd w:val="clear" w:color="auto" w:fill="FFFFFF"/>
        <w:spacing w:line="480" w:lineRule="auto"/>
        <w:ind w:firstLine="720"/>
        <w:jc w:val="both"/>
        <w:rPr>
          <w:rFonts w:eastAsia="Times New Roman"/>
          <w:sz w:val="24"/>
          <w:szCs w:val="24"/>
        </w:rPr>
      </w:pPr>
      <w:r w:rsidRPr="002737B9">
        <w:rPr>
          <w:rFonts w:eastAsia="Times New Roman"/>
          <w:sz w:val="24"/>
          <w:szCs w:val="24"/>
        </w:rPr>
        <w:t>In summary, this initial assessment demonstrates that current climate models harbor substantial and systematic errors in representing the mean-state distribution of physically distinct low cloud types, particularly for MLC and UBC. These foundational biases in the static cloud climatology are almost certain to distort the models' representation of the dynamic seasonal cycle. They therefore provide a compelling motive for investigating how these distortions manifest and, specifically, how they have led to the conflicting interpretations in the literature. To pursue this investigation and to facilitate a direct comparison with the studies of Jiang et al. (2023) and Furtado et al. (2023), we now focus our analysis on two representative models: the low-ECS MPI-ESM1 and the high-ECS CESM2.</w:t>
      </w:r>
    </w:p>
    <w:p w14:paraId="34542D51" w14:textId="77777777" w:rsidR="00413C58" w:rsidRDefault="00413C58" w:rsidP="002737B9">
      <w:pPr>
        <w:jc w:val="both"/>
        <w:rPr>
          <w:rFonts w:eastAsia="Times New Roman"/>
          <w:sz w:val="24"/>
          <w:szCs w:val="24"/>
          <w:lang w:eastAsia="zh-CN"/>
        </w:rPr>
      </w:pPr>
    </w:p>
    <w:p w14:paraId="460FDDE0" w14:textId="77777777" w:rsidR="00413C58" w:rsidRDefault="00413C58" w:rsidP="00413C58">
      <w:pPr>
        <w:keepNext/>
        <w:jc w:val="center"/>
      </w:pPr>
      <w:r w:rsidRPr="008B50B1">
        <w:rPr>
          <w:noProof/>
        </w:rPr>
        <w:drawing>
          <wp:inline distT="0" distB="0" distL="0" distR="0" wp14:anchorId="797FFE83" wp14:editId="3E53E83E">
            <wp:extent cx="5274310" cy="3164205"/>
            <wp:effectExtent l="0" t="0" r="0" b="0"/>
            <wp:docPr id="2" name="图片 1" descr="图形用户界面, 图示, 应用程序&#10;&#10;AI 生成的内容可能不正确。">
              <a:extLst xmlns:a="http://schemas.openxmlformats.org/drawingml/2006/main">
                <a:ext uri="{FF2B5EF4-FFF2-40B4-BE49-F238E27FC236}">
                  <a16:creationId xmlns:a16="http://schemas.microsoft.com/office/drawing/2014/main" id="{B9BF011D-C285-5B21-A04E-ECE17B398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图形用户界面, 图示, 应用程序&#10;&#10;AI 生成的内容可能不正确。">
                      <a:extLst>
                        <a:ext uri="{FF2B5EF4-FFF2-40B4-BE49-F238E27FC236}">
                          <a16:creationId xmlns:a16="http://schemas.microsoft.com/office/drawing/2014/main" id="{B9BF011D-C285-5B21-A04E-ECE17B398B50}"/>
                        </a:ext>
                      </a:extLst>
                    </pic:cNvPr>
                    <pic:cNvPicPr>
                      <a:picLocks noChangeAspect="1"/>
                    </pic:cNvPicPr>
                  </pic:nvPicPr>
                  <pic:blipFill>
                    <a:blip r:embed="rId18"/>
                    <a:stretch>
                      <a:fillRect/>
                    </a:stretch>
                  </pic:blipFill>
                  <pic:spPr>
                    <a:xfrm>
                      <a:off x="0" y="0"/>
                      <a:ext cx="5274310" cy="3164205"/>
                    </a:xfrm>
                    <a:prstGeom prst="rect">
                      <a:avLst/>
                    </a:prstGeom>
                  </pic:spPr>
                </pic:pic>
              </a:graphicData>
            </a:graphic>
          </wp:inline>
        </w:drawing>
      </w:r>
    </w:p>
    <w:p w14:paraId="69BFADEB" w14:textId="43E4AFA7" w:rsidR="00413C58" w:rsidRPr="0022166B" w:rsidRDefault="00413C58" w:rsidP="00413C58">
      <w:pPr>
        <w:pStyle w:val="Caption"/>
        <w:rPr>
          <w:rFonts w:ascii="Times New Roman" w:hAnsi="Times New Roman" w:cs="Times New Roman"/>
          <w:sz w:val="21"/>
          <w:szCs w:val="21"/>
        </w:rPr>
      </w:pPr>
      <w:bookmarkStart w:id="3" w:name="_Toc213082864"/>
      <w:r w:rsidRPr="0022166B">
        <w:rPr>
          <w:rFonts w:ascii="Times New Roman" w:hAnsi="Times New Roman" w:cs="Times New Roman"/>
          <w:sz w:val="21"/>
          <w:szCs w:val="21"/>
        </w:rPr>
        <w:t xml:space="preserve">Figure </w:t>
      </w:r>
      <w:r w:rsidR="00BD7ACB">
        <w:rPr>
          <w:rFonts w:ascii="Times New Roman" w:hAnsi="Times New Roman" w:cs="Times New Roman" w:hint="eastAsia"/>
          <w:sz w:val="21"/>
          <w:szCs w:val="21"/>
        </w:rPr>
        <w:t>3</w:t>
      </w:r>
      <w:r w:rsidRPr="0022166B">
        <w:rPr>
          <w:rFonts w:ascii="Times New Roman" w:hAnsi="Times New Roman" w:cs="Times New Roman"/>
          <w:sz w:val="21"/>
          <w:szCs w:val="21"/>
        </w:rPr>
        <w:t>. Horizontal distribution of three types of low clouds a)-c)</w:t>
      </w:r>
      <w:r w:rsidRPr="0022166B">
        <w:rPr>
          <w:rFonts w:ascii="Times New Roman" w:hAnsi="Times New Roman" w:cs="Times New Roman" w:hint="eastAsia"/>
          <w:sz w:val="21"/>
          <w:szCs w:val="21"/>
        </w:rPr>
        <w:t xml:space="preserve"> </w:t>
      </w:r>
      <w:r w:rsidRPr="0022166B">
        <w:rPr>
          <w:rFonts w:ascii="Times New Roman" w:hAnsi="Times New Roman" w:cs="Times New Roman"/>
          <w:sz w:val="21"/>
          <w:szCs w:val="21"/>
        </w:rPr>
        <w:t>Multi-Layer Cloud; d)-f) Upper Boundary Layer Cloud; g)-</w:t>
      </w:r>
      <w:proofErr w:type="spellStart"/>
      <w:r w:rsidRPr="0022166B">
        <w:rPr>
          <w:rFonts w:ascii="Times New Roman" w:hAnsi="Times New Roman" w:cs="Times New Roman"/>
          <w:sz w:val="21"/>
          <w:szCs w:val="21"/>
        </w:rPr>
        <w:t>i</w:t>
      </w:r>
      <w:proofErr w:type="spellEnd"/>
      <w:r w:rsidRPr="0022166B">
        <w:rPr>
          <w:rFonts w:ascii="Times New Roman" w:hAnsi="Times New Roman" w:cs="Times New Roman"/>
          <w:sz w:val="21"/>
          <w:szCs w:val="21"/>
        </w:rPr>
        <w:t xml:space="preserve">) Lower Boundary Layer Cloud for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MPI-ESM and CESM2, respectively.</w:t>
      </w:r>
      <w:bookmarkEnd w:id="3"/>
    </w:p>
    <w:p w14:paraId="597E7438" w14:textId="77777777" w:rsidR="00413C58" w:rsidRPr="00413C58" w:rsidRDefault="00413C58" w:rsidP="002737B9">
      <w:pPr>
        <w:jc w:val="both"/>
        <w:rPr>
          <w:rFonts w:eastAsia="Times New Roman"/>
          <w:sz w:val="24"/>
          <w:szCs w:val="24"/>
          <w:lang w:eastAsia="zh-CN"/>
        </w:rPr>
      </w:pPr>
    </w:p>
    <w:p w14:paraId="5B5D9920" w14:textId="72E96000" w:rsidR="00F310B5" w:rsidRPr="00BA1622" w:rsidRDefault="00BA1622" w:rsidP="00BA1622">
      <w:pPr>
        <w:pStyle w:val="Heading-Main"/>
        <w:rPr>
          <w:kern w:val="0"/>
        </w:rPr>
      </w:pPr>
      <w:r>
        <w:rPr>
          <w:rFonts w:hint="eastAsia"/>
          <w:kern w:val="0"/>
          <w:lang w:eastAsia="zh-CN"/>
        </w:rPr>
        <w:t xml:space="preserve">3.2 </w:t>
      </w:r>
      <w:r w:rsidR="00BD5E7F" w:rsidRPr="00BA1622">
        <w:rPr>
          <w:kern w:val="0"/>
        </w:rPr>
        <w:t>D</w:t>
      </w:r>
      <w:r w:rsidR="00FE0FB4" w:rsidRPr="00BA1622">
        <w:rPr>
          <w:kern w:val="0"/>
        </w:rPr>
        <w:t>istinct Seasonal Cycles of Cloud Regimes in Observation</w:t>
      </w:r>
      <w:r w:rsidR="00FE0FB4" w:rsidRPr="00BA1622">
        <w:rPr>
          <w:rFonts w:hint="eastAsia"/>
          <w:kern w:val="0"/>
        </w:rPr>
        <w:t>s</w:t>
      </w:r>
    </w:p>
    <w:p w14:paraId="3FDCD701" w14:textId="77777777" w:rsidR="00FE0FB4" w:rsidRDefault="00FE0FB4" w:rsidP="00FE0FB4">
      <w:pPr>
        <w:pStyle w:val="ds-markdown-paragraph"/>
        <w:spacing w:before="240" w:beforeAutospacing="0" w:after="240" w:afterAutospacing="0"/>
        <w:rPr>
          <w:rFonts w:ascii="Times New Roman" w:eastAsia="Times New Roman" w:hAnsi="Times New Roman" w:cs="Times New Roman"/>
        </w:rPr>
      </w:pPr>
    </w:p>
    <w:p w14:paraId="48505E9F" w14:textId="6C4CD9F6" w:rsidR="00FE0FB4" w:rsidRDefault="00FE0FB4" w:rsidP="00BD7ACB">
      <w:pPr>
        <w:shd w:val="clear" w:color="auto" w:fill="FFFFFF"/>
        <w:spacing w:line="480" w:lineRule="auto"/>
        <w:ind w:firstLine="720"/>
        <w:jc w:val="both"/>
        <w:rPr>
          <w:rFonts w:eastAsia="Times New Roman"/>
          <w:sz w:val="24"/>
          <w:szCs w:val="24"/>
          <w:lang w:eastAsia="zh-CN"/>
        </w:rPr>
      </w:pPr>
      <w:r w:rsidRPr="00D8668E">
        <w:rPr>
          <w:rFonts w:eastAsia="Times New Roman"/>
          <w:sz w:val="24"/>
          <w:szCs w:val="24"/>
        </w:rPr>
        <w:t xml:space="preserve">Applying our novel classification to </w:t>
      </w:r>
      <w:proofErr w:type="spellStart"/>
      <w:r w:rsidRPr="00D8668E">
        <w:rPr>
          <w:rFonts w:eastAsia="Times New Roman"/>
          <w:sz w:val="24"/>
          <w:szCs w:val="24"/>
        </w:rPr>
        <w:t>CloudSat</w:t>
      </w:r>
      <w:proofErr w:type="spellEnd"/>
      <w:r w:rsidRPr="00D8668E">
        <w:rPr>
          <w:rFonts w:eastAsia="Times New Roman"/>
          <w:sz w:val="24"/>
          <w:szCs w:val="24"/>
        </w:rPr>
        <w:t xml:space="preserve">-CALIPSO observations reveals that the three cloud types exhibit fundamentally distinct and opposing seasonal cycles across the extratropical oceans (Figure </w:t>
      </w:r>
      <w:r w:rsidR="00BD7ACB">
        <w:rPr>
          <w:rFonts w:eastAsia="Times New Roman" w:hint="eastAsia"/>
          <w:sz w:val="24"/>
          <w:szCs w:val="24"/>
          <w:lang w:eastAsia="zh-CN"/>
        </w:rPr>
        <w:t>4</w:t>
      </w:r>
      <w:r w:rsidRPr="00D8668E">
        <w:rPr>
          <w:rFonts w:eastAsia="Times New Roman"/>
          <w:sz w:val="24"/>
          <w:szCs w:val="24"/>
        </w:rPr>
        <w:t xml:space="preserve">). Multi-layer Clouds (MLC) and Upper Boundary-layer Clouds (UBC) are both characterized by a pronounced winter-maximum and summer-minimum pattern (Figure </w:t>
      </w:r>
      <w:r w:rsidR="00BD7ACB">
        <w:rPr>
          <w:rFonts w:eastAsia="Times New Roman" w:hint="eastAsia"/>
          <w:sz w:val="24"/>
          <w:szCs w:val="24"/>
          <w:lang w:eastAsia="zh-CN"/>
        </w:rPr>
        <w:t xml:space="preserve">4 </w:t>
      </w:r>
      <w:r w:rsidRPr="00D8668E">
        <w:rPr>
          <w:rFonts w:eastAsia="Times New Roman"/>
          <w:sz w:val="24"/>
          <w:szCs w:val="24"/>
        </w:rPr>
        <w:t xml:space="preserve">a, b). In stark contrast, Lower Boundary-layer Clouds (LBC) display a clear summer-maximum and winter-minimum cycle (Figure </w:t>
      </w:r>
      <w:r w:rsidR="00BD7ACB">
        <w:rPr>
          <w:rFonts w:eastAsia="Times New Roman" w:hint="eastAsia"/>
          <w:sz w:val="24"/>
          <w:szCs w:val="24"/>
          <w:lang w:eastAsia="zh-CN"/>
        </w:rPr>
        <w:t>4</w:t>
      </w:r>
      <w:r w:rsidRPr="00D8668E">
        <w:rPr>
          <w:rFonts w:eastAsia="Times New Roman"/>
          <w:sz w:val="24"/>
          <w:szCs w:val="24"/>
        </w:rPr>
        <w:t>c). This antagonistic phasing demonstrates that the total low cloud fraction is a composite of sub-regimes governed by separate physical mechanisms—a critical nuance obscured by the monolithic "low cloud" definition.</w:t>
      </w:r>
    </w:p>
    <w:p w14:paraId="2111A057" w14:textId="77777777" w:rsidR="005051D6" w:rsidRPr="005051D6" w:rsidRDefault="005051D6" w:rsidP="009A12C8">
      <w:pPr>
        <w:shd w:val="clear" w:color="auto" w:fill="FFFFFF"/>
        <w:spacing w:line="480" w:lineRule="auto"/>
        <w:jc w:val="both"/>
        <w:rPr>
          <w:rFonts w:eastAsia="Times New Roman"/>
          <w:sz w:val="24"/>
          <w:szCs w:val="24"/>
          <w:lang w:eastAsia="zh-CN"/>
        </w:rPr>
      </w:pPr>
    </w:p>
    <w:p w14:paraId="4E4ADE9D" w14:textId="3209009A" w:rsidR="00FE0FB4" w:rsidRPr="00D8668E" w:rsidRDefault="00FE0FB4" w:rsidP="00BD7ACB">
      <w:pPr>
        <w:shd w:val="clear" w:color="auto" w:fill="FFFFFF"/>
        <w:spacing w:line="480" w:lineRule="auto"/>
        <w:ind w:firstLine="720"/>
        <w:jc w:val="both"/>
        <w:rPr>
          <w:rFonts w:eastAsia="Times New Roman"/>
          <w:sz w:val="24"/>
          <w:szCs w:val="24"/>
        </w:rPr>
      </w:pPr>
      <w:r w:rsidRPr="00D8668E">
        <w:rPr>
          <w:rFonts w:eastAsia="Times New Roman"/>
          <w:sz w:val="24"/>
          <w:szCs w:val="24"/>
        </w:rPr>
        <w:t xml:space="preserve">The vertical structure of these cycles provides further mechanistic insight (Figure </w:t>
      </w:r>
      <w:r w:rsidR="00BD7ACB">
        <w:rPr>
          <w:rFonts w:eastAsia="Times New Roman" w:hint="eastAsia"/>
          <w:sz w:val="24"/>
          <w:szCs w:val="24"/>
          <w:lang w:eastAsia="zh-CN"/>
        </w:rPr>
        <w:t xml:space="preserve">4 </w:t>
      </w:r>
      <w:r w:rsidRPr="00D8668E">
        <w:rPr>
          <w:rFonts w:eastAsia="Times New Roman"/>
          <w:sz w:val="24"/>
          <w:szCs w:val="24"/>
        </w:rPr>
        <w:t>d-f). The winter maximum in MLC is associated with a pronounced deepening and enhanced vertical overlap, consistent with intensified large-scale synoptic activity. The summer maximum in LBC, however, is robustly confined within the planetary boundary layer. UBC, occupying an intermediate height, aligns with the winter-maximum pattern of MLC, suggesting its dynamics are more closely tied to large-scale forcings than to local boundary-layer processes.</w:t>
      </w:r>
    </w:p>
    <w:p w14:paraId="433DDC13" w14:textId="77777777" w:rsidR="00FE0FB4" w:rsidRDefault="00FE0FB4" w:rsidP="00FE0FB4">
      <w:pPr>
        <w:pStyle w:val="ds-markdown-paragraph"/>
        <w:spacing w:before="240" w:beforeAutospacing="0" w:after="240" w:afterAutospacing="0"/>
        <w:rPr>
          <w:rFonts w:ascii="Times New Roman" w:eastAsia="Times New Roman" w:hAnsi="Times New Roman" w:cs="Times New Roman"/>
        </w:rPr>
      </w:pPr>
    </w:p>
    <w:p w14:paraId="556D0311" w14:textId="77777777" w:rsidR="005051D6" w:rsidRDefault="005051D6" w:rsidP="005051D6">
      <w:pPr>
        <w:keepNext/>
        <w:jc w:val="center"/>
      </w:pPr>
      <w:r w:rsidRPr="00EF19C7">
        <w:rPr>
          <w:noProof/>
        </w:rPr>
        <w:drawing>
          <wp:inline distT="0" distB="0" distL="0" distR="0" wp14:anchorId="03419802" wp14:editId="0671404C">
            <wp:extent cx="5274310" cy="2966720"/>
            <wp:effectExtent l="0" t="0" r="0" b="5080"/>
            <wp:docPr id="193634326" name="Picture 4" descr="图表&#10;&#10;AI 生成的内容可能不正确。">
              <a:extLst xmlns:a="http://schemas.openxmlformats.org/drawingml/2006/main">
                <a:ext uri="{FF2B5EF4-FFF2-40B4-BE49-F238E27FC236}">
                  <a16:creationId xmlns:a16="http://schemas.microsoft.com/office/drawing/2014/main" id="{D7084AD0-FA7D-D71D-3A95-73808DF28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图表&#10;&#10;AI 生成的内容可能不正确。">
                      <a:extLst>
                        <a:ext uri="{FF2B5EF4-FFF2-40B4-BE49-F238E27FC236}">
                          <a16:creationId xmlns:a16="http://schemas.microsoft.com/office/drawing/2014/main" id="{D7084AD0-FA7D-D71D-3A95-73808DF283F1}"/>
                        </a:ext>
                      </a:extLst>
                    </pic:cNvPr>
                    <pic:cNvPicPr>
                      <a:picLocks noChangeAspect="1"/>
                    </pic:cNvPicPr>
                  </pic:nvPicPr>
                  <pic:blipFill>
                    <a:blip r:embed="rId19"/>
                    <a:stretch>
                      <a:fillRect/>
                    </a:stretch>
                  </pic:blipFill>
                  <pic:spPr>
                    <a:xfrm>
                      <a:off x="0" y="0"/>
                      <a:ext cx="5274310" cy="2966720"/>
                    </a:xfrm>
                    <a:prstGeom prst="rect">
                      <a:avLst/>
                    </a:prstGeom>
                  </pic:spPr>
                </pic:pic>
              </a:graphicData>
            </a:graphic>
          </wp:inline>
        </w:drawing>
      </w:r>
    </w:p>
    <w:p w14:paraId="521B7AC4" w14:textId="0058C6E1" w:rsidR="005051D6" w:rsidRPr="0022166B" w:rsidRDefault="005051D6" w:rsidP="005051D6">
      <w:pPr>
        <w:pStyle w:val="Caption"/>
        <w:rPr>
          <w:rFonts w:ascii="Times New Roman" w:hAnsi="Times New Roman" w:cs="Times New Roman"/>
          <w:sz w:val="21"/>
          <w:szCs w:val="21"/>
        </w:rPr>
      </w:pPr>
      <w:bookmarkStart w:id="4" w:name="_Toc213082865"/>
      <w:r w:rsidRPr="0022166B">
        <w:rPr>
          <w:rFonts w:ascii="Times New Roman" w:hAnsi="Times New Roman" w:cs="Times New Roman"/>
          <w:sz w:val="21"/>
          <w:szCs w:val="21"/>
        </w:rPr>
        <w:t xml:space="preserve">Figure </w:t>
      </w:r>
      <w:r w:rsidR="00BD7ACB">
        <w:rPr>
          <w:rFonts w:ascii="Times New Roman" w:hAnsi="Times New Roman" w:cs="Times New Roman" w:hint="eastAsia"/>
          <w:sz w:val="21"/>
          <w:szCs w:val="21"/>
        </w:rPr>
        <w:t>4</w:t>
      </w:r>
      <w:r w:rsidRPr="0022166B">
        <w:rPr>
          <w:rFonts w:ascii="Times New Roman" w:hAnsi="Times New Roman" w:cs="Times New Roman"/>
          <w:sz w:val="21"/>
          <w:szCs w:val="21"/>
        </w:rPr>
        <w:t xml:space="preserve">. Observed seasonal variations for different cloud types. Top row: Zonal-mean cloud fraction for (a) </w:t>
      </w:r>
      <w:proofErr w:type="gramStart"/>
      <w:r w:rsidRPr="0022166B">
        <w:rPr>
          <w:rFonts w:ascii="Times New Roman" w:hAnsi="Times New Roman" w:cs="Times New Roman"/>
          <w:sz w:val="21"/>
          <w:szCs w:val="21"/>
        </w:rPr>
        <w:t>Multi-Layer</w:t>
      </w:r>
      <w:proofErr w:type="gramEnd"/>
      <w:r w:rsidRPr="0022166B">
        <w:rPr>
          <w:rFonts w:ascii="Times New Roman" w:hAnsi="Times New Roman" w:cs="Times New Roman"/>
          <w:sz w:val="21"/>
          <w:szCs w:val="21"/>
        </w:rPr>
        <w:t xml:space="preserve">, (b) Upper Boundary Layer, and (c) Lower Boundary Layer Clouds. Bottom row: Vertical structure at 40°N for (d) </w:t>
      </w:r>
      <w:proofErr w:type="gramStart"/>
      <w:r w:rsidRPr="0022166B">
        <w:rPr>
          <w:rFonts w:ascii="Times New Roman" w:hAnsi="Times New Roman" w:cs="Times New Roman"/>
          <w:sz w:val="21"/>
          <w:szCs w:val="21"/>
        </w:rPr>
        <w:t>Multi-Layer</w:t>
      </w:r>
      <w:proofErr w:type="gramEnd"/>
      <w:r w:rsidRPr="0022166B">
        <w:rPr>
          <w:rFonts w:ascii="Times New Roman" w:hAnsi="Times New Roman" w:cs="Times New Roman"/>
          <w:sz w:val="21"/>
          <w:szCs w:val="21"/>
        </w:rPr>
        <w:t xml:space="preserve">, (e) Upper Boundary Layer, and (f) Lower Boundary Layer Clouds for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-CALIPSO from 2006 to 2011.</w:t>
      </w:r>
      <w:bookmarkEnd w:id="4"/>
    </w:p>
    <w:p w14:paraId="5006CC6D" w14:textId="77777777" w:rsidR="005051D6" w:rsidRPr="005051D6" w:rsidRDefault="005051D6" w:rsidP="00FE0FB4">
      <w:pPr>
        <w:pStyle w:val="ds-markdown-paragraph"/>
        <w:spacing w:before="240" w:beforeAutospacing="0" w:after="240" w:afterAutospacing="0"/>
        <w:rPr>
          <w:rFonts w:ascii="Times New Roman" w:eastAsia="Times New Roman" w:hAnsi="Times New Roman" w:cs="Times New Roman"/>
        </w:rPr>
      </w:pPr>
    </w:p>
    <w:p w14:paraId="71A6A8BF" w14:textId="77777777" w:rsidR="002E0C14" w:rsidRPr="00BA1622" w:rsidRDefault="002E0C14" w:rsidP="00BA1622">
      <w:pPr>
        <w:pStyle w:val="Heading-Main"/>
        <w:rPr>
          <w:kern w:val="0"/>
        </w:rPr>
      </w:pPr>
      <w:r w:rsidRPr="00BA1622">
        <w:rPr>
          <w:kern w:val="0"/>
        </w:rPr>
        <w:t>3.3. Reconciling the Literature Discrepancy</w:t>
      </w:r>
    </w:p>
    <w:p w14:paraId="022B7F4B" w14:textId="2F0F1BB5" w:rsidR="002E0C14" w:rsidRPr="00D8668E" w:rsidRDefault="002E0C14" w:rsidP="00E30B6E">
      <w:pPr>
        <w:shd w:val="clear" w:color="auto" w:fill="FFFFFF"/>
        <w:spacing w:line="480" w:lineRule="auto"/>
        <w:ind w:firstLine="720"/>
        <w:jc w:val="both"/>
        <w:rPr>
          <w:rFonts w:eastAsia="Times New Roman"/>
          <w:sz w:val="24"/>
          <w:szCs w:val="24"/>
        </w:rPr>
      </w:pPr>
      <w:r w:rsidRPr="00D8668E">
        <w:rPr>
          <w:rFonts w:eastAsia="Times New Roman"/>
          <w:sz w:val="24"/>
          <w:szCs w:val="24"/>
        </w:rPr>
        <w:t>The opposing seasonal cycles of the constituent cloud types provide the key to reconciling the contradictory findings of Jiang et al. (2023) and Furtado et al. (2023). We demonstrate that the discrepancy arises from the different cloud subsets implicitly examined in each study.</w:t>
      </w:r>
    </w:p>
    <w:p w14:paraId="59BF1F69" w14:textId="77777777" w:rsidR="002E0C14" w:rsidRPr="00D8668E" w:rsidRDefault="002E0C14" w:rsidP="009A12C8">
      <w:pPr>
        <w:shd w:val="clear" w:color="auto" w:fill="FFFFFF"/>
        <w:spacing w:line="480" w:lineRule="auto"/>
        <w:jc w:val="both"/>
        <w:rPr>
          <w:rFonts w:eastAsia="Times New Roman"/>
          <w:sz w:val="24"/>
          <w:szCs w:val="24"/>
        </w:rPr>
      </w:pPr>
    </w:p>
    <w:p w14:paraId="1424DDB6" w14:textId="54EF2FCE" w:rsidR="002E0C14" w:rsidRDefault="002E0C14" w:rsidP="00E30B6E">
      <w:pPr>
        <w:shd w:val="clear" w:color="auto" w:fill="FFFFFF"/>
        <w:spacing w:line="480" w:lineRule="auto"/>
        <w:ind w:firstLine="720"/>
        <w:jc w:val="both"/>
        <w:rPr>
          <w:rFonts w:eastAsia="Times New Roman"/>
          <w:sz w:val="24"/>
          <w:szCs w:val="24"/>
          <w:lang w:eastAsia="zh-CN"/>
        </w:rPr>
      </w:pPr>
      <w:r w:rsidRPr="00D8668E">
        <w:rPr>
          <w:rFonts w:eastAsia="Times New Roman"/>
          <w:sz w:val="24"/>
          <w:szCs w:val="24"/>
        </w:rPr>
        <w:t xml:space="preserve">When we apply the "maximum-overlap cloud fraction below 700 </w:t>
      </w:r>
      <w:proofErr w:type="spellStart"/>
      <w:r w:rsidRPr="00D8668E">
        <w:rPr>
          <w:rFonts w:eastAsia="Times New Roman"/>
          <w:sz w:val="24"/>
          <w:szCs w:val="24"/>
        </w:rPr>
        <w:t>hPa</w:t>
      </w:r>
      <w:proofErr w:type="spellEnd"/>
      <w:r w:rsidRPr="00D8668E">
        <w:rPr>
          <w:rFonts w:eastAsia="Times New Roman"/>
          <w:sz w:val="24"/>
          <w:szCs w:val="24"/>
        </w:rPr>
        <w:t xml:space="preserve">" definition from Jiang et al. (2023)—which effectively combines MLC, UBC, and LBC—the composite signal exhibits a clear winter maximum in both observations and the high-ECS CESM2 model (Figure </w:t>
      </w:r>
      <w:r w:rsidR="00BD7ACB">
        <w:rPr>
          <w:rFonts w:eastAsia="Times New Roman" w:hint="eastAsia"/>
          <w:sz w:val="24"/>
          <w:szCs w:val="24"/>
          <w:lang w:eastAsia="zh-CN"/>
        </w:rPr>
        <w:t xml:space="preserve">5 </w:t>
      </w:r>
      <w:r w:rsidRPr="00D8668E">
        <w:rPr>
          <w:rFonts w:eastAsia="Times New Roman"/>
          <w:sz w:val="24"/>
          <w:szCs w:val="24"/>
        </w:rPr>
        <w:t xml:space="preserve">a, c). This is because the seasonal cycle is dominated by the abundant and deeply overlapping MLC. In contrast, the low-ECS MPI-ESM model, which severely underestimates MLC (as established in Section 3.1), fails to capture this winter peak and instead shows a summer maximum, dominated by LBC (Figure </w:t>
      </w:r>
      <w:r w:rsidR="00BD7ACB">
        <w:rPr>
          <w:rFonts w:eastAsia="Times New Roman" w:hint="eastAsia"/>
          <w:sz w:val="24"/>
          <w:szCs w:val="24"/>
          <w:lang w:eastAsia="zh-CN"/>
        </w:rPr>
        <w:t>5</w:t>
      </w:r>
      <w:r w:rsidRPr="00D8668E">
        <w:rPr>
          <w:rFonts w:eastAsia="Times New Roman"/>
          <w:sz w:val="24"/>
          <w:szCs w:val="24"/>
        </w:rPr>
        <w:t>b).</w:t>
      </w:r>
    </w:p>
    <w:p w14:paraId="16637723" w14:textId="77777777" w:rsidR="005051D6" w:rsidRDefault="005051D6" w:rsidP="005051D6">
      <w:pPr>
        <w:shd w:val="clear" w:color="auto" w:fill="FFFFFF"/>
        <w:spacing w:line="480" w:lineRule="auto"/>
        <w:jc w:val="both"/>
        <w:rPr>
          <w:rFonts w:eastAsia="Times New Roman"/>
          <w:sz w:val="24"/>
          <w:szCs w:val="24"/>
          <w:lang w:eastAsia="zh-CN"/>
        </w:rPr>
      </w:pPr>
    </w:p>
    <w:p w14:paraId="2637103F" w14:textId="77777777" w:rsidR="005051D6" w:rsidRDefault="005051D6" w:rsidP="005051D6">
      <w:pPr>
        <w:keepNext/>
        <w:jc w:val="center"/>
      </w:pPr>
      <w:r w:rsidRPr="00915DB7">
        <w:rPr>
          <w:noProof/>
        </w:rPr>
        <w:drawing>
          <wp:inline distT="0" distB="0" distL="0" distR="0" wp14:anchorId="571B7C55" wp14:editId="547D9C20">
            <wp:extent cx="5274310" cy="1086485"/>
            <wp:effectExtent l="0" t="0" r="0" b="5715"/>
            <wp:docPr id="7" name="图片 6" descr="图形用户界面, 应用程序&#10;&#10;AI 生成的内容可能不正确。">
              <a:extLst xmlns:a="http://schemas.openxmlformats.org/drawingml/2006/main">
                <a:ext uri="{FF2B5EF4-FFF2-40B4-BE49-F238E27FC236}">
                  <a16:creationId xmlns:a16="http://schemas.microsoft.com/office/drawing/2014/main" id="{8CD8AB23-E7FD-3BBF-9142-E4F744150F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形用户界面, 应用程序&#10;&#10;AI 生成的内容可能不正确。">
                      <a:extLst>
                        <a:ext uri="{FF2B5EF4-FFF2-40B4-BE49-F238E27FC236}">
                          <a16:creationId xmlns:a16="http://schemas.microsoft.com/office/drawing/2014/main" id="{8CD8AB23-E7FD-3BBF-9142-E4F744150F91}"/>
                        </a:ext>
                      </a:extLst>
                    </pic:cNvPr>
                    <pic:cNvPicPr>
                      <a:picLocks noChangeAspect="1"/>
                    </pic:cNvPicPr>
                  </pic:nvPicPr>
                  <pic:blipFill>
                    <a:blip r:embed="rId20" cstate="print">
                      <a:extLst>
                        <a:ext uri="{28A0092B-C50C-407E-A947-70E740481C1C}">
                          <a14:useLocalDpi xmlns:a14="http://schemas.microsoft.com/office/drawing/2010/main" val="0"/>
                        </a:ext>
                      </a:extLst>
                    </a:blip>
                    <a:srcRect l="-1" r="41" b="63398"/>
                    <a:stretch>
                      <a:fillRect/>
                    </a:stretch>
                  </pic:blipFill>
                  <pic:spPr>
                    <a:xfrm>
                      <a:off x="0" y="0"/>
                      <a:ext cx="5274310" cy="1086485"/>
                    </a:xfrm>
                    <a:prstGeom prst="rect">
                      <a:avLst/>
                    </a:prstGeom>
                  </pic:spPr>
                </pic:pic>
              </a:graphicData>
            </a:graphic>
          </wp:inline>
        </w:drawing>
      </w:r>
    </w:p>
    <w:p w14:paraId="29770C31" w14:textId="12B15939" w:rsidR="005051D6" w:rsidRPr="0022166B" w:rsidRDefault="005051D6" w:rsidP="005051D6">
      <w:pPr>
        <w:pStyle w:val="Caption"/>
        <w:rPr>
          <w:rFonts w:ascii="Times New Roman" w:hAnsi="Times New Roman" w:cs="Times New Roman"/>
          <w:sz w:val="21"/>
          <w:szCs w:val="21"/>
        </w:rPr>
      </w:pPr>
      <w:bookmarkStart w:id="5" w:name="_Toc213082871"/>
      <w:r w:rsidRPr="0022166B">
        <w:rPr>
          <w:rFonts w:ascii="Times New Roman" w:hAnsi="Times New Roman" w:cs="Times New Roman"/>
          <w:sz w:val="21"/>
          <w:szCs w:val="21"/>
        </w:rPr>
        <w:t xml:space="preserve">Figure </w:t>
      </w:r>
      <w:r w:rsidR="00BD7ACB">
        <w:rPr>
          <w:rFonts w:ascii="Times New Roman" w:hAnsi="Times New Roman" w:cs="Times New Roman" w:hint="eastAsia"/>
          <w:sz w:val="21"/>
          <w:szCs w:val="21"/>
        </w:rPr>
        <w:t>5</w:t>
      </w:r>
      <w:r w:rsidRPr="0022166B">
        <w:rPr>
          <w:rFonts w:ascii="Times New Roman" w:hAnsi="Times New Roman" w:cs="Times New Roman"/>
          <w:sz w:val="21"/>
          <w:szCs w:val="21"/>
        </w:rPr>
        <w:t>.</w:t>
      </w:r>
      <w:r w:rsidRPr="0022166B">
        <w:rPr>
          <w:rFonts w:ascii="Times New Roman" w:hAnsi="Times New Roman" w:cs="Times New Roman" w:hint="eastAsia"/>
          <w:sz w:val="21"/>
          <w:szCs w:val="21"/>
        </w:rPr>
        <w:t xml:space="preserve"> </w:t>
      </w:r>
      <w:r w:rsidRPr="0022166B">
        <w:rPr>
          <w:rFonts w:ascii="Times New Roman" w:hAnsi="Times New Roman" w:cs="Times New Roman"/>
          <w:sz w:val="21"/>
          <w:szCs w:val="21"/>
        </w:rPr>
        <w:t>Seasonal cycle of the LCF (maximum overlap below 700h</w:t>
      </w:r>
      <w:r>
        <w:rPr>
          <w:rFonts w:ascii="Times New Roman" w:hAnsi="Times New Roman" w:cs="Times New Roman" w:hint="eastAsia"/>
          <w:sz w:val="21"/>
          <w:szCs w:val="21"/>
        </w:rPr>
        <w:t>P</w:t>
      </w:r>
      <w:r w:rsidRPr="0022166B">
        <w:rPr>
          <w:rFonts w:ascii="Times New Roman" w:hAnsi="Times New Roman" w:cs="Times New Roman"/>
          <w:sz w:val="21"/>
          <w:szCs w:val="21"/>
        </w:rPr>
        <w:t>a) from observations (</w:t>
      </w:r>
      <w:r w:rsidRPr="0022166B">
        <w:rPr>
          <w:rFonts w:ascii="Times New Roman" w:hAnsi="Times New Roman" w:cs="Times New Roman" w:hint="eastAsia"/>
          <w:sz w:val="21"/>
          <w:szCs w:val="21"/>
        </w:rPr>
        <w:t>a</w:t>
      </w:r>
      <w:r w:rsidRPr="0022166B">
        <w:rPr>
          <w:rFonts w:ascii="Times New Roman" w:hAnsi="Times New Roman" w:cs="Times New Roman"/>
          <w:sz w:val="21"/>
          <w:szCs w:val="21"/>
        </w:rPr>
        <w:t xml:space="preserve">)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and models (b) MPI-ESM, c) CESM2) with the annual mean removed.</w:t>
      </w:r>
      <w:bookmarkEnd w:id="5"/>
    </w:p>
    <w:p w14:paraId="655A3C12" w14:textId="77777777" w:rsidR="002E0C14" w:rsidRPr="00D8668E" w:rsidRDefault="002E0C14" w:rsidP="009A12C8">
      <w:pPr>
        <w:shd w:val="clear" w:color="auto" w:fill="FFFFFF"/>
        <w:spacing w:line="480" w:lineRule="auto"/>
        <w:jc w:val="both"/>
        <w:rPr>
          <w:rFonts w:eastAsia="Times New Roman"/>
          <w:sz w:val="24"/>
          <w:szCs w:val="24"/>
          <w:lang w:eastAsia="zh-CN"/>
        </w:rPr>
      </w:pPr>
    </w:p>
    <w:p w14:paraId="247B0FA3" w14:textId="5188F7C2" w:rsidR="002E0C14" w:rsidRPr="00D8668E" w:rsidRDefault="002E0C14" w:rsidP="00E30B6E">
      <w:pPr>
        <w:shd w:val="clear" w:color="auto" w:fill="FFFFFF"/>
        <w:spacing w:line="480" w:lineRule="auto"/>
        <w:ind w:firstLine="720"/>
        <w:jc w:val="both"/>
        <w:rPr>
          <w:rFonts w:eastAsia="Times New Roman"/>
          <w:sz w:val="24"/>
          <w:szCs w:val="24"/>
        </w:rPr>
      </w:pPr>
      <w:r w:rsidRPr="00D8668E">
        <w:rPr>
          <w:rFonts w:eastAsia="Times New Roman"/>
          <w:sz w:val="24"/>
          <w:szCs w:val="24"/>
        </w:rPr>
        <w:t xml:space="preserve">Conversely, the analysis focusing on clouds with tops below 700 </w:t>
      </w:r>
      <w:proofErr w:type="spellStart"/>
      <w:r w:rsidRPr="00D8668E">
        <w:rPr>
          <w:rFonts w:eastAsia="Times New Roman"/>
          <w:sz w:val="24"/>
          <w:szCs w:val="24"/>
        </w:rPr>
        <w:t>hPa</w:t>
      </w:r>
      <w:proofErr w:type="spellEnd"/>
      <w:r w:rsidRPr="00D8668E">
        <w:rPr>
          <w:rFonts w:eastAsia="Times New Roman"/>
          <w:sz w:val="24"/>
          <w:szCs w:val="24"/>
        </w:rPr>
        <w:t xml:space="preserve"> (effectively UBC + LBC), as in Furtado et al. (2023), yields a different result (Figure </w:t>
      </w:r>
      <w:r w:rsidR="004F4721">
        <w:rPr>
          <w:rFonts w:eastAsia="Times New Roman" w:hint="eastAsia"/>
          <w:sz w:val="24"/>
          <w:szCs w:val="24"/>
          <w:lang w:eastAsia="zh-CN"/>
        </w:rPr>
        <w:t>6</w:t>
      </w:r>
      <w:r w:rsidRPr="00D8668E">
        <w:rPr>
          <w:rFonts w:eastAsia="Times New Roman"/>
          <w:sz w:val="24"/>
          <w:szCs w:val="24"/>
        </w:rPr>
        <w:t>). In observations, this combination still shows a winter maximum due to the significant contribution of UBC. However, in MPI-ESM, the profound underestimation of UBC leaves the summer-peaking LBC as the dominant signal, resulting in a spurious summer maximum. Thus, a model's simulated seasonal cycle is determined by its fidelity in representing the relative abundance of MLC and UBC versus LBC.</w:t>
      </w:r>
    </w:p>
    <w:p w14:paraId="118F9B6A" w14:textId="77777777" w:rsidR="00AC63B9" w:rsidRDefault="00AC63B9" w:rsidP="00AC63B9">
      <w:pPr>
        <w:spacing w:line="360" w:lineRule="auto"/>
        <w:rPr>
          <w:lang w:eastAsia="zh-CN"/>
        </w:rPr>
      </w:pPr>
    </w:p>
    <w:p w14:paraId="09CF4030" w14:textId="77777777" w:rsidR="005051D6" w:rsidRDefault="005051D6" w:rsidP="005051D6">
      <w:pPr>
        <w:keepNext/>
        <w:jc w:val="center"/>
      </w:pPr>
      <w:r w:rsidRPr="003D5D90">
        <w:rPr>
          <w:noProof/>
        </w:rPr>
        <w:drawing>
          <wp:inline distT="0" distB="0" distL="0" distR="0" wp14:anchorId="5BFE6DE2" wp14:editId="4ACA6B2A">
            <wp:extent cx="5274310" cy="1072515"/>
            <wp:effectExtent l="0" t="0" r="0" b="0"/>
            <wp:docPr id="816356353" name="图片 4" descr="图片包含 图形用户界面&#10;&#10;AI 生成的内容可能不正确。">
              <a:extLst xmlns:a="http://schemas.openxmlformats.org/drawingml/2006/main">
                <a:ext uri="{FF2B5EF4-FFF2-40B4-BE49-F238E27FC236}">
                  <a16:creationId xmlns:a16="http://schemas.microsoft.com/office/drawing/2014/main" id="{79D957EF-B0B6-D999-AE53-E5CAFBC031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片包含 图形用户界面&#10;&#10;AI 生成的内容可能不正确。">
                      <a:extLst>
                        <a:ext uri="{FF2B5EF4-FFF2-40B4-BE49-F238E27FC236}">
                          <a16:creationId xmlns:a16="http://schemas.microsoft.com/office/drawing/2014/main" id="{79D957EF-B0B6-D999-AE53-E5CAFBC031FB}"/>
                        </a:ext>
                      </a:extLst>
                    </pic:cNvPr>
                    <pic:cNvPicPr>
                      <a:picLocks noChangeAspect="1"/>
                    </pic:cNvPicPr>
                  </pic:nvPicPr>
                  <pic:blipFill>
                    <a:blip r:embed="rId21"/>
                    <a:srcRect r="-116" b="63811"/>
                    <a:stretch>
                      <a:fillRect/>
                    </a:stretch>
                  </pic:blipFill>
                  <pic:spPr>
                    <a:xfrm>
                      <a:off x="0" y="0"/>
                      <a:ext cx="5274310" cy="1072515"/>
                    </a:xfrm>
                    <a:prstGeom prst="rect">
                      <a:avLst/>
                    </a:prstGeom>
                  </pic:spPr>
                </pic:pic>
              </a:graphicData>
            </a:graphic>
          </wp:inline>
        </w:drawing>
      </w:r>
    </w:p>
    <w:p w14:paraId="6EDE2A01" w14:textId="3CF549BB" w:rsidR="005051D6" w:rsidRPr="0022166B" w:rsidRDefault="005051D6" w:rsidP="005051D6">
      <w:pPr>
        <w:pStyle w:val="Caption"/>
        <w:rPr>
          <w:rFonts w:ascii="Times New Roman" w:hAnsi="Times New Roman" w:cs="Times New Roman"/>
          <w:sz w:val="21"/>
          <w:szCs w:val="21"/>
        </w:rPr>
      </w:pPr>
      <w:bookmarkStart w:id="6" w:name="_Toc213082872"/>
      <w:r w:rsidRPr="0022166B">
        <w:rPr>
          <w:rFonts w:ascii="Times New Roman" w:hAnsi="Times New Roman" w:cs="Times New Roman"/>
          <w:sz w:val="21"/>
          <w:szCs w:val="21"/>
        </w:rPr>
        <w:t xml:space="preserve">Figure </w:t>
      </w:r>
      <w:r w:rsidR="004F4721">
        <w:rPr>
          <w:rFonts w:ascii="Times New Roman" w:hAnsi="Times New Roman" w:cs="Times New Roman" w:hint="eastAsia"/>
          <w:sz w:val="21"/>
          <w:szCs w:val="21"/>
        </w:rPr>
        <w:t>6</w:t>
      </w:r>
      <w:r w:rsidRPr="0022166B">
        <w:rPr>
          <w:rFonts w:ascii="Times New Roman" w:hAnsi="Times New Roman" w:cs="Times New Roman"/>
          <w:sz w:val="21"/>
          <w:szCs w:val="21"/>
        </w:rPr>
        <w:t>. Seasonal cycle of the LCF (UBC</w:t>
      </w:r>
      <w:r w:rsidRPr="0022166B">
        <w:rPr>
          <w:rFonts w:ascii="Times New Roman" w:hAnsi="Times New Roman" w:cs="Times New Roman" w:hint="eastAsia"/>
          <w:sz w:val="21"/>
          <w:szCs w:val="21"/>
        </w:rPr>
        <w:t xml:space="preserve"> </w:t>
      </w:r>
      <w:r w:rsidRPr="0022166B">
        <w:rPr>
          <w:rFonts w:ascii="Times New Roman" w:hAnsi="Times New Roman" w:cs="Times New Roman"/>
          <w:sz w:val="21"/>
          <w:szCs w:val="21"/>
        </w:rPr>
        <w:t>+ LBC; cloud top below 700h</w:t>
      </w:r>
      <w:r>
        <w:rPr>
          <w:rFonts w:ascii="Times New Roman" w:hAnsi="Times New Roman" w:cs="Times New Roman"/>
          <w:sz w:val="21"/>
          <w:szCs w:val="21"/>
        </w:rPr>
        <w:t>P</w:t>
      </w:r>
      <w:r w:rsidRPr="0022166B">
        <w:rPr>
          <w:rFonts w:ascii="Times New Roman" w:hAnsi="Times New Roman" w:cs="Times New Roman"/>
          <w:sz w:val="21"/>
          <w:szCs w:val="21"/>
        </w:rPr>
        <w:t>a</w:t>
      </w:r>
      <w:r w:rsidRPr="0022166B">
        <w:rPr>
          <w:rFonts w:ascii="Times New Roman" w:hAnsi="Times New Roman" w:cs="Times New Roman" w:hint="eastAsia"/>
          <w:sz w:val="21"/>
          <w:szCs w:val="21"/>
        </w:rPr>
        <w:t>)</w:t>
      </w:r>
      <w:r w:rsidRPr="0022166B">
        <w:rPr>
          <w:rFonts w:ascii="Times New Roman" w:hAnsi="Times New Roman" w:cs="Times New Roman"/>
          <w:sz w:val="21"/>
          <w:szCs w:val="21"/>
        </w:rPr>
        <w:t xml:space="preserve"> from observations (</w:t>
      </w:r>
      <w:r w:rsidRPr="0022166B">
        <w:rPr>
          <w:rFonts w:ascii="Times New Roman" w:hAnsi="Times New Roman" w:cs="Times New Roman" w:hint="eastAsia"/>
          <w:sz w:val="21"/>
          <w:szCs w:val="21"/>
        </w:rPr>
        <w:t>a</w:t>
      </w:r>
      <w:r w:rsidRPr="0022166B">
        <w:rPr>
          <w:rFonts w:ascii="Times New Roman" w:hAnsi="Times New Roman" w:cs="Times New Roman"/>
          <w:sz w:val="21"/>
          <w:szCs w:val="21"/>
        </w:rPr>
        <w:t xml:space="preserve">)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and models (b) MPI-ESM, c) CESM2) with the annual mean removed.</w:t>
      </w:r>
      <w:bookmarkEnd w:id="6"/>
    </w:p>
    <w:p w14:paraId="22D771AF" w14:textId="77777777" w:rsidR="005051D6" w:rsidRPr="005051D6" w:rsidRDefault="005051D6" w:rsidP="00AC63B9">
      <w:pPr>
        <w:spacing w:line="360" w:lineRule="auto"/>
        <w:rPr>
          <w:lang w:eastAsia="zh-CN"/>
        </w:rPr>
      </w:pPr>
    </w:p>
    <w:p w14:paraId="622F6839" w14:textId="77777777" w:rsidR="00741F4A" w:rsidRPr="00741F4A" w:rsidRDefault="00741F4A" w:rsidP="00741F4A">
      <w:pPr>
        <w:jc w:val="both"/>
        <w:rPr>
          <w:rFonts w:eastAsia="Times New Roman"/>
          <w:sz w:val="24"/>
          <w:szCs w:val="24"/>
          <w:lang w:eastAsia="zh-CN"/>
        </w:rPr>
      </w:pPr>
      <w:r w:rsidRPr="00741F4A">
        <w:rPr>
          <w:rFonts w:eastAsia="Times New Roman"/>
          <w:sz w:val="24"/>
          <w:szCs w:val="24"/>
          <w:lang w:eastAsia="zh-CN"/>
        </w:rPr>
        <w:t>3.4. The Role of Observational Datasets</w:t>
      </w:r>
    </w:p>
    <w:p w14:paraId="4FBE4CFD" w14:textId="77777777" w:rsidR="00741F4A" w:rsidRPr="00741F4A" w:rsidRDefault="00741F4A" w:rsidP="00741F4A">
      <w:pPr>
        <w:jc w:val="both"/>
        <w:rPr>
          <w:rFonts w:eastAsia="Times New Roman"/>
          <w:sz w:val="24"/>
          <w:szCs w:val="24"/>
          <w:lang w:eastAsia="zh-CN"/>
        </w:rPr>
      </w:pPr>
    </w:p>
    <w:p w14:paraId="529C7088" w14:textId="5D9EFE2C" w:rsidR="00741F4A" w:rsidRPr="00741F4A" w:rsidRDefault="00741F4A" w:rsidP="00E30B6E">
      <w:pPr>
        <w:shd w:val="clear" w:color="auto" w:fill="FFFFFF"/>
        <w:spacing w:line="480" w:lineRule="auto"/>
        <w:ind w:firstLine="720"/>
        <w:jc w:val="both"/>
        <w:rPr>
          <w:rFonts w:eastAsia="Times New Roman"/>
          <w:sz w:val="24"/>
          <w:szCs w:val="24"/>
        </w:rPr>
      </w:pPr>
      <w:r w:rsidRPr="00741F4A">
        <w:rPr>
          <w:rFonts w:eastAsia="Times New Roman"/>
          <w:sz w:val="24"/>
          <w:szCs w:val="24"/>
        </w:rPr>
        <w:t xml:space="preserve">The choice of observational dataset further contributes to the literature discrepancy. A comparison between the active sensor </w:t>
      </w:r>
      <w:proofErr w:type="spellStart"/>
      <w:r w:rsidRPr="00741F4A">
        <w:rPr>
          <w:rFonts w:eastAsia="Times New Roman"/>
          <w:sz w:val="24"/>
          <w:szCs w:val="24"/>
        </w:rPr>
        <w:t>CloudSat</w:t>
      </w:r>
      <w:proofErr w:type="spellEnd"/>
      <w:r w:rsidRPr="00741F4A">
        <w:rPr>
          <w:rFonts w:eastAsia="Times New Roman"/>
          <w:sz w:val="24"/>
          <w:szCs w:val="24"/>
        </w:rPr>
        <w:t xml:space="preserve"> and the passive sensor ISCCP reveals significant differences (Figure </w:t>
      </w:r>
      <w:r w:rsidR="004A0959">
        <w:rPr>
          <w:rFonts w:eastAsia="Times New Roman" w:hint="eastAsia"/>
          <w:sz w:val="24"/>
          <w:szCs w:val="24"/>
          <w:lang w:eastAsia="zh-CN"/>
        </w:rPr>
        <w:t>7</w:t>
      </w:r>
      <w:r w:rsidRPr="00741F4A">
        <w:rPr>
          <w:rFonts w:eastAsia="Times New Roman"/>
          <w:sz w:val="24"/>
          <w:szCs w:val="24"/>
        </w:rPr>
        <w:t xml:space="preserve">). While </w:t>
      </w:r>
      <w:proofErr w:type="spellStart"/>
      <w:r w:rsidRPr="00741F4A">
        <w:rPr>
          <w:rFonts w:eastAsia="Times New Roman"/>
          <w:sz w:val="24"/>
          <w:szCs w:val="24"/>
        </w:rPr>
        <w:t>CloudSat</w:t>
      </w:r>
      <w:proofErr w:type="spellEnd"/>
      <w:r w:rsidRPr="00741F4A">
        <w:rPr>
          <w:rFonts w:eastAsia="Times New Roman"/>
          <w:sz w:val="24"/>
          <w:szCs w:val="24"/>
        </w:rPr>
        <w:t xml:space="preserve"> shows a winter maximum for the UBC+LBC combination, ISCCP exhibits a pronounced summer peak. This bias is attributable to ISCCP's well-documented limitation in detecting lower-level clouds beneath upper-level layers, particularly during winter when multi-layer systems are more frequent.</w:t>
      </w:r>
    </w:p>
    <w:p w14:paraId="5695FD74" w14:textId="77777777" w:rsidR="00741F4A" w:rsidRDefault="00741F4A" w:rsidP="009A12C8">
      <w:pPr>
        <w:shd w:val="clear" w:color="auto" w:fill="FFFFFF"/>
        <w:spacing w:line="480" w:lineRule="auto"/>
        <w:jc w:val="both"/>
        <w:rPr>
          <w:rFonts w:eastAsia="Times New Roman"/>
          <w:sz w:val="24"/>
          <w:szCs w:val="24"/>
          <w:lang w:eastAsia="zh-CN"/>
        </w:rPr>
      </w:pPr>
    </w:p>
    <w:p w14:paraId="0B9888A8" w14:textId="77777777" w:rsidR="005051D6" w:rsidRDefault="005051D6" w:rsidP="005051D6">
      <w:pPr>
        <w:keepNext/>
        <w:jc w:val="center"/>
      </w:pPr>
      <w:r w:rsidRPr="00E53F9B">
        <w:rPr>
          <w:noProof/>
        </w:rPr>
        <w:drawing>
          <wp:inline distT="0" distB="0" distL="0" distR="0" wp14:anchorId="1359BBA1" wp14:editId="747FC6C8">
            <wp:extent cx="5274310" cy="1172210"/>
            <wp:effectExtent l="0" t="0" r="0" b="0"/>
            <wp:docPr id="1435339468"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39468" name="图片 1" descr="图表&#10;&#10;AI 生成的内容可能不正确。"/>
                    <pic:cNvPicPr/>
                  </pic:nvPicPr>
                  <pic:blipFill>
                    <a:blip r:embed="rId22"/>
                    <a:stretch>
                      <a:fillRect/>
                    </a:stretch>
                  </pic:blipFill>
                  <pic:spPr>
                    <a:xfrm>
                      <a:off x="0" y="0"/>
                      <a:ext cx="5274310" cy="1172210"/>
                    </a:xfrm>
                    <a:prstGeom prst="rect">
                      <a:avLst/>
                    </a:prstGeom>
                  </pic:spPr>
                </pic:pic>
              </a:graphicData>
            </a:graphic>
          </wp:inline>
        </w:drawing>
      </w:r>
    </w:p>
    <w:p w14:paraId="75BF5DC9" w14:textId="033C935D" w:rsidR="005051D6" w:rsidRPr="0022166B" w:rsidRDefault="005051D6" w:rsidP="005051D6">
      <w:pPr>
        <w:pStyle w:val="Caption"/>
        <w:rPr>
          <w:rFonts w:ascii="Times New Roman" w:hAnsi="Times New Roman" w:cs="Times New Roman"/>
          <w:sz w:val="21"/>
          <w:szCs w:val="21"/>
        </w:rPr>
      </w:pPr>
      <w:bookmarkStart w:id="7" w:name="_Toc213082873"/>
      <w:r w:rsidRPr="0022166B">
        <w:rPr>
          <w:rFonts w:ascii="Times New Roman" w:hAnsi="Times New Roman" w:cs="Times New Roman"/>
          <w:sz w:val="21"/>
          <w:szCs w:val="21"/>
        </w:rPr>
        <w:t xml:space="preserve">Figure </w:t>
      </w:r>
      <w:r w:rsidR="004A0959">
        <w:rPr>
          <w:rFonts w:ascii="Times New Roman" w:hAnsi="Times New Roman" w:cs="Times New Roman" w:hint="eastAsia"/>
          <w:sz w:val="21"/>
          <w:szCs w:val="21"/>
        </w:rPr>
        <w:t>7</w:t>
      </w:r>
      <w:r w:rsidRPr="0022166B">
        <w:rPr>
          <w:rFonts w:ascii="Times New Roman" w:hAnsi="Times New Roman" w:cs="Times New Roman"/>
          <w:sz w:val="21"/>
          <w:szCs w:val="21"/>
        </w:rPr>
        <w:t>. Seasonal cycle of the LCF (UBC</w:t>
      </w:r>
      <w:r w:rsidRPr="0022166B">
        <w:rPr>
          <w:rFonts w:ascii="Times New Roman" w:hAnsi="Times New Roman" w:cs="Times New Roman" w:hint="eastAsia"/>
          <w:sz w:val="21"/>
          <w:szCs w:val="21"/>
        </w:rPr>
        <w:t xml:space="preserve"> </w:t>
      </w:r>
      <w:r w:rsidRPr="0022166B">
        <w:rPr>
          <w:rFonts w:ascii="Times New Roman" w:hAnsi="Times New Roman" w:cs="Times New Roman"/>
          <w:sz w:val="21"/>
          <w:szCs w:val="21"/>
        </w:rPr>
        <w:t>+ LBC; cloud top below 700h</w:t>
      </w:r>
      <w:r>
        <w:rPr>
          <w:rFonts w:ascii="Times New Roman" w:hAnsi="Times New Roman" w:cs="Times New Roman"/>
          <w:sz w:val="21"/>
          <w:szCs w:val="21"/>
        </w:rPr>
        <w:t>P</w:t>
      </w:r>
      <w:r w:rsidRPr="0022166B">
        <w:rPr>
          <w:rFonts w:ascii="Times New Roman" w:hAnsi="Times New Roman" w:cs="Times New Roman"/>
          <w:sz w:val="21"/>
          <w:szCs w:val="21"/>
        </w:rPr>
        <w:t xml:space="preserve">a from </w:t>
      </w:r>
      <w:r w:rsidRPr="0022166B">
        <w:rPr>
          <w:rFonts w:ascii="Times New Roman" w:hAnsi="Times New Roman" w:cs="Times New Roman" w:hint="eastAsia"/>
          <w:sz w:val="21"/>
          <w:szCs w:val="21"/>
        </w:rPr>
        <w:t>a</w:t>
      </w:r>
      <w:r w:rsidRPr="0022166B">
        <w:rPr>
          <w:rFonts w:ascii="Times New Roman" w:hAnsi="Times New Roman" w:cs="Times New Roman"/>
          <w:sz w:val="21"/>
          <w:szCs w:val="21"/>
        </w:rPr>
        <w:t xml:space="preserve">)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xml:space="preserve"> and b) MPI-ESM (fixed local times same as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c) C</w:t>
      </w:r>
      <w:r w:rsidRPr="0022166B">
        <w:rPr>
          <w:rFonts w:ascii="Times New Roman" w:hAnsi="Times New Roman" w:cs="Times New Roman" w:hint="eastAsia"/>
          <w:sz w:val="21"/>
          <w:szCs w:val="21"/>
        </w:rPr>
        <w:t>LARA</w:t>
      </w:r>
      <w:r w:rsidRPr="0022166B">
        <w:rPr>
          <w:rFonts w:ascii="Times New Roman" w:hAnsi="Times New Roman" w:cs="Times New Roman"/>
          <w:sz w:val="21"/>
          <w:szCs w:val="21"/>
        </w:rPr>
        <w:t>-A3.</w:t>
      </w:r>
      <w:bookmarkEnd w:id="7"/>
    </w:p>
    <w:p w14:paraId="19A62DC9" w14:textId="77777777" w:rsidR="005051D6" w:rsidRPr="005051D6" w:rsidRDefault="005051D6" w:rsidP="009A12C8">
      <w:pPr>
        <w:shd w:val="clear" w:color="auto" w:fill="FFFFFF"/>
        <w:spacing w:line="480" w:lineRule="auto"/>
        <w:jc w:val="both"/>
        <w:rPr>
          <w:rFonts w:eastAsia="Times New Roman"/>
          <w:sz w:val="24"/>
          <w:szCs w:val="24"/>
          <w:lang w:eastAsia="zh-CN"/>
        </w:rPr>
      </w:pPr>
    </w:p>
    <w:p w14:paraId="62F04CA6" w14:textId="12F19ED3" w:rsidR="00AC63B9" w:rsidRDefault="00741F4A" w:rsidP="00E30B6E">
      <w:pPr>
        <w:shd w:val="clear" w:color="auto" w:fill="FFFFFF"/>
        <w:spacing w:line="480" w:lineRule="auto"/>
        <w:ind w:firstLine="720"/>
        <w:jc w:val="both"/>
        <w:rPr>
          <w:rFonts w:eastAsia="Times New Roman"/>
          <w:sz w:val="24"/>
          <w:szCs w:val="24"/>
        </w:rPr>
      </w:pPr>
      <w:r w:rsidRPr="00741F4A">
        <w:rPr>
          <w:rFonts w:eastAsia="Times New Roman"/>
          <w:sz w:val="24"/>
          <w:szCs w:val="24"/>
        </w:rPr>
        <w:t xml:space="preserve">This interpretation is supported by a direct evaluation against </w:t>
      </w:r>
      <w:proofErr w:type="spellStart"/>
      <w:r w:rsidRPr="00741F4A">
        <w:rPr>
          <w:rFonts w:eastAsia="Times New Roman"/>
          <w:sz w:val="24"/>
          <w:szCs w:val="24"/>
        </w:rPr>
        <w:t>CloudSat</w:t>
      </w:r>
      <w:proofErr w:type="spellEnd"/>
      <w:r w:rsidRPr="00741F4A">
        <w:rPr>
          <w:rFonts w:eastAsia="Times New Roman"/>
          <w:sz w:val="24"/>
          <w:szCs w:val="24"/>
        </w:rPr>
        <w:t xml:space="preserve">-CALIPSO (Figure </w:t>
      </w:r>
      <w:r w:rsidR="00307245">
        <w:rPr>
          <w:rFonts w:eastAsia="Times New Roman" w:hint="eastAsia"/>
          <w:sz w:val="24"/>
          <w:szCs w:val="24"/>
          <w:lang w:eastAsia="zh-CN"/>
        </w:rPr>
        <w:t>8</w:t>
      </w:r>
      <w:r w:rsidRPr="00741F4A">
        <w:rPr>
          <w:rFonts w:eastAsia="Times New Roman"/>
          <w:sz w:val="24"/>
          <w:szCs w:val="24"/>
        </w:rPr>
        <w:t xml:space="preserve">), which shows that ISCCP's accuracy in correctly identifying single-layer low clouds drops substantially in winter. The CLARA-A3 dataset, which applies a CALIPSO-informed classification to correct this very issue, produces a seasonal cycle with a winter maximum, consistent with </w:t>
      </w:r>
      <w:proofErr w:type="spellStart"/>
      <w:r w:rsidRPr="00741F4A">
        <w:rPr>
          <w:rFonts w:eastAsia="Times New Roman"/>
          <w:sz w:val="24"/>
          <w:szCs w:val="24"/>
        </w:rPr>
        <w:t>CloudSat</w:t>
      </w:r>
      <w:proofErr w:type="spellEnd"/>
      <w:r w:rsidRPr="00741F4A">
        <w:rPr>
          <w:rFonts w:eastAsia="Times New Roman"/>
          <w:sz w:val="24"/>
          <w:szCs w:val="24"/>
        </w:rPr>
        <w:t>. This underscores that retrievals based solely on passive infrared measurements can introduce systematic errors, reinforcing the need for active-sensor observations for robust model evaluation.</w:t>
      </w:r>
    </w:p>
    <w:p w14:paraId="74391FEB" w14:textId="77777777" w:rsidR="00A36342" w:rsidRDefault="00A36342" w:rsidP="00741F4A">
      <w:pPr>
        <w:jc w:val="both"/>
        <w:rPr>
          <w:rFonts w:eastAsia="Times New Roman"/>
          <w:sz w:val="24"/>
          <w:szCs w:val="24"/>
          <w:lang w:eastAsia="zh-CN"/>
        </w:rPr>
      </w:pPr>
    </w:p>
    <w:p w14:paraId="40CD0FF2" w14:textId="77777777" w:rsidR="005051D6" w:rsidRDefault="005051D6" w:rsidP="005051D6">
      <w:pPr>
        <w:keepNext/>
        <w:jc w:val="center"/>
      </w:pPr>
      <w:r w:rsidRPr="00E111CC">
        <w:rPr>
          <w:noProof/>
        </w:rPr>
        <w:drawing>
          <wp:inline distT="0" distB="0" distL="0" distR="0" wp14:anchorId="3CA24AF1" wp14:editId="3921CB01">
            <wp:extent cx="5274310" cy="1582420"/>
            <wp:effectExtent l="0" t="0" r="0" b="5080"/>
            <wp:docPr id="57476597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5973" name="图片 1" descr="图表, 折线图&#10;&#10;AI 生成的内容可能不正确。"/>
                    <pic:cNvPicPr/>
                  </pic:nvPicPr>
                  <pic:blipFill>
                    <a:blip r:embed="rId23"/>
                    <a:stretch>
                      <a:fillRect/>
                    </a:stretch>
                  </pic:blipFill>
                  <pic:spPr>
                    <a:xfrm>
                      <a:off x="0" y="0"/>
                      <a:ext cx="5274310" cy="1582420"/>
                    </a:xfrm>
                    <a:prstGeom prst="rect">
                      <a:avLst/>
                    </a:prstGeom>
                  </pic:spPr>
                </pic:pic>
              </a:graphicData>
            </a:graphic>
          </wp:inline>
        </w:drawing>
      </w:r>
    </w:p>
    <w:p w14:paraId="15E99268" w14:textId="183B3B6F" w:rsidR="005051D6" w:rsidRPr="0022166B" w:rsidRDefault="005051D6" w:rsidP="005051D6">
      <w:pPr>
        <w:pStyle w:val="Caption"/>
        <w:rPr>
          <w:rFonts w:ascii="Times New Roman" w:hAnsi="Times New Roman" w:cs="Times New Roman"/>
          <w:sz w:val="21"/>
          <w:szCs w:val="21"/>
        </w:rPr>
      </w:pPr>
      <w:bookmarkStart w:id="8" w:name="_Toc213082874"/>
      <w:r w:rsidRPr="0022166B">
        <w:rPr>
          <w:rFonts w:ascii="Times New Roman" w:hAnsi="Times New Roman" w:cs="Times New Roman"/>
          <w:sz w:val="21"/>
          <w:szCs w:val="21"/>
        </w:rPr>
        <w:t xml:space="preserve">Figure </w:t>
      </w:r>
      <w:r w:rsidR="00307245">
        <w:rPr>
          <w:rFonts w:ascii="Times New Roman" w:hAnsi="Times New Roman" w:cs="Times New Roman" w:hint="eastAsia"/>
          <w:sz w:val="21"/>
          <w:szCs w:val="21"/>
        </w:rPr>
        <w:t>8</w:t>
      </w:r>
      <w:r w:rsidRPr="0022166B">
        <w:rPr>
          <w:rFonts w:ascii="Times New Roman" w:hAnsi="Times New Roman" w:cs="Times New Roman"/>
          <w:sz w:val="21"/>
          <w:szCs w:val="21"/>
        </w:rPr>
        <w:t xml:space="preserve">. Assessment of ISCCP low-cloud accuracy against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-CALIPSO for (a) single-layer low clouds</w:t>
      </w:r>
      <w:r w:rsidR="004B5ECD">
        <w:rPr>
          <w:rFonts w:ascii="Times New Roman" w:hAnsi="Times New Roman" w:cs="Times New Roman"/>
          <w:sz w:val="21"/>
          <w:szCs w:val="21"/>
        </w:rPr>
        <w:t xml:space="preserve"> (low clouds only)</w:t>
      </w:r>
      <w:r w:rsidRPr="0022166B">
        <w:rPr>
          <w:rFonts w:ascii="Times New Roman" w:hAnsi="Times New Roman" w:cs="Times New Roman"/>
          <w:sz w:val="21"/>
          <w:szCs w:val="21"/>
        </w:rPr>
        <w:t xml:space="preserve"> and (b) multi-layer clouds (low clouds beneath higher cloud layers).</w:t>
      </w:r>
      <w:bookmarkEnd w:id="8"/>
    </w:p>
    <w:p w14:paraId="21FB3942" w14:textId="77777777" w:rsidR="005051D6" w:rsidRPr="005051D6" w:rsidRDefault="005051D6" w:rsidP="00741F4A">
      <w:pPr>
        <w:jc w:val="both"/>
        <w:rPr>
          <w:rFonts w:eastAsia="Times New Roman"/>
          <w:sz w:val="24"/>
          <w:szCs w:val="24"/>
          <w:lang w:eastAsia="zh-CN"/>
        </w:rPr>
      </w:pPr>
    </w:p>
    <w:p w14:paraId="25806D73" w14:textId="77777777" w:rsidR="00931BC9" w:rsidRPr="00931BC9" w:rsidRDefault="00931BC9" w:rsidP="00931BC9">
      <w:pPr>
        <w:jc w:val="both"/>
        <w:rPr>
          <w:rFonts w:eastAsia="Times New Roman"/>
          <w:sz w:val="24"/>
          <w:szCs w:val="24"/>
          <w:lang w:eastAsia="zh-CN"/>
        </w:rPr>
      </w:pPr>
      <w:r w:rsidRPr="00931BC9">
        <w:rPr>
          <w:rFonts w:eastAsia="Times New Roman"/>
          <w:sz w:val="24"/>
          <w:szCs w:val="24"/>
          <w:lang w:eastAsia="zh-CN"/>
        </w:rPr>
        <w:t>3.5. Model Performance Across Cloud Regimes</w:t>
      </w:r>
    </w:p>
    <w:p w14:paraId="4AF3A64D" w14:textId="77777777" w:rsidR="00931BC9" w:rsidRPr="00931BC9" w:rsidRDefault="00931BC9" w:rsidP="00931BC9">
      <w:pPr>
        <w:jc w:val="both"/>
        <w:rPr>
          <w:rFonts w:eastAsia="Times New Roman"/>
          <w:sz w:val="24"/>
          <w:szCs w:val="24"/>
          <w:lang w:eastAsia="zh-CN"/>
        </w:rPr>
      </w:pPr>
    </w:p>
    <w:p w14:paraId="45290826" w14:textId="20F8F1CC" w:rsidR="000478C4" w:rsidRPr="000478C4" w:rsidRDefault="000478C4" w:rsidP="000478C4">
      <w:pPr>
        <w:shd w:val="clear" w:color="auto" w:fill="FFFFFF"/>
        <w:spacing w:line="480" w:lineRule="auto"/>
        <w:ind w:firstLine="720"/>
        <w:jc w:val="both"/>
        <w:rPr>
          <w:rFonts w:eastAsia="Times New Roman"/>
          <w:sz w:val="24"/>
          <w:szCs w:val="24"/>
        </w:rPr>
      </w:pPr>
      <w:r w:rsidRPr="000478C4">
        <w:rPr>
          <w:rFonts w:eastAsia="Times New Roman"/>
          <w:sz w:val="24"/>
          <w:szCs w:val="24"/>
        </w:rPr>
        <w:t>A detailed examination of each cloud type elucidates the specific sources of model bias and their systematic link to ECS, revealing a clear hierarchy in model performance.</w:t>
      </w:r>
    </w:p>
    <w:p w14:paraId="522A84E1" w14:textId="77777777" w:rsidR="000478C4" w:rsidRPr="000478C4" w:rsidRDefault="000478C4" w:rsidP="000478C4">
      <w:pPr>
        <w:shd w:val="clear" w:color="auto" w:fill="FFFFFF"/>
        <w:spacing w:line="480" w:lineRule="auto"/>
        <w:ind w:firstLine="720"/>
        <w:jc w:val="both"/>
        <w:rPr>
          <w:rFonts w:eastAsia="Times New Roman"/>
          <w:sz w:val="24"/>
          <w:szCs w:val="24"/>
        </w:rPr>
      </w:pPr>
    </w:p>
    <w:p w14:paraId="44388BDF" w14:textId="6C36130F" w:rsidR="000478C4" w:rsidRPr="000478C4" w:rsidRDefault="000478C4" w:rsidP="000478C4">
      <w:pPr>
        <w:shd w:val="clear" w:color="auto" w:fill="FFFFFF"/>
        <w:spacing w:line="480" w:lineRule="auto"/>
        <w:ind w:firstLine="720"/>
        <w:jc w:val="both"/>
        <w:rPr>
          <w:rFonts w:eastAsia="Times New Roman"/>
          <w:sz w:val="24"/>
          <w:szCs w:val="24"/>
        </w:rPr>
      </w:pPr>
      <w:r w:rsidRPr="000478C4">
        <w:rPr>
          <w:rFonts w:eastAsia="Times New Roman"/>
          <w:sz w:val="24"/>
          <w:szCs w:val="24"/>
        </w:rPr>
        <w:t xml:space="preserve">The simulation of Multi-layer Clouds (MLC) reveals a direct ECS dependence. As illustrated in Figure </w:t>
      </w:r>
      <w:r w:rsidR="00307245">
        <w:rPr>
          <w:rFonts w:eastAsia="Times New Roman" w:hint="eastAsia"/>
          <w:sz w:val="24"/>
          <w:szCs w:val="24"/>
          <w:lang w:eastAsia="zh-CN"/>
        </w:rPr>
        <w:t>9</w:t>
      </w:r>
      <w:r w:rsidRPr="000478C4">
        <w:rPr>
          <w:rFonts w:eastAsia="Times New Roman"/>
          <w:sz w:val="24"/>
          <w:szCs w:val="24"/>
        </w:rPr>
        <w:t>, the high-ECS CESM2 model realistically captures the observed winter enhancement and the deep vertical structure of MLC. In stark contrast, the low-ECS MPI-ESM model significantly underestimates both the mean amount and the seasonal amplitude, failing to produce the robust winter peak. This divergence underscores that a model's capacity to represent clouds tied to large-scale dynamical uplift is a key determinant of its climate sensitivity.</w:t>
      </w:r>
    </w:p>
    <w:p w14:paraId="485AC593" w14:textId="77777777" w:rsidR="000478C4" w:rsidRDefault="000478C4" w:rsidP="000478C4">
      <w:pPr>
        <w:shd w:val="clear" w:color="auto" w:fill="FFFFFF"/>
        <w:spacing w:line="480" w:lineRule="auto"/>
        <w:jc w:val="both"/>
        <w:rPr>
          <w:rFonts w:eastAsia="Times New Roman"/>
          <w:sz w:val="24"/>
          <w:szCs w:val="24"/>
          <w:lang w:eastAsia="zh-CN"/>
        </w:rPr>
      </w:pPr>
    </w:p>
    <w:p w14:paraId="07E963F6" w14:textId="77777777" w:rsidR="000478C4" w:rsidRDefault="000478C4" w:rsidP="000478C4">
      <w:pPr>
        <w:keepNext/>
        <w:jc w:val="center"/>
      </w:pPr>
      <w:r w:rsidRPr="00B067C4">
        <w:rPr>
          <w:noProof/>
        </w:rPr>
        <w:drawing>
          <wp:inline distT="0" distB="0" distL="0" distR="0" wp14:anchorId="39C750ED" wp14:editId="546706E0">
            <wp:extent cx="4786678" cy="4254762"/>
            <wp:effectExtent l="0" t="0" r="1270" b="0"/>
            <wp:docPr id="469124787" name="图片 1"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08413" name="图片 1" descr="图片包含 图示&#10;&#10;AI 生成的内容可能不正确。"/>
                    <pic:cNvPicPr/>
                  </pic:nvPicPr>
                  <pic:blipFill>
                    <a:blip r:embed="rId24"/>
                    <a:stretch>
                      <a:fillRect/>
                    </a:stretch>
                  </pic:blipFill>
                  <pic:spPr>
                    <a:xfrm>
                      <a:off x="0" y="0"/>
                      <a:ext cx="4848213" cy="4309459"/>
                    </a:xfrm>
                    <a:prstGeom prst="rect">
                      <a:avLst/>
                    </a:prstGeom>
                  </pic:spPr>
                </pic:pic>
              </a:graphicData>
            </a:graphic>
          </wp:inline>
        </w:drawing>
      </w:r>
    </w:p>
    <w:p w14:paraId="1FAC8DC4" w14:textId="56B56D1E" w:rsidR="000478C4" w:rsidRPr="0022166B" w:rsidRDefault="000478C4" w:rsidP="000478C4">
      <w:pPr>
        <w:pStyle w:val="Caption"/>
        <w:rPr>
          <w:rFonts w:ascii="Times New Roman" w:hAnsi="Times New Roman" w:cs="Times New Roman"/>
          <w:sz w:val="21"/>
          <w:szCs w:val="21"/>
        </w:rPr>
      </w:pPr>
      <w:bookmarkStart w:id="9" w:name="_Toc213082868"/>
      <w:r w:rsidRPr="0022166B">
        <w:rPr>
          <w:rFonts w:ascii="Times New Roman" w:hAnsi="Times New Roman" w:cs="Times New Roman"/>
          <w:sz w:val="21"/>
          <w:szCs w:val="21"/>
        </w:rPr>
        <w:t xml:space="preserve">Figure </w:t>
      </w:r>
      <w:r w:rsidR="00307245">
        <w:rPr>
          <w:rFonts w:ascii="Times New Roman" w:hAnsi="Times New Roman" w:cs="Times New Roman" w:hint="eastAsia"/>
          <w:sz w:val="21"/>
          <w:szCs w:val="21"/>
        </w:rPr>
        <w:t>9</w:t>
      </w:r>
      <w:r w:rsidRPr="0022166B">
        <w:rPr>
          <w:rFonts w:ascii="Times New Roman" w:hAnsi="Times New Roman" w:cs="Times New Roman"/>
          <w:sz w:val="21"/>
          <w:szCs w:val="21"/>
        </w:rPr>
        <w:t>. Seasonal cycle of the MLC vertical structure from observations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and models (MPI-ESM, CESM2)</w:t>
      </w:r>
      <w:r w:rsidRPr="0022166B">
        <w:rPr>
          <w:rFonts w:ascii="Times New Roman" w:hAnsi="Times New Roman" w:cs="Times New Roman" w:hint="eastAsia"/>
          <w:sz w:val="21"/>
          <w:szCs w:val="21"/>
        </w:rPr>
        <w:t xml:space="preserve"> </w:t>
      </w:r>
      <w:r w:rsidRPr="0022166B">
        <w:rPr>
          <w:rFonts w:ascii="Times New Roman" w:hAnsi="Times New Roman" w:cs="Times New Roman"/>
          <w:sz w:val="21"/>
          <w:szCs w:val="21"/>
        </w:rPr>
        <w:t>at 40°N. Panels (a-c) present the actual values, and panels (d-f) show the values with the annual mean removed.</w:t>
      </w:r>
      <w:bookmarkEnd w:id="9"/>
    </w:p>
    <w:p w14:paraId="3AE136F9" w14:textId="77777777" w:rsidR="000478C4" w:rsidRPr="000478C4" w:rsidRDefault="000478C4" w:rsidP="000478C4">
      <w:pPr>
        <w:shd w:val="clear" w:color="auto" w:fill="FFFFFF"/>
        <w:spacing w:line="480" w:lineRule="auto"/>
        <w:jc w:val="both"/>
        <w:rPr>
          <w:rFonts w:eastAsia="Times New Roman"/>
          <w:sz w:val="24"/>
          <w:szCs w:val="24"/>
          <w:lang w:eastAsia="zh-CN"/>
        </w:rPr>
      </w:pPr>
    </w:p>
    <w:p w14:paraId="5D5A70E4" w14:textId="13E41CE0" w:rsidR="000478C4" w:rsidRPr="000478C4" w:rsidRDefault="000478C4" w:rsidP="000478C4">
      <w:pPr>
        <w:shd w:val="clear" w:color="auto" w:fill="FFFFFF"/>
        <w:spacing w:line="480" w:lineRule="auto"/>
        <w:ind w:firstLine="720"/>
        <w:jc w:val="both"/>
        <w:rPr>
          <w:rFonts w:eastAsia="Times New Roman"/>
          <w:sz w:val="24"/>
          <w:szCs w:val="24"/>
        </w:rPr>
      </w:pPr>
      <w:r w:rsidRPr="000478C4">
        <w:rPr>
          <w:rFonts w:eastAsia="Times New Roman"/>
          <w:sz w:val="24"/>
          <w:szCs w:val="24"/>
        </w:rPr>
        <w:t>Upper Boundary-layer Clouds (UBC) emerge as a critical differentiator where most models fail. The analysis in Figure 1</w:t>
      </w:r>
      <w:r w:rsidR="00307245">
        <w:rPr>
          <w:rFonts w:eastAsia="Times New Roman" w:hint="eastAsia"/>
          <w:sz w:val="24"/>
          <w:szCs w:val="24"/>
          <w:lang w:eastAsia="zh-CN"/>
        </w:rPr>
        <w:t>0</w:t>
      </w:r>
      <w:r w:rsidRPr="000478C4">
        <w:rPr>
          <w:rFonts w:eastAsia="Times New Roman"/>
          <w:sz w:val="24"/>
          <w:szCs w:val="24"/>
        </w:rPr>
        <w:t xml:space="preserve"> shows that CESM2 reproduces the observed winter-maximum cycle of UBC reasonably well, albeit with a slight high bias in cloud-top height. MPI-ESM, however, exhibits a profoundly deficient UBC fraction and a nearly absent seasonal cycle, which effectively eliminates its critical contribution to the winter peak in the total low-cloud signal. This pervasive model shortfall points to a common deficiency in representing cloud processes at the interface of the boundary layer and the free atmosphere.</w:t>
      </w:r>
    </w:p>
    <w:p w14:paraId="71A9C885" w14:textId="77777777" w:rsidR="000478C4" w:rsidRDefault="000478C4" w:rsidP="000478C4">
      <w:pPr>
        <w:shd w:val="clear" w:color="auto" w:fill="FFFFFF"/>
        <w:spacing w:line="480" w:lineRule="auto"/>
        <w:jc w:val="both"/>
        <w:rPr>
          <w:rFonts w:eastAsia="Times New Roman"/>
          <w:sz w:val="24"/>
          <w:szCs w:val="24"/>
          <w:lang w:eastAsia="zh-CN"/>
        </w:rPr>
      </w:pPr>
    </w:p>
    <w:p w14:paraId="40B0BB3E" w14:textId="77777777" w:rsidR="000478C4" w:rsidRDefault="000478C4" w:rsidP="000478C4">
      <w:pPr>
        <w:keepNext/>
        <w:jc w:val="center"/>
      </w:pPr>
      <w:r w:rsidRPr="00D06F73">
        <w:rPr>
          <w:noProof/>
        </w:rPr>
        <w:drawing>
          <wp:inline distT="0" distB="0" distL="0" distR="0" wp14:anchorId="05EAE17A" wp14:editId="1ED8BFFE">
            <wp:extent cx="5274310" cy="4688205"/>
            <wp:effectExtent l="0" t="0" r="0" b="0"/>
            <wp:docPr id="1703852137"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00000" name="图片 1" descr="图形用户界面&#10;&#10;AI 生成的内容可能不正确。"/>
                    <pic:cNvPicPr/>
                  </pic:nvPicPr>
                  <pic:blipFill>
                    <a:blip r:embed="rId25"/>
                    <a:stretch>
                      <a:fillRect/>
                    </a:stretch>
                  </pic:blipFill>
                  <pic:spPr>
                    <a:xfrm>
                      <a:off x="0" y="0"/>
                      <a:ext cx="5274310" cy="4688205"/>
                    </a:xfrm>
                    <a:prstGeom prst="rect">
                      <a:avLst/>
                    </a:prstGeom>
                  </pic:spPr>
                </pic:pic>
              </a:graphicData>
            </a:graphic>
          </wp:inline>
        </w:drawing>
      </w:r>
    </w:p>
    <w:p w14:paraId="570C1768" w14:textId="79AC1900" w:rsidR="000478C4" w:rsidRPr="0022166B" w:rsidRDefault="000478C4" w:rsidP="000478C4">
      <w:pPr>
        <w:pStyle w:val="Caption"/>
        <w:rPr>
          <w:rFonts w:ascii="Times New Roman" w:hAnsi="Times New Roman" w:cs="Times New Roman"/>
          <w:sz w:val="21"/>
          <w:szCs w:val="21"/>
        </w:rPr>
      </w:pPr>
      <w:bookmarkStart w:id="10" w:name="_Toc213082869"/>
      <w:r w:rsidRPr="0022166B">
        <w:rPr>
          <w:rFonts w:ascii="Times New Roman" w:hAnsi="Times New Roman" w:cs="Times New Roman"/>
          <w:sz w:val="21"/>
          <w:szCs w:val="21"/>
        </w:rPr>
        <w:t xml:space="preserve">Figure </w:t>
      </w:r>
      <w:r w:rsidRPr="0022166B">
        <w:rPr>
          <w:rFonts w:ascii="Times New Roman" w:hAnsi="Times New Roman" w:cs="Times New Roman"/>
          <w:sz w:val="21"/>
          <w:szCs w:val="21"/>
        </w:rPr>
        <w:fldChar w:fldCharType="begin"/>
      </w:r>
      <w:r w:rsidRPr="0022166B">
        <w:rPr>
          <w:rFonts w:ascii="Times New Roman" w:hAnsi="Times New Roman" w:cs="Times New Roman"/>
          <w:sz w:val="21"/>
          <w:szCs w:val="21"/>
        </w:rPr>
        <w:instrText xml:space="preserve"> SEQ Figure \* ARABIC </w:instrText>
      </w:r>
      <w:r w:rsidRPr="0022166B">
        <w:rPr>
          <w:rFonts w:ascii="Times New Roman" w:hAnsi="Times New Roman" w:cs="Times New Roman"/>
          <w:sz w:val="21"/>
          <w:szCs w:val="21"/>
        </w:rPr>
        <w:fldChar w:fldCharType="separate"/>
      </w:r>
      <w:r>
        <w:rPr>
          <w:rFonts w:ascii="Times New Roman" w:hAnsi="Times New Roman" w:cs="Times New Roman"/>
          <w:noProof/>
          <w:sz w:val="21"/>
          <w:szCs w:val="21"/>
        </w:rPr>
        <w:t>1</w:t>
      </w:r>
      <w:r w:rsidR="00307245">
        <w:rPr>
          <w:rFonts w:ascii="Times New Roman" w:hAnsi="Times New Roman" w:cs="Times New Roman" w:hint="eastAsia"/>
          <w:noProof/>
          <w:sz w:val="21"/>
          <w:szCs w:val="21"/>
        </w:rPr>
        <w:t>0</w:t>
      </w:r>
      <w:r w:rsidRPr="0022166B">
        <w:rPr>
          <w:rFonts w:ascii="Times New Roman" w:hAnsi="Times New Roman" w:cs="Times New Roman"/>
          <w:sz w:val="21"/>
          <w:szCs w:val="21"/>
        </w:rPr>
        <w:fldChar w:fldCharType="end"/>
      </w:r>
      <w:r w:rsidRPr="0022166B">
        <w:rPr>
          <w:rFonts w:ascii="Times New Roman" w:hAnsi="Times New Roman" w:cs="Times New Roman"/>
          <w:sz w:val="21"/>
          <w:szCs w:val="21"/>
        </w:rPr>
        <w:t>. Seasonal cycle of the UBC vertical structure from observations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and models (MPI-ESM, CESM2) at 40°N. Panels (a-c) present the actual values, and panels (d-f) show the values with the annual mean removed.</w:t>
      </w:r>
      <w:bookmarkEnd w:id="10"/>
    </w:p>
    <w:p w14:paraId="0B0175A4" w14:textId="77777777" w:rsidR="000478C4" w:rsidRPr="000478C4" w:rsidRDefault="000478C4" w:rsidP="000478C4">
      <w:pPr>
        <w:shd w:val="clear" w:color="auto" w:fill="FFFFFF"/>
        <w:spacing w:line="480" w:lineRule="auto"/>
        <w:jc w:val="both"/>
        <w:rPr>
          <w:rFonts w:eastAsia="Times New Roman"/>
          <w:sz w:val="24"/>
          <w:szCs w:val="24"/>
          <w:lang w:eastAsia="zh-CN"/>
        </w:rPr>
      </w:pPr>
    </w:p>
    <w:p w14:paraId="197E9386" w14:textId="6926ED08" w:rsidR="000478C4" w:rsidRPr="000478C4" w:rsidRDefault="000478C4" w:rsidP="000478C4">
      <w:pPr>
        <w:shd w:val="clear" w:color="auto" w:fill="FFFFFF"/>
        <w:spacing w:line="480" w:lineRule="auto"/>
        <w:ind w:firstLine="720"/>
        <w:jc w:val="both"/>
        <w:rPr>
          <w:rFonts w:eastAsia="Times New Roman"/>
          <w:sz w:val="24"/>
          <w:szCs w:val="24"/>
        </w:rPr>
      </w:pPr>
      <w:r w:rsidRPr="000478C4">
        <w:rPr>
          <w:rFonts w:eastAsia="Times New Roman"/>
          <w:sz w:val="24"/>
          <w:szCs w:val="24"/>
        </w:rPr>
        <w:t>In sharp contrast to the other regimes, the physics governing Lower Boundary-layer Clouds (LBC) are robust across models. Figure 1</w:t>
      </w:r>
      <w:r w:rsidR="00CB4CC2">
        <w:rPr>
          <w:rFonts w:eastAsia="Times New Roman" w:hint="eastAsia"/>
          <w:sz w:val="24"/>
          <w:szCs w:val="24"/>
          <w:lang w:eastAsia="zh-CN"/>
        </w:rPr>
        <w:t>1</w:t>
      </w:r>
      <w:r w:rsidRPr="000478C4">
        <w:rPr>
          <w:rFonts w:eastAsia="Times New Roman"/>
          <w:sz w:val="24"/>
          <w:szCs w:val="24"/>
        </w:rPr>
        <w:t xml:space="preserve"> demonstrates that both CESM2 and MPI-ESM successfully capture the observed summer-maximum seasonal cycle of LBC. This confirms that the boundary-layer processes primarily responsible for LBC are relatively well-constrained and are not a primary driver of the inter-model spread in ECS.</w:t>
      </w:r>
    </w:p>
    <w:p w14:paraId="27EE433D" w14:textId="77777777" w:rsidR="000478C4" w:rsidRDefault="000478C4" w:rsidP="000478C4">
      <w:pPr>
        <w:shd w:val="clear" w:color="auto" w:fill="FFFFFF"/>
        <w:spacing w:line="480" w:lineRule="auto"/>
        <w:jc w:val="both"/>
        <w:rPr>
          <w:rFonts w:eastAsia="Times New Roman"/>
          <w:sz w:val="24"/>
          <w:szCs w:val="24"/>
          <w:lang w:eastAsia="zh-CN"/>
        </w:rPr>
      </w:pPr>
    </w:p>
    <w:p w14:paraId="110D0AB9" w14:textId="77777777" w:rsidR="000478C4" w:rsidRDefault="000478C4" w:rsidP="000478C4">
      <w:pPr>
        <w:keepNext/>
        <w:jc w:val="center"/>
      </w:pPr>
      <w:r w:rsidRPr="00D06F73">
        <w:rPr>
          <w:noProof/>
        </w:rPr>
        <w:drawing>
          <wp:inline distT="0" distB="0" distL="0" distR="0" wp14:anchorId="728E6078" wp14:editId="5B17C29E">
            <wp:extent cx="5274310" cy="4688205"/>
            <wp:effectExtent l="0" t="0" r="0" b="0"/>
            <wp:docPr id="2082770263" name="图片 1" descr="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690149" name="图片 1" descr="日历&#10;&#10;AI 生成的内容可能不正确。"/>
                    <pic:cNvPicPr/>
                  </pic:nvPicPr>
                  <pic:blipFill>
                    <a:blip r:embed="rId26"/>
                    <a:stretch>
                      <a:fillRect/>
                    </a:stretch>
                  </pic:blipFill>
                  <pic:spPr>
                    <a:xfrm>
                      <a:off x="0" y="0"/>
                      <a:ext cx="5274310" cy="4688205"/>
                    </a:xfrm>
                    <a:prstGeom prst="rect">
                      <a:avLst/>
                    </a:prstGeom>
                  </pic:spPr>
                </pic:pic>
              </a:graphicData>
            </a:graphic>
          </wp:inline>
        </w:drawing>
      </w:r>
    </w:p>
    <w:p w14:paraId="3C610F22" w14:textId="780C2257" w:rsidR="000478C4" w:rsidRPr="0022166B" w:rsidRDefault="000478C4" w:rsidP="000478C4">
      <w:pPr>
        <w:pStyle w:val="Caption"/>
        <w:rPr>
          <w:rFonts w:ascii="Times New Roman" w:hAnsi="Times New Roman" w:cs="Times New Roman"/>
          <w:sz w:val="21"/>
          <w:szCs w:val="21"/>
        </w:rPr>
      </w:pPr>
      <w:bookmarkStart w:id="11" w:name="_Toc213082870"/>
      <w:r w:rsidRPr="0022166B">
        <w:rPr>
          <w:rFonts w:ascii="Times New Roman" w:hAnsi="Times New Roman" w:cs="Times New Roman"/>
          <w:sz w:val="21"/>
          <w:szCs w:val="21"/>
        </w:rPr>
        <w:t xml:space="preserve">Figure </w:t>
      </w:r>
      <w:r w:rsidRPr="0022166B">
        <w:rPr>
          <w:rFonts w:ascii="Times New Roman" w:hAnsi="Times New Roman" w:cs="Times New Roman"/>
          <w:sz w:val="21"/>
          <w:szCs w:val="21"/>
        </w:rPr>
        <w:fldChar w:fldCharType="begin"/>
      </w:r>
      <w:r w:rsidRPr="0022166B">
        <w:rPr>
          <w:rFonts w:ascii="Times New Roman" w:hAnsi="Times New Roman" w:cs="Times New Roman"/>
          <w:sz w:val="21"/>
          <w:szCs w:val="21"/>
        </w:rPr>
        <w:instrText xml:space="preserve"> SEQ Figure \* ARABIC </w:instrText>
      </w:r>
      <w:r w:rsidRPr="0022166B">
        <w:rPr>
          <w:rFonts w:ascii="Times New Roman" w:hAnsi="Times New Roman" w:cs="Times New Roman"/>
          <w:sz w:val="21"/>
          <w:szCs w:val="21"/>
        </w:rPr>
        <w:fldChar w:fldCharType="separate"/>
      </w:r>
      <w:r>
        <w:rPr>
          <w:rFonts w:ascii="Times New Roman" w:hAnsi="Times New Roman" w:cs="Times New Roman"/>
          <w:noProof/>
          <w:sz w:val="21"/>
          <w:szCs w:val="21"/>
        </w:rPr>
        <w:t>1</w:t>
      </w:r>
      <w:r w:rsidR="00CB4CC2">
        <w:rPr>
          <w:rFonts w:ascii="Times New Roman" w:hAnsi="Times New Roman" w:cs="Times New Roman" w:hint="eastAsia"/>
          <w:noProof/>
          <w:sz w:val="21"/>
          <w:szCs w:val="21"/>
        </w:rPr>
        <w:t>1</w:t>
      </w:r>
      <w:r w:rsidRPr="0022166B">
        <w:rPr>
          <w:rFonts w:ascii="Times New Roman" w:hAnsi="Times New Roman" w:cs="Times New Roman"/>
          <w:sz w:val="21"/>
          <w:szCs w:val="21"/>
        </w:rPr>
        <w:fldChar w:fldCharType="end"/>
      </w:r>
      <w:r w:rsidRPr="0022166B">
        <w:rPr>
          <w:rFonts w:ascii="Times New Roman" w:hAnsi="Times New Roman" w:cs="Times New Roman"/>
          <w:sz w:val="21"/>
          <w:szCs w:val="21"/>
        </w:rPr>
        <w:t>. Seasonal cycle of the LBC vertical structure from observations (</w:t>
      </w:r>
      <w:proofErr w:type="spellStart"/>
      <w:r w:rsidRPr="0022166B">
        <w:rPr>
          <w:rFonts w:ascii="Times New Roman" w:hAnsi="Times New Roman" w:cs="Times New Roman"/>
          <w:sz w:val="21"/>
          <w:szCs w:val="21"/>
        </w:rPr>
        <w:t>CloudSat</w:t>
      </w:r>
      <w:proofErr w:type="spellEnd"/>
      <w:r w:rsidRPr="0022166B">
        <w:rPr>
          <w:rFonts w:ascii="Times New Roman" w:hAnsi="Times New Roman" w:cs="Times New Roman"/>
          <w:sz w:val="21"/>
          <w:szCs w:val="21"/>
        </w:rPr>
        <w:t>) and models (MPI-ESM, CESM2) at 40°N. Panels (a-c) present the actual values, and panels (d-f) show the values with the annual mean removed.</w:t>
      </w:r>
      <w:bookmarkEnd w:id="11"/>
    </w:p>
    <w:p w14:paraId="571C4BE9" w14:textId="77777777" w:rsidR="000478C4" w:rsidRPr="000478C4" w:rsidRDefault="000478C4" w:rsidP="000478C4">
      <w:pPr>
        <w:shd w:val="clear" w:color="auto" w:fill="FFFFFF"/>
        <w:spacing w:line="480" w:lineRule="auto"/>
        <w:jc w:val="both"/>
        <w:rPr>
          <w:rFonts w:eastAsia="Times New Roman"/>
          <w:sz w:val="24"/>
          <w:szCs w:val="24"/>
          <w:lang w:eastAsia="zh-CN"/>
        </w:rPr>
      </w:pPr>
    </w:p>
    <w:p w14:paraId="7F3FB853" w14:textId="7A96408A" w:rsidR="00A9373B" w:rsidRDefault="000478C4" w:rsidP="000478C4">
      <w:pPr>
        <w:shd w:val="clear" w:color="auto" w:fill="FFFFFF"/>
        <w:spacing w:line="480" w:lineRule="auto"/>
        <w:ind w:firstLine="720"/>
        <w:jc w:val="both"/>
        <w:rPr>
          <w:rFonts w:eastAsia="Times New Roman"/>
          <w:sz w:val="24"/>
          <w:szCs w:val="24"/>
          <w:lang w:eastAsia="zh-CN"/>
        </w:rPr>
      </w:pPr>
      <w:r w:rsidRPr="000478C4">
        <w:rPr>
          <w:rFonts w:eastAsia="Times New Roman"/>
          <w:sz w:val="24"/>
          <w:szCs w:val="24"/>
        </w:rPr>
        <w:t xml:space="preserve">In summary, model biases are not uniformly distributed but are concentrated in the cloud regimes most influenced by large-scale dynamics—specifically MLC and UBC. A model's fidelity in simulating the abundance and seasonal cycle of these </w:t>
      </w:r>
      <w:proofErr w:type="gramStart"/>
      <w:r w:rsidRPr="000478C4">
        <w:rPr>
          <w:rFonts w:eastAsia="Times New Roman"/>
          <w:sz w:val="24"/>
          <w:szCs w:val="24"/>
        </w:rPr>
        <w:t>particular clouds</w:t>
      </w:r>
      <w:proofErr w:type="gramEnd"/>
      <w:r w:rsidRPr="000478C4">
        <w:rPr>
          <w:rFonts w:eastAsia="Times New Roman"/>
          <w:sz w:val="24"/>
          <w:szCs w:val="24"/>
        </w:rPr>
        <w:t>, rather than the total low cloud fraction, is fundamentally linked to its equilibrium climate sensitivity.</w:t>
      </w:r>
    </w:p>
    <w:p w14:paraId="72F44939" w14:textId="77777777" w:rsidR="00170D3E" w:rsidRDefault="00170D3E" w:rsidP="00170D3E">
      <w:pPr>
        <w:shd w:val="clear" w:color="auto" w:fill="FFFFFF"/>
        <w:spacing w:line="480" w:lineRule="auto"/>
        <w:jc w:val="both"/>
        <w:rPr>
          <w:sz w:val="24"/>
          <w:lang w:eastAsia="zh-CN"/>
        </w:rPr>
      </w:pPr>
    </w:p>
    <w:p w14:paraId="2C1A1199" w14:textId="51E8EED3" w:rsidR="00A9373B" w:rsidRPr="00BA1622" w:rsidRDefault="00A9373B" w:rsidP="00BA1622">
      <w:pPr>
        <w:pStyle w:val="Heading-Main"/>
        <w:rPr>
          <w:kern w:val="0"/>
        </w:rPr>
      </w:pPr>
      <w:r w:rsidRPr="00BA1622">
        <w:rPr>
          <w:kern w:val="0"/>
        </w:rPr>
        <w:t>4 Discussion</w:t>
      </w:r>
    </w:p>
    <w:p w14:paraId="10B6EB47" w14:textId="77777777" w:rsidR="00621B13" w:rsidRPr="00BA1622" w:rsidRDefault="00621B13" w:rsidP="00BA1622">
      <w:pPr>
        <w:pStyle w:val="Heading-Main"/>
        <w:rPr>
          <w:kern w:val="0"/>
        </w:rPr>
      </w:pPr>
      <w:r w:rsidRPr="00BA1622">
        <w:rPr>
          <w:kern w:val="0"/>
        </w:rPr>
        <w:t>4.1. Synthesizing the Mechanism for Reconciling Discrepancies</w:t>
      </w:r>
    </w:p>
    <w:p w14:paraId="546CB6A4" w14:textId="77777777" w:rsidR="00621B13" w:rsidRPr="00621B13" w:rsidRDefault="00621B13" w:rsidP="00621B13">
      <w:pPr>
        <w:rPr>
          <w:rFonts w:eastAsia="Times New Roman"/>
          <w:sz w:val="24"/>
          <w:szCs w:val="24"/>
          <w:lang w:eastAsia="zh-CN"/>
        </w:rPr>
      </w:pPr>
    </w:p>
    <w:p w14:paraId="69A7A617"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This study provides a mechanistic resolution to the recent conundrum in the literature regarding the extratropical low-cloud seasonal cycle and its link to ECS. We demonstrate that the apparent contradiction between Jiang et al. (2023) and Furtado et al. (2023) is not a fundamental physical disagreement but rather a consequence of two interrelated factors: the monolithic treatment of "low clouds" and the limitations of passive satellite observations.</w:t>
      </w:r>
    </w:p>
    <w:p w14:paraId="5F9BAB80" w14:textId="77777777" w:rsidR="00621B13" w:rsidRPr="00621B13" w:rsidRDefault="00621B13" w:rsidP="00F529BC">
      <w:pPr>
        <w:shd w:val="clear" w:color="auto" w:fill="FFFFFF"/>
        <w:spacing w:line="480" w:lineRule="auto"/>
        <w:jc w:val="both"/>
        <w:rPr>
          <w:rFonts w:eastAsia="Times New Roman"/>
          <w:sz w:val="24"/>
          <w:szCs w:val="24"/>
        </w:rPr>
      </w:pPr>
    </w:p>
    <w:p w14:paraId="720F43F5"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 xml:space="preserve">The core of the issue lies in the composite nature of the low-cloud seasonal cycle. Our </w:t>
      </w:r>
      <w:proofErr w:type="gramStart"/>
      <w:r w:rsidRPr="00621B13">
        <w:rPr>
          <w:rFonts w:eastAsia="Times New Roman"/>
          <w:sz w:val="24"/>
          <w:szCs w:val="24"/>
        </w:rPr>
        <w:t>physically-based</w:t>
      </w:r>
      <w:proofErr w:type="gramEnd"/>
      <w:r w:rsidRPr="00621B13">
        <w:rPr>
          <w:rFonts w:eastAsia="Times New Roman"/>
          <w:sz w:val="24"/>
          <w:szCs w:val="24"/>
        </w:rPr>
        <w:t xml:space="preserve"> classification reveals that the winter-maximum signature is driven by clouds tied to large-scale dynamics (MLC and UBC), while the summer-maximum is a characteristic of boundary-layer-controlled clouds (LBC). The conclusion one draws depends entirely on which of these signals dominates the analyzed dataset. Jiang et al.'s (2023) definition, which is heavily weighted towards MLC, naturally captures the winter peak in observations and models that simulate MLC realistically. In contrast, the analysis framework of Furtado et al. (2023), when applied to models with a severely under-represented UBC fraction, becomes dominated by the LBC signal, leading to a spurious summer maximum. Therefore, the models' divergent seasonal cycles are a direct manifestation of their biases in simulating the correct mix of cloud regimes, particularly the underproduction of UBC and the ECS-dependent bias in MLC.</w:t>
      </w:r>
    </w:p>
    <w:p w14:paraId="4EAF14E0" w14:textId="77777777" w:rsidR="00621B13" w:rsidRPr="00621B13" w:rsidRDefault="00621B13" w:rsidP="00F529BC">
      <w:pPr>
        <w:shd w:val="clear" w:color="auto" w:fill="FFFFFF"/>
        <w:spacing w:line="480" w:lineRule="auto"/>
        <w:jc w:val="both"/>
        <w:rPr>
          <w:rFonts w:eastAsia="Times New Roman"/>
          <w:sz w:val="24"/>
          <w:szCs w:val="24"/>
        </w:rPr>
      </w:pPr>
    </w:p>
    <w:p w14:paraId="2DC0AD6B"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 xml:space="preserve">Furthermore, the choice of observational dataset either reveals or obscures these true physical signals. Our analysis confirms that passive sensor data like ISCCP, due to its well-documented inability to detect lower-level clouds under upper-level layers, systematically dampens the winter MLC/UBC signal. This observational bias artificially amplifies the model deficiencies, making the flawed model-simulated summer peak appear more credible. The convergence of the CALIPSO-informed CLARA dataset and </w:t>
      </w:r>
      <w:proofErr w:type="spellStart"/>
      <w:r w:rsidRPr="00621B13">
        <w:rPr>
          <w:rFonts w:eastAsia="Times New Roman"/>
          <w:sz w:val="24"/>
          <w:szCs w:val="24"/>
        </w:rPr>
        <w:t>CloudSat</w:t>
      </w:r>
      <w:proofErr w:type="spellEnd"/>
      <w:r w:rsidRPr="00621B13">
        <w:rPr>
          <w:rFonts w:eastAsia="Times New Roman"/>
          <w:sz w:val="24"/>
          <w:szCs w:val="24"/>
        </w:rPr>
        <w:t xml:space="preserve"> on a winter maximum underscores the critical importance of vertical resolving power for accurate model evaluation.</w:t>
      </w:r>
    </w:p>
    <w:p w14:paraId="53C9A5C1" w14:textId="77777777" w:rsidR="00621B13" w:rsidRPr="00621B13" w:rsidRDefault="00621B13" w:rsidP="00621B13">
      <w:pPr>
        <w:rPr>
          <w:rFonts w:eastAsia="Times New Roman"/>
          <w:sz w:val="24"/>
          <w:szCs w:val="24"/>
          <w:lang w:eastAsia="zh-CN"/>
        </w:rPr>
      </w:pPr>
    </w:p>
    <w:p w14:paraId="79E8CCAE" w14:textId="77777777" w:rsidR="00621B13" w:rsidRPr="00BA1622" w:rsidRDefault="00621B13" w:rsidP="00BA1622">
      <w:pPr>
        <w:pStyle w:val="Heading-Main"/>
        <w:rPr>
          <w:kern w:val="0"/>
        </w:rPr>
      </w:pPr>
      <w:r w:rsidRPr="00BA1622">
        <w:rPr>
          <w:kern w:val="0"/>
        </w:rPr>
        <w:t>4.2. Implications for Climate Models and Emergent Constraints</w:t>
      </w:r>
    </w:p>
    <w:p w14:paraId="73011ACE" w14:textId="77777777" w:rsidR="00621B13" w:rsidRPr="00621B13" w:rsidRDefault="00621B13" w:rsidP="00621B13">
      <w:pPr>
        <w:rPr>
          <w:rFonts w:eastAsia="Times New Roman"/>
          <w:sz w:val="24"/>
          <w:szCs w:val="24"/>
          <w:lang w:eastAsia="zh-CN"/>
        </w:rPr>
      </w:pPr>
    </w:p>
    <w:p w14:paraId="0C6E4ABF"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Our findings have profound implications for diagnosing and improving climate models. The pervasive underestimation of UBC across most models points to a common and critical deficiency in representing cloud processes at the boundary layer-free atmosphere interface. This is not a minor bias but a fundamental flaw that distorts the modeled radiative balance and its sensitivity to warming.</w:t>
      </w:r>
    </w:p>
    <w:p w14:paraId="7E36493D" w14:textId="77777777" w:rsidR="00621B13" w:rsidRPr="00621B13" w:rsidRDefault="00621B13" w:rsidP="00F529BC">
      <w:pPr>
        <w:shd w:val="clear" w:color="auto" w:fill="FFFFFF"/>
        <w:spacing w:line="480" w:lineRule="auto"/>
        <w:jc w:val="both"/>
        <w:rPr>
          <w:rFonts w:eastAsia="Times New Roman"/>
          <w:sz w:val="24"/>
          <w:szCs w:val="24"/>
        </w:rPr>
      </w:pPr>
    </w:p>
    <w:p w14:paraId="03A4B0C9"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 xml:space="preserve">More importantly, our work necessitates a paradigm shift in the search for emergent constraints on ECS. Constraints based on the seasonal cycle of total low cloud fraction are inherently fragile, as they blend the signals of cloud types with opposing behaviors and model biases. A more robust path forward is to develop constraints based on specific, </w:t>
      </w:r>
      <w:proofErr w:type="gramStart"/>
      <w:r w:rsidRPr="00621B13">
        <w:rPr>
          <w:rFonts w:eastAsia="Times New Roman"/>
          <w:sz w:val="24"/>
          <w:szCs w:val="24"/>
        </w:rPr>
        <w:t>physically-defined</w:t>
      </w:r>
      <w:proofErr w:type="gramEnd"/>
      <w:r w:rsidRPr="00621B13">
        <w:rPr>
          <w:rFonts w:eastAsia="Times New Roman"/>
          <w:sz w:val="24"/>
          <w:szCs w:val="24"/>
        </w:rPr>
        <w:t xml:space="preserve"> cloud regimes. For instance, the fidelity with which a model simulates the seasonal amplitude of MLC or the spatial distribution of UBC could serve as more powerful predictors of its climate sensitivity. This moves the community from seeking simple statistical relationships to testing models on their representation of underlying physical processes.</w:t>
      </w:r>
    </w:p>
    <w:p w14:paraId="601EB9A7" w14:textId="77777777" w:rsidR="00621B13" w:rsidRPr="00621B13" w:rsidRDefault="00621B13" w:rsidP="00F529BC">
      <w:pPr>
        <w:shd w:val="clear" w:color="auto" w:fill="FFFFFF"/>
        <w:spacing w:line="480" w:lineRule="auto"/>
        <w:jc w:val="both"/>
        <w:rPr>
          <w:rFonts w:eastAsia="Times New Roman"/>
          <w:sz w:val="24"/>
          <w:szCs w:val="24"/>
        </w:rPr>
      </w:pPr>
    </w:p>
    <w:p w14:paraId="15C52312"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While our study establishes a strong association between realistic cloud regime simulation and ECS, the direction of causality remains an open question. It is plausible that both the cloud biases and the ECS spread stem from common errors in representing large-scale dynamics and their coupling to cloud microphysics. However, regardless of the causal direction, our classification scheme provides a precise diagnostic tool for pinpointing the sources of model spread, offering clear targets for model development in the next generation of GCMs.</w:t>
      </w:r>
    </w:p>
    <w:p w14:paraId="46DF367E" w14:textId="77777777" w:rsidR="00621B13" w:rsidRPr="00621B13" w:rsidRDefault="00621B13" w:rsidP="00621B13">
      <w:pPr>
        <w:rPr>
          <w:rFonts w:eastAsia="Times New Roman"/>
          <w:sz w:val="24"/>
          <w:szCs w:val="24"/>
          <w:lang w:eastAsia="zh-CN"/>
        </w:rPr>
      </w:pPr>
    </w:p>
    <w:p w14:paraId="7C3A4827" w14:textId="77777777" w:rsidR="00621B13" w:rsidRPr="00BA1622" w:rsidRDefault="00621B13" w:rsidP="00BA1622">
      <w:pPr>
        <w:pStyle w:val="Heading-Main"/>
        <w:rPr>
          <w:kern w:val="0"/>
        </w:rPr>
      </w:pPr>
      <w:r w:rsidRPr="00BA1622">
        <w:rPr>
          <w:kern w:val="0"/>
        </w:rPr>
        <w:t>4.3. Limitations and Future Outlook</w:t>
      </w:r>
    </w:p>
    <w:p w14:paraId="62EEEBD7" w14:textId="77777777" w:rsidR="00621B13" w:rsidRPr="00621B13" w:rsidRDefault="00621B13" w:rsidP="00621B13">
      <w:pPr>
        <w:rPr>
          <w:rFonts w:eastAsia="Times New Roman"/>
          <w:sz w:val="24"/>
          <w:szCs w:val="24"/>
          <w:lang w:eastAsia="zh-CN"/>
        </w:rPr>
      </w:pPr>
    </w:p>
    <w:p w14:paraId="02DA71B3"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 xml:space="preserve">The primary limitation of this study is its reliance on the </w:t>
      </w:r>
      <w:proofErr w:type="spellStart"/>
      <w:r w:rsidRPr="00621B13">
        <w:rPr>
          <w:rFonts w:eastAsia="Times New Roman"/>
          <w:sz w:val="24"/>
          <w:szCs w:val="24"/>
        </w:rPr>
        <w:t>CloudSat</w:t>
      </w:r>
      <w:proofErr w:type="spellEnd"/>
      <w:r w:rsidRPr="00621B13">
        <w:rPr>
          <w:rFonts w:eastAsia="Times New Roman"/>
          <w:sz w:val="24"/>
          <w:szCs w:val="24"/>
        </w:rPr>
        <w:t xml:space="preserve">-CALIPSO record, which, while unparalleled in its vertical resolution, offers a relatively short temporal coverage. However, this dataset was indispensable for developing and validating our </w:t>
      </w:r>
      <w:proofErr w:type="gramStart"/>
      <w:r w:rsidRPr="00621B13">
        <w:rPr>
          <w:rFonts w:eastAsia="Times New Roman"/>
          <w:sz w:val="24"/>
          <w:szCs w:val="24"/>
        </w:rPr>
        <w:t>physically-based</w:t>
      </w:r>
      <w:proofErr w:type="gramEnd"/>
      <w:r w:rsidRPr="00621B13">
        <w:rPr>
          <w:rFonts w:eastAsia="Times New Roman"/>
          <w:sz w:val="24"/>
          <w:szCs w:val="24"/>
        </w:rPr>
        <w:t xml:space="preserve"> classification. Future work could explore blending this high-fidelity data with longer-term records to assess the robustness of the seasonal-interannual relationship for each cloud type.</w:t>
      </w:r>
    </w:p>
    <w:p w14:paraId="1148844C" w14:textId="77777777" w:rsidR="00621B13" w:rsidRPr="00621B13" w:rsidRDefault="00621B13" w:rsidP="00F529BC">
      <w:pPr>
        <w:shd w:val="clear" w:color="auto" w:fill="FFFFFF"/>
        <w:spacing w:line="480" w:lineRule="auto"/>
        <w:jc w:val="both"/>
        <w:rPr>
          <w:rFonts w:eastAsia="Times New Roman"/>
          <w:sz w:val="24"/>
          <w:szCs w:val="24"/>
        </w:rPr>
      </w:pPr>
    </w:p>
    <w:p w14:paraId="260807CB"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 xml:space="preserve">Another avenue for future research is to investigate the regional specificity of these biases. While our framework explains the zonal-mean discrepancies, the work of Furtado et al. (2023) highlights that regional </w:t>
      </w:r>
      <w:proofErr w:type="gramStart"/>
      <w:r w:rsidRPr="00621B13">
        <w:rPr>
          <w:rFonts w:eastAsia="Times New Roman"/>
          <w:sz w:val="24"/>
          <w:szCs w:val="24"/>
        </w:rPr>
        <w:t>feedbacks</w:t>
      </w:r>
      <w:proofErr w:type="gramEnd"/>
      <w:r w:rsidRPr="00621B13">
        <w:rPr>
          <w:rFonts w:eastAsia="Times New Roman"/>
          <w:sz w:val="24"/>
          <w:szCs w:val="24"/>
        </w:rPr>
        <w:t xml:space="preserve"> can modulate the overall signal. Applying our classification to key climatic regions could yield further insights into regional climate sensitivity.</w:t>
      </w:r>
    </w:p>
    <w:p w14:paraId="1D1FB95C" w14:textId="77777777" w:rsidR="00621B13" w:rsidRPr="00621B13" w:rsidRDefault="00621B13" w:rsidP="00F529BC">
      <w:pPr>
        <w:shd w:val="clear" w:color="auto" w:fill="FFFFFF"/>
        <w:spacing w:line="480" w:lineRule="auto"/>
        <w:jc w:val="both"/>
        <w:rPr>
          <w:rFonts w:eastAsia="Times New Roman"/>
          <w:sz w:val="24"/>
          <w:szCs w:val="24"/>
        </w:rPr>
      </w:pPr>
    </w:p>
    <w:p w14:paraId="3984B5F6" w14:textId="77777777" w:rsidR="00621B13" w:rsidRPr="00621B13" w:rsidRDefault="00621B13" w:rsidP="00F529BC">
      <w:pPr>
        <w:shd w:val="clear" w:color="auto" w:fill="FFFFFF"/>
        <w:spacing w:line="480" w:lineRule="auto"/>
        <w:ind w:firstLine="720"/>
        <w:jc w:val="both"/>
        <w:rPr>
          <w:rFonts w:eastAsia="Times New Roman"/>
          <w:sz w:val="24"/>
          <w:szCs w:val="24"/>
        </w:rPr>
      </w:pPr>
      <w:r w:rsidRPr="00621B13">
        <w:rPr>
          <w:rFonts w:eastAsia="Times New Roman"/>
          <w:sz w:val="24"/>
          <w:szCs w:val="24"/>
        </w:rPr>
        <w:t>In conclusion, this study moves the community beyond the oversimplified "low cloud" paradigm. We have shown that reconciling conflicting findings and reducing uncertainty in climate projections requires a disaggregated approach that respects the unique physics of different cloud types. By providing the lens through which to distinguish these regimes, we offer a clarified and mechanistic path forward for constraining the upper bound of equilibrium climate sensitivity.</w:t>
      </w:r>
    </w:p>
    <w:p w14:paraId="6C42F34C" w14:textId="7F409A3F" w:rsidR="00DF0D00" w:rsidRPr="005D78CE" w:rsidRDefault="00A9373B" w:rsidP="00621B13">
      <w:pPr>
        <w:pStyle w:val="Heading-Main"/>
        <w:rPr>
          <w:color w:val="000000" w:themeColor="text1"/>
          <w:kern w:val="0"/>
        </w:rPr>
      </w:pPr>
      <w:r w:rsidRPr="005D78CE">
        <w:rPr>
          <w:rFonts w:hint="eastAsia"/>
          <w:color w:val="000000" w:themeColor="text1"/>
          <w:kern w:val="0"/>
        </w:rPr>
        <w:t>5</w:t>
      </w:r>
      <w:r w:rsidR="000A3161" w:rsidRPr="005D78CE">
        <w:rPr>
          <w:rFonts w:hint="eastAsia"/>
          <w:color w:val="000000" w:themeColor="text1"/>
          <w:kern w:val="0"/>
        </w:rPr>
        <w:t xml:space="preserve"> </w:t>
      </w:r>
      <w:r w:rsidR="002F3B11" w:rsidRPr="005D78CE">
        <w:rPr>
          <w:color w:val="000000" w:themeColor="text1"/>
          <w:kern w:val="0"/>
        </w:rPr>
        <w:t>Conclusions</w:t>
      </w:r>
    </w:p>
    <w:p w14:paraId="558CFF30" w14:textId="77777777" w:rsidR="003F54CD" w:rsidRDefault="003F54CD" w:rsidP="003F54CD">
      <w:pPr>
        <w:shd w:val="clear" w:color="auto" w:fill="FFFFFF"/>
        <w:spacing w:line="480" w:lineRule="auto"/>
        <w:ind w:firstLine="720"/>
        <w:jc w:val="both"/>
        <w:rPr>
          <w:rFonts w:eastAsia="Times New Roman"/>
          <w:sz w:val="24"/>
          <w:szCs w:val="24"/>
          <w:lang w:eastAsia="zh-CN"/>
        </w:rPr>
      </w:pPr>
    </w:p>
    <w:p w14:paraId="5378B758" w14:textId="113FBEF2" w:rsidR="003F54CD" w:rsidRPr="003F54CD" w:rsidRDefault="003F54CD" w:rsidP="003F54CD">
      <w:pPr>
        <w:shd w:val="clear" w:color="auto" w:fill="FFFFFF"/>
        <w:spacing w:line="480" w:lineRule="auto"/>
        <w:ind w:firstLine="720"/>
        <w:jc w:val="both"/>
        <w:rPr>
          <w:rFonts w:eastAsia="Times New Roman"/>
          <w:sz w:val="24"/>
          <w:szCs w:val="24"/>
        </w:rPr>
      </w:pPr>
      <w:r w:rsidRPr="003F54CD">
        <w:rPr>
          <w:rFonts w:eastAsia="Times New Roman"/>
          <w:sz w:val="24"/>
          <w:szCs w:val="24"/>
        </w:rPr>
        <w:t>This study reconciles the recent dichotomy regarding the seasonal cycle of extratropical low clouds and its link to equilibrium climate sensitivity (ECS) by introducing a novel, physically-based framework that classifies marine low clouds into three distinct types based on cloud-top height: Multi-Layer Clouds (MLC), Upper Boundary-layer Clouds (UBC), and Lower Boundary-layer Clouds (LBC). Our analysis clarifies the prevailing confusion by establishing that the apparent contradiction in the literature stems from treating "low clouds" as a single entity. We demonstrate that the total low cloud fraction is a composite of regimes with opposing seasonal phasing: MLC and UBC, tied to large-scale dynamical forcing, peak in winter, whereas the boundary-layer-driven LBC peaks in summer.</w:t>
      </w:r>
    </w:p>
    <w:p w14:paraId="591E7B5E" w14:textId="77777777" w:rsidR="003F54CD" w:rsidRPr="003F54CD" w:rsidRDefault="003F54CD" w:rsidP="003F54CD">
      <w:pPr>
        <w:shd w:val="clear" w:color="auto" w:fill="FFFFFF"/>
        <w:spacing w:line="480" w:lineRule="auto"/>
        <w:ind w:firstLine="720"/>
        <w:jc w:val="both"/>
        <w:rPr>
          <w:rFonts w:eastAsia="Times New Roman"/>
          <w:sz w:val="24"/>
          <w:szCs w:val="24"/>
        </w:rPr>
      </w:pPr>
    </w:p>
    <w:p w14:paraId="016F9B2C" w14:textId="77777777" w:rsidR="003F54CD" w:rsidRPr="003F54CD" w:rsidRDefault="003F54CD" w:rsidP="003F54CD">
      <w:pPr>
        <w:shd w:val="clear" w:color="auto" w:fill="FFFFFF"/>
        <w:spacing w:line="480" w:lineRule="auto"/>
        <w:ind w:firstLine="720"/>
        <w:jc w:val="both"/>
        <w:rPr>
          <w:rFonts w:eastAsia="Times New Roman"/>
          <w:sz w:val="24"/>
          <w:szCs w:val="24"/>
        </w:rPr>
      </w:pPr>
      <w:r w:rsidRPr="003F54CD">
        <w:rPr>
          <w:rFonts w:eastAsia="Times New Roman"/>
          <w:sz w:val="24"/>
          <w:szCs w:val="24"/>
        </w:rPr>
        <w:t xml:space="preserve">Furthermore, we identify that the root of the model-observation discrepancy lies in an unstated focus on different cloud subsets. The winter-maximum signature captured by active sensors like </w:t>
      </w:r>
      <w:proofErr w:type="spellStart"/>
      <w:r w:rsidRPr="003F54CD">
        <w:rPr>
          <w:rFonts w:eastAsia="Times New Roman"/>
          <w:sz w:val="24"/>
          <w:szCs w:val="24"/>
        </w:rPr>
        <w:t>CloudSat</w:t>
      </w:r>
      <w:proofErr w:type="spellEnd"/>
      <w:r w:rsidRPr="003F54CD">
        <w:rPr>
          <w:rFonts w:eastAsia="Times New Roman"/>
          <w:sz w:val="24"/>
          <w:szCs w:val="24"/>
        </w:rPr>
        <w:t>-CALIPSO is dominated by the robust seasonal cycle of MLC. Conversely, the summer-maximum identified in studies relying on model outputs that effectively exclude MLC is a modeling artifact. This artifact results from a systematic underestimation of UBC, which allows the summer-peaking LBC to dominate the flawed model signal.</w:t>
      </w:r>
    </w:p>
    <w:p w14:paraId="31A0882E" w14:textId="77777777" w:rsidR="003F54CD" w:rsidRPr="003F54CD" w:rsidRDefault="003F54CD" w:rsidP="003F54CD">
      <w:pPr>
        <w:shd w:val="clear" w:color="auto" w:fill="FFFFFF"/>
        <w:spacing w:line="480" w:lineRule="auto"/>
        <w:ind w:firstLine="720"/>
        <w:jc w:val="both"/>
        <w:rPr>
          <w:rFonts w:eastAsia="Times New Roman"/>
          <w:sz w:val="24"/>
          <w:szCs w:val="24"/>
        </w:rPr>
      </w:pPr>
    </w:p>
    <w:p w14:paraId="76951218" w14:textId="77777777" w:rsidR="003F54CD" w:rsidRPr="003F54CD" w:rsidRDefault="003F54CD" w:rsidP="003F54CD">
      <w:pPr>
        <w:shd w:val="clear" w:color="auto" w:fill="FFFFFF"/>
        <w:spacing w:line="480" w:lineRule="auto"/>
        <w:ind w:firstLine="720"/>
        <w:jc w:val="both"/>
        <w:rPr>
          <w:rFonts w:eastAsia="Times New Roman"/>
          <w:sz w:val="24"/>
          <w:szCs w:val="24"/>
        </w:rPr>
      </w:pPr>
      <w:r w:rsidRPr="003F54CD">
        <w:rPr>
          <w:rFonts w:eastAsia="Times New Roman"/>
          <w:sz w:val="24"/>
          <w:szCs w:val="24"/>
        </w:rPr>
        <w:t>The critical role of observational capability also underpins this discrepancy. The use of passive satellite data (e.g., ISCCP), which cannot reliably detect lower-level clouds beneath upper-level layers, artificially amplifies the model bias by systematically underestimating low cloud amount in winter. This finding underscores the necessity of active satellite observations for accurate model evaluation and for developing robust emergent constraints.</w:t>
      </w:r>
    </w:p>
    <w:p w14:paraId="4FE40FB4" w14:textId="77777777" w:rsidR="003F54CD" w:rsidRPr="003F54CD" w:rsidRDefault="003F54CD" w:rsidP="003F54CD">
      <w:pPr>
        <w:shd w:val="clear" w:color="auto" w:fill="FFFFFF"/>
        <w:spacing w:line="480" w:lineRule="auto"/>
        <w:ind w:firstLine="720"/>
        <w:jc w:val="both"/>
        <w:rPr>
          <w:rFonts w:eastAsia="Times New Roman"/>
          <w:sz w:val="24"/>
          <w:szCs w:val="24"/>
        </w:rPr>
      </w:pPr>
    </w:p>
    <w:p w14:paraId="537A0C39" w14:textId="7B3B3A8A" w:rsidR="00767596" w:rsidRDefault="003F54CD" w:rsidP="003F54CD">
      <w:pPr>
        <w:shd w:val="clear" w:color="auto" w:fill="FFFFFF"/>
        <w:spacing w:line="480" w:lineRule="auto"/>
        <w:ind w:firstLine="720"/>
        <w:jc w:val="both"/>
        <w:rPr>
          <w:rFonts w:eastAsia="Times New Roman"/>
          <w:sz w:val="24"/>
          <w:szCs w:val="24"/>
        </w:rPr>
      </w:pPr>
      <w:r w:rsidRPr="003F54CD">
        <w:rPr>
          <w:rFonts w:eastAsia="Times New Roman"/>
          <w:sz w:val="24"/>
          <w:szCs w:val="24"/>
        </w:rPr>
        <w:t>In summary, our work provides a mechanistic resolution to a critical conundrum in climate science. By moving beyond the monolithic "low cloud" paradigm, our classification scheme offers a precise diagnostic tool for pinpointing model deficiencies. Consequently, future efforts to constrain ECS must shift focus from the total low cloud fraction to the model's fidelity in simulating the correct physics, mix, and properties of its constituent regimes—particularly the poorly simulated UBC. Improving the representation of these distinct cloud types is imperative for reducing the persistent spread in climate projections.</w:t>
      </w:r>
    </w:p>
    <w:p w14:paraId="0E94A5E4" w14:textId="77777777" w:rsidR="0014529D" w:rsidRPr="00ED03E3" w:rsidRDefault="0014529D" w:rsidP="00970CBD">
      <w:pPr>
        <w:pStyle w:val="Note"/>
        <w:jc w:val="both"/>
        <w:rPr>
          <w:rFonts w:eastAsia="Times New Roman"/>
          <w:color w:val="auto"/>
          <w:sz w:val="24"/>
          <w:szCs w:val="24"/>
        </w:rPr>
      </w:pPr>
    </w:p>
    <w:p w14:paraId="3BB30AAB" w14:textId="4936D8C6" w:rsidR="00995CAA" w:rsidRPr="00C13370" w:rsidRDefault="00995CAA" w:rsidP="00995CAA">
      <w:pPr>
        <w:shd w:val="clear" w:color="auto" w:fill="FFFFFF"/>
        <w:spacing w:before="240" w:line="480" w:lineRule="auto"/>
        <w:rPr>
          <w:rFonts w:eastAsia="Times New Roman"/>
          <w:b/>
          <w:bCs/>
          <w:sz w:val="24"/>
          <w:szCs w:val="24"/>
        </w:rPr>
      </w:pPr>
      <w:r w:rsidRPr="00C13370">
        <w:rPr>
          <w:rFonts w:eastAsia="Times New Roman"/>
          <w:b/>
          <w:bCs/>
          <w:sz w:val="24"/>
          <w:szCs w:val="24"/>
        </w:rPr>
        <w:t>Acknowledgments</w:t>
      </w:r>
    </w:p>
    <w:p w14:paraId="413CEF03" w14:textId="22415644" w:rsidR="00343046" w:rsidRPr="00C13370" w:rsidRDefault="00343046" w:rsidP="00E15DBB">
      <w:pPr>
        <w:shd w:val="clear" w:color="auto" w:fill="FFFFFF"/>
        <w:spacing w:line="480" w:lineRule="auto"/>
        <w:jc w:val="both"/>
        <w:rPr>
          <w:rFonts w:eastAsia="Times New Roman"/>
          <w:sz w:val="24"/>
          <w:szCs w:val="24"/>
        </w:rPr>
      </w:pPr>
      <w:r w:rsidRPr="00C13370">
        <w:rPr>
          <w:rFonts w:eastAsia="Times New Roman"/>
          <w:sz w:val="24"/>
          <w:szCs w:val="24"/>
        </w:rPr>
        <w:t>This work was conducted at the HKUST JC STEM Lab of Convection and Precipitation, supported by the Hong Kong Jockey Club Charities Trust FA123, the Innovation and Technology Commission P0413, the Innovation and Technology Fund P0456 and Research Grants Council 16300823 and 16308924.</w:t>
      </w:r>
    </w:p>
    <w:p w14:paraId="04819E65" w14:textId="77E9039F" w:rsidR="00C20103" w:rsidRPr="00C13370" w:rsidRDefault="00C20103" w:rsidP="00E15DBB">
      <w:pPr>
        <w:shd w:val="clear" w:color="auto" w:fill="FFFFFF"/>
        <w:spacing w:line="480" w:lineRule="auto"/>
        <w:jc w:val="both"/>
        <w:rPr>
          <w:rFonts w:eastAsia="Times New Roman"/>
          <w:sz w:val="24"/>
          <w:szCs w:val="24"/>
        </w:rPr>
      </w:pPr>
      <w:r w:rsidRPr="00C13370">
        <w:rPr>
          <w:rFonts w:eastAsia="Times New Roman"/>
          <w:sz w:val="24"/>
          <w:szCs w:val="24"/>
        </w:rPr>
        <w:t>The authors would like to thank HKUST Fok Ying Tung Research Institute and National Supercomputing Center in Guangzhou Nansha Sub-center for providing high performance computational resources.</w:t>
      </w:r>
    </w:p>
    <w:p w14:paraId="6119FAA2" w14:textId="44C995B8" w:rsidR="00995CAA" w:rsidRPr="00C13370" w:rsidRDefault="00995CAA" w:rsidP="00995CAA">
      <w:pPr>
        <w:shd w:val="clear" w:color="auto" w:fill="FFFFFF"/>
        <w:spacing w:line="480" w:lineRule="auto"/>
        <w:rPr>
          <w:rFonts w:eastAsia="Times New Roman"/>
          <w:sz w:val="24"/>
          <w:szCs w:val="24"/>
        </w:rPr>
      </w:pPr>
      <w:r w:rsidRPr="00C13370">
        <w:rPr>
          <w:rFonts w:eastAsia="Times New Roman"/>
          <w:sz w:val="24"/>
          <w:szCs w:val="24"/>
        </w:rPr>
        <w:t> </w:t>
      </w:r>
    </w:p>
    <w:p w14:paraId="3CB0FA2F" w14:textId="77777777" w:rsidR="00995CAA" w:rsidRPr="00C13370" w:rsidRDefault="00995CAA" w:rsidP="00995CAA">
      <w:pPr>
        <w:shd w:val="clear" w:color="auto" w:fill="FFFFFF"/>
        <w:spacing w:line="480" w:lineRule="auto"/>
        <w:rPr>
          <w:rFonts w:eastAsia="Times New Roman"/>
          <w:b/>
          <w:bCs/>
          <w:sz w:val="24"/>
          <w:szCs w:val="24"/>
        </w:rPr>
      </w:pPr>
      <w:r w:rsidRPr="00C13370">
        <w:rPr>
          <w:rFonts w:eastAsia="Times New Roman"/>
          <w:b/>
          <w:bCs/>
          <w:sz w:val="24"/>
          <w:szCs w:val="24"/>
        </w:rPr>
        <w:t>Open Research</w:t>
      </w:r>
    </w:p>
    <w:p w14:paraId="6C7AB50A" w14:textId="37218DFD" w:rsidR="00995CAA" w:rsidRPr="00C13370" w:rsidRDefault="00995CAA" w:rsidP="00E15DBB">
      <w:pPr>
        <w:shd w:val="clear" w:color="auto" w:fill="FFFFFF"/>
        <w:spacing w:line="480" w:lineRule="auto"/>
        <w:jc w:val="both"/>
        <w:rPr>
          <w:rFonts w:eastAsia="Times New Roman"/>
          <w:sz w:val="24"/>
          <w:szCs w:val="24"/>
        </w:rPr>
      </w:pPr>
      <w:r w:rsidRPr="00C13370">
        <w:rPr>
          <w:rFonts w:eastAsia="Times New Roman"/>
          <w:sz w:val="24"/>
          <w:szCs w:val="24"/>
        </w:rPr>
        <w:t>AGU requires an Availability Statement for the underlying data</w:t>
      </w:r>
      <w:r w:rsidR="00AD03B0" w:rsidRPr="00C13370">
        <w:rPr>
          <w:rFonts w:eastAsia="Times New Roman"/>
          <w:sz w:val="24"/>
          <w:szCs w:val="24"/>
        </w:rPr>
        <w:t xml:space="preserve"> and code</w:t>
      </w:r>
      <w:r w:rsidRPr="00C13370">
        <w:rPr>
          <w:rFonts w:eastAsia="Times New Roman"/>
          <w:sz w:val="24"/>
          <w:szCs w:val="24"/>
        </w:rPr>
        <w:t xml:space="preserve"> needed to understand, evaluate, and build upon the reported research at the time of peer review and publication. Additionally, authors should include an Availability Statement for the software</w:t>
      </w:r>
      <w:r w:rsidR="006F0D4D" w:rsidRPr="00C13370">
        <w:rPr>
          <w:rFonts w:eastAsia="Times New Roman"/>
          <w:sz w:val="24"/>
          <w:szCs w:val="24"/>
        </w:rPr>
        <w:t xml:space="preserve"> and other research products</w:t>
      </w:r>
      <w:r w:rsidRPr="00C13370">
        <w:rPr>
          <w:rFonts w:eastAsia="Times New Roman"/>
          <w:sz w:val="24"/>
          <w:szCs w:val="24"/>
        </w:rPr>
        <w:t xml:space="preserve"> that ha</w:t>
      </w:r>
      <w:r w:rsidR="006F0D4D" w:rsidRPr="00C13370">
        <w:rPr>
          <w:rFonts w:eastAsia="Times New Roman"/>
          <w:sz w:val="24"/>
          <w:szCs w:val="24"/>
        </w:rPr>
        <w:t>ve</w:t>
      </w:r>
      <w:r w:rsidRPr="00C13370">
        <w:rPr>
          <w:rFonts w:eastAsia="Times New Roman"/>
          <w:sz w:val="24"/>
          <w:szCs w:val="24"/>
        </w:rPr>
        <w:t xml:space="preserve"> a significant impact on the research. Details and templates are in the </w:t>
      </w:r>
      <w:hyperlink r:id="rId27" w:anchor="availability" w:history="1">
        <w:r w:rsidRPr="00C13370">
          <w:rPr>
            <w:rFonts w:eastAsia="Times New Roman"/>
            <w:sz w:val="24"/>
            <w:szCs w:val="24"/>
          </w:rPr>
          <w:t xml:space="preserve">Availability Statement </w:t>
        </w:r>
      </w:hyperlink>
      <w:r w:rsidRPr="00C13370">
        <w:rPr>
          <w:rFonts w:eastAsia="Times New Roman"/>
          <w:sz w:val="24"/>
          <w:szCs w:val="24"/>
        </w:rPr>
        <w:t xml:space="preserve">section of the Data &amp; Software for Authors Guidance. For physical samples, use the IGSN persistent identifier, see the </w:t>
      </w:r>
      <w:hyperlink r:id="rId28" w:anchor="IGSN" w:history="1">
        <w:r w:rsidRPr="00C13370">
          <w:rPr>
            <w:rFonts w:eastAsia="Times New Roman"/>
            <w:sz w:val="24"/>
            <w:szCs w:val="24"/>
          </w:rPr>
          <w:t>International Geo Sample Numbers</w:t>
        </w:r>
      </w:hyperlink>
      <w:r w:rsidRPr="00C13370">
        <w:rPr>
          <w:rFonts w:eastAsia="Times New Roman"/>
          <w:sz w:val="24"/>
          <w:szCs w:val="24"/>
        </w:rPr>
        <w:t xml:space="preserve"> section.  </w:t>
      </w:r>
    </w:p>
    <w:p w14:paraId="3A8023EA" w14:textId="77777777" w:rsidR="00995CAA" w:rsidRPr="00C13370" w:rsidRDefault="00995CAA" w:rsidP="00995CAA">
      <w:pPr>
        <w:shd w:val="clear" w:color="auto" w:fill="FFFFFF"/>
        <w:spacing w:line="480" w:lineRule="auto"/>
        <w:rPr>
          <w:rFonts w:eastAsia="Times New Roman"/>
          <w:sz w:val="24"/>
          <w:szCs w:val="24"/>
        </w:rPr>
      </w:pPr>
      <w:r w:rsidRPr="00C13370">
        <w:rPr>
          <w:rFonts w:eastAsia="Times New Roman"/>
          <w:sz w:val="24"/>
          <w:szCs w:val="24"/>
        </w:rPr>
        <w:t> </w:t>
      </w:r>
    </w:p>
    <w:p w14:paraId="51C87EA0" w14:textId="706B0C03" w:rsidR="009007AE" w:rsidRPr="00C13370" w:rsidRDefault="009007AE" w:rsidP="009007AE">
      <w:pPr>
        <w:shd w:val="clear" w:color="auto" w:fill="FFFFFF"/>
        <w:spacing w:line="480" w:lineRule="auto"/>
        <w:rPr>
          <w:rFonts w:eastAsia="Times New Roman"/>
          <w:b/>
          <w:bCs/>
          <w:sz w:val="24"/>
          <w:szCs w:val="24"/>
        </w:rPr>
      </w:pPr>
      <w:r w:rsidRPr="00C13370">
        <w:rPr>
          <w:rFonts w:eastAsia="Times New Roman"/>
          <w:b/>
          <w:bCs/>
          <w:sz w:val="24"/>
          <w:szCs w:val="24"/>
        </w:rPr>
        <w:t>Conflict of Interest Disclosure</w:t>
      </w:r>
    </w:p>
    <w:p w14:paraId="084CD9C7" w14:textId="2F79F0E0" w:rsidR="009007AE" w:rsidRPr="00330941" w:rsidRDefault="009007AE" w:rsidP="00995CAA">
      <w:pPr>
        <w:shd w:val="clear" w:color="auto" w:fill="FFFFFF"/>
        <w:spacing w:line="480" w:lineRule="auto"/>
        <w:rPr>
          <w:rFonts w:eastAsia="Times New Roman"/>
          <w:sz w:val="24"/>
          <w:szCs w:val="24"/>
          <w:lang w:eastAsia="zh-CN"/>
        </w:rPr>
      </w:pPr>
      <w:r w:rsidRPr="00C13370">
        <w:rPr>
          <w:rFonts w:eastAsia="Times New Roman"/>
          <w:sz w:val="24"/>
          <w:szCs w:val="24"/>
        </w:rPr>
        <w:t>The authors declare there are no conflicts of interest for this manuscript.</w:t>
      </w:r>
    </w:p>
    <w:p w14:paraId="14D8EF03" w14:textId="77777777" w:rsidR="00A9053C" w:rsidRDefault="00A9053C" w:rsidP="00995CAA">
      <w:pPr>
        <w:shd w:val="clear" w:color="auto" w:fill="FFFFFF"/>
        <w:spacing w:line="480" w:lineRule="auto"/>
        <w:rPr>
          <w:rFonts w:eastAsia="Times New Roman"/>
          <w:b/>
          <w:bCs/>
          <w:sz w:val="24"/>
          <w:szCs w:val="24"/>
        </w:rPr>
      </w:pPr>
    </w:p>
    <w:p w14:paraId="348E36FB" w14:textId="77777777" w:rsidR="00A9053C" w:rsidRDefault="00A9053C" w:rsidP="00995CAA">
      <w:pPr>
        <w:shd w:val="clear" w:color="auto" w:fill="FFFFFF"/>
        <w:spacing w:line="480" w:lineRule="auto"/>
        <w:rPr>
          <w:rFonts w:eastAsia="Times New Roman"/>
          <w:b/>
          <w:bCs/>
          <w:sz w:val="24"/>
          <w:szCs w:val="24"/>
        </w:rPr>
      </w:pPr>
    </w:p>
    <w:p w14:paraId="5EC57932" w14:textId="77777777" w:rsidR="00A9053C" w:rsidRDefault="00A9053C" w:rsidP="00995CAA">
      <w:pPr>
        <w:shd w:val="clear" w:color="auto" w:fill="FFFFFF"/>
        <w:spacing w:line="480" w:lineRule="auto"/>
        <w:rPr>
          <w:rFonts w:eastAsia="Times New Roman"/>
          <w:b/>
          <w:bCs/>
          <w:sz w:val="24"/>
          <w:szCs w:val="24"/>
        </w:rPr>
      </w:pPr>
    </w:p>
    <w:p w14:paraId="69B24ADE" w14:textId="77777777" w:rsidR="00A9053C" w:rsidRDefault="00A9053C" w:rsidP="00995CAA">
      <w:pPr>
        <w:shd w:val="clear" w:color="auto" w:fill="FFFFFF"/>
        <w:spacing w:line="480" w:lineRule="auto"/>
        <w:rPr>
          <w:rFonts w:eastAsia="Times New Roman"/>
          <w:b/>
          <w:bCs/>
          <w:sz w:val="24"/>
          <w:szCs w:val="24"/>
        </w:rPr>
      </w:pPr>
    </w:p>
    <w:p w14:paraId="48013A55" w14:textId="77777777" w:rsidR="00A9053C" w:rsidRDefault="00A9053C" w:rsidP="00995CAA">
      <w:pPr>
        <w:shd w:val="clear" w:color="auto" w:fill="FFFFFF"/>
        <w:spacing w:line="480" w:lineRule="auto"/>
        <w:rPr>
          <w:rFonts w:eastAsia="Times New Roman"/>
          <w:b/>
          <w:bCs/>
          <w:sz w:val="24"/>
          <w:szCs w:val="24"/>
        </w:rPr>
      </w:pPr>
    </w:p>
    <w:p w14:paraId="193621AF" w14:textId="77777777" w:rsidR="00A9053C" w:rsidRDefault="00A9053C" w:rsidP="00995CAA">
      <w:pPr>
        <w:shd w:val="clear" w:color="auto" w:fill="FFFFFF"/>
        <w:spacing w:line="480" w:lineRule="auto"/>
        <w:rPr>
          <w:rFonts w:eastAsia="Times New Roman"/>
          <w:b/>
          <w:bCs/>
          <w:sz w:val="24"/>
          <w:szCs w:val="24"/>
        </w:rPr>
      </w:pPr>
    </w:p>
    <w:p w14:paraId="5A845970" w14:textId="77777777" w:rsidR="00A9053C" w:rsidRDefault="00A9053C" w:rsidP="00995CAA">
      <w:pPr>
        <w:shd w:val="clear" w:color="auto" w:fill="FFFFFF"/>
        <w:spacing w:line="480" w:lineRule="auto"/>
        <w:rPr>
          <w:rFonts w:eastAsia="Times New Roman"/>
          <w:b/>
          <w:bCs/>
          <w:sz w:val="24"/>
          <w:szCs w:val="24"/>
        </w:rPr>
      </w:pPr>
    </w:p>
    <w:p w14:paraId="31D3C8EF" w14:textId="77777777" w:rsidR="00A9053C" w:rsidRDefault="00A9053C" w:rsidP="00995CAA">
      <w:pPr>
        <w:shd w:val="clear" w:color="auto" w:fill="FFFFFF"/>
        <w:spacing w:line="480" w:lineRule="auto"/>
        <w:rPr>
          <w:rFonts w:eastAsia="Times New Roman"/>
          <w:b/>
          <w:bCs/>
          <w:sz w:val="24"/>
          <w:szCs w:val="24"/>
        </w:rPr>
      </w:pPr>
    </w:p>
    <w:p w14:paraId="1822B099" w14:textId="77777777" w:rsidR="00A9053C" w:rsidRDefault="00A9053C" w:rsidP="00995CAA">
      <w:pPr>
        <w:shd w:val="clear" w:color="auto" w:fill="FFFFFF"/>
        <w:spacing w:line="480" w:lineRule="auto"/>
        <w:rPr>
          <w:rFonts w:eastAsia="Times New Roman"/>
          <w:b/>
          <w:bCs/>
          <w:sz w:val="24"/>
          <w:szCs w:val="24"/>
        </w:rPr>
      </w:pPr>
    </w:p>
    <w:p w14:paraId="26DD83FF" w14:textId="77777777" w:rsidR="00A9053C" w:rsidRDefault="00A9053C" w:rsidP="00995CAA">
      <w:pPr>
        <w:shd w:val="clear" w:color="auto" w:fill="FFFFFF"/>
        <w:spacing w:line="480" w:lineRule="auto"/>
        <w:rPr>
          <w:rFonts w:eastAsia="Times New Roman"/>
          <w:b/>
          <w:bCs/>
          <w:sz w:val="24"/>
          <w:szCs w:val="24"/>
        </w:rPr>
      </w:pPr>
    </w:p>
    <w:p w14:paraId="33D5ECA9" w14:textId="77777777" w:rsidR="00A9053C" w:rsidRDefault="00A9053C" w:rsidP="00995CAA">
      <w:pPr>
        <w:shd w:val="clear" w:color="auto" w:fill="FFFFFF"/>
        <w:spacing w:line="480" w:lineRule="auto"/>
        <w:rPr>
          <w:rFonts w:eastAsia="Times New Roman"/>
          <w:b/>
          <w:bCs/>
          <w:sz w:val="24"/>
          <w:szCs w:val="24"/>
        </w:rPr>
      </w:pPr>
    </w:p>
    <w:p w14:paraId="6D0D4EEE" w14:textId="77777777" w:rsidR="00A9053C" w:rsidRDefault="00A9053C" w:rsidP="00995CAA">
      <w:pPr>
        <w:shd w:val="clear" w:color="auto" w:fill="FFFFFF"/>
        <w:spacing w:line="480" w:lineRule="auto"/>
        <w:rPr>
          <w:rFonts w:eastAsia="Times New Roman"/>
          <w:b/>
          <w:bCs/>
          <w:sz w:val="24"/>
          <w:szCs w:val="24"/>
        </w:rPr>
      </w:pPr>
    </w:p>
    <w:p w14:paraId="4ABC7CA7" w14:textId="77777777" w:rsidR="00A9053C" w:rsidRDefault="00A9053C" w:rsidP="00995CAA">
      <w:pPr>
        <w:shd w:val="clear" w:color="auto" w:fill="FFFFFF"/>
        <w:spacing w:line="480" w:lineRule="auto"/>
        <w:rPr>
          <w:rFonts w:eastAsia="Times New Roman"/>
          <w:b/>
          <w:bCs/>
          <w:sz w:val="24"/>
          <w:szCs w:val="24"/>
        </w:rPr>
      </w:pPr>
    </w:p>
    <w:p w14:paraId="485EF549" w14:textId="77777777" w:rsidR="00A9053C" w:rsidRDefault="00A9053C" w:rsidP="00995CAA">
      <w:pPr>
        <w:shd w:val="clear" w:color="auto" w:fill="FFFFFF"/>
        <w:spacing w:line="480" w:lineRule="auto"/>
        <w:rPr>
          <w:rFonts w:eastAsia="Times New Roman"/>
          <w:b/>
          <w:bCs/>
          <w:sz w:val="24"/>
          <w:szCs w:val="24"/>
        </w:rPr>
      </w:pPr>
    </w:p>
    <w:p w14:paraId="6B8F8CBD" w14:textId="77777777" w:rsidR="00A9053C" w:rsidRDefault="00A9053C" w:rsidP="00995CAA">
      <w:pPr>
        <w:shd w:val="clear" w:color="auto" w:fill="FFFFFF"/>
        <w:spacing w:line="480" w:lineRule="auto"/>
        <w:rPr>
          <w:rFonts w:eastAsia="Times New Roman"/>
          <w:b/>
          <w:bCs/>
          <w:sz w:val="24"/>
          <w:szCs w:val="24"/>
        </w:rPr>
      </w:pPr>
    </w:p>
    <w:p w14:paraId="2B73C88A" w14:textId="77777777" w:rsidR="00A9053C" w:rsidRDefault="00A9053C" w:rsidP="00995CAA">
      <w:pPr>
        <w:shd w:val="clear" w:color="auto" w:fill="FFFFFF"/>
        <w:spacing w:line="480" w:lineRule="auto"/>
        <w:rPr>
          <w:rFonts w:eastAsia="Times New Roman"/>
          <w:b/>
          <w:bCs/>
          <w:sz w:val="24"/>
          <w:szCs w:val="24"/>
        </w:rPr>
      </w:pPr>
    </w:p>
    <w:p w14:paraId="77E2AF54" w14:textId="77777777" w:rsidR="00A9053C" w:rsidRDefault="00A9053C" w:rsidP="00995CAA">
      <w:pPr>
        <w:shd w:val="clear" w:color="auto" w:fill="FFFFFF"/>
        <w:spacing w:line="480" w:lineRule="auto"/>
        <w:rPr>
          <w:rFonts w:eastAsia="Times New Roman"/>
          <w:b/>
          <w:bCs/>
          <w:sz w:val="24"/>
          <w:szCs w:val="24"/>
        </w:rPr>
      </w:pPr>
    </w:p>
    <w:p w14:paraId="60299AD3" w14:textId="77777777" w:rsidR="00A9053C" w:rsidRDefault="00A9053C" w:rsidP="00995CAA">
      <w:pPr>
        <w:shd w:val="clear" w:color="auto" w:fill="FFFFFF"/>
        <w:spacing w:line="480" w:lineRule="auto"/>
        <w:rPr>
          <w:rFonts w:eastAsia="Times New Roman"/>
          <w:b/>
          <w:bCs/>
          <w:sz w:val="24"/>
          <w:szCs w:val="24"/>
        </w:rPr>
      </w:pPr>
    </w:p>
    <w:p w14:paraId="3BE6A8F9" w14:textId="0AD47D55" w:rsidR="00995CAA" w:rsidRPr="00A9053C" w:rsidRDefault="00995CAA" w:rsidP="00995CAA">
      <w:pPr>
        <w:shd w:val="clear" w:color="auto" w:fill="FFFFFF"/>
        <w:spacing w:line="480" w:lineRule="auto"/>
        <w:rPr>
          <w:rFonts w:eastAsia="Times New Roman"/>
          <w:b/>
          <w:bCs/>
          <w:sz w:val="24"/>
          <w:szCs w:val="24"/>
        </w:rPr>
      </w:pPr>
      <w:r w:rsidRPr="00A9053C">
        <w:rPr>
          <w:rFonts w:eastAsia="Times New Roman"/>
          <w:b/>
          <w:bCs/>
          <w:sz w:val="24"/>
          <w:szCs w:val="24"/>
        </w:rPr>
        <w:t>References</w:t>
      </w:r>
    </w:p>
    <w:p w14:paraId="79C5371F" w14:textId="77777777" w:rsidR="00A9053C" w:rsidRPr="00A9053C" w:rsidRDefault="00A9053C" w:rsidP="00A9053C">
      <w:pPr>
        <w:pStyle w:val="Bibliography"/>
        <w:rPr>
          <w:rFonts w:eastAsia="Times New Roman"/>
          <w:sz w:val="24"/>
          <w:szCs w:val="24"/>
        </w:rPr>
      </w:pPr>
      <w:r w:rsidRPr="00A9053C">
        <w:rPr>
          <w:rFonts w:eastAsia="Times New Roman"/>
          <w:sz w:val="24"/>
          <w:szCs w:val="24"/>
        </w:rPr>
        <w:fldChar w:fldCharType="begin"/>
      </w:r>
      <w:r w:rsidRPr="00A9053C">
        <w:rPr>
          <w:rFonts w:eastAsia="Times New Roman"/>
          <w:sz w:val="24"/>
          <w:szCs w:val="24"/>
        </w:rPr>
        <w:instrText xml:space="preserve"> ADDIN ZOTERO_BIBL {"uncited":[],"omitted":[],"custom":[]} CSL_BIBLIOGRAPHY </w:instrText>
      </w:r>
      <w:r w:rsidRPr="00A9053C">
        <w:rPr>
          <w:rFonts w:eastAsia="Times New Roman"/>
          <w:sz w:val="24"/>
          <w:szCs w:val="24"/>
        </w:rPr>
        <w:fldChar w:fldCharType="separate"/>
      </w:r>
      <w:r w:rsidRPr="00A9053C">
        <w:rPr>
          <w:rFonts w:eastAsia="Times New Roman"/>
          <w:sz w:val="24"/>
          <w:szCs w:val="24"/>
        </w:rPr>
        <w:t>Ad Hoc Study Group on Carbon Dioxide and Climate, Climate Research Board, Assembly of Mathematical and Physical Sciences, &amp; National Research Council. (1979). Carbon Dioxide and Climate: A Scientific Assessment (p. 12181). National Academies Press. https://doi.org/10.17226/12181</w:t>
      </w:r>
    </w:p>
    <w:p w14:paraId="1DE09D05" w14:textId="77777777" w:rsidR="00A9053C" w:rsidRPr="00A9053C" w:rsidRDefault="00A9053C" w:rsidP="00A9053C">
      <w:pPr>
        <w:pStyle w:val="Bibliography"/>
        <w:rPr>
          <w:rFonts w:eastAsia="Times New Roman"/>
          <w:sz w:val="24"/>
          <w:szCs w:val="24"/>
        </w:rPr>
      </w:pPr>
      <w:r w:rsidRPr="00A9053C">
        <w:rPr>
          <w:rFonts w:eastAsia="Times New Roman"/>
          <w:sz w:val="24"/>
          <w:szCs w:val="24"/>
        </w:rPr>
        <w:t>Bodas‐Salcedo, A., Mulcahy, J. P., Andrews, T., Williams, K. D., Ringer, M. A., Field, P. R., &amp; Elsaesser, G. S. (2019). Strong Dependence of Atmospheric Feedbacks on Mixed‐Phase Microphysics and Aerosol‐Cloud Interactions in HadGEM3. Journal of Advances in Modeling Earth Systems, 11(6), 1735–1758. https://doi.org/10.1029/2019MS001688</w:t>
      </w:r>
    </w:p>
    <w:p w14:paraId="4CF48CED" w14:textId="77777777" w:rsidR="00A9053C" w:rsidRPr="00A9053C" w:rsidRDefault="00A9053C" w:rsidP="00A9053C">
      <w:pPr>
        <w:pStyle w:val="Bibliography"/>
        <w:rPr>
          <w:rFonts w:eastAsia="Times New Roman"/>
          <w:sz w:val="24"/>
          <w:szCs w:val="24"/>
        </w:rPr>
      </w:pPr>
      <w:r w:rsidRPr="00A9053C">
        <w:rPr>
          <w:rFonts w:eastAsia="Times New Roman"/>
          <w:sz w:val="24"/>
          <w:szCs w:val="24"/>
        </w:rPr>
        <w:t>Bony, S., &amp; Dufresne, J. (2005). Marine boundary layer clouds at the heart of tropical cloud feedback uncertainties in climate models. Geophysical Research Letters, 32(20), 2005GL023851. https://doi.org/10.1029/2005GL023851</w:t>
      </w:r>
    </w:p>
    <w:p w14:paraId="5CCF3E35" w14:textId="77777777" w:rsidR="00A9053C" w:rsidRPr="00A9053C" w:rsidRDefault="00A9053C" w:rsidP="00A9053C">
      <w:pPr>
        <w:pStyle w:val="Bibliography"/>
        <w:rPr>
          <w:rFonts w:eastAsia="Times New Roman"/>
          <w:sz w:val="24"/>
          <w:szCs w:val="24"/>
        </w:rPr>
      </w:pPr>
      <w:r w:rsidRPr="00A9053C">
        <w:rPr>
          <w:rFonts w:eastAsia="Times New Roman"/>
          <w:sz w:val="24"/>
          <w:szCs w:val="24"/>
        </w:rPr>
        <w:t>Brient, F., &amp; Schneider, T. (2016). Constraints on Climate Sensitivity from Space-Based Measurements of Low-Cloud Reflection. Journal of Climate, 29(16), 5821–5835. https://doi.org/10.1175/JCLI-D-15-0897.1</w:t>
      </w:r>
    </w:p>
    <w:p w14:paraId="1592567E" w14:textId="77777777" w:rsidR="00A9053C" w:rsidRPr="00A9053C" w:rsidRDefault="00A9053C" w:rsidP="00A9053C">
      <w:pPr>
        <w:pStyle w:val="Bibliography"/>
        <w:rPr>
          <w:rFonts w:eastAsia="Times New Roman"/>
          <w:sz w:val="24"/>
          <w:szCs w:val="24"/>
        </w:rPr>
      </w:pPr>
      <w:r w:rsidRPr="00A9053C">
        <w:rPr>
          <w:rFonts w:eastAsia="Times New Roman"/>
          <w:sz w:val="24"/>
          <w:szCs w:val="24"/>
        </w:rPr>
        <w:t>Ceppi, P., Brient, F., Zelinka, M. D., &amp; Hartmann, D. L. (2017). Cloud feedback mechanisms and their representation in global climate models. WIREs Climate Change, 8(4), e465. https://doi.org/10.1002/wcc.465</w:t>
      </w:r>
    </w:p>
    <w:p w14:paraId="2A0CCE15" w14:textId="77777777" w:rsidR="00A9053C" w:rsidRPr="00A9053C" w:rsidRDefault="00A9053C" w:rsidP="00A9053C">
      <w:pPr>
        <w:pStyle w:val="Bibliography"/>
        <w:rPr>
          <w:rFonts w:eastAsia="Times New Roman"/>
          <w:sz w:val="24"/>
          <w:szCs w:val="24"/>
        </w:rPr>
      </w:pPr>
      <w:r w:rsidRPr="00A9053C">
        <w:rPr>
          <w:rFonts w:eastAsia="Times New Roman"/>
          <w:sz w:val="24"/>
          <w:szCs w:val="24"/>
        </w:rPr>
        <w:t>Ceppi, P., &amp; Nowack, P. (2021). Observational evidence that cloud feedback amplifies global warming. Proceedings of the National Academy of Sciences, 118(30), e2026290118. https://doi.org/10.1073/pnas.2026290118</w:t>
      </w:r>
    </w:p>
    <w:p w14:paraId="484AB8D8" w14:textId="77777777" w:rsidR="00A9053C" w:rsidRPr="00A9053C" w:rsidRDefault="00A9053C" w:rsidP="00A9053C">
      <w:pPr>
        <w:pStyle w:val="Bibliography"/>
        <w:rPr>
          <w:rFonts w:eastAsia="Times New Roman"/>
          <w:sz w:val="24"/>
          <w:szCs w:val="24"/>
        </w:rPr>
      </w:pPr>
      <w:r w:rsidRPr="00A9053C">
        <w:rPr>
          <w:rFonts w:eastAsia="Times New Roman"/>
          <w:sz w:val="24"/>
          <w:szCs w:val="24"/>
        </w:rPr>
        <w:t>Cess, R. D., Potter, G. L., Blanchet, J. P., Boer, G. J., Del Genio, A. D., Déqué, M., Dymnikov, V., Galin, V., Gates, W. L., Ghan, S. J., Kiehl, J. T., Lacis, A. A., Le Treut, H., Li, Z. ‐X., Liang, X. ‐Z., McAvaney, B. J., Meleshko, V. P., Mitchell, J. F. B., Morcrette, J. ‐J., … Zhang, M. ‐H. (1990). Intercomparison and interpretation of climate feedback processes in 19 atmospheric general circulation models. Journal of Geophysical Research: Atmospheres, 95(D10), 16601–16615. https://doi.org/10.1029/JD095iD10p16601</w:t>
      </w:r>
    </w:p>
    <w:p w14:paraId="75A21FAA" w14:textId="77777777" w:rsidR="00A9053C" w:rsidRPr="00A9053C" w:rsidRDefault="00A9053C" w:rsidP="00A9053C">
      <w:pPr>
        <w:pStyle w:val="Bibliography"/>
        <w:rPr>
          <w:rFonts w:eastAsia="Times New Roman"/>
          <w:sz w:val="24"/>
          <w:szCs w:val="24"/>
        </w:rPr>
      </w:pPr>
      <w:r w:rsidRPr="00A9053C">
        <w:rPr>
          <w:rFonts w:eastAsia="Times New Roman"/>
          <w:sz w:val="24"/>
          <w:szCs w:val="24"/>
        </w:rPr>
        <w:t>Frey, W. R., &amp; Kay, J. E. (2018). The influence of extratropical cloud phase and amount feedbacks on climate sensitivity. Climate Dynamics, 50(7–8), 3097–3116. https://doi.org/10.1007/s00382-017-3796-5</w:t>
      </w:r>
    </w:p>
    <w:p w14:paraId="67A5BDDB" w14:textId="77777777" w:rsidR="00A9053C" w:rsidRPr="00A9053C" w:rsidRDefault="00A9053C" w:rsidP="00A9053C">
      <w:pPr>
        <w:pStyle w:val="Bibliography"/>
        <w:rPr>
          <w:rFonts w:eastAsia="Times New Roman"/>
          <w:sz w:val="24"/>
          <w:szCs w:val="24"/>
        </w:rPr>
      </w:pPr>
      <w:r w:rsidRPr="00A9053C">
        <w:rPr>
          <w:rFonts w:eastAsia="Times New Roman"/>
          <w:sz w:val="24"/>
          <w:szCs w:val="24"/>
        </w:rPr>
        <w:t>Furtado, K., Tsushima, Y., Field, P. R., Rostron, J., &amp; Sexton, D. (2023). The Relationship Between the Present‐Day Seasonal Cycles of Clouds in the Mid‐Latitudes and Cloud‐Radiative Feedback. Geophysical Research Letters, 50(15), e2023GL103902. https://doi.org/10.1029/2023GL103902</w:t>
      </w:r>
    </w:p>
    <w:p w14:paraId="5C717990" w14:textId="77777777" w:rsidR="00A9053C" w:rsidRPr="00A9053C" w:rsidRDefault="00A9053C" w:rsidP="00A9053C">
      <w:pPr>
        <w:pStyle w:val="Bibliography"/>
        <w:rPr>
          <w:rFonts w:eastAsia="Times New Roman"/>
          <w:sz w:val="24"/>
          <w:szCs w:val="24"/>
        </w:rPr>
      </w:pPr>
      <w:r w:rsidRPr="00A9053C">
        <w:rPr>
          <w:rFonts w:eastAsia="Times New Roman"/>
          <w:sz w:val="24"/>
          <w:szCs w:val="24"/>
        </w:rPr>
        <w:t>Gettelman, A., &amp; Sherwood, S. C. (2016). Processes Responsible for Cloud Feedback. Current Climate Change Reports, 2(4), 179–189. https://doi.org/10.1007/s40641-016-0052-8</w:t>
      </w:r>
    </w:p>
    <w:p w14:paraId="08515E96" w14:textId="77777777" w:rsidR="00A9053C" w:rsidRPr="00A9053C" w:rsidRDefault="00A9053C" w:rsidP="00A9053C">
      <w:pPr>
        <w:pStyle w:val="Bibliography"/>
        <w:rPr>
          <w:rFonts w:eastAsia="Times New Roman"/>
          <w:sz w:val="24"/>
          <w:szCs w:val="24"/>
        </w:rPr>
      </w:pPr>
      <w:r w:rsidRPr="00A9053C">
        <w:rPr>
          <w:rFonts w:eastAsia="Times New Roman"/>
          <w:sz w:val="24"/>
          <w:szCs w:val="24"/>
        </w:rPr>
        <w:t>Haynes, J. M., Jakob, C., Rossow, W. B., Tselioudis, G., &amp; Brown, J. (2011). Major Characteristics of Southern Ocean Cloud Regimes and Their Effects on the Energy Budget. Journal of Climate, 24(19), 5061–5080. https://doi.org/10.1175/2011JCLI4052.1</w:t>
      </w:r>
    </w:p>
    <w:p w14:paraId="34A648BB" w14:textId="77777777" w:rsidR="00A9053C" w:rsidRPr="00A9053C" w:rsidRDefault="00A9053C" w:rsidP="00A9053C">
      <w:pPr>
        <w:pStyle w:val="Bibliography"/>
        <w:rPr>
          <w:rFonts w:eastAsia="Times New Roman"/>
          <w:sz w:val="24"/>
          <w:szCs w:val="24"/>
        </w:rPr>
      </w:pPr>
      <w:r w:rsidRPr="00A9053C">
        <w:rPr>
          <w:rFonts w:eastAsia="Times New Roman"/>
          <w:sz w:val="24"/>
          <w:szCs w:val="24"/>
        </w:rPr>
        <w:t>Jiang, X., Su, H., Jiang, J. H., Neelin, J. D., Wu, L., Tsushima, Y., &amp; Elsaesser, G. (2023). Muted extratropical low cloud seasonal cycle is closely linked to underestimated climate sensitivity in models. Nature Communications, 14(1), 5586. https://doi.org/10.1038/s41467-023-41360-0</w:t>
      </w:r>
    </w:p>
    <w:p w14:paraId="6A40F62A" w14:textId="77777777" w:rsidR="00A9053C" w:rsidRPr="00A9053C" w:rsidRDefault="00A9053C" w:rsidP="00A9053C">
      <w:pPr>
        <w:pStyle w:val="Bibliography"/>
        <w:rPr>
          <w:rFonts w:eastAsia="Times New Roman"/>
          <w:sz w:val="24"/>
          <w:szCs w:val="24"/>
        </w:rPr>
      </w:pPr>
      <w:r w:rsidRPr="00A9053C">
        <w:rPr>
          <w:rFonts w:eastAsia="Times New Roman"/>
          <w:sz w:val="24"/>
          <w:szCs w:val="24"/>
        </w:rPr>
        <w:t>Klein, S. A., Hall, A., Norris, J. R., &amp; Pincus, R. (2017). Low-Cloud Feedbacks from Cloud-Controlling Factors: A Review. Surveys in Geophysics, 38(6), 1307–1329. https://doi.org/10.1007/s10712-017-9433-3</w:t>
      </w:r>
    </w:p>
    <w:p w14:paraId="593086FE" w14:textId="77777777" w:rsidR="00A9053C" w:rsidRPr="00A9053C" w:rsidRDefault="00A9053C" w:rsidP="00A9053C">
      <w:pPr>
        <w:pStyle w:val="Bibliography"/>
        <w:rPr>
          <w:rFonts w:eastAsia="Times New Roman"/>
          <w:sz w:val="24"/>
          <w:szCs w:val="24"/>
        </w:rPr>
      </w:pPr>
      <w:r w:rsidRPr="00A9053C">
        <w:rPr>
          <w:rFonts w:eastAsia="Times New Roman"/>
          <w:sz w:val="24"/>
          <w:szCs w:val="24"/>
        </w:rPr>
        <w:t>Marchand, R., Haynes, J., Mace, G. G., Ackerman, T., &amp; Stephens, G. (2009). A comparison of simulated cloud radar output from the multiscale modeling framework global climate model with CloudSat cloud radar observations. Journal of Geophysical Research: Atmospheres, 114(D8), 2008JD009790. https://doi.org/10.1029/2008JD009790</w:t>
      </w:r>
    </w:p>
    <w:p w14:paraId="35B7A108" w14:textId="77777777" w:rsidR="00A9053C" w:rsidRPr="00A9053C" w:rsidRDefault="00A9053C" w:rsidP="00A9053C">
      <w:pPr>
        <w:pStyle w:val="Bibliography"/>
        <w:rPr>
          <w:rFonts w:eastAsia="Times New Roman"/>
          <w:sz w:val="24"/>
          <w:szCs w:val="24"/>
        </w:rPr>
      </w:pPr>
      <w:r w:rsidRPr="00A9053C">
        <w:rPr>
          <w:rFonts w:eastAsia="Times New Roman"/>
          <w:sz w:val="24"/>
          <w:szCs w:val="24"/>
        </w:rPr>
        <w:t>McCoy, D. T., Eastman, R., Hartmann, D. L., &amp; Wood, R. (2017). The Change in Low Cloud Cover in a Warmed Climate Inferred from AIRS, MODIS, and ERA-Interim. Journal of Climate, 30(10), 3609–3620. https://doi.org/10.1175/JCLI-D-15-0734.1</w:t>
      </w:r>
    </w:p>
    <w:p w14:paraId="60A972D1" w14:textId="77777777" w:rsidR="00A9053C" w:rsidRPr="00A9053C" w:rsidRDefault="00A9053C" w:rsidP="00A9053C">
      <w:pPr>
        <w:pStyle w:val="Bibliography"/>
        <w:rPr>
          <w:rFonts w:eastAsia="Times New Roman"/>
          <w:sz w:val="24"/>
          <w:szCs w:val="24"/>
        </w:rPr>
      </w:pPr>
      <w:r w:rsidRPr="00A9053C">
        <w:rPr>
          <w:rFonts w:eastAsia="Times New Roman"/>
          <w:sz w:val="24"/>
          <w:szCs w:val="24"/>
        </w:rPr>
        <w:t>Meehl, G. A., Senior, C. A., Eyring, V., Flato, G., Lamarque, J.-F., Stouffer, R. J., Taylor, K. E., &amp; Schlund, M. (2020). Context for interpreting equilibrium climate sensitivity and transient climate response from the CMIP6 Earth system models. Science Advances, 6(26), eaba1981. https://doi.org/10.1126/sciadv.aba1981</w:t>
      </w:r>
    </w:p>
    <w:p w14:paraId="5FA69DA1" w14:textId="77777777" w:rsidR="00A9053C" w:rsidRPr="00A9053C" w:rsidRDefault="00A9053C" w:rsidP="00A9053C">
      <w:pPr>
        <w:pStyle w:val="Bibliography"/>
        <w:rPr>
          <w:rFonts w:eastAsia="Times New Roman"/>
          <w:sz w:val="24"/>
          <w:szCs w:val="24"/>
        </w:rPr>
      </w:pPr>
      <w:r w:rsidRPr="00A9053C">
        <w:rPr>
          <w:rFonts w:eastAsia="Times New Roman"/>
          <w:sz w:val="24"/>
          <w:szCs w:val="24"/>
        </w:rPr>
        <w:t>Myers, T. A., &amp; Norris, J. R. (2016). Reducing the uncertainty in subtropical cloud feedback. Geophysical Research Letters, 43(5), 2144–2148. https://doi.org/10.1002/2015GL067416</w:t>
      </w:r>
    </w:p>
    <w:p w14:paraId="15FA244C" w14:textId="77777777" w:rsidR="00A9053C" w:rsidRPr="00A9053C" w:rsidRDefault="00A9053C" w:rsidP="00A9053C">
      <w:pPr>
        <w:pStyle w:val="Bibliography"/>
        <w:rPr>
          <w:rFonts w:eastAsia="Times New Roman"/>
          <w:sz w:val="24"/>
          <w:szCs w:val="24"/>
        </w:rPr>
      </w:pPr>
      <w:r w:rsidRPr="00A9053C">
        <w:rPr>
          <w:rFonts w:eastAsia="Times New Roman"/>
          <w:sz w:val="24"/>
          <w:szCs w:val="24"/>
        </w:rPr>
        <w:t>Qu, X., Hall, A., Klein, S. A., &amp; DeAngelis, A. M. (2015). Positive tropical marine low‐cloud cover feedback inferred from cloud‐controlling factors. Geophysical Research Letters, 42(18), 7767–7775. https://doi.org/10.1002/2015GL065627</w:t>
      </w:r>
    </w:p>
    <w:p w14:paraId="384F4649" w14:textId="77777777" w:rsidR="00A9053C" w:rsidRPr="00A9053C" w:rsidRDefault="00A9053C" w:rsidP="00A9053C">
      <w:pPr>
        <w:pStyle w:val="Bibliography"/>
        <w:rPr>
          <w:rFonts w:eastAsia="Times New Roman"/>
          <w:sz w:val="24"/>
          <w:szCs w:val="24"/>
        </w:rPr>
      </w:pPr>
      <w:r w:rsidRPr="00A9053C">
        <w:rPr>
          <w:rFonts w:eastAsia="Times New Roman"/>
          <w:sz w:val="24"/>
          <w:szCs w:val="24"/>
        </w:rPr>
        <w:t>Schneider, T., Teixeira, J., Bretherton, C. S., Brient, F., Pressel, K. G., Schär, C., &amp; Siebesma, A. P. (2017). Climate goals and computing the future of clouds. Nature Climate Change, 7(1), 3–5. https://doi.org/10.1038/nclimate3190</w:t>
      </w:r>
    </w:p>
    <w:p w14:paraId="54482DB8" w14:textId="77777777" w:rsidR="00A9053C" w:rsidRPr="00A9053C" w:rsidRDefault="00A9053C" w:rsidP="00A9053C">
      <w:pPr>
        <w:pStyle w:val="Bibliography"/>
        <w:rPr>
          <w:rFonts w:eastAsia="Times New Roman"/>
          <w:sz w:val="24"/>
          <w:szCs w:val="24"/>
        </w:rPr>
      </w:pPr>
      <w:r w:rsidRPr="00A9053C">
        <w:rPr>
          <w:rFonts w:eastAsia="Times New Roman"/>
          <w:sz w:val="24"/>
          <w:szCs w:val="24"/>
        </w:rPr>
        <w:t>Sherwood, S. C., Webb, M. J., Annan, J. D., Armour, K. C., Forster, P. M., Hargreaves, J. C., Hegerl, G., Klein, S. A., Marvel, K. D., Rohling, E. J., Watanabe, M., Andrews, T., Braconnot, P., Bretherton, C. S., Foster, G. L., Hausfather, Z., Von Der Heydt, A. S., Knutti, R., Mauritsen, T., … Zelinka, M. D. (2020). An Assessment of Earth’s Climate Sensitivity Using Multiple Lines of Evidence. Reviews of Geophysics, 58(4), e2019RG000678. https://doi.org/10.1029/2019RG000678</w:t>
      </w:r>
    </w:p>
    <w:p w14:paraId="700EC575" w14:textId="77777777" w:rsidR="00A9053C" w:rsidRPr="00A9053C" w:rsidRDefault="00A9053C" w:rsidP="00A9053C">
      <w:pPr>
        <w:pStyle w:val="Bibliography"/>
        <w:rPr>
          <w:rFonts w:eastAsia="Times New Roman"/>
          <w:sz w:val="24"/>
          <w:szCs w:val="24"/>
        </w:rPr>
      </w:pPr>
      <w:r w:rsidRPr="00A9053C">
        <w:rPr>
          <w:rFonts w:eastAsia="Times New Roman"/>
          <w:sz w:val="24"/>
          <w:szCs w:val="24"/>
        </w:rPr>
        <w:t>Sourdeval, O., C.‐Labonnote, L., Baran, A. J., Mülmenstädt, J., &amp; Brogniez, G. (2016). A methodology for simultaneous retrieval of ice and liquid water cloud properties. Part 2: Near‐global retrievals and evaluation against A‐Train products. Quarterly Journal of the Royal Meteorological Society, 142(701), 3063–3081. https://doi.org/10.1002/qj.2889</w:t>
      </w:r>
    </w:p>
    <w:p w14:paraId="01B9FCA3" w14:textId="77777777" w:rsidR="00A9053C" w:rsidRPr="00A9053C" w:rsidRDefault="00A9053C" w:rsidP="00A9053C">
      <w:pPr>
        <w:pStyle w:val="Bibliography"/>
        <w:rPr>
          <w:rFonts w:eastAsia="Times New Roman"/>
          <w:sz w:val="24"/>
          <w:szCs w:val="24"/>
        </w:rPr>
      </w:pPr>
      <w:r w:rsidRPr="00A9053C">
        <w:rPr>
          <w:rFonts w:eastAsia="Times New Roman"/>
          <w:sz w:val="24"/>
          <w:szCs w:val="24"/>
        </w:rPr>
        <w:t>Stephens, G. L. (2005). Cloud Feedbacks in the Climate System: A Critical Review. Journal of Climate, 18(2), 237–273. https://doi.org/10.1175/JCLI-3243.1</w:t>
      </w:r>
    </w:p>
    <w:p w14:paraId="571DB8AE" w14:textId="77777777" w:rsidR="00A9053C" w:rsidRPr="00A9053C" w:rsidRDefault="00A9053C" w:rsidP="00A9053C">
      <w:pPr>
        <w:pStyle w:val="Bibliography"/>
        <w:rPr>
          <w:rFonts w:eastAsia="Times New Roman"/>
          <w:sz w:val="24"/>
          <w:szCs w:val="24"/>
        </w:rPr>
      </w:pPr>
      <w:r w:rsidRPr="00A9053C">
        <w:rPr>
          <w:rFonts w:eastAsia="Times New Roman"/>
          <w:sz w:val="24"/>
          <w:szCs w:val="24"/>
        </w:rPr>
        <w:t>Su, H., &amp; Du, S. (2024). Cloud Feedback. In Reference Module in Earth Systems and Environmental Sciences (p. B9780323960267000710). Elsevier. https://doi.org/10.1016/B978-0-323-96026-7.00071-0</w:t>
      </w:r>
    </w:p>
    <w:p w14:paraId="2A42BF49" w14:textId="77777777" w:rsidR="00A9053C" w:rsidRPr="00A9053C" w:rsidRDefault="00A9053C" w:rsidP="00A9053C">
      <w:pPr>
        <w:pStyle w:val="Bibliography"/>
        <w:rPr>
          <w:rFonts w:eastAsia="Times New Roman"/>
          <w:sz w:val="24"/>
          <w:szCs w:val="24"/>
        </w:rPr>
      </w:pPr>
      <w:r w:rsidRPr="00A9053C">
        <w:rPr>
          <w:rFonts w:eastAsia="Times New Roman"/>
          <w:sz w:val="24"/>
          <w:szCs w:val="24"/>
        </w:rPr>
        <w:t>Tan, I., Storelvmo, T., &amp; Zelinka, M. D. (2016). Observational constraints on mixed-phase clouds imply higher climate sensitivity. Science, 352(6282), 224–227. https://doi.org/10.1126/science.aad5300</w:t>
      </w:r>
    </w:p>
    <w:p w14:paraId="5DB1165B" w14:textId="77777777" w:rsidR="00A9053C" w:rsidRPr="00A9053C" w:rsidRDefault="00A9053C" w:rsidP="00A9053C">
      <w:pPr>
        <w:pStyle w:val="Bibliography"/>
        <w:rPr>
          <w:rFonts w:eastAsia="Times New Roman"/>
          <w:sz w:val="24"/>
          <w:szCs w:val="24"/>
        </w:rPr>
      </w:pPr>
      <w:r w:rsidRPr="00A9053C">
        <w:rPr>
          <w:rFonts w:eastAsia="Times New Roman"/>
          <w:sz w:val="24"/>
          <w:szCs w:val="24"/>
        </w:rPr>
        <w:t>Zelinka, M. D., Myers, T. A., McCoy, D. T., Po‐Chedley, S., Caldwell, P. M., Ceppi, P., Klein, S. A., &amp; Taylor, K. E. (2020). Causes of Higher Climate Sensitivity in CMIP6 Models. Geophysical Research Letters, 47(1), e2019GL085782. https://doi.org/10.1029/2019GL085782</w:t>
      </w:r>
    </w:p>
    <w:p w14:paraId="6DB37BCB" w14:textId="77777777" w:rsidR="00A9053C" w:rsidRPr="00A9053C" w:rsidRDefault="00A9053C" w:rsidP="00A9053C">
      <w:pPr>
        <w:pStyle w:val="Bibliography"/>
        <w:rPr>
          <w:rFonts w:eastAsia="Times New Roman"/>
          <w:sz w:val="24"/>
          <w:szCs w:val="24"/>
        </w:rPr>
      </w:pPr>
      <w:r w:rsidRPr="00A9053C">
        <w:rPr>
          <w:rFonts w:eastAsia="Times New Roman"/>
          <w:sz w:val="24"/>
          <w:szCs w:val="24"/>
        </w:rPr>
        <w:t>Zhai, C., Jiang, J. H., &amp; Su, H. (2015). Long‐term cloud change imprinted in seasonal cloud variation: More evidence of high climate sensitivity. Geophysical Research Letters, 42(20), 8729–8737. https://doi.org/10.1002/2015GL065911</w:t>
      </w:r>
    </w:p>
    <w:p w14:paraId="5DB04702" w14:textId="19A119AD" w:rsidR="001F3821" w:rsidRPr="005D78CE" w:rsidRDefault="00A9053C">
      <w:pPr>
        <w:rPr>
          <w:rFonts w:asciiTheme="minorHAnsi" w:hAnsiTheme="minorHAnsi" w:cstheme="minorHAnsi"/>
          <w:lang w:eastAsia="zh-CN"/>
        </w:rPr>
      </w:pPr>
      <w:r w:rsidRPr="00A9053C">
        <w:rPr>
          <w:rFonts w:eastAsia="Times New Roman"/>
          <w:sz w:val="24"/>
          <w:szCs w:val="24"/>
        </w:rPr>
        <w:fldChar w:fldCharType="end"/>
      </w:r>
    </w:p>
    <w:sectPr w:rsidR="001F3821" w:rsidRPr="005D78CE"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38CE6" w14:textId="77777777" w:rsidR="00341076" w:rsidRDefault="00341076" w:rsidP="000379AB">
      <w:r>
        <w:separator/>
      </w:r>
    </w:p>
  </w:endnote>
  <w:endnote w:type="continuationSeparator" w:id="0">
    <w:p w14:paraId="4DCC8A93" w14:textId="77777777" w:rsidR="00341076" w:rsidRDefault="00341076"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Roboto">
    <w:altName w:val="Arial"/>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FBDAC" w14:textId="77777777" w:rsidR="00AC2F1B" w:rsidRDefault="00AC2F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ED28E" w14:textId="2FE9AD18" w:rsidR="00DD6745" w:rsidRDefault="00DD6745" w:rsidP="00B719C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76151" w14:textId="77777777" w:rsidR="00AC2F1B" w:rsidRDefault="00AC2F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87FBC1" w14:textId="77777777" w:rsidR="00341076" w:rsidRDefault="00341076" w:rsidP="000379AB">
      <w:r>
        <w:separator/>
      </w:r>
    </w:p>
  </w:footnote>
  <w:footnote w:type="continuationSeparator" w:id="0">
    <w:p w14:paraId="270AD6AA" w14:textId="77777777" w:rsidR="00341076" w:rsidRDefault="00341076"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B06F3" w14:textId="77777777" w:rsidR="00AC2F1B" w:rsidRDefault="00AC2F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5FE63" w14:textId="7FE834A2" w:rsidR="00DD6745" w:rsidRDefault="00DD6745" w:rsidP="007778ED">
    <w:pPr>
      <w:pStyle w:val="Header"/>
      <w:jc w:val="center"/>
    </w:pPr>
    <w:r>
      <w:t xml:space="preserve">manuscript submitted to </w:t>
    </w:r>
    <w:r w:rsidR="00AC2F1B">
      <w:rPr>
        <w:i/>
      </w:rPr>
      <w:t>Jour</w:t>
    </w:r>
    <w:r w:rsidR="00CF1A2F">
      <w:rPr>
        <w:i/>
      </w:rPr>
      <w:t>nal of Geophysical Research: Atmospheres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1F076C7"/>
    <w:multiLevelType w:val="multilevel"/>
    <w:tmpl w:val="03E4A6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D44E7D"/>
    <w:multiLevelType w:val="multilevel"/>
    <w:tmpl w:val="1A92C6A2"/>
    <w:lvl w:ilvl="0">
      <w:start w:val="1"/>
      <w:numFmt w:val="decimal"/>
      <w:lvlText w:val="%1."/>
      <w:lvlJc w:val="left"/>
      <w:pPr>
        <w:tabs>
          <w:tab w:val="num" w:pos="720"/>
        </w:tabs>
        <w:ind w:left="720" w:hanging="360"/>
      </w:pPr>
      <w:rPr>
        <w:rFonts w:ascii="Segoe UI" w:eastAsia="SimSun" w:hAnsi="Segoe UI" w:cs="Segoe U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DFF7D88"/>
    <w:multiLevelType w:val="multilevel"/>
    <w:tmpl w:val="2A741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7B1471"/>
    <w:multiLevelType w:val="hybridMultilevel"/>
    <w:tmpl w:val="FBFEE6AC"/>
    <w:lvl w:ilvl="0" w:tplc="2CECDEF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1250277"/>
    <w:multiLevelType w:val="multilevel"/>
    <w:tmpl w:val="6C14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4F52BC"/>
    <w:multiLevelType w:val="multilevel"/>
    <w:tmpl w:val="77740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144BFE"/>
    <w:multiLevelType w:val="hybridMultilevel"/>
    <w:tmpl w:val="83FCDB1C"/>
    <w:lvl w:ilvl="0" w:tplc="64882B2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6E5B75"/>
    <w:multiLevelType w:val="hybridMultilevel"/>
    <w:tmpl w:val="BE1811E2"/>
    <w:lvl w:ilvl="0" w:tplc="F4D0536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499A5312"/>
    <w:multiLevelType w:val="multilevel"/>
    <w:tmpl w:val="940E40CC"/>
    <w:lvl w:ilvl="0">
      <w:start w:val="1"/>
      <w:numFmt w:val="decimal"/>
      <w:lvlText w:val="%1."/>
      <w:lvlJc w:val="left"/>
      <w:pPr>
        <w:tabs>
          <w:tab w:val="num" w:pos="720"/>
        </w:tabs>
        <w:ind w:left="720" w:hanging="360"/>
      </w:pPr>
      <w:rPr>
        <w:rFonts w:ascii="Times New Roman" w:eastAsia="Calibri"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54336706"/>
    <w:multiLevelType w:val="multilevel"/>
    <w:tmpl w:val="F4E6C0F8"/>
    <w:lvl w:ilvl="0">
      <w:start w:val="1"/>
      <w:numFmt w:val="decimal"/>
      <w:pStyle w:val="Heading1"/>
      <w:isLgl/>
      <w:lvlText w:val="%1"/>
      <w:lvlJc w:val="left"/>
      <w:pPr>
        <w:ind w:left="400" w:hanging="400"/>
      </w:pPr>
      <w:rPr>
        <w:rFonts w:hint="default"/>
      </w:rPr>
    </w:lvl>
    <w:lvl w:ilvl="1">
      <w:start w:val="1"/>
      <w:numFmt w:val="decimal"/>
      <w:pStyle w:val="Heading2"/>
      <w:lvlText w:val="%1.%2"/>
      <w:lvlJc w:val="left"/>
      <w:pPr>
        <w:ind w:left="720" w:hanging="720"/>
      </w:pPr>
      <w:rPr>
        <w:rFonts w:hint="default"/>
        <w:sz w:val="32"/>
        <w:szCs w:val="48"/>
      </w:rPr>
    </w:lvl>
    <w:lvl w:ilvl="2">
      <w:start w:val="1"/>
      <w:numFmt w:val="decimal"/>
      <w:pStyle w:val="Heading3"/>
      <w:isLg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585F6BF9"/>
    <w:multiLevelType w:val="hybridMultilevel"/>
    <w:tmpl w:val="2CD43D38"/>
    <w:lvl w:ilvl="0" w:tplc="C17070A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8A795C"/>
    <w:multiLevelType w:val="multilevel"/>
    <w:tmpl w:val="29924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3904C7"/>
    <w:multiLevelType w:val="multilevel"/>
    <w:tmpl w:val="F9FE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B61859"/>
    <w:multiLevelType w:val="multilevel"/>
    <w:tmpl w:val="85160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470E60"/>
    <w:multiLevelType w:val="multilevel"/>
    <w:tmpl w:val="8CA4F890"/>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67D77F60"/>
    <w:multiLevelType w:val="multilevel"/>
    <w:tmpl w:val="D0AC0258"/>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28" w15:restartNumberingAfterBreak="0">
    <w:nsid w:val="6B5617E1"/>
    <w:multiLevelType w:val="multilevel"/>
    <w:tmpl w:val="74A09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E550E25"/>
    <w:multiLevelType w:val="multilevel"/>
    <w:tmpl w:val="CAC0D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E6865CB"/>
    <w:multiLevelType w:val="multilevel"/>
    <w:tmpl w:val="A510CB1E"/>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4"/>
  </w:num>
  <w:num w:numId="2" w16cid:durableId="906064874">
    <w:abstractNumId w:val="2"/>
  </w:num>
  <w:num w:numId="3" w16cid:durableId="124200908">
    <w:abstractNumId w:val="27"/>
  </w:num>
  <w:num w:numId="4" w16cid:durableId="983047291">
    <w:abstractNumId w:val="10"/>
  </w:num>
  <w:num w:numId="5" w16cid:durableId="1416437152">
    <w:abstractNumId w:val="13"/>
  </w:num>
  <w:num w:numId="6" w16cid:durableId="25494253">
    <w:abstractNumId w:val="19"/>
  </w:num>
  <w:num w:numId="7" w16cid:durableId="119541995">
    <w:abstractNumId w:val="23"/>
  </w:num>
  <w:num w:numId="8" w16cid:durableId="1958756824">
    <w:abstractNumId w:val="24"/>
  </w:num>
  <w:num w:numId="9" w16cid:durableId="928124450">
    <w:abstractNumId w:val="6"/>
  </w:num>
  <w:num w:numId="10" w16cid:durableId="1962152298">
    <w:abstractNumId w:val="16"/>
  </w:num>
  <w:num w:numId="11" w16cid:durableId="17976862">
    <w:abstractNumId w:val="8"/>
  </w:num>
  <w:num w:numId="12" w16cid:durableId="1237283164">
    <w:abstractNumId w:val="31"/>
  </w:num>
  <w:num w:numId="13" w16cid:durableId="439767255">
    <w:abstractNumId w:val="0"/>
  </w:num>
  <w:num w:numId="14" w16cid:durableId="1145467529">
    <w:abstractNumId w:val="28"/>
  </w:num>
  <w:num w:numId="15" w16cid:durableId="584530956">
    <w:abstractNumId w:val="22"/>
  </w:num>
  <w:num w:numId="16" w16cid:durableId="2055275753">
    <w:abstractNumId w:val="11"/>
  </w:num>
  <w:num w:numId="17" w16cid:durableId="900676298">
    <w:abstractNumId w:val="1"/>
  </w:num>
  <w:num w:numId="18" w16cid:durableId="1349793237">
    <w:abstractNumId w:val="5"/>
  </w:num>
  <w:num w:numId="19" w16cid:durableId="1170825885">
    <w:abstractNumId w:val="20"/>
  </w:num>
  <w:num w:numId="20" w16cid:durableId="328559601">
    <w:abstractNumId w:val="30"/>
  </w:num>
  <w:num w:numId="21" w16cid:durableId="1336302925">
    <w:abstractNumId w:val="7"/>
  </w:num>
  <w:num w:numId="22" w16cid:durableId="73473317">
    <w:abstractNumId w:val="17"/>
  </w:num>
  <w:num w:numId="23" w16cid:durableId="1840611301">
    <w:abstractNumId w:val="26"/>
  </w:num>
  <w:num w:numId="24" w16cid:durableId="1623069583">
    <w:abstractNumId w:val="15"/>
  </w:num>
  <w:num w:numId="25" w16cid:durableId="809250687">
    <w:abstractNumId w:val="3"/>
  </w:num>
  <w:num w:numId="26" w16cid:durableId="1974482680">
    <w:abstractNumId w:val="14"/>
  </w:num>
  <w:num w:numId="27" w16cid:durableId="1382246929">
    <w:abstractNumId w:val="25"/>
  </w:num>
  <w:num w:numId="28" w16cid:durableId="3943619">
    <w:abstractNumId w:val="18"/>
  </w:num>
  <w:num w:numId="29" w16cid:durableId="1741439987">
    <w:abstractNumId w:val="29"/>
  </w:num>
  <w:num w:numId="30" w16cid:durableId="1124730455">
    <w:abstractNumId w:val="9"/>
  </w:num>
  <w:num w:numId="31" w16cid:durableId="1821724041">
    <w:abstractNumId w:val="21"/>
  </w:num>
  <w:num w:numId="32" w16cid:durableId="39107830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14BA8"/>
    <w:rsid w:val="0003107C"/>
    <w:rsid w:val="00031829"/>
    <w:rsid w:val="000379AB"/>
    <w:rsid w:val="000433C8"/>
    <w:rsid w:val="000478C4"/>
    <w:rsid w:val="00051122"/>
    <w:rsid w:val="00065531"/>
    <w:rsid w:val="000709F8"/>
    <w:rsid w:val="0007414F"/>
    <w:rsid w:val="00074CDE"/>
    <w:rsid w:val="0007689E"/>
    <w:rsid w:val="000771D4"/>
    <w:rsid w:val="000943C1"/>
    <w:rsid w:val="00096EE6"/>
    <w:rsid w:val="000A0082"/>
    <w:rsid w:val="000A3161"/>
    <w:rsid w:val="000B63D8"/>
    <w:rsid w:val="000B6908"/>
    <w:rsid w:val="000C2D0A"/>
    <w:rsid w:val="000D16F3"/>
    <w:rsid w:val="000E0B1B"/>
    <w:rsid w:val="00105920"/>
    <w:rsid w:val="00105F0A"/>
    <w:rsid w:val="00116726"/>
    <w:rsid w:val="0012191C"/>
    <w:rsid w:val="001359C6"/>
    <w:rsid w:val="00136FF9"/>
    <w:rsid w:val="00142649"/>
    <w:rsid w:val="0014529D"/>
    <w:rsid w:val="00152EB1"/>
    <w:rsid w:val="001627A2"/>
    <w:rsid w:val="00164435"/>
    <w:rsid w:val="00170D3E"/>
    <w:rsid w:val="00194152"/>
    <w:rsid w:val="001965E3"/>
    <w:rsid w:val="001A4D9E"/>
    <w:rsid w:val="001B2ECB"/>
    <w:rsid w:val="001B5FBE"/>
    <w:rsid w:val="001C2B0D"/>
    <w:rsid w:val="001C3EF6"/>
    <w:rsid w:val="001C72A6"/>
    <w:rsid w:val="001C7F39"/>
    <w:rsid w:val="001D0AFE"/>
    <w:rsid w:val="001D6AC0"/>
    <w:rsid w:val="001E08FE"/>
    <w:rsid w:val="001E33EF"/>
    <w:rsid w:val="001E54C3"/>
    <w:rsid w:val="001E59B1"/>
    <w:rsid w:val="001E6A5C"/>
    <w:rsid w:val="001F2CFB"/>
    <w:rsid w:val="001F3821"/>
    <w:rsid w:val="00205265"/>
    <w:rsid w:val="002112B8"/>
    <w:rsid w:val="00211A61"/>
    <w:rsid w:val="002252D1"/>
    <w:rsid w:val="00234083"/>
    <w:rsid w:val="002348E8"/>
    <w:rsid w:val="00240493"/>
    <w:rsid w:val="002661C8"/>
    <w:rsid w:val="002737B9"/>
    <w:rsid w:val="00276480"/>
    <w:rsid w:val="00280178"/>
    <w:rsid w:val="002933B3"/>
    <w:rsid w:val="002970E0"/>
    <w:rsid w:val="00297EFE"/>
    <w:rsid w:val="002A087E"/>
    <w:rsid w:val="002B0D93"/>
    <w:rsid w:val="002B6F74"/>
    <w:rsid w:val="002C3263"/>
    <w:rsid w:val="002E0C14"/>
    <w:rsid w:val="002E7898"/>
    <w:rsid w:val="002F2289"/>
    <w:rsid w:val="002F3B11"/>
    <w:rsid w:val="00307245"/>
    <w:rsid w:val="003137C3"/>
    <w:rsid w:val="00313BB0"/>
    <w:rsid w:val="00321596"/>
    <w:rsid w:val="00322CF1"/>
    <w:rsid w:val="00330941"/>
    <w:rsid w:val="003340C9"/>
    <w:rsid w:val="00334A86"/>
    <w:rsid w:val="00341076"/>
    <w:rsid w:val="00343046"/>
    <w:rsid w:val="00366917"/>
    <w:rsid w:val="00373899"/>
    <w:rsid w:val="0037466A"/>
    <w:rsid w:val="00377378"/>
    <w:rsid w:val="00381A7D"/>
    <w:rsid w:val="003A2A1A"/>
    <w:rsid w:val="003A2CA7"/>
    <w:rsid w:val="003B3617"/>
    <w:rsid w:val="003E660A"/>
    <w:rsid w:val="003F199B"/>
    <w:rsid w:val="003F2633"/>
    <w:rsid w:val="003F54CD"/>
    <w:rsid w:val="003F62A5"/>
    <w:rsid w:val="00400425"/>
    <w:rsid w:val="004009A6"/>
    <w:rsid w:val="00407346"/>
    <w:rsid w:val="00413C58"/>
    <w:rsid w:val="00415023"/>
    <w:rsid w:val="004162E1"/>
    <w:rsid w:val="00416539"/>
    <w:rsid w:val="004265A8"/>
    <w:rsid w:val="00440A22"/>
    <w:rsid w:val="00454F0E"/>
    <w:rsid w:val="0046739F"/>
    <w:rsid w:val="00470591"/>
    <w:rsid w:val="00473CD7"/>
    <w:rsid w:val="00476589"/>
    <w:rsid w:val="004816CB"/>
    <w:rsid w:val="004833C0"/>
    <w:rsid w:val="00494F9D"/>
    <w:rsid w:val="004A0959"/>
    <w:rsid w:val="004B5ECD"/>
    <w:rsid w:val="004F4721"/>
    <w:rsid w:val="005051D6"/>
    <w:rsid w:val="005138D1"/>
    <w:rsid w:val="00514475"/>
    <w:rsid w:val="00514B45"/>
    <w:rsid w:val="005167EA"/>
    <w:rsid w:val="00526E6D"/>
    <w:rsid w:val="005358D5"/>
    <w:rsid w:val="005410B3"/>
    <w:rsid w:val="00545B6C"/>
    <w:rsid w:val="005611A8"/>
    <w:rsid w:val="00562C9F"/>
    <w:rsid w:val="00562D64"/>
    <w:rsid w:val="00571558"/>
    <w:rsid w:val="0057441D"/>
    <w:rsid w:val="00575C0B"/>
    <w:rsid w:val="00585CF1"/>
    <w:rsid w:val="005868DC"/>
    <w:rsid w:val="00586E8B"/>
    <w:rsid w:val="00592B85"/>
    <w:rsid w:val="00597EF1"/>
    <w:rsid w:val="005A1648"/>
    <w:rsid w:val="005A3BB8"/>
    <w:rsid w:val="005A7759"/>
    <w:rsid w:val="005B6958"/>
    <w:rsid w:val="005D78CE"/>
    <w:rsid w:val="005E1969"/>
    <w:rsid w:val="00600EB0"/>
    <w:rsid w:val="00610DBA"/>
    <w:rsid w:val="00621B13"/>
    <w:rsid w:val="00624F4C"/>
    <w:rsid w:val="00627BA9"/>
    <w:rsid w:val="00656518"/>
    <w:rsid w:val="006708F5"/>
    <w:rsid w:val="006842EE"/>
    <w:rsid w:val="00685716"/>
    <w:rsid w:val="00690638"/>
    <w:rsid w:val="00693817"/>
    <w:rsid w:val="00696118"/>
    <w:rsid w:val="006A5BD2"/>
    <w:rsid w:val="006B4C45"/>
    <w:rsid w:val="006B53EB"/>
    <w:rsid w:val="006C4619"/>
    <w:rsid w:val="006D19B4"/>
    <w:rsid w:val="006E0B51"/>
    <w:rsid w:val="006F0D4D"/>
    <w:rsid w:val="006F662E"/>
    <w:rsid w:val="007162CB"/>
    <w:rsid w:val="007272E8"/>
    <w:rsid w:val="007335E7"/>
    <w:rsid w:val="0073587A"/>
    <w:rsid w:val="00741F4A"/>
    <w:rsid w:val="00753887"/>
    <w:rsid w:val="00767596"/>
    <w:rsid w:val="007778ED"/>
    <w:rsid w:val="0079675B"/>
    <w:rsid w:val="00796FB8"/>
    <w:rsid w:val="007A418A"/>
    <w:rsid w:val="007B046D"/>
    <w:rsid w:val="007B1412"/>
    <w:rsid w:val="007B30E8"/>
    <w:rsid w:val="007B4B93"/>
    <w:rsid w:val="007C697C"/>
    <w:rsid w:val="007D0842"/>
    <w:rsid w:val="007D2002"/>
    <w:rsid w:val="007D42B8"/>
    <w:rsid w:val="007E6C8D"/>
    <w:rsid w:val="007E7EF1"/>
    <w:rsid w:val="007F1F8A"/>
    <w:rsid w:val="008131E7"/>
    <w:rsid w:val="00813315"/>
    <w:rsid w:val="00817BFB"/>
    <w:rsid w:val="00822200"/>
    <w:rsid w:val="00826082"/>
    <w:rsid w:val="00843D9A"/>
    <w:rsid w:val="00850691"/>
    <w:rsid w:val="00854FD5"/>
    <w:rsid w:val="00855B07"/>
    <w:rsid w:val="00867D44"/>
    <w:rsid w:val="00891AD7"/>
    <w:rsid w:val="008A6077"/>
    <w:rsid w:val="008A6616"/>
    <w:rsid w:val="008B5894"/>
    <w:rsid w:val="008D1378"/>
    <w:rsid w:val="008D17BB"/>
    <w:rsid w:val="008D3087"/>
    <w:rsid w:val="008D7202"/>
    <w:rsid w:val="008E3BA8"/>
    <w:rsid w:val="008E58E5"/>
    <w:rsid w:val="008F1F3A"/>
    <w:rsid w:val="009007AE"/>
    <w:rsid w:val="0090613A"/>
    <w:rsid w:val="00906234"/>
    <w:rsid w:val="00916A4E"/>
    <w:rsid w:val="00925257"/>
    <w:rsid w:val="00931BC9"/>
    <w:rsid w:val="00942854"/>
    <w:rsid w:val="00950C22"/>
    <w:rsid w:val="0095255B"/>
    <w:rsid w:val="0095400F"/>
    <w:rsid w:val="00954269"/>
    <w:rsid w:val="0095535D"/>
    <w:rsid w:val="009638C8"/>
    <w:rsid w:val="00970CBD"/>
    <w:rsid w:val="0097213C"/>
    <w:rsid w:val="00974ECD"/>
    <w:rsid w:val="00975D9D"/>
    <w:rsid w:val="009820B0"/>
    <w:rsid w:val="00982205"/>
    <w:rsid w:val="0099048D"/>
    <w:rsid w:val="00995CAA"/>
    <w:rsid w:val="009A12C8"/>
    <w:rsid w:val="009B2F26"/>
    <w:rsid w:val="009B324E"/>
    <w:rsid w:val="009B68DA"/>
    <w:rsid w:val="009C63D9"/>
    <w:rsid w:val="009D4F62"/>
    <w:rsid w:val="009F4DC0"/>
    <w:rsid w:val="00A04594"/>
    <w:rsid w:val="00A045C3"/>
    <w:rsid w:val="00A1073D"/>
    <w:rsid w:val="00A152CF"/>
    <w:rsid w:val="00A24456"/>
    <w:rsid w:val="00A26884"/>
    <w:rsid w:val="00A278C7"/>
    <w:rsid w:val="00A36342"/>
    <w:rsid w:val="00A44E37"/>
    <w:rsid w:val="00A5329C"/>
    <w:rsid w:val="00A56B2D"/>
    <w:rsid w:val="00A57841"/>
    <w:rsid w:val="00A670DA"/>
    <w:rsid w:val="00A71402"/>
    <w:rsid w:val="00A9053C"/>
    <w:rsid w:val="00A928A0"/>
    <w:rsid w:val="00A9373B"/>
    <w:rsid w:val="00A94ABE"/>
    <w:rsid w:val="00A96F65"/>
    <w:rsid w:val="00AA11F3"/>
    <w:rsid w:val="00AA23B1"/>
    <w:rsid w:val="00AA2622"/>
    <w:rsid w:val="00AB116B"/>
    <w:rsid w:val="00AB46CF"/>
    <w:rsid w:val="00AB4850"/>
    <w:rsid w:val="00AC01A4"/>
    <w:rsid w:val="00AC2F1B"/>
    <w:rsid w:val="00AC63B9"/>
    <w:rsid w:val="00AC6751"/>
    <w:rsid w:val="00AD03B0"/>
    <w:rsid w:val="00AE53A7"/>
    <w:rsid w:val="00AE588E"/>
    <w:rsid w:val="00AF33DA"/>
    <w:rsid w:val="00AF6FE8"/>
    <w:rsid w:val="00B0143D"/>
    <w:rsid w:val="00B01EAD"/>
    <w:rsid w:val="00B04655"/>
    <w:rsid w:val="00B05267"/>
    <w:rsid w:val="00B120F3"/>
    <w:rsid w:val="00B14BFD"/>
    <w:rsid w:val="00B21A2A"/>
    <w:rsid w:val="00B2482E"/>
    <w:rsid w:val="00B31670"/>
    <w:rsid w:val="00B36CCA"/>
    <w:rsid w:val="00B37465"/>
    <w:rsid w:val="00B40075"/>
    <w:rsid w:val="00B45943"/>
    <w:rsid w:val="00B47545"/>
    <w:rsid w:val="00B527BC"/>
    <w:rsid w:val="00B6036D"/>
    <w:rsid w:val="00B64D92"/>
    <w:rsid w:val="00B719C8"/>
    <w:rsid w:val="00B81C79"/>
    <w:rsid w:val="00B82556"/>
    <w:rsid w:val="00B828C4"/>
    <w:rsid w:val="00B866F1"/>
    <w:rsid w:val="00BA1622"/>
    <w:rsid w:val="00BB2944"/>
    <w:rsid w:val="00BD1F9B"/>
    <w:rsid w:val="00BD47BB"/>
    <w:rsid w:val="00BD5E7F"/>
    <w:rsid w:val="00BD7934"/>
    <w:rsid w:val="00BD7ACB"/>
    <w:rsid w:val="00BE52EB"/>
    <w:rsid w:val="00BE5E73"/>
    <w:rsid w:val="00BF0028"/>
    <w:rsid w:val="00BF3EF8"/>
    <w:rsid w:val="00C05886"/>
    <w:rsid w:val="00C05925"/>
    <w:rsid w:val="00C13370"/>
    <w:rsid w:val="00C20103"/>
    <w:rsid w:val="00C33116"/>
    <w:rsid w:val="00C3444E"/>
    <w:rsid w:val="00C3475A"/>
    <w:rsid w:val="00C4131C"/>
    <w:rsid w:val="00C81368"/>
    <w:rsid w:val="00C81692"/>
    <w:rsid w:val="00C8314A"/>
    <w:rsid w:val="00C92617"/>
    <w:rsid w:val="00C932BA"/>
    <w:rsid w:val="00C9413F"/>
    <w:rsid w:val="00C94AA5"/>
    <w:rsid w:val="00C96FB7"/>
    <w:rsid w:val="00CA397F"/>
    <w:rsid w:val="00CB4CC2"/>
    <w:rsid w:val="00CB7989"/>
    <w:rsid w:val="00CB7BED"/>
    <w:rsid w:val="00CC2231"/>
    <w:rsid w:val="00CC4CBE"/>
    <w:rsid w:val="00CE4024"/>
    <w:rsid w:val="00CF1A2F"/>
    <w:rsid w:val="00CF218C"/>
    <w:rsid w:val="00CF3DEE"/>
    <w:rsid w:val="00CF63C6"/>
    <w:rsid w:val="00D05C88"/>
    <w:rsid w:val="00D0718F"/>
    <w:rsid w:val="00D1327F"/>
    <w:rsid w:val="00D1479B"/>
    <w:rsid w:val="00D4077F"/>
    <w:rsid w:val="00D50A01"/>
    <w:rsid w:val="00D563EE"/>
    <w:rsid w:val="00D80545"/>
    <w:rsid w:val="00D810E5"/>
    <w:rsid w:val="00D8668E"/>
    <w:rsid w:val="00D87E28"/>
    <w:rsid w:val="00D94839"/>
    <w:rsid w:val="00D9528F"/>
    <w:rsid w:val="00D954AC"/>
    <w:rsid w:val="00DA264E"/>
    <w:rsid w:val="00DA5777"/>
    <w:rsid w:val="00DB1A3E"/>
    <w:rsid w:val="00DB4DF2"/>
    <w:rsid w:val="00DD0CF9"/>
    <w:rsid w:val="00DD6745"/>
    <w:rsid w:val="00DE3F91"/>
    <w:rsid w:val="00DF0D00"/>
    <w:rsid w:val="00E01172"/>
    <w:rsid w:val="00E04412"/>
    <w:rsid w:val="00E121EF"/>
    <w:rsid w:val="00E15DBB"/>
    <w:rsid w:val="00E17206"/>
    <w:rsid w:val="00E23590"/>
    <w:rsid w:val="00E30B6E"/>
    <w:rsid w:val="00E31404"/>
    <w:rsid w:val="00E31513"/>
    <w:rsid w:val="00E31D22"/>
    <w:rsid w:val="00E34C8E"/>
    <w:rsid w:val="00E35A72"/>
    <w:rsid w:val="00E56154"/>
    <w:rsid w:val="00E664DF"/>
    <w:rsid w:val="00E67B96"/>
    <w:rsid w:val="00E739F7"/>
    <w:rsid w:val="00E775E2"/>
    <w:rsid w:val="00E909E6"/>
    <w:rsid w:val="00E90E48"/>
    <w:rsid w:val="00E92AAD"/>
    <w:rsid w:val="00EA4122"/>
    <w:rsid w:val="00EA4D20"/>
    <w:rsid w:val="00EC5397"/>
    <w:rsid w:val="00ED03E3"/>
    <w:rsid w:val="00EE433D"/>
    <w:rsid w:val="00EF04CF"/>
    <w:rsid w:val="00F13598"/>
    <w:rsid w:val="00F2002E"/>
    <w:rsid w:val="00F21080"/>
    <w:rsid w:val="00F2149C"/>
    <w:rsid w:val="00F23FA5"/>
    <w:rsid w:val="00F310B5"/>
    <w:rsid w:val="00F35832"/>
    <w:rsid w:val="00F45AEC"/>
    <w:rsid w:val="00F45E57"/>
    <w:rsid w:val="00F529BC"/>
    <w:rsid w:val="00F53DBB"/>
    <w:rsid w:val="00F61E98"/>
    <w:rsid w:val="00F71CD1"/>
    <w:rsid w:val="00F74C8B"/>
    <w:rsid w:val="00FA0C9B"/>
    <w:rsid w:val="00FA2DC1"/>
    <w:rsid w:val="00FA539E"/>
    <w:rsid w:val="00FB4FBF"/>
    <w:rsid w:val="00FB71A0"/>
    <w:rsid w:val="00FC00AD"/>
    <w:rsid w:val="00FC3EAC"/>
    <w:rsid w:val="00FC49C6"/>
    <w:rsid w:val="00FD06E5"/>
    <w:rsid w:val="00FD325A"/>
    <w:rsid w:val="00FE0FB4"/>
    <w:rsid w:val="00FF3F75"/>
    <w:rsid w:val="00FF77AE"/>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303D572E-4937-4591-9787-24581FE3D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FC00AD"/>
    <w:pPr>
      <w:keepNext/>
      <w:keepLines/>
      <w:widowControl w:val="0"/>
      <w:numPr>
        <w:numId w:val="22"/>
      </w:numPr>
      <w:spacing w:before="480" w:after="80"/>
      <w:jc w:val="both"/>
      <w:outlineLvl w:val="0"/>
    </w:pPr>
    <w:rPr>
      <w:rFonts w:eastAsiaTheme="majorEastAsia"/>
      <w:b/>
      <w:bCs/>
      <w:color w:val="000000" w:themeColor="text1"/>
      <w:kern w:val="2"/>
      <w:sz w:val="32"/>
      <w:szCs w:val="32"/>
      <w:lang w:eastAsia="zh-CN"/>
      <w14:ligatures w14:val="standardContextual"/>
    </w:rPr>
  </w:style>
  <w:style w:type="paragraph" w:styleId="Heading2">
    <w:name w:val="heading 2"/>
    <w:basedOn w:val="Normal"/>
    <w:next w:val="Normal"/>
    <w:link w:val="Heading2Char"/>
    <w:uiPriority w:val="9"/>
    <w:unhideWhenUsed/>
    <w:qFormat/>
    <w:rsid w:val="00FC00AD"/>
    <w:pPr>
      <w:keepNext/>
      <w:keepLines/>
      <w:widowControl w:val="0"/>
      <w:numPr>
        <w:ilvl w:val="1"/>
        <w:numId w:val="22"/>
      </w:numPr>
      <w:spacing w:before="160" w:after="80"/>
      <w:jc w:val="both"/>
      <w:outlineLvl w:val="1"/>
    </w:pPr>
    <w:rPr>
      <w:rFonts w:eastAsia="Times New Roman" w:cstheme="majorBidi"/>
      <w:b/>
      <w:color w:val="000000" w:themeColor="text1"/>
      <w:kern w:val="2"/>
      <w:sz w:val="32"/>
      <w:szCs w:val="40"/>
      <w:lang w:eastAsia="zh-CN"/>
      <w14:ligatures w14:val="standardContextual"/>
    </w:rPr>
  </w:style>
  <w:style w:type="paragraph" w:styleId="Heading3">
    <w:name w:val="heading 3"/>
    <w:basedOn w:val="Normal"/>
    <w:next w:val="Normal"/>
    <w:link w:val="Heading3Char"/>
    <w:uiPriority w:val="9"/>
    <w:unhideWhenUsed/>
    <w:qFormat/>
    <w:rsid w:val="00FC00AD"/>
    <w:pPr>
      <w:keepNext/>
      <w:keepLines/>
      <w:widowControl w:val="0"/>
      <w:numPr>
        <w:ilvl w:val="2"/>
        <w:numId w:val="22"/>
      </w:numPr>
      <w:spacing w:before="160" w:after="80"/>
      <w:jc w:val="both"/>
      <w:outlineLvl w:val="2"/>
    </w:pPr>
    <w:rPr>
      <w:rFonts w:eastAsiaTheme="majorEastAsia" w:cstheme="majorBidi"/>
      <w:color w:val="000000" w:themeColor="text1"/>
      <w:kern w:val="2"/>
      <w:sz w:val="28"/>
      <w:szCs w:val="32"/>
      <w:lang w:eastAsia="zh-CN"/>
      <w14:ligatures w14:val="standardContextual"/>
    </w:rPr>
  </w:style>
  <w:style w:type="paragraph" w:styleId="Heading4">
    <w:name w:val="heading 4"/>
    <w:basedOn w:val="Normal"/>
    <w:next w:val="Normal"/>
    <w:link w:val="Heading4Char"/>
    <w:uiPriority w:val="9"/>
    <w:unhideWhenUsed/>
    <w:qFormat/>
    <w:rsid w:val="00FE0FB4"/>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paragraph" w:styleId="Revision">
    <w:name w:val="Revision"/>
    <w:hidden/>
    <w:uiPriority w:val="99"/>
    <w:semiHidden/>
    <w:rsid w:val="00D4077F"/>
    <w:rPr>
      <w:rFonts w:ascii="Times New Roman" w:eastAsia="Calibri" w:hAnsi="Times New Roman" w:cs="Times New Roman"/>
      <w:sz w:val="20"/>
      <w:szCs w:val="20"/>
    </w:rPr>
  </w:style>
  <w:style w:type="character" w:styleId="Strong">
    <w:name w:val="Strong"/>
    <w:basedOn w:val="DefaultParagraphFont"/>
    <w:uiPriority w:val="22"/>
    <w:qFormat/>
    <w:rsid w:val="005868DC"/>
    <w:rPr>
      <w:b/>
      <w:bCs/>
    </w:rPr>
  </w:style>
  <w:style w:type="paragraph" w:customStyle="1" w:styleId="ds-markdown-paragraph">
    <w:name w:val="ds-markdown-paragraph"/>
    <w:basedOn w:val="Normal"/>
    <w:rsid w:val="001F2CFB"/>
    <w:pPr>
      <w:spacing w:before="100" w:beforeAutospacing="1" w:after="100" w:afterAutospacing="1"/>
    </w:pPr>
    <w:rPr>
      <w:rFonts w:ascii="SimSun" w:eastAsia="SimSun" w:hAnsi="SimSun" w:cs="SimSun"/>
      <w:sz w:val="24"/>
      <w:szCs w:val="24"/>
      <w:lang w:eastAsia="zh-CN"/>
    </w:rPr>
  </w:style>
  <w:style w:type="character" w:customStyle="1" w:styleId="apple-converted-space">
    <w:name w:val="apple-converted-space"/>
    <w:basedOn w:val="DefaultParagraphFont"/>
    <w:rsid w:val="001F2CFB"/>
  </w:style>
  <w:style w:type="character" w:customStyle="1" w:styleId="table-captionlabel">
    <w:name w:val="table-caption__label"/>
    <w:basedOn w:val="DefaultParagraphFont"/>
    <w:rsid w:val="00BF3EF8"/>
  </w:style>
  <w:style w:type="table" w:styleId="TableGrid">
    <w:name w:val="Table Grid"/>
    <w:basedOn w:val="TableNormal"/>
    <w:uiPriority w:val="39"/>
    <w:rsid w:val="00AA2622"/>
    <w:rPr>
      <w:rFonts w:eastAsiaTheme="minorEastAsia"/>
      <w:kern w:val="2"/>
      <w:sz w:val="21"/>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D16F3"/>
    <w:pPr>
      <w:widowControl w:val="0"/>
      <w:jc w:val="both"/>
    </w:pPr>
    <w:rPr>
      <w:rFonts w:asciiTheme="majorHAnsi" w:eastAsia="SimHei" w:hAnsiTheme="majorHAnsi" w:cstheme="majorBidi"/>
      <w:color w:val="000000" w:themeColor="text1"/>
      <w:kern w:val="2"/>
      <w:lang w:eastAsia="zh-CN"/>
      <w14:ligatures w14:val="standardContextual"/>
    </w:rPr>
  </w:style>
  <w:style w:type="character" w:customStyle="1" w:styleId="Heading1Char">
    <w:name w:val="Heading 1 Char"/>
    <w:basedOn w:val="DefaultParagraphFont"/>
    <w:link w:val="Heading1"/>
    <w:uiPriority w:val="9"/>
    <w:rsid w:val="00FC00AD"/>
    <w:rPr>
      <w:rFonts w:ascii="Times New Roman" w:eastAsiaTheme="majorEastAsia" w:hAnsi="Times New Roman" w:cs="Times New Roman"/>
      <w:b/>
      <w:bCs/>
      <w:color w:val="000000" w:themeColor="text1"/>
      <w:kern w:val="2"/>
      <w:sz w:val="32"/>
      <w:szCs w:val="32"/>
      <w:lang w:eastAsia="zh-CN"/>
      <w14:ligatures w14:val="standardContextual"/>
    </w:rPr>
  </w:style>
  <w:style w:type="character" w:customStyle="1" w:styleId="Heading2Char">
    <w:name w:val="Heading 2 Char"/>
    <w:basedOn w:val="DefaultParagraphFont"/>
    <w:link w:val="Heading2"/>
    <w:uiPriority w:val="9"/>
    <w:rsid w:val="00FC00AD"/>
    <w:rPr>
      <w:rFonts w:ascii="Times New Roman" w:eastAsia="Times New Roman" w:hAnsi="Times New Roman" w:cstheme="majorBidi"/>
      <w:b/>
      <w:color w:val="000000" w:themeColor="text1"/>
      <w:kern w:val="2"/>
      <w:sz w:val="32"/>
      <w:szCs w:val="40"/>
      <w:lang w:eastAsia="zh-CN"/>
      <w14:ligatures w14:val="standardContextual"/>
    </w:rPr>
  </w:style>
  <w:style w:type="character" w:customStyle="1" w:styleId="Heading3Char">
    <w:name w:val="Heading 3 Char"/>
    <w:basedOn w:val="DefaultParagraphFont"/>
    <w:link w:val="Heading3"/>
    <w:uiPriority w:val="9"/>
    <w:rsid w:val="00FC00AD"/>
    <w:rPr>
      <w:rFonts w:ascii="Times New Roman" w:eastAsiaTheme="majorEastAsia" w:hAnsi="Times New Roman" w:cstheme="majorBidi"/>
      <w:color w:val="000000" w:themeColor="text1"/>
      <w:kern w:val="2"/>
      <w:sz w:val="28"/>
      <w:szCs w:val="32"/>
      <w:lang w:eastAsia="zh-CN"/>
      <w14:ligatures w14:val="standardContextual"/>
    </w:rPr>
  </w:style>
  <w:style w:type="character" w:customStyle="1" w:styleId="Heading4Char">
    <w:name w:val="Heading 4 Char"/>
    <w:basedOn w:val="DefaultParagraphFont"/>
    <w:link w:val="Heading4"/>
    <w:uiPriority w:val="9"/>
    <w:rsid w:val="00FE0FB4"/>
    <w:rPr>
      <w:rFonts w:asciiTheme="majorHAnsi" w:eastAsiaTheme="majorEastAsia" w:hAnsiTheme="majorHAnsi" w:cstheme="majorBidi"/>
      <w:b/>
      <w:bCs/>
      <w:sz w:val="28"/>
      <w:szCs w:val="28"/>
    </w:rPr>
  </w:style>
  <w:style w:type="paragraph" w:styleId="Bibliography">
    <w:name w:val="Bibliography"/>
    <w:basedOn w:val="Normal"/>
    <w:next w:val="Normal"/>
    <w:uiPriority w:val="37"/>
    <w:unhideWhenUsed/>
    <w:rsid w:val="00A9053C"/>
    <w:pPr>
      <w:spacing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428430273">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18357515">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4688536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89233742">
      <w:bodyDiv w:val="1"/>
      <w:marLeft w:val="0"/>
      <w:marRight w:val="0"/>
      <w:marTop w:val="0"/>
      <w:marBottom w:val="0"/>
      <w:divBdr>
        <w:top w:val="none" w:sz="0" w:space="0" w:color="auto"/>
        <w:left w:val="none" w:sz="0" w:space="0" w:color="auto"/>
        <w:bottom w:val="none" w:sz="0" w:space="0" w:color="auto"/>
        <w:right w:val="none" w:sz="0" w:space="0" w:color="auto"/>
      </w:divBdr>
    </w:div>
    <w:div w:id="1165588899">
      <w:bodyDiv w:val="1"/>
      <w:marLeft w:val="0"/>
      <w:marRight w:val="0"/>
      <w:marTop w:val="0"/>
      <w:marBottom w:val="0"/>
      <w:divBdr>
        <w:top w:val="none" w:sz="0" w:space="0" w:color="auto"/>
        <w:left w:val="none" w:sz="0" w:space="0" w:color="auto"/>
        <w:bottom w:val="none" w:sz="0" w:space="0" w:color="auto"/>
        <w:right w:val="none" w:sz="0" w:space="0" w:color="auto"/>
      </w:divBdr>
    </w:div>
    <w:div w:id="1216313229">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79680295">
      <w:bodyDiv w:val="1"/>
      <w:marLeft w:val="0"/>
      <w:marRight w:val="0"/>
      <w:marTop w:val="0"/>
      <w:marBottom w:val="0"/>
      <w:divBdr>
        <w:top w:val="none" w:sz="0" w:space="0" w:color="auto"/>
        <w:left w:val="none" w:sz="0" w:space="0" w:color="auto"/>
        <w:bottom w:val="none" w:sz="0" w:space="0" w:color="auto"/>
        <w:right w:val="none" w:sz="0" w:space="0" w:color="auto"/>
      </w:divBdr>
    </w:div>
    <w:div w:id="158213344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56713947">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873490973">
      <w:bodyDiv w:val="1"/>
      <w:marLeft w:val="0"/>
      <w:marRight w:val="0"/>
      <w:marTop w:val="0"/>
      <w:marBottom w:val="0"/>
      <w:divBdr>
        <w:top w:val="none" w:sz="0" w:space="0" w:color="auto"/>
        <w:left w:val="none" w:sz="0" w:space="0" w:color="auto"/>
        <w:bottom w:val="none" w:sz="0" w:space="0" w:color="auto"/>
        <w:right w:val="none" w:sz="0" w:space="0" w:color="auto"/>
      </w:divBdr>
    </w:div>
    <w:div w:id="2018728519">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jp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s://isccp.giss.nasa.gov/cloudtypes.html" TargetMode="Externa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8.png"/><Relationship Id="rId28" Type="http://schemas.openxmlformats.org/officeDocument/2006/relationships/hyperlink" Target="https://www.agu.org/Publish-with-AGU/Publish/Author-Resources/Data-and-Software-for-Authors" TargetMode="External"/><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email@address.edu)" TargetMode="External"/><Relationship Id="rId22" Type="http://schemas.openxmlformats.org/officeDocument/2006/relationships/image" Target="media/image7.png"/><Relationship Id="rId27" Type="http://schemas.openxmlformats.org/officeDocument/2006/relationships/hyperlink" Target="https://www.agu.org/Publish-with-AGU/Publish/Author-Resources/Data-and-Software-for-Authors"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D04D2-A70D-B344-AEED-2E5F1196A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1518</TotalTime>
  <Pages>1</Pages>
  <Words>19268</Words>
  <Characters>109830</Characters>
  <Application>Microsoft Office Word</Application>
  <DocSecurity>4</DocSecurity>
  <Lines>915</Lines>
  <Paragraphs>257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Shuangchen Du</cp:lastModifiedBy>
  <cp:revision>289</cp:revision>
  <dcterms:created xsi:type="dcterms:W3CDTF">2025-10-06T12:53:00Z</dcterms:created>
  <dcterms:modified xsi:type="dcterms:W3CDTF">2025-12-24T16:50:00Z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zotero-version="7.0.29"&gt;&lt;session id="t6b4Bsqr"/&gt;&lt;style id="http://www.zotero.org/styles/apa" locale="en-US" hasBibliography="1" bibliographyStyleHasBeenSet="1"/&gt;&lt;prefs&gt;&lt;pref name="fieldType" value="Field"/&gt;&lt;pref name="automaticJourn</vt:lpwstr>
  </property>
  <property fmtid="{D5CDD505-2E9C-101B-9397-08002B2CF9AE}" pid="3" name="ZOTERO_PREF_2">
    <vt:lpwstr>alAbbreviations" value="true"/&gt;&lt;/prefs&gt;&lt;/data&gt;</vt:lpwstr>
  </property>
</Properties>
</file>