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1745" w:rsidRPr="00903D52" w:rsidRDefault="00B21745" w:rsidP="00B21745">
      <w:pPr>
        <w:pStyle w:val="Caption"/>
      </w:pPr>
      <w:r w:rsidRPr="00903D52">
        <w:t>Sustaining Teacher Preparation in the Age of Artificial Intelligence</w:t>
      </w:r>
    </w:p>
    <w:p w:rsidR="00B21745" w:rsidRPr="00903D52" w:rsidRDefault="00B21745" w:rsidP="00B21745">
      <w:pPr>
        <w:pStyle w:val="Aauthor"/>
      </w:pPr>
      <w:r w:rsidRPr="00903D52">
        <w:t>Shankar Mondal</w:t>
      </w:r>
      <w:r w:rsidRPr="00903D52">
        <w:rPr>
          <w:vertAlign w:val="superscript"/>
        </w:rPr>
        <w:t>1</w:t>
      </w:r>
      <w:r>
        <w:t xml:space="preserve">, </w:t>
      </w:r>
      <w:r w:rsidRPr="00903D52">
        <w:t>Amlan Kusum Ghosh</w:t>
      </w:r>
      <w:r w:rsidRPr="00903D52">
        <w:rPr>
          <w:vertAlign w:val="superscript"/>
        </w:rPr>
        <w:t>2</w:t>
      </w:r>
    </w:p>
    <w:p w:rsidR="00B21745" w:rsidRPr="00903D52" w:rsidRDefault="00B21745" w:rsidP="00B21745">
      <w:pPr>
        <w:pStyle w:val="Els-NoIndent"/>
        <w:rPr>
          <w:b/>
          <w:bCs/>
          <w:lang w:val="en-IN"/>
        </w:rPr>
      </w:pPr>
      <w:r w:rsidRPr="00903D52">
        <w:rPr>
          <w:b/>
          <w:bCs/>
          <w:vertAlign w:val="superscript"/>
          <w:lang w:val="en-IN"/>
        </w:rPr>
        <w:t>1 &amp; 2</w:t>
      </w:r>
      <w:r w:rsidRPr="00903D52">
        <w:rPr>
          <w:b/>
          <w:bCs/>
          <w:lang w:val="en-IN"/>
        </w:rPr>
        <w:t xml:space="preserve"> Research Scholar, Department of Education, </w:t>
      </w:r>
      <w:proofErr w:type="spellStart"/>
      <w:r w:rsidRPr="00903D52">
        <w:rPr>
          <w:b/>
          <w:bCs/>
          <w:lang w:val="en-IN"/>
        </w:rPr>
        <w:t>Sidho-Kanho-Birsha</w:t>
      </w:r>
      <w:proofErr w:type="spellEnd"/>
      <w:r w:rsidRPr="00903D52">
        <w:rPr>
          <w:b/>
          <w:bCs/>
          <w:lang w:val="en-IN"/>
        </w:rPr>
        <w:t xml:space="preserve"> University, Purulia, West Bengal, India</w:t>
      </w:r>
    </w:p>
    <w:p w:rsidR="00B21745" w:rsidRDefault="00B21745" w:rsidP="00B21745">
      <w:pPr>
        <w:pStyle w:val="Els-NoIndent"/>
        <w:rPr>
          <w:b/>
          <w:bCs/>
          <w:lang w:val="en-IN"/>
        </w:rPr>
      </w:pPr>
    </w:p>
    <w:p w:rsidR="00B21745" w:rsidRPr="00903D52" w:rsidRDefault="00B21745" w:rsidP="00B21745">
      <w:pPr>
        <w:pStyle w:val="Aabstract"/>
        <w:rPr>
          <w:b/>
        </w:rPr>
      </w:pPr>
      <w:r w:rsidRPr="00903D52">
        <w:rPr>
          <w:b/>
        </w:rPr>
        <w:t>ABSTRACT</w:t>
      </w:r>
    </w:p>
    <w:p w:rsidR="00B21745" w:rsidRPr="00903D52" w:rsidRDefault="00B21745" w:rsidP="00B21745">
      <w:pPr>
        <w:pStyle w:val="Aabstract"/>
        <w:pBdr>
          <w:bottom w:val="single" w:sz="4" w:space="1" w:color="auto"/>
        </w:pBdr>
        <w:spacing w:after="120"/>
      </w:pPr>
      <w:r w:rsidRPr="00903D52">
        <w:t>In contemporary educational environments, the use of Artificial Intelligence (AI) into teacher education represents a revolutionary change.  As emerging technologies reshape the skill set required for effective teaching, AI introduces creative fixes that improve instructional practice, personalized gaining knowledge opportunities, and evidence-based decision-making. Through adaptive learning environments, instant performance feedback, and virtual simulations that mirror real classroom situations, AI offers the potential to revolutionize how future teachers are trained. But the use of AI also brings up serious issues with data privacy, ethical usage, and technological infrastructure. Embedding AI tools within teacher preparation programs enables universities and training institutions to equip educators using the competencies required to respond to the changing needs of contemporary classrooms while fostering inclusive, reflective, and technology-supported teaching approaches. Ultimately, AI serves as an empowering resource that elevates professional capacity and improves educational quality rather than replacing the role of teachers. The research further underscores the emerging abilities educators must cultivate, including digital fluency, ethical understanding of AI systems, and analytical skills for interpreting algorithm-generated results.</w:t>
      </w:r>
    </w:p>
    <w:p w:rsidR="00B21745" w:rsidRPr="00903D52" w:rsidRDefault="00B21745" w:rsidP="00B21745">
      <w:pPr>
        <w:pStyle w:val="Els-NoIndent"/>
        <w:spacing w:after="120" w:line="240" w:lineRule="exact"/>
        <w:rPr>
          <w:lang w:val="en-IN"/>
        </w:rPr>
      </w:pPr>
      <w:r w:rsidRPr="00903D52">
        <w:rPr>
          <w:b/>
          <w:bCs/>
          <w:lang w:val="en-IN"/>
        </w:rPr>
        <w:t>Keywords:</w:t>
      </w:r>
      <w:r w:rsidRPr="00903D52">
        <w:rPr>
          <w:lang w:val="en-IN"/>
        </w:rPr>
        <w:t xml:space="preserve"> Artificial Intelligence, Teacher Education, Instructional Development, Classroom Simulation, Technology-Enhanced Learning, Inclusive Pedagogy, Professional Skills, Digital Competency, Algorithm Interpretation</w:t>
      </w:r>
    </w:p>
    <w:p w:rsidR="00B21745" w:rsidRPr="00903D52" w:rsidRDefault="00B21745" w:rsidP="00B21745">
      <w:pPr>
        <w:pStyle w:val="Heading1"/>
      </w:pPr>
      <w:r w:rsidRPr="00903D52">
        <w:t>Introduction</w:t>
      </w:r>
    </w:p>
    <w:p w:rsidR="00B21745" w:rsidRPr="00903D52" w:rsidRDefault="00B21745" w:rsidP="00B21745">
      <w:pPr>
        <w:pStyle w:val="Els-NoIndent"/>
        <w:spacing w:after="120" w:line="240" w:lineRule="exact"/>
        <w:rPr>
          <w:lang w:val="en-IN"/>
        </w:rPr>
      </w:pPr>
      <w:r w:rsidRPr="00903D52">
        <w:rPr>
          <w:lang w:val="en-IN"/>
        </w:rPr>
        <w:t>In the 21st century, the educational landscape is witnessing rapid transformation due to technological advancements, with one of the most important developments being Artificial Intelligence (AI). AI is transforming a number of industries, including education. Traditionally, teacher preparation programmes focused on pedagogy, content mastery, and classroom management tasks. Now, they are evolving to include technological proficiency and AI literacy. Teacher education’s future hinges on how effectively AI is harnessed to improve teaching practices, enhance learning outcomes, and foster professional growth. The implications of AI on teacher training are examined in this study, the skills future educators will require, and the roles of regulatory bodies in ensuring quality and ethics in this evolving paradigm. Reimagining in the era of AI, teacher preparation thus requires an interdisciplinary, forward-looking, and ethically grounded approach. By equipping teacher trainees with the abilities, attitudes, and knowledge necessary to collaborate with AI technologies, education systems can build a workforce capable of providing meaningful, inclusive, and future-ready learning experiences. This paper explores the conceptual foundations, emerging roles, challenges, and sustainable strategies that define AI-integrated teacher preparation, offering a comprehensive perspective on how teacher education must evolve in response to the accelerating digital transformation.</w:t>
      </w:r>
    </w:p>
    <w:p w:rsidR="00B21745" w:rsidRPr="00903D52" w:rsidRDefault="00B21745" w:rsidP="00B21745">
      <w:pPr>
        <w:pStyle w:val="Heading1"/>
      </w:pPr>
      <w:r w:rsidRPr="00903D52">
        <w:t xml:space="preserve">Concept of Artificial Intelligence in Education </w:t>
      </w:r>
    </w:p>
    <w:p w:rsidR="00B21745" w:rsidRPr="00903D52" w:rsidRDefault="00B21745" w:rsidP="00B21745">
      <w:pPr>
        <w:pStyle w:val="Els-NoIndent"/>
        <w:spacing w:after="120" w:line="240" w:lineRule="exact"/>
        <w:rPr>
          <w:lang w:val="en-IN"/>
        </w:rPr>
      </w:pPr>
      <w:r w:rsidRPr="00903D52">
        <w:rPr>
          <w:lang w:val="en-IN"/>
        </w:rPr>
        <w:t>AI is the ability of computer systems to carry out activities like thinking, learning, problem solving, and decision making that often require human intellect. AI application in education includes chatbots for students’ assistance, intelligent tutoring, automated assessment, adaptive learning systems, and predictive analytics for performance monitoring. AI can assist educators in understanding learners’ needs, customizing instruction, and reducing workload. Its inclusion in teacher preparation programmes guarantees that aspiring educators are prepared to employ AI tools efficiently. but also, to critically evaluate their impact on teaching and learning (</w:t>
      </w:r>
      <w:proofErr w:type="spellStart"/>
      <w:r w:rsidRPr="00903D52">
        <w:rPr>
          <w:lang w:val="en-IN"/>
        </w:rPr>
        <w:t>Alexandrowicz</w:t>
      </w:r>
      <w:proofErr w:type="spellEnd"/>
      <w:r w:rsidRPr="00903D52">
        <w:rPr>
          <w:lang w:val="en-IN"/>
        </w:rPr>
        <w:t>, 2024).</w:t>
      </w:r>
    </w:p>
    <w:p w:rsidR="00B21745" w:rsidRPr="00903D52" w:rsidRDefault="00B21745" w:rsidP="00B21745">
      <w:pPr>
        <w:pStyle w:val="Heading1"/>
      </w:pPr>
      <w:r w:rsidRPr="00903D52">
        <w:t>Key AI Technologies Used in Teacher Preparation</w:t>
      </w:r>
    </w:p>
    <w:p w:rsidR="00B21745" w:rsidRPr="00903D52" w:rsidRDefault="00B21745" w:rsidP="00B21745">
      <w:pPr>
        <w:pStyle w:val="Els-NoIndent"/>
        <w:spacing w:after="120" w:line="240" w:lineRule="exact"/>
        <w:rPr>
          <w:lang w:val="en-IN"/>
        </w:rPr>
      </w:pPr>
      <w:r w:rsidRPr="00903D52">
        <w:rPr>
          <w:lang w:val="en-IN"/>
        </w:rPr>
        <w:t>The following technologies are emerging as integral in teacher preparation:</w:t>
      </w:r>
    </w:p>
    <w:p w:rsidR="00B21745" w:rsidRPr="00903D52" w:rsidRDefault="00B21745" w:rsidP="00B21745">
      <w:pPr>
        <w:pStyle w:val="Els-NoIndent"/>
        <w:spacing w:after="120" w:line="240" w:lineRule="exact"/>
        <w:rPr>
          <w:lang w:val="en-IN"/>
        </w:rPr>
      </w:pPr>
      <w:proofErr w:type="spellStart"/>
      <w:r w:rsidRPr="00903D52">
        <w:rPr>
          <w:b/>
          <w:bCs/>
          <w:lang w:val="en-IN"/>
        </w:rPr>
        <w:t>i</w:t>
      </w:r>
      <w:proofErr w:type="spellEnd"/>
      <w:r w:rsidRPr="00903D52">
        <w:rPr>
          <w:b/>
          <w:bCs/>
          <w:lang w:val="en-IN"/>
        </w:rPr>
        <w:t xml:space="preserve">) Intelligent Tutoring System (ITS): </w:t>
      </w:r>
      <w:r w:rsidRPr="00903D52">
        <w:rPr>
          <w:lang w:val="en-IN"/>
        </w:rPr>
        <w:t>Advanced computer-based teaching systems called Intelligent Tutoring Systems (ITS) are made to give students individualised, flexible, and interactive learning opportunities. These systems provide individualized feedback and guidance to teacher trainees. They simulate classroom interactions and help teachers practice instructional strategies, classroom management, and student engagement techniques.</w:t>
      </w:r>
    </w:p>
    <w:p w:rsidR="00B21745" w:rsidRPr="00903D52" w:rsidRDefault="00B21745" w:rsidP="00B21745">
      <w:pPr>
        <w:pStyle w:val="Els-NoIndent"/>
        <w:spacing w:after="120" w:line="240" w:lineRule="exact"/>
        <w:rPr>
          <w:lang w:val="en-IN"/>
        </w:rPr>
      </w:pPr>
      <w:r w:rsidRPr="00903D52">
        <w:rPr>
          <w:b/>
          <w:bCs/>
          <w:lang w:val="en-IN"/>
        </w:rPr>
        <w:lastRenderedPageBreak/>
        <w:t>ii. Adaptive Learning Platforms:</w:t>
      </w:r>
      <w:r w:rsidRPr="00903D52">
        <w:rPr>
          <w:lang w:val="en-IN"/>
        </w:rPr>
        <w:t xml:space="preserve"> Adaptive Learning Platforms are technology-driven educational systems that utilize machine learning, artificial intelligence, and data analytics to dynamically modify the learning process based on each learner’s unique requirements, skill, and progress. Adaptive system driven by AI modify the material and learning rate in response to the trainee’s performance. They help teacher candidates master educational theories and methods according to their progress and learning preferences (Arroyo &amp; Woolf, 2005; note older literature).</w:t>
      </w:r>
    </w:p>
    <w:p w:rsidR="00B21745" w:rsidRPr="00903D52" w:rsidRDefault="00B21745" w:rsidP="00B21745">
      <w:pPr>
        <w:pStyle w:val="Els-NoIndent"/>
        <w:spacing w:after="120" w:line="240" w:lineRule="exact"/>
        <w:rPr>
          <w:lang w:val="en-IN"/>
        </w:rPr>
      </w:pPr>
      <w:r w:rsidRPr="00903D52">
        <w:rPr>
          <w:b/>
          <w:bCs/>
          <w:lang w:val="en-IN"/>
        </w:rPr>
        <w:t xml:space="preserve">iii.  Virtual Reality (VR) and Augmented Reality (AR): </w:t>
      </w:r>
      <w:r w:rsidRPr="00903D52">
        <w:rPr>
          <w:lang w:val="en-IN"/>
        </w:rPr>
        <w:t>Virtual Reality (VR) and Augmented Reality (AR) simulations are immersive technologies</w:t>
      </w:r>
      <w:r w:rsidRPr="00903D52">
        <w:rPr>
          <w:b/>
          <w:bCs/>
          <w:lang w:val="en-IN"/>
        </w:rPr>
        <w:t xml:space="preserve"> </w:t>
      </w:r>
      <w:r w:rsidRPr="00903D52">
        <w:rPr>
          <w:lang w:val="en-IN"/>
        </w:rPr>
        <w:t>that enhance teaching, learning, and training by blending digital environments with the real world. These technologies provide learners with interactive, engaging, and experiential learning experiences that go beyond traditional classroom methods. Virtual classrooms powered by AI allow teachers to practice teaching in realistic environments without real students. Tools such as those described in the literature allow for safe experimentation and feedback.</w:t>
      </w:r>
    </w:p>
    <w:p w:rsidR="00B21745" w:rsidRPr="00903D52" w:rsidRDefault="00B21745" w:rsidP="00B21745">
      <w:pPr>
        <w:pStyle w:val="Els-NoIndent"/>
        <w:spacing w:after="120" w:line="240" w:lineRule="exact"/>
        <w:rPr>
          <w:lang w:val="en-IN"/>
        </w:rPr>
      </w:pPr>
      <w:r w:rsidRPr="00903D52">
        <w:rPr>
          <w:b/>
          <w:bCs/>
          <w:lang w:val="en-IN"/>
        </w:rPr>
        <w:t xml:space="preserve">iv. Natural Language Processing (NLP) Tools: </w:t>
      </w:r>
      <w:r w:rsidRPr="00903D52">
        <w:rPr>
          <w:lang w:val="en-IN"/>
        </w:rPr>
        <w:t>Natural Language Processing (NLP) Tools</w:t>
      </w:r>
      <w:r w:rsidRPr="00903D52">
        <w:rPr>
          <w:b/>
          <w:bCs/>
          <w:lang w:val="en-IN"/>
        </w:rPr>
        <w:t xml:space="preserve"> </w:t>
      </w:r>
      <w:r w:rsidRPr="00903D52">
        <w:rPr>
          <w:lang w:val="en-IN"/>
        </w:rPr>
        <w:t>are AI-powered systems intended to help computers can meaningfully and practically comprehend, interpret, produce, and react to human language. NPL works at the intersection of linguistics, computer science, and artificial intelligence, enabling machines to process spoken or written language just as humans do. NLP applications help in analysing lesson plans, providing feedback on instructional language, and assessing teacher student interactions. They can evaluate communication clarity, inclusiveness, and questioning techniques.</w:t>
      </w:r>
    </w:p>
    <w:p w:rsidR="00B21745" w:rsidRPr="00903D52" w:rsidRDefault="00B21745" w:rsidP="00B21745">
      <w:pPr>
        <w:pStyle w:val="Els-NoIndent"/>
        <w:spacing w:after="120" w:line="240" w:lineRule="exact"/>
        <w:rPr>
          <w:lang w:val="en-IN"/>
        </w:rPr>
      </w:pPr>
      <w:r w:rsidRPr="00903D52">
        <w:rPr>
          <w:b/>
          <w:bCs/>
          <w:lang w:val="en-IN"/>
        </w:rPr>
        <w:t>v. Learning Analytics and Predictive Modelling:</w:t>
      </w:r>
      <w:r w:rsidRPr="00903D52">
        <w:rPr>
          <w:lang w:val="en-IN"/>
        </w:rPr>
        <w:t xml:space="preserve"> Learning Analytics and Predictive Modelling are data-driven approaches used in education to understand learner behaviour, improve teaching practices, and enhance learning outcomes. They rely on the systematic collection, measurement, analysis, and interpretation of data generated during the learning process. AI-based analytics platforms gather data on trainee performance, participation, and outcomes. Predictive models can identify areas where a trainee might need support and recommend personalized interventions (Systematic review: AI &amp; LA in teacher education, </w:t>
      </w:r>
      <w:proofErr w:type="spellStart"/>
      <w:r w:rsidRPr="00903D52">
        <w:rPr>
          <w:lang w:val="en-IN"/>
        </w:rPr>
        <w:t>Brückner</w:t>
      </w:r>
      <w:proofErr w:type="spellEnd"/>
      <w:r w:rsidRPr="00903D52">
        <w:rPr>
          <w:lang w:val="en-IN"/>
        </w:rPr>
        <w:t xml:space="preserve"> et al., 2022).</w:t>
      </w:r>
    </w:p>
    <w:p w:rsidR="00B21745" w:rsidRPr="00903D52" w:rsidRDefault="00B21745" w:rsidP="00B21745">
      <w:pPr>
        <w:pStyle w:val="Els-NoIndent"/>
        <w:spacing w:after="120" w:line="240" w:lineRule="exact"/>
        <w:rPr>
          <w:lang w:val="en-IN"/>
        </w:rPr>
      </w:pPr>
      <w:r w:rsidRPr="00903D52">
        <w:rPr>
          <w:b/>
          <w:bCs/>
          <w:lang w:val="en-IN"/>
        </w:rPr>
        <w:t>vi. Chatbots and Virtual Mentors:</w:t>
      </w:r>
      <w:r w:rsidRPr="00903D52">
        <w:rPr>
          <w:lang w:val="en-IN"/>
        </w:rPr>
        <w:t xml:space="preserve"> Chatbots and Virtual Mentors are AI-driven solutions that use natural, conventional language to communication with students. Their primary purpose is to assist, guide, and support users by providing information, feedback, and personalized learning experiences similar to human tutors or mentors. AI chatbots act as 24/7 assistants for teacher trainees. They can answer pedagogical queries, provide teaching resources, and simulate reflective dialogue to enhance professional growth.</w:t>
      </w:r>
    </w:p>
    <w:p w:rsidR="00B21745" w:rsidRPr="00903D52" w:rsidRDefault="00B21745" w:rsidP="00B21745">
      <w:pPr>
        <w:pStyle w:val="Heading1"/>
      </w:pPr>
      <w:r w:rsidRPr="00903D52">
        <w:t xml:space="preserve">AI Technologies Applications in Teacher Preparation </w:t>
      </w:r>
      <w:proofErr w:type="spellStart"/>
      <w:r w:rsidRPr="00903D52">
        <w:t>Programmes</w:t>
      </w:r>
      <w:proofErr w:type="spellEnd"/>
    </w:p>
    <w:p w:rsidR="00B21745" w:rsidRPr="00903D52" w:rsidRDefault="00B21745" w:rsidP="00B21745">
      <w:pPr>
        <w:pStyle w:val="Els-NoIndent"/>
        <w:spacing w:after="120" w:line="240" w:lineRule="exact"/>
        <w:rPr>
          <w:lang w:val="en-IN"/>
        </w:rPr>
      </w:pPr>
      <w:r w:rsidRPr="00903D52">
        <w:rPr>
          <w:lang w:val="en-IN"/>
        </w:rPr>
        <w:t>AI has a variety of educational applications within teacher preparation, such as personalised training modules, automated assessment systems, and simulation of classroom scenarios.</w:t>
      </w:r>
    </w:p>
    <w:p w:rsidR="00B21745" w:rsidRPr="00903D52" w:rsidRDefault="00B21745" w:rsidP="00B21745">
      <w:pPr>
        <w:pStyle w:val="Els-NoIndent"/>
        <w:spacing w:after="120" w:line="240" w:lineRule="exact"/>
        <w:rPr>
          <w:lang w:val="en-IN"/>
        </w:rPr>
      </w:pPr>
      <w:proofErr w:type="spellStart"/>
      <w:r w:rsidRPr="00903D52">
        <w:rPr>
          <w:b/>
          <w:bCs/>
          <w:lang w:val="en-IN"/>
        </w:rPr>
        <w:t>i</w:t>
      </w:r>
      <w:proofErr w:type="spellEnd"/>
      <w:r w:rsidRPr="00903D52">
        <w:rPr>
          <w:b/>
          <w:bCs/>
          <w:lang w:val="en-IN"/>
        </w:rPr>
        <w:t>. Curriculum Personalization:</w:t>
      </w:r>
      <w:r w:rsidRPr="00903D52">
        <w:rPr>
          <w:lang w:val="en-IN"/>
        </w:rPr>
        <w:t xml:space="preserve"> Curriculum Personalization refers to the process of adapting the educational curriculum to fulfil the individual requirement, interests, abilities, modes of learning, and goals of each learner. Instead of offering the same content and pace to every student, personalized curriculum design ensures that each learner follows a pathway that suits their strengths, challenges, and aspirations. AI customises training modules based on strengths and weaknesses of each trainee. For example, teacher candidates receive modules tailored by their progress analytics.</w:t>
      </w:r>
    </w:p>
    <w:p w:rsidR="00B21745" w:rsidRPr="00903D52" w:rsidRDefault="00B21745" w:rsidP="00B21745">
      <w:pPr>
        <w:pStyle w:val="Els-NoIndent"/>
        <w:spacing w:after="120" w:line="240" w:lineRule="exact"/>
        <w:rPr>
          <w:lang w:val="en-IN"/>
        </w:rPr>
      </w:pPr>
      <w:r w:rsidRPr="00903D52">
        <w:rPr>
          <w:b/>
          <w:bCs/>
          <w:lang w:val="en-IN"/>
        </w:rPr>
        <w:t>ii. Assessment and Evaluation:</w:t>
      </w:r>
      <w:r w:rsidRPr="00903D52">
        <w:rPr>
          <w:lang w:val="en-IN"/>
        </w:rPr>
        <w:t xml:space="preserve"> Assessment and Evaluation are two fundamental processes in education used to measure, improve, and ensure the quality of learning and instruction. Although often used interchangeably, they serve different but complementary purposes. Automated grading systems and AI</w:t>
      </w:r>
      <w:r w:rsidRPr="00903D52">
        <w:rPr>
          <w:lang w:val="en-IN"/>
        </w:rPr>
        <w:noBreakHyphen/>
        <w:t>rubrics provide consistent, timely, and bias</w:t>
      </w:r>
      <w:r w:rsidRPr="00903D52">
        <w:rPr>
          <w:lang w:val="en-IN"/>
        </w:rPr>
        <w:noBreakHyphen/>
        <w:t>reduced evaluation, freeing up instructors for higher</w:t>
      </w:r>
      <w:r w:rsidRPr="00903D52">
        <w:rPr>
          <w:lang w:val="en-IN"/>
        </w:rPr>
        <w:noBreakHyphen/>
        <w:t>order tasks.</w:t>
      </w:r>
    </w:p>
    <w:p w:rsidR="00B21745" w:rsidRPr="00903D52" w:rsidRDefault="00B21745" w:rsidP="00B21745">
      <w:pPr>
        <w:pStyle w:val="Els-NoIndent"/>
        <w:spacing w:after="120" w:line="240" w:lineRule="exact"/>
        <w:rPr>
          <w:lang w:val="en-IN"/>
        </w:rPr>
      </w:pPr>
      <w:r w:rsidRPr="00903D52">
        <w:rPr>
          <w:b/>
          <w:bCs/>
          <w:lang w:val="en-IN"/>
        </w:rPr>
        <w:t xml:space="preserve">iii. Practice Reflection: </w:t>
      </w:r>
      <w:r w:rsidRPr="00903D52">
        <w:rPr>
          <w:lang w:val="en-IN"/>
        </w:rPr>
        <w:t>Practice Reflection is the process via which individuals especially teachers, students, and professionals think critically about their experiences, choices, and behaviours to deepen comprehension and enhance performance in the future. It entails analysing what transpired, why it occurred, and how to behave more skilfully in like circumstances. AI feedback tools support reflective journaling and self</w:t>
      </w:r>
      <w:r w:rsidRPr="00903D52">
        <w:rPr>
          <w:lang w:val="en-IN"/>
        </w:rPr>
        <w:noBreakHyphen/>
        <w:t>assessment, enabling trainees to revisit lesson recordings, identify patterns, and improve (Kelley &amp; Wenzel, 2025).</w:t>
      </w:r>
    </w:p>
    <w:p w:rsidR="00B21745" w:rsidRPr="00903D52" w:rsidRDefault="00B21745" w:rsidP="00B21745">
      <w:pPr>
        <w:pStyle w:val="Els-NoIndent"/>
        <w:spacing w:after="120" w:line="240" w:lineRule="exact"/>
        <w:rPr>
          <w:lang w:val="en-IN"/>
        </w:rPr>
      </w:pPr>
      <w:r w:rsidRPr="00903D52">
        <w:rPr>
          <w:b/>
          <w:bCs/>
          <w:lang w:val="en-IN"/>
        </w:rPr>
        <w:t>iv. Professional Development:</w:t>
      </w:r>
      <w:r w:rsidRPr="00903D52">
        <w:rPr>
          <w:lang w:val="en-IN"/>
        </w:rPr>
        <w:t xml:space="preserve"> Professional Development refers to the continuous process of improving and updating the knowledge, skills, attitudes, and competencies of individuals in their professional roles. It involves planned learning experiences, training programmes, workshops, self-study, and reflective activities that help professionals grow and remain effective in their work Continuous learning through AI</w:t>
      </w:r>
      <w:r w:rsidRPr="00903D52">
        <w:rPr>
          <w:lang w:val="en-IN"/>
        </w:rPr>
        <w:noBreakHyphen/>
        <w:t xml:space="preserve">based recommendation systems </w:t>
      </w:r>
      <w:proofErr w:type="gramStart"/>
      <w:r w:rsidRPr="00903D52">
        <w:rPr>
          <w:lang w:val="en-IN"/>
        </w:rPr>
        <w:t>helps</w:t>
      </w:r>
      <w:proofErr w:type="gramEnd"/>
      <w:r w:rsidRPr="00903D52">
        <w:rPr>
          <w:lang w:val="en-IN"/>
        </w:rPr>
        <w:t xml:space="preserve"> teachers keep up with new research, teaching techniques, and policy updates.</w:t>
      </w:r>
    </w:p>
    <w:p w:rsidR="00B21745" w:rsidRPr="00903D52" w:rsidRDefault="00B21745" w:rsidP="00B21745">
      <w:pPr>
        <w:pStyle w:val="Heading1"/>
      </w:pPr>
      <w:r w:rsidRPr="00903D52">
        <w:t>AI’s Function in Teacher Preparation</w:t>
      </w:r>
    </w:p>
    <w:p w:rsidR="00B21745" w:rsidRPr="00903D52" w:rsidRDefault="00B21745" w:rsidP="00B21745">
      <w:pPr>
        <w:pStyle w:val="Els-NoIndent"/>
        <w:spacing w:after="120" w:line="240" w:lineRule="exact"/>
        <w:rPr>
          <w:lang w:val="en-IN"/>
        </w:rPr>
      </w:pPr>
      <w:r w:rsidRPr="00903D52">
        <w:rPr>
          <w:lang w:val="en-IN"/>
        </w:rPr>
        <w:t>The incorporation of AI in teacher preparation programmes can significantly enhance several core areas:</w:t>
      </w:r>
    </w:p>
    <w:p w:rsidR="00B21745" w:rsidRPr="00903D52" w:rsidRDefault="00B21745" w:rsidP="00B21745">
      <w:pPr>
        <w:pStyle w:val="Els-NoIndent"/>
        <w:spacing w:after="120" w:line="240" w:lineRule="exact"/>
        <w:rPr>
          <w:lang w:val="en-IN"/>
        </w:rPr>
      </w:pPr>
      <w:proofErr w:type="spellStart"/>
      <w:r w:rsidRPr="00903D52">
        <w:rPr>
          <w:b/>
          <w:bCs/>
          <w:lang w:val="en-IN"/>
        </w:rPr>
        <w:t>i</w:t>
      </w:r>
      <w:proofErr w:type="spellEnd"/>
      <w:r w:rsidRPr="00903D52">
        <w:rPr>
          <w:b/>
          <w:bCs/>
          <w:lang w:val="en-IN"/>
        </w:rPr>
        <w:t>)Personalised Learning for Teacher Trainees:</w:t>
      </w:r>
      <w:r w:rsidRPr="00903D52">
        <w:rPr>
          <w:lang w:val="en-IN"/>
        </w:rPr>
        <w:t xml:space="preserve"> Personalized learning for teacher trainees refers to an educational approach that adapts training experiences, material, speed, and teaching strategies to accommodate prospective teacher’s unique requirements, skills, interest, and career objectives. Rather of employing a training paradigm that is universally applicable, customized learning ensures that each trainee receives a customized pathway that supports their growth as an effective educator. AI systems can provide customised training experiences by identifying the strengths and weaknesses of teacher trainees. Adaptive learning platforms facilitate mastery of content at individual pace.</w:t>
      </w:r>
    </w:p>
    <w:p w:rsidR="00B21745" w:rsidRPr="00903D52" w:rsidRDefault="00B21745" w:rsidP="00B21745">
      <w:pPr>
        <w:pStyle w:val="Els-NoIndent"/>
        <w:spacing w:after="120" w:line="240" w:lineRule="exact"/>
        <w:rPr>
          <w:b/>
          <w:bCs/>
          <w:lang w:val="en-IN"/>
        </w:rPr>
      </w:pPr>
      <w:r w:rsidRPr="00903D52">
        <w:rPr>
          <w:b/>
          <w:bCs/>
          <w:lang w:val="en-IN"/>
        </w:rPr>
        <w:lastRenderedPageBreak/>
        <w:t xml:space="preserve">ii. Data-Driven Decision Making: </w:t>
      </w:r>
      <w:r w:rsidRPr="00903D52">
        <w:rPr>
          <w:lang w:val="en-IN"/>
        </w:rPr>
        <w:t>Data-Driven Decision Making refers to the process of using accurate,</w:t>
      </w:r>
      <w:r w:rsidRPr="00903D52">
        <w:rPr>
          <w:b/>
          <w:bCs/>
          <w:lang w:val="en-IN"/>
        </w:rPr>
        <w:t xml:space="preserve"> </w:t>
      </w:r>
      <w:r w:rsidRPr="00903D52">
        <w:rPr>
          <w:lang w:val="en-IN"/>
        </w:rPr>
        <w:t>and systematically collected data to guide decisions, policies, and practices. Instead of relying on intuition, assumptions, or tradition, decisions are made based on evidence and analytical insights drawn from data. AI tools analyse data from classroom activities, simulations, and student feedback to help trainee teachers reflect on their teaching methods and improve. Predictive analytics can forecast learning outcomes and guide instructional planning.</w:t>
      </w:r>
    </w:p>
    <w:p w:rsidR="00B21745" w:rsidRPr="00903D52" w:rsidRDefault="00B21745" w:rsidP="00B21745">
      <w:pPr>
        <w:pStyle w:val="Els-NoIndent"/>
        <w:spacing w:after="120" w:line="240" w:lineRule="exact"/>
        <w:rPr>
          <w:lang w:val="en-IN"/>
        </w:rPr>
      </w:pPr>
      <w:r w:rsidRPr="00903D52">
        <w:rPr>
          <w:b/>
          <w:bCs/>
          <w:lang w:val="en-IN"/>
        </w:rPr>
        <w:t>iii. Virtual Classrooms and Simulations:</w:t>
      </w:r>
      <w:r w:rsidRPr="00903D52">
        <w:rPr>
          <w:lang w:val="en-IN"/>
        </w:rPr>
        <w:t xml:space="preserve"> Virtual classrooms and simulations represent modern, technology-enabled learning environments. Virtual classrooms support communication and instruction, while simulations support hands-on practice and skill development. When integrated, they transform education by making learning interactive, flexible, personalized, and experiential. AI</w:t>
      </w:r>
      <w:r w:rsidRPr="00903D52">
        <w:rPr>
          <w:lang w:val="en-IN"/>
        </w:rPr>
        <w:noBreakHyphen/>
        <w:t>driven virtual teaching environments allow trainees to practise classroom management and instructional delivery in simulated settings (safe for trial and error).</w:t>
      </w:r>
    </w:p>
    <w:p w:rsidR="00B21745" w:rsidRPr="00903D52" w:rsidRDefault="00B21745" w:rsidP="00B21745">
      <w:pPr>
        <w:pStyle w:val="Els-NoIndent"/>
        <w:spacing w:after="120" w:line="240" w:lineRule="exact"/>
        <w:rPr>
          <w:lang w:val="en-IN"/>
        </w:rPr>
      </w:pPr>
      <w:r w:rsidRPr="00903D52">
        <w:rPr>
          <w:b/>
          <w:bCs/>
          <w:lang w:val="en-IN"/>
        </w:rPr>
        <w:t>iv. Automated Assessment and Feedback:</w:t>
      </w:r>
      <w:r w:rsidRPr="00903D52">
        <w:rPr>
          <w:lang w:val="en-IN"/>
        </w:rPr>
        <w:t xml:space="preserve"> Automated Assessment and Feedback refer regarding the application of digital technology, algorithms, and AI-based tools to evaluate learners' performance and provide instant, data-driven feedback. Instead of relying only on manual grading by teachers, automated systems assess student responses, identify errors, and offer constructive guidance quickly and consistently. AI can automate the grading of assignments, quizzes, and reflections, providing immediate, data</w:t>
      </w:r>
      <w:r w:rsidRPr="00903D52">
        <w:rPr>
          <w:lang w:val="en-IN"/>
        </w:rPr>
        <w:noBreakHyphen/>
        <w:t>based feedback. This saves time for instructors and allows trainees to receive continuous performance insights.</w:t>
      </w:r>
    </w:p>
    <w:p w:rsidR="00B21745" w:rsidRPr="00903D52" w:rsidRDefault="00B21745" w:rsidP="00B21745">
      <w:pPr>
        <w:pStyle w:val="Els-NoIndent"/>
        <w:spacing w:after="120" w:line="240" w:lineRule="exact"/>
        <w:rPr>
          <w:lang w:val="en-IN"/>
        </w:rPr>
      </w:pPr>
      <w:r w:rsidRPr="00903D52">
        <w:rPr>
          <w:b/>
          <w:bCs/>
          <w:lang w:val="en-IN"/>
        </w:rPr>
        <w:t xml:space="preserve">v. Professional Development and Lifelong Learning: </w:t>
      </w:r>
      <w:r w:rsidRPr="00903D52">
        <w:rPr>
          <w:lang w:val="en-IN"/>
        </w:rPr>
        <w:t>Professional Development is a structured and purposeful effort aimed at helping teachers grow professionally, remain effective, and deliver quality education in a dynamic educational environment. AI</w:t>
      </w:r>
      <w:r w:rsidRPr="00903D52">
        <w:rPr>
          <w:lang w:val="en-IN"/>
        </w:rPr>
        <w:noBreakHyphen/>
        <w:t>powered platforms recommend relevant professional</w:t>
      </w:r>
      <w:r w:rsidRPr="00903D52">
        <w:rPr>
          <w:lang w:val="en-IN"/>
        </w:rPr>
        <w:noBreakHyphen/>
        <w:t xml:space="preserve">development courses, track teachers’ growth, and help them acquire new competencies aligned with evolving educational demands. These roles underscore that AI is not replacing teachers, but augmenting their preparation and efficacy in the evolving educational context (Chan &amp; </w:t>
      </w:r>
      <w:proofErr w:type="spellStart"/>
      <w:r w:rsidRPr="00903D52">
        <w:rPr>
          <w:lang w:val="en-IN"/>
        </w:rPr>
        <w:t>Tsi</w:t>
      </w:r>
      <w:proofErr w:type="spellEnd"/>
      <w:r w:rsidRPr="00903D52">
        <w:rPr>
          <w:lang w:val="en-IN"/>
        </w:rPr>
        <w:t>, 2023).</w:t>
      </w:r>
    </w:p>
    <w:p w:rsidR="00B21745" w:rsidRPr="00903D52" w:rsidRDefault="00B21745" w:rsidP="00B21745">
      <w:pPr>
        <w:pStyle w:val="Heading1"/>
      </w:pPr>
      <w:r w:rsidRPr="00903D52">
        <w:t>Emerging Competencies for Future Teachers</w:t>
      </w:r>
    </w:p>
    <w:p w:rsidR="00B21745" w:rsidRPr="00903D52" w:rsidRDefault="00B21745" w:rsidP="00B21745">
      <w:pPr>
        <w:pStyle w:val="Els-NoIndent"/>
        <w:spacing w:after="120" w:line="240" w:lineRule="exact"/>
        <w:rPr>
          <w:lang w:val="en-IN"/>
        </w:rPr>
      </w:pPr>
      <w:r w:rsidRPr="00903D52">
        <w:rPr>
          <w:lang w:val="en-IN"/>
        </w:rPr>
        <w:t>As AI reshapes education, teacher preparation programmes must prioritise developing new competencies among educators. These include:</w:t>
      </w:r>
    </w:p>
    <w:p w:rsidR="00B21745" w:rsidRPr="00903D52" w:rsidRDefault="00B21745" w:rsidP="00B21745">
      <w:pPr>
        <w:pStyle w:val="Els-NoIndent"/>
        <w:spacing w:after="120" w:line="240" w:lineRule="exact"/>
        <w:rPr>
          <w:lang w:val="en-IN"/>
        </w:rPr>
      </w:pPr>
      <w:proofErr w:type="spellStart"/>
      <w:r w:rsidRPr="00903D52">
        <w:rPr>
          <w:b/>
          <w:bCs/>
          <w:lang w:val="en-IN"/>
        </w:rPr>
        <w:t>i</w:t>
      </w:r>
      <w:proofErr w:type="spellEnd"/>
      <w:r w:rsidRPr="00903D52">
        <w:rPr>
          <w:b/>
          <w:bCs/>
          <w:lang w:val="en-IN"/>
        </w:rPr>
        <w:t>. AI Knowledge:</w:t>
      </w:r>
      <w:r w:rsidRPr="00903D52">
        <w:rPr>
          <w:lang w:val="en-IN"/>
        </w:rPr>
        <w:t xml:space="preserve"> It refers to the attitudes, abilities, and knowledge required to comprehend, apply, assess, and engage with Artificial Intelligence systems in a responsible manner. It helps individuals make informed decisions in a future where artificial intelligence in becoming present in education, workplaces, health, communication, and daily life. Understanding how AI systems work, how to apply them in pedagogy, and how to interpret their outputs (Integrating AI literacy: Sieck et al., 2025).</w:t>
      </w:r>
    </w:p>
    <w:p w:rsidR="00B21745" w:rsidRPr="00903D52" w:rsidRDefault="00B21745" w:rsidP="00B21745">
      <w:pPr>
        <w:pStyle w:val="Els-NoIndent"/>
        <w:spacing w:after="120" w:line="240" w:lineRule="exact"/>
        <w:rPr>
          <w:lang w:val="en-IN"/>
        </w:rPr>
      </w:pPr>
      <w:r w:rsidRPr="00903D52">
        <w:rPr>
          <w:b/>
          <w:bCs/>
          <w:lang w:val="en-IN"/>
        </w:rPr>
        <w:t>ii. Digital Pedagogy:</w:t>
      </w:r>
      <w:r w:rsidRPr="00903D52">
        <w:rPr>
          <w:lang w:val="en-IN"/>
        </w:rPr>
        <w:t xml:space="preserve"> Digital Pedagogy is the art and science of teaching using digital technologies, emphasizing meaningful, learner-cantered, and interactive use of digital tools to improve educational outcomes. Integrating technology effectively into teaching practices knowing when and how to use AI tools.</w:t>
      </w:r>
    </w:p>
    <w:p w:rsidR="00B21745" w:rsidRPr="00903D52" w:rsidRDefault="00B21745" w:rsidP="00B21745">
      <w:pPr>
        <w:pStyle w:val="Els-NoIndent"/>
        <w:spacing w:after="120" w:line="240" w:lineRule="exact"/>
        <w:rPr>
          <w:lang w:val="en-IN"/>
        </w:rPr>
      </w:pPr>
      <w:r w:rsidRPr="00903D52">
        <w:rPr>
          <w:b/>
          <w:bCs/>
          <w:lang w:val="en-IN"/>
        </w:rPr>
        <w:t>iii. Ethical Awareness</w:t>
      </w:r>
      <w:r w:rsidRPr="00903D52">
        <w:rPr>
          <w:lang w:val="en-IN"/>
        </w:rPr>
        <w:t>: The capacity to recognise moral conundrums, weigh choices, and behave appropriately in social, professional, and personal settings in known as ethical awareness. Acknowledging biases, privacy issues with data, and the moral use of AI tools (</w:t>
      </w:r>
      <w:proofErr w:type="spellStart"/>
      <w:r w:rsidRPr="00903D52">
        <w:rPr>
          <w:lang w:val="en-IN"/>
        </w:rPr>
        <w:t>Alexandrowicz</w:t>
      </w:r>
      <w:proofErr w:type="spellEnd"/>
      <w:r w:rsidRPr="00903D52">
        <w:rPr>
          <w:lang w:val="en-IN"/>
        </w:rPr>
        <w:t>, 2024).</w:t>
      </w:r>
    </w:p>
    <w:p w:rsidR="00B21745" w:rsidRPr="00903D52" w:rsidRDefault="00B21745" w:rsidP="00B21745">
      <w:pPr>
        <w:pStyle w:val="Els-NoIndent"/>
        <w:spacing w:after="120" w:line="240" w:lineRule="exact"/>
        <w:rPr>
          <w:lang w:val="en-IN"/>
        </w:rPr>
      </w:pPr>
      <w:r w:rsidRPr="00903D52">
        <w:rPr>
          <w:b/>
          <w:bCs/>
          <w:lang w:val="en-IN"/>
        </w:rPr>
        <w:t>iv. Data Interpretation Skills:</w:t>
      </w:r>
      <w:r w:rsidRPr="00903D52">
        <w:rPr>
          <w:lang w:val="en-IN"/>
        </w:rPr>
        <w:t xml:space="preserve"> Data Interpretation Skills are the abilities required to read, understand, evaluate, and make informed decisions based on numerical or visual data. Using analytics to make informed instructional decisions, interpreting dashboards, and adapting teaching accordingly.</w:t>
      </w:r>
    </w:p>
    <w:p w:rsidR="00B21745" w:rsidRPr="00903D52" w:rsidRDefault="00B21745" w:rsidP="00B21745">
      <w:pPr>
        <w:pStyle w:val="Els-NoIndent"/>
        <w:spacing w:after="120" w:line="240" w:lineRule="exact"/>
        <w:rPr>
          <w:lang w:val="en-IN"/>
        </w:rPr>
      </w:pPr>
      <w:r w:rsidRPr="00903D52">
        <w:rPr>
          <w:b/>
          <w:bCs/>
          <w:lang w:val="en-IN"/>
        </w:rPr>
        <w:t>v. Adaptability and Continuous Learning:</w:t>
      </w:r>
      <w:r w:rsidRPr="00903D52">
        <w:rPr>
          <w:lang w:val="en-IN"/>
        </w:rPr>
        <w:t xml:space="preserve"> Adaptability is the capacity to adjust one’s thoughts, behaviours, and actions in response to changing environments, challenges, or unexpected situations. Embracing lifelong learning to keep pace with technological change, adopting a reflective stance as educational technologies evolve. Without these competencies, teacher trainees may struggle to leverage AI effectively and might inadvertently reinforce inequities or outdated practices (Marín et al., 2019).</w:t>
      </w:r>
    </w:p>
    <w:p w:rsidR="00B21745" w:rsidRPr="00903D52" w:rsidRDefault="00B21745" w:rsidP="00B21745">
      <w:pPr>
        <w:pStyle w:val="Heading1"/>
      </w:pPr>
      <w:r w:rsidRPr="00903D52">
        <w:t xml:space="preserve">Difficulties in Including AI in Teacher Preparation </w:t>
      </w:r>
    </w:p>
    <w:p w:rsidR="00B21745" w:rsidRPr="00903D52" w:rsidRDefault="00B21745" w:rsidP="00B21745">
      <w:pPr>
        <w:pStyle w:val="Els-NoIndent"/>
        <w:spacing w:after="120" w:line="240" w:lineRule="exact"/>
        <w:rPr>
          <w:lang w:val="en-IN"/>
        </w:rPr>
      </w:pPr>
      <w:r w:rsidRPr="00903D52">
        <w:rPr>
          <w:lang w:val="en-IN"/>
        </w:rPr>
        <w:t>Despite its potential, there are a number of obstacles to integrating AI into Teacher Education:</w:t>
      </w:r>
    </w:p>
    <w:p w:rsidR="00B21745" w:rsidRPr="00903D52" w:rsidRDefault="00B21745" w:rsidP="00B21745">
      <w:pPr>
        <w:pStyle w:val="Els-NoIndent"/>
        <w:spacing w:after="120" w:line="240" w:lineRule="exact"/>
        <w:rPr>
          <w:lang w:val="en-IN"/>
        </w:rPr>
      </w:pPr>
      <w:proofErr w:type="spellStart"/>
      <w:r w:rsidRPr="00903D52">
        <w:rPr>
          <w:b/>
          <w:bCs/>
          <w:lang w:val="en-IN"/>
        </w:rPr>
        <w:t>i</w:t>
      </w:r>
      <w:proofErr w:type="spellEnd"/>
      <w:r w:rsidRPr="00903D52">
        <w:rPr>
          <w:b/>
          <w:bCs/>
          <w:lang w:val="en-IN"/>
        </w:rPr>
        <w:t>. Insufficient Infrastructure:</w:t>
      </w:r>
      <w:r w:rsidRPr="00903D52">
        <w:rPr>
          <w:lang w:val="en-IN"/>
        </w:rPr>
        <w:t xml:space="preserve"> Lack of infrastructure refers to the insufficient availability, poor quality, or complete absence of essential physical and technological facilities required for effective functioning in a given </w:t>
      </w:r>
      <w:proofErr w:type="gramStart"/>
      <w:r w:rsidRPr="00903D52">
        <w:rPr>
          <w:lang w:val="en-IN"/>
        </w:rPr>
        <w:t>environment</w:t>
      </w:r>
      <w:proofErr w:type="gramEnd"/>
      <w:r w:rsidRPr="00903D52">
        <w:rPr>
          <w:lang w:val="en-IN"/>
        </w:rPr>
        <w:t xml:space="preserve"> such as schools, workplaces, healthcare institutions, or communities. Many teacher</w:t>
      </w:r>
      <w:r w:rsidRPr="00903D52">
        <w:rPr>
          <w:lang w:val="en-IN"/>
        </w:rPr>
        <w:noBreakHyphen/>
        <w:t>education institutions lack adequate digital infrastructure and resources needed for AI tools (Ahmed et al., 2025).</w:t>
      </w:r>
    </w:p>
    <w:p w:rsidR="00B21745" w:rsidRPr="00903D52" w:rsidRDefault="00B21745" w:rsidP="00B21745">
      <w:pPr>
        <w:pStyle w:val="Els-NoIndent"/>
        <w:spacing w:after="120" w:line="240" w:lineRule="exact"/>
        <w:rPr>
          <w:lang w:val="en-IN"/>
        </w:rPr>
      </w:pPr>
      <w:r w:rsidRPr="00903D52">
        <w:rPr>
          <w:b/>
          <w:bCs/>
          <w:lang w:val="en-IN"/>
        </w:rPr>
        <w:t>ii. The Digital Divided:</w:t>
      </w:r>
      <w:r w:rsidRPr="00903D52">
        <w:rPr>
          <w:lang w:val="en-IN"/>
        </w:rPr>
        <w:t xml:space="preserve"> The difference between those who have access to contemporary digital technology including computers, internet connectivity, and digital literacy and those who don’t or have restricted access is known as the “digital divide”. People’s capacity to fully engage in the digital world is impacted by this gap, which results in disparities in social, professional, educational. and communication opportunities. Unequal access to technology limits opportunities for some trainees, creating equity concerns.</w:t>
      </w:r>
    </w:p>
    <w:p w:rsidR="00B21745" w:rsidRPr="00903D52" w:rsidRDefault="00B21745" w:rsidP="00B21745">
      <w:pPr>
        <w:pStyle w:val="Els-NoIndent"/>
        <w:spacing w:after="120" w:line="240" w:lineRule="exact"/>
        <w:rPr>
          <w:lang w:val="en-IN"/>
        </w:rPr>
      </w:pPr>
      <w:r w:rsidRPr="00903D52">
        <w:rPr>
          <w:b/>
          <w:bCs/>
          <w:lang w:val="en-IN"/>
        </w:rPr>
        <w:t>iii. Ethical Concerns:</w:t>
      </w:r>
      <w:r w:rsidRPr="00903D52">
        <w:rPr>
          <w:lang w:val="en-IN"/>
        </w:rPr>
        <w:t xml:space="preserve"> Ethical Concerns refer to the moral issues, dilemmas, and challenges that arise when using technology, data, or digital tools. They involve questions about right and wrong, fairness, responsibility, and the impact of technology on individuals and society. As digital tools become more integrated into education, work, and daily life, ethical concerns become essential to ensure that technology is used safely, responsibly, and fairly. Serious concerns are raised by problems with algorithmic bias, data privacy, transparency, and excessive dependence on technology. Ethical clearance received less consideration, according to the systematic study of AI and LA in teacher education. </w:t>
      </w:r>
    </w:p>
    <w:p w:rsidR="00B21745" w:rsidRPr="00903D52" w:rsidRDefault="00B21745" w:rsidP="00B21745">
      <w:pPr>
        <w:pStyle w:val="Els-NoIndent"/>
        <w:spacing w:after="120" w:line="240" w:lineRule="exact"/>
        <w:rPr>
          <w:lang w:val="en-IN"/>
        </w:rPr>
      </w:pPr>
      <w:r w:rsidRPr="00903D52">
        <w:rPr>
          <w:b/>
          <w:bCs/>
          <w:lang w:val="en-IN"/>
        </w:rPr>
        <w:lastRenderedPageBreak/>
        <w:t>iv. Resistance to Change:</w:t>
      </w:r>
      <w:r w:rsidRPr="00903D52">
        <w:rPr>
          <w:lang w:val="en-IN"/>
        </w:rPr>
        <w:t xml:space="preserve"> Resistance to Change refers to the reluctance, hesitation, or refusal of individuals, groups, or organizations to accept or adopt new ideas, technologies, processes, or practices. It is a natural human response that occurs when people feel uncertain, threatened, or uncomfortable with altering familiar routines or systems. Some educational institutions and professionals are reluctant to embrace new technology or reconsider conventional methods.</w:t>
      </w:r>
    </w:p>
    <w:p w:rsidR="00B21745" w:rsidRPr="00903D52" w:rsidRDefault="00B21745" w:rsidP="00B21745">
      <w:pPr>
        <w:pStyle w:val="Els-NoIndent"/>
        <w:spacing w:after="120" w:line="240" w:lineRule="exact"/>
        <w:rPr>
          <w:lang w:val="en-IN"/>
        </w:rPr>
      </w:pPr>
      <w:r w:rsidRPr="00903D52">
        <w:rPr>
          <w:b/>
          <w:bCs/>
          <w:lang w:val="en-IN"/>
        </w:rPr>
        <w:t>v. Training Deficiencies:</w:t>
      </w:r>
      <w:r w:rsidRPr="00903D52">
        <w:rPr>
          <w:lang w:val="en-IN"/>
        </w:rPr>
        <w:t xml:space="preserve"> Training Deficiencies represent the shortcomings that reduce the quality, effectiveness, and impact of a training programme. Addressing these gaps is essential to ensure that trainees develop the competencies required for professional excellence. Teacher</w:t>
      </w:r>
      <w:r w:rsidRPr="00903D52">
        <w:rPr>
          <w:lang w:val="en-IN"/>
        </w:rPr>
        <w:noBreakHyphen/>
        <w:t>educators themselves often need training in AI integration. If they lack competence, the cascade to teacher</w:t>
      </w:r>
      <w:r w:rsidRPr="00903D52">
        <w:rPr>
          <w:lang w:val="en-IN"/>
        </w:rPr>
        <w:noBreakHyphen/>
        <w:t>trainees is weakened.</w:t>
      </w:r>
    </w:p>
    <w:p w:rsidR="00B21745" w:rsidRPr="00903D52" w:rsidRDefault="00B21745" w:rsidP="00B21745">
      <w:pPr>
        <w:pStyle w:val="Els-NoIndent"/>
        <w:spacing w:after="120" w:line="240" w:lineRule="exact"/>
        <w:rPr>
          <w:lang w:val="en-IN"/>
        </w:rPr>
      </w:pPr>
      <w:r w:rsidRPr="00903D52">
        <w:rPr>
          <w:b/>
          <w:bCs/>
          <w:lang w:val="en-IN"/>
        </w:rPr>
        <w:t>vi. Sustainability and Scalability:</w:t>
      </w:r>
      <w:r w:rsidRPr="00903D52">
        <w:rPr>
          <w:lang w:val="en-IN"/>
        </w:rPr>
        <w:t xml:space="preserve"> Sustainability is the capacity of a programme to survive, thrive, and remain effective in the long run, ensuring lasting benefits for learners, teachers, and institutions. Scalability is the capacity of a successful initiative to grow or expand across different contexts while maintaining its positive impact and effectiveness. Together, sustainability and scalability determine whether an educational innovation or training programme can: last over time (sustainability) and reach more learners or institutions effectively. Pilot initiatives may succeed in one context but scaling to broader programmes is challenging.</w:t>
      </w:r>
    </w:p>
    <w:p w:rsidR="00B21745" w:rsidRPr="00903D52" w:rsidRDefault="00B21745" w:rsidP="00B21745">
      <w:pPr>
        <w:pStyle w:val="Els-NoIndent"/>
        <w:spacing w:after="120" w:line="240" w:lineRule="exact"/>
        <w:rPr>
          <w:lang w:val="en-IN"/>
        </w:rPr>
      </w:pPr>
      <w:r w:rsidRPr="00903D52">
        <w:rPr>
          <w:b/>
          <w:bCs/>
          <w:lang w:val="en-IN"/>
        </w:rPr>
        <w:t>vii. Evaluation and Evidence Base:</w:t>
      </w:r>
      <w:r w:rsidRPr="00903D52">
        <w:rPr>
          <w:lang w:val="en-IN"/>
        </w:rPr>
        <w:t xml:space="preserve"> Evaluation is a structured process used to assess the success and impact of educational initiatives and guide data-informed improvements. An Evidence Base is the body of trustworthy information derived from research and data that informs sound decisions and strengthens educational practice. There is still limited rigorous empirical evidence on long</w:t>
      </w:r>
      <w:r w:rsidRPr="00903D52">
        <w:rPr>
          <w:lang w:val="en-IN"/>
        </w:rPr>
        <w:noBreakHyphen/>
        <w:t>term impacts of AI in teacher preparation (</w:t>
      </w:r>
      <w:proofErr w:type="spellStart"/>
      <w:r w:rsidRPr="00903D52">
        <w:rPr>
          <w:lang w:val="en-IN"/>
        </w:rPr>
        <w:t>Brückner</w:t>
      </w:r>
      <w:proofErr w:type="spellEnd"/>
      <w:r w:rsidRPr="00903D52">
        <w:rPr>
          <w:lang w:val="en-IN"/>
        </w:rPr>
        <w:t xml:space="preserve"> et al., 2022).</w:t>
      </w:r>
    </w:p>
    <w:p w:rsidR="00B21745" w:rsidRPr="00903D52" w:rsidRDefault="00B21745" w:rsidP="00B21745">
      <w:pPr>
        <w:pStyle w:val="Heading1"/>
      </w:pPr>
      <w:r w:rsidRPr="00903D52">
        <w:t>Future Prospects</w:t>
      </w:r>
    </w:p>
    <w:p w:rsidR="00B21745" w:rsidRPr="00903D52" w:rsidRDefault="00B21745" w:rsidP="00B21745">
      <w:pPr>
        <w:pStyle w:val="Els-NoIndent"/>
        <w:spacing w:after="120" w:line="240" w:lineRule="exact"/>
        <w:rPr>
          <w:lang w:val="en-IN"/>
        </w:rPr>
      </w:pPr>
      <w:r w:rsidRPr="00903D52">
        <w:rPr>
          <w:lang w:val="en-IN"/>
        </w:rPr>
        <w:t>The future of teacher preparation in the AI era is both bright and transformative. As technology continues to evolve, teacher</w:t>
      </w:r>
      <w:r w:rsidRPr="00903D52">
        <w:rPr>
          <w:lang w:val="en-IN"/>
        </w:rPr>
        <w:noBreakHyphen/>
        <w:t>education institutions must focus on collaboration between humans and AI systems. The idea of “AI augmented teaching”, in which AI takes care of regular duties and data analysis while teachers concentrate on the creative and relational facts of education, is probably going to take centre stage. Teacher preparation programmes must thus become centres for innovation, research, and ethical discourse around AI. Additionally, partnerships among universities, industry (AI tool</w:t>
      </w:r>
      <w:r w:rsidRPr="00903D52">
        <w:rPr>
          <w:lang w:val="en-IN"/>
        </w:rPr>
        <w:noBreakHyphen/>
        <w:t>makers), policy</w:t>
      </w:r>
      <w:r w:rsidRPr="00903D52">
        <w:rPr>
          <w:lang w:val="en-IN"/>
        </w:rPr>
        <w:noBreakHyphen/>
        <w:t>makers, and accreditation bodies will be critical. Regulatory frameworks and standards must evolve to address AI</w:t>
      </w:r>
      <w:r w:rsidRPr="00903D52">
        <w:rPr>
          <w:lang w:val="en-IN"/>
        </w:rPr>
        <w:noBreakHyphen/>
        <w:t>competencies for teachers, ethical guidelines, and quality assurance in AI</w:t>
      </w:r>
      <w:r w:rsidRPr="00903D52">
        <w:rPr>
          <w:lang w:val="en-IN"/>
        </w:rPr>
        <w:noBreakHyphen/>
        <w:t>enhanced teacher preparation. Ultimately, the synergy between technology, pedagogy, and human values will determine success.</w:t>
      </w:r>
    </w:p>
    <w:p w:rsidR="00B21745" w:rsidRPr="00903D52" w:rsidRDefault="00B21745" w:rsidP="00B21745">
      <w:pPr>
        <w:pStyle w:val="Heading1"/>
      </w:pPr>
      <w:r w:rsidRPr="00903D52">
        <w:t>Conclusion</w:t>
      </w:r>
    </w:p>
    <w:p w:rsidR="00B21745" w:rsidRPr="00903D52" w:rsidRDefault="00B21745" w:rsidP="00B21745">
      <w:pPr>
        <w:pStyle w:val="Els-NoIndent"/>
        <w:spacing w:after="120" w:line="240" w:lineRule="exact"/>
        <w:rPr>
          <w:b/>
          <w:bCs/>
          <w:lang w:val="en-IN"/>
        </w:rPr>
      </w:pPr>
      <w:r w:rsidRPr="00903D52">
        <w:rPr>
          <w:lang w:val="en-IN"/>
        </w:rPr>
        <w:t>Artificial Intelligence has the potential to revolutionise teacher preparation by creating more efficient, data</w:t>
      </w:r>
      <w:r w:rsidRPr="00903D52">
        <w:rPr>
          <w:lang w:val="en-IN"/>
        </w:rPr>
        <w:noBreakHyphen/>
        <w:t>driven, and personalised learning environments. However, to fully realise this potential, teacher</w:t>
      </w:r>
      <w:r w:rsidRPr="00903D52">
        <w:rPr>
          <w:lang w:val="en-IN"/>
        </w:rPr>
        <w:noBreakHyphen/>
        <w:t>education institutions must embrace AI thoughtfully and ethically. The future teacher will not just be a transmitter of knowledge but a reflective practitioner capable of navigating the digital age with empathy, adaptability, and innovation. As AI reshapes education, the synergy between technology, pedagogy, and human values will determine the success of future teacher preparation.</w:t>
      </w:r>
      <w:r w:rsidRPr="00903D52">
        <w:rPr>
          <w:b/>
          <w:bCs/>
          <w:lang w:val="en-IN"/>
        </w:rPr>
        <w:t xml:space="preserve"> </w:t>
      </w:r>
      <w:r w:rsidRPr="00903D52">
        <w:rPr>
          <w:lang w:val="en-IN"/>
        </w:rPr>
        <w:t>Ultimately, reimagining teacher preparation in the age of AI requires a balanced integration of technological innovation and human values. By blending the unique strengths of teacher’s empathy, judgment, creativity, and contextual understanding with the analytical and adaptive power of AI, the future of teacher education can become more responsive, inclusive, and impactful. As education systems worldwide continue to evolve, empowering teachers to confidently and ethically engage with AI will be essential for shaping meaningful learning experiences for all students.</w:t>
      </w:r>
    </w:p>
    <w:p w:rsidR="00B21745" w:rsidRPr="00903D52" w:rsidRDefault="00B21745" w:rsidP="00B21745">
      <w:pPr>
        <w:pStyle w:val="Els-NoIndent"/>
        <w:pBdr>
          <w:bottom w:val="single" w:sz="4" w:space="1" w:color="auto"/>
        </w:pBdr>
        <w:spacing w:after="120" w:line="240" w:lineRule="exact"/>
        <w:rPr>
          <w:b/>
          <w:bCs/>
          <w:lang w:val="en-IN"/>
        </w:rPr>
      </w:pPr>
      <w:r w:rsidRPr="00903D52">
        <w:rPr>
          <w:b/>
          <w:bCs/>
          <w:lang w:val="en-IN"/>
        </w:rPr>
        <w:t>References</w:t>
      </w:r>
    </w:p>
    <w:p w:rsidR="00B21745" w:rsidRPr="00903D52" w:rsidRDefault="00B21745" w:rsidP="00B21745">
      <w:pPr>
        <w:pStyle w:val="Els-NoIndent"/>
        <w:numPr>
          <w:ilvl w:val="0"/>
          <w:numId w:val="1"/>
        </w:numPr>
        <w:spacing w:after="120" w:line="240" w:lineRule="exact"/>
        <w:rPr>
          <w:lang w:val="en-IN"/>
        </w:rPr>
      </w:pPr>
      <w:r w:rsidRPr="00903D52">
        <w:rPr>
          <w:lang w:val="en-IN"/>
        </w:rPr>
        <w:t xml:space="preserve">Ahmed, J., Rabia, A., </w:t>
      </w:r>
      <w:proofErr w:type="spellStart"/>
      <w:r w:rsidRPr="00903D52">
        <w:rPr>
          <w:lang w:val="en-IN"/>
        </w:rPr>
        <w:t>Abro</w:t>
      </w:r>
      <w:proofErr w:type="spellEnd"/>
      <w:r w:rsidRPr="00903D52">
        <w:rPr>
          <w:lang w:val="en-IN"/>
        </w:rPr>
        <w:t xml:space="preserve">, R., </w:t>
      </w:r>
      <w:proofErr w:type="spellStart"/>
      <w:r w:rsidRPr="00903D52">
        <w:rPr>
          <w:lang w:val="en-IN"/>
        </w:rPr>
        <w:t>Ashfaque</w:t>
      </w:r>
      <w:proofErr w:type="spellEnd"/>
      <w:r w:rsidRPr="00903D52">
        <w:rPr>
          <w:lang w:val="en-IN"/>
        </w:rPr>
        <w:t xml:space="preserve"> </w:t>
      </w:r>
      <w:proofErr w:type="spellStart"/>
      <w:r w:rsidRPr="00903D52">
        <w:rPr>
          <w:lang w:val="en-IN"/>
        </w:rPr>
        <w:t>Tago</w:t>
      </w:r>
      <w:proofErr w:type="spellEnd"/>
      <w:r w:rsidRPr="00903D52">
        <w:rPr>
          <w:lang w:val="en-IN"/>
        </w:rPr>
        <w:t xml:space="preserve">, S., &amp; Nadeem, M. (2025). AI Integration into Teaching: Current System Preparedness and Future Perspectives. </w:t>
      </w:r>
      <w:r w:rsidRPr="00903D52">
        <w:rPr>
          <w:i/>
          <w:iCs/>
          <w:lang w:val="en-IN"/>
        </w:rPr>
        <w:t>Policy Research Journal</w:t>
      </w:r>
      <w:r w:rsidRPr="00903D52">
        <w:rPr>
          <w:lang w:val="en-IN"/>
        </w:rPr>
        <w:t>, </w:t>
      </w:r>
      <w:r w:rsidRPr="00903D52">
        <w:rPr>
          <w:i/>
          <w:iCs/>
          <w:lang w:val="en-IN"/>
        </w:rPr>
        <w:t>3</w:t>
      </w:r>
      <w:r w:rsidRPr="00903D52">
        <w:rPr>
          <w:lang w:val="en-IN"/>
        </w:rPr>
        <w:t>(5), 396-402.</w:t>
      </w:r>
    </w:p>
    <w:p w:rsidR="00B21745" w:rsidRPr="00903D52" w:rsidRDefault="00B21745" w:rsidP="00B21745">
      <w:pPr>
        <w:pStyle w:val="Els-NoIndent"/>
        <w:numPr>
          <w:ilvl w:val="0"/>
          <w:numId w:val="1"/>
        </w:numPr>
        <w:spacing w:after="120" w:line="240" w:lineRule="exact"/>
        <w:rPr>
          <w:lang w:val="en-IN"/>
        </w:rPr>
      </w:pPr>
      <w:proofErr w:type="spellStart"/>
      <w:r w:rsidRPr="00903D52">
        <w:rPr>
          <w:lang w:val="en-IN"/>
        </w:rPr>
        <w:t>Akgün</w:t>
      </w:r>
      <w:proofErr w:type="spellEnd"/>
      <w:r w:rsidRPr="00903D52">
        <w:rPr>
          <w:lang w:val="en-IN"/>
        </w:rPr>
        <w:t>, S., &amp; Greenhow, C. (2022). Artificial Intelligence in Education: Addressing Ethical Challenges in K</w:t>
      </w:r>
      <w:r w:rsidRPr="00903D52">
        <w:rPr>
          <w:lang w:val="en-IN"/>
        </w:rPr>
        <w:noBreakHyphen/>
        <w:t xml:space="preserve">12 Settings. </w:t>
      </w:r>
      <w:r w:rsidRPr="00903D52">
        <w:rPr>
          <w:i/>
          <w:iCs/>
          <w:lang w:val="en-IN"/>
        </w:rPr>
        <w:t>AI and Ethics</w:t>
      </w:r>
      <w:r w:rsidRPr="00903D52">
        <w:rPr>
          <w:lang w:val="en-IN"/>
        </w:rPr>
        <w:t>, </w:t>
      </w:r>
      <w:r w:rsidRPr="00903D52">
        <w:rPr>
          <w:i/>
          <w:iCs/>
          <w:lang w:val="en-IN"/>
        </w:rPr>
        <w:t>2</w:t>
      </w:r>
      <w:r w:rsidRPr="00903D52">
        <w:rPr>
          <w:lang w:val="en-IN"/>
        </w:rPr>
        <w:t>(3), 431-440.</w:t>
      </w:r>
    </w:p>
    <w:p w:rsidR="00B21745" w:rsidRPr="00903D52" w:rsidRDefault="00B21745" w:rsidP="00B21745">
      <w:pPr>
        <w:pStyle w:val="Els-NoIndent"/>
        <w:numPr>
          <w:ilvl w:val="0"/>
          <w:numId w:val="1"/>
        </w:numPr>
        <w:spacing w:after="120" w:line="240" w:lineRule="exact"/>
        <w:rPr>
          <w:lang w:val="en-IN"/>
        </w:rPr>
      </w:pPr>
      <w:proofErr w:type="spellStart"/>
      <w:r w:rsidRPr="00903D52">
        <w:rPr>
          <w:lang w:val="en-IN"/>
        </w:rPr>
        <w:t>Alexandrowicz</w:t>
      </w:r>
      <w:proofErr w:type="spellEnd"/>
      <w:r w:rsidRPr="00903D52">
        <w:rPr>
          <w:lang w:val="en-IN"/>
        </w:rPr>
        <w:t xml:space="preserve">, V. (2024). Artificial Intelligence Integration in Teacher Education: Navigating Benefits, Challenges, and Transformative Pedagogy. </w:t>
      </w:r>
      <w:r w:rsidRPr="00903D52">
        <w:rPr>
          <w:i/>
          <w:iCs/>
          <w:lang w:val="en-IN"/>
        </w:rPr>
        <w:t>Journal of Education and Learning</w:t>
      </w:r>
      <w:r w:rsidRPr="00903D52">
        <w:rPr>
          <w:lang w:val="en-IN"/>
        </w:rPr>
        <w:t>, </w:t>
      </w:r>
      <w:r w:rsidRPr="00903D52">
        <w:rPr>
          <w:i/>
          <w:iCs/>
          <w:lang w:val="en-IN"/>
        </w:rPr>
        <w:t>13</w:t>
      </w:r>
      <w:r w:rsidRPr="00903D52">
        <w:rPr>
          <w:lang w:val="en-IN"/>
        </w:rPr>
        <w:t>(6), 346-364.</w:t>
      </w:r>
    </w:p>
    <w:p w:rsidR="00B21745" w:rsidRPr="00903D52" w:rsidRDefault="00B21745" w:rsidP="00B21745">
      <w:pPr>
        <w:pStyle w:val="Els-NoIndent"/>
        <w:numPr>
          <w:ilvl w:val="0"/>
          <w:numId w:val="1"/>
        </w:numPr>
        <w:spacing w:after="120" w:line="240" w:lineRule="exact"/>
        <w:rPr>
          <w:lang w:val="en-IN"/>
        </w:rPr>
      </w:pPr>
      <w:proofErr w:type="spellStart"/>
      <w:r w:rsidRPr="00903D52">
        <w:rPr>
          <w:lang w:val="en-IN"/>
        </w:rPr>
        <w:t>Brückner</w:t>
      </w:r>
      <w:proofErr w:type="spellEnd"/>
      <w:r w:rsidRPr="00903D52">
        <w:rPr>
          <w:lang w:val="en-IN"/>
        </w:rPr>
        <w:t xml:space="preserve">, S., Marín, V. I., Bond, M., &amp; Gouverneur, F. (2022). Artificial Intelligence and Learning Analytics in Teacher Education: A Systematic Review. </w:t>
      </w:r>
      <w:r w:rsidRPr="00903D52">
        <w:rPr>
          <w:i/>
          <w:iCs/>
          <w:lang w:val="en-IN"/>
        </w:rPr>
        <w:t>Education Sciences</w:t>
      </w:r>
      <w:r w:rsidRPr="00903D52">
        <w:rPr>
          <w:lang w:val="en-IN"/>
        </w:rPr>
        <w:t>, </w:t>
      </w:r>
      <w:r w:rsidRPr="00903D52">
        <w:rPr>
          <w:i/>
          <w:iCs/>
          <w:lang w:val="en-IN"/>
        </w:rPr>
        <w:t>12</w:t>
      </w:r>
      <w:r w:rsidRPr="00903D52">
        <w:rPr>
          <w:lang w:val="en-IN"/>
        </w:rPr>
        <w:t xml:space="preserve">(8), 1-27. </w:t>
      </w:r>
    </w:p>
    <w:p w:rsidR="00B21745" w:rsidRPr="00903D52" w:rsidRDefault="00B21745" w:rsidP="00B21745">
      <w:pPr>
        <w:pStyle w:val="Els-NoIndent"/>
        <w:numPr>
          <w:ilvl w:val="0"/>
          <w:numId w:val="1"/>
        </w:numPr>
        <w:spacing w:after="120" w:line="240" w:lineRule="exact"/>
        <w:rPr>
          <w:lang w:val="en-IN"/>
        </w:rPr>
      </w:pPr>
      <w:r w:rsidRPr="00903D52">
        <w:rPr>
          <w:lang w:val="en-IN"/>
        </w:rPr>
        <w:t xml:space="preserve">Chan, C. K. Y., &amp; </w:t>
      </w:r>
      <w:proofErr w:type="spellStart"/>
      <w:r w:rsidRPr="00903D52">
        <w:rPr>
          <w:lang w:val="en-IN"/>
        </w:rPr>
        <w:t>Tsi</w:t>
      </w:r>
      <w:proofErr w:type="spellEnd"/>
      <w:r w:rsidRPr="00903D52">
        <w:rPr>
          <w:lang w:val="en-IN"/>
        </w:rPr>
        <w:t xml:space="preserve">, L. H. Y. (2023). The AI Revolution in Education: Will AI Replace or Assist Teachers in Higher Education? </w:t>
      </w:r>
      <w:r w:rsidRPr="00903D52">
        <w:rPr>
          <w:i/>
          <w:iCs/>
          <w:lang w:val="en-IN"/>
        </w:rPr>
        <w:t>Higher Education Studies</w:t>
      </w:r>
      <w:r w:rsidRPr="00903D52">
        <w:rPr>
          <w:lang w:val="en-IN"/>
        </w:rPr>
        <w:t>, </w:t>
      </w:r>
      <w:r w:rsidRPr="00903D52">
        <w:rPr>
          <w:i/>
          <w:iCs/>
          <w:lang w:val="en-IN"/>
        </w:rPr>
        <w:t>13</w:t>
      </w:r>
      <w:r w:rsidRPr="00903D52">
        <w:rPr>
          <w:lang w:val="en-IN"/>
        </w:rPr>
        <w:t>(1), 1-18.</w:t>
      </w:r>
    </w:p>
    <w:p w:rsidR="00B21745" w:rsidRPr="00903D52" w:rsidRDefault="00B21745" w:rsidP="00B21745">
      <w:pPr>
        <w:pStyle w:val="Els-NoIndent"/>
        <w:numPr>
          <w:ilvl w:val="0"/>
          <w:numId w:val="1"/>
        </w:numPr>
        <w:spacing w:after="120" w:line="240" w:lineRule="exact"/>
        <w:rPr>
          <w:lang w:val="en-IN"/>
        </w:rPr>
      </w:pPr>
      <w:r w:rsidRPr="00903D52">
        <w:rPr>
          <w:lang w:val="en-IN"/>
        </w:rPr>
        <w:t xml:space="preserve">Ismail, A., </w:t>
      </w:r>
      <w:proofErr w:type="spellStart"/>
      <w:r w:rsidRPr="00903D52">
        <w:rPr>
          <w:lang w:val="en-IN"/>
        </w:rPr>
        <w:t>Aliu</w:t>
      </w:r>
      <w:proofErr w:type="spellEnd"/>
      <w:r w:rsidRPr="00903D52">
        <w:rPr>
          <w:lang w:val="en-IN"/>
        </w:rPr>
        <w:t xml:space="preserve">, A., Ibrahim, M., &amp; </w:t>
      </w:r>
      <w:proofErr w:type="spellStart"/>
      <w:r w:rsidRPr="00903D52">
        <w:rPr>
          <w:lang w:val="en-IN"/>
        </w:rPr>
        <w:t>Sulaiman</w:t>
      </w:r>
      <w:proofErr w:type="spellEnd"/>
      <w:r w:rsidRPr="00903D52">
        <w:rPr>
          <w:lang w:val="en-IN"/>
        </w:rPr>
        <w:t xml:space="preserve">, A. (2024). Preparing Teachers of The Future in the Era of Artificial Intelligence. </w:t>
      </w:r>
      <w:r w:rsidRPr="00903D52">
        <w:rPr>
          <w:i/>
          <w:iCs/>
          <w:lang w:val="en-IN"/>
        </w:rPr>
        <w:t>Journal of Artificial Intelligence, Machine Learning and Neural Network</w:t>
      </w:r>
      <w:r w:rsidRPr="00903D52">
        <w:rPr>
          <w:lang w:val="en-IN"/>
        </w:rPr>
        <w:t>, </w:t>
      </w:r>
      <w:r w:rsidRPr="00903D52">
        <w:rPr>
          <w:i/>
          <w:iCs/>
          <w:lang w:val="en-IN"/>
        </w:rPr>
        <w:t>4</w:t>
      </w:r>
      <w:r w:rsidRPr="00903D52">
        <w:rPr>
          <w:lang w:val="en-IN"/>
        </w:rPr>
        <w:t>(4), 31-41.</w:t>
      </w:r>
    </w:p>
    <w:p w:rsidR="00B21745" w:rsidRPr="00903D52" w:rsidRDefault="00B21745" w:rsidP="00B21745">
      <w:pPr>
        <w:pStyle w:val="Els-NoIndent"/>
        <w:numPr>
          <w:ilvl w:val="0"/>
          <w:numId w:val="1"/>
        </w:numPr>
        <w:spacing w:after="120" w:line="240" w:lineRule="exact"/>
        <w:rPr>
          <w:lang w:val="en-IN"/>
        </w:rPr>
      </w:pPr>
      <w:r w:rsidRPr="00903D52">
        <w:rPr>
          <w:lang w:val="en-IN"/>
        </w:rPr>
        <w:t>Integration of Artificial Intelligence in Lesson Planning for Pre</w:t>
      </w:r>
      <w:r w:rsidRPr="00903D52">
        <w:rPr>
          <w:lang w:val="en-IN"/>
        </w:rPr>
        <w:noBreakHyphen/>
        <w:t xml:space="preserve">Service Teachers. </w:t>
      </w:r>
      <w:r w:rsidRPr="00903D52">
        <w:rPr>
          <w:i/>
          <w:iCs/>
          <w:lang w:val="en-IN"/>
        </w:rPr>
        <w:t>Indian Journal of Educational Technology</w:t>
      </w:r>
      <w:r w:rsidRPr="00903D52">
        <w:rPr>
          <w:lang w:val="en-IN"/>
        </w:rPr>
        <w:t>, </w:t>
      </w:r>
      <w:r w:rsidRPr="00903D52">
        <w:rPr>
          <w:i/>
          <w:iCs/>
          <w:lang w:val="en-IN"/>
        </w:rPr>
        <w:t>6</w:t>
      </w:r>
      <w:r w:rsidRPr="00903D52">
        <w:rPr>
          <w:lang w:val="en-IN"/>
        </w:rPr>
        <w:t>(II), 340-345.</w:t>
      </w:r>
    </w:p>
    <w:p w:rsidR="00B21745" w:rsidRPr="00903D52" w:rsidRDefault="00B21745" w:rsidP="00B21745">
      <w:pPr>
        <w:pStyle w:val="Els-NoIndent"/>
        <w:numPr>
          <w:ilvl w:val="0"/>
          <w:numId w:val="1"/>
        </w:numPr>
        <w:spacing w:after="120" w:line="240" w:lineRule="exact"/>
        <w:rPr>
          <w:lang w:val="en-IN"/>
        </w:rPr>
      </w:pPr>
      <w:proofErr w:type="spellStart"/>
      <w:r w:rsidRPr="00903D52">
        <w:rPr>
          <w:lang w:val="en-IN"/>
        </w:rPr>
        <w:lastRenderedPageBreak/>
        <w:t>Jita</w:t>
      </w:r>
      <w:proofErr w:type="spellEnd"/>
      <w:r w:rsidRPr="00903D52">
        <w:rPr>
          <w:lang w:val="en-IN"/>
        </w:rPr>
        <w:t xml:space="preserve">, T., </w:t>
      </w:r>
      <w:proofErr w:type="spellStart"/>
      <w:r w:rsidRPr="00903D52">
        <w:rPr>
          <w:lang w:val="en-IN"/>
        </w:rPr>
        <w:t>Currell</w:t>
      </w:r>
      <w:proofErr w:type="spellEnd"/>
      <w:r w:rsidRPr="00903D52">
        <w:rPr>
          <w:lang w:val="en-IN"/>
        </w:rPr>
        <w:t xml:space="preserve"> </w:t>
      </w:r>
      <w:proofErr w:type="spellStart"/>
      <w:r w:rsidRPr="00903D52">
        <w:rPr>
          <w:lang w:val="en-IN"/>
        </w:rPr>
        <w:t>Jita</w:t>
      </w:r>
      <w:proofErr w:type="spellEnd"/>
      <w:r w:rsidRPr="00903D52">
        <w:rPr>
          <w:lang w:val="en-IN"/>
        </w:rPr>
        <w:t xml:space="preserve">, L., &amp; </w:t>
      </w:r>
      <w:proofErr w:type="spellStart"/>
      <w:r w:rsidRPr="00903D52">
        <w:rPr>
          <w:lang w:val="en-IN"/>
        </w:rPr>
        <w:t>Omoniyi</w:t>
      </w:r>
      <w:proofErr w:type="spellEnd"/>
      <w:r w:rsidRPr="00903D52">
        <w:rPr>
          <w:lang w:val="en-IN"/>
        </w:rPr>
        <w:t xml:space="preserve">, A. A. (2025). Mathematics Education in the AI Era: Preparing Teachers for Evolving Classroom Demands. </w:t>
      </w:r>
      <w:r w:rsidRPr="00903D52">
        <w:rPr>
          <w:i/>
          <w:iCs/>
          <w:lang w:val="en-IN"/>
        </w:rPr>
        <w:t>International Journal of Learning, Teaching and Educational Research</w:t>
      </w:r>
      <w:r w:rsidRPr="00903D52">
        <w:rPr>
          <w:lang w:val="en-IN"/>
        </w:rPr>
        <w:t xml:space="preserve">, </w:t>
      </w:r>
      <w:r w:rsidRPr="00903D52">
        <w:rPr>
          <w:i/>
          <w:iCs/>
          <w:lang w:val="en-IN"/>
        </w:rPr>
        <w:t>24</w:t>
      </w:r>
      <w:r w:rsidRPr="00903D52">
        <w:rPr>
          <w:lang w:val="en-IN"/>
        </w:rPr>
        <w:t>(10), 417-434.</w:t>
      </w:r>
    </w:p>
    <w:p w:rsidR="00B21745" w:rsidRPr="00903D52" w:rsidRDefault="00B21745" w:rsidP="00B21745">
      <w:pPr>
        <w:pStyle w:val="Els-NoIndent"/>
        <w:numPr>
          <w:ilvl w:val="0"/>
          <w:numId w:val="1"/>
        </w:numPr>
        <w:spacing w:after="120" w:line="240" w:lineRule="exact"/>
        <w:rPr>
          <w:lang w:val="en-IN"/>
        </w:rPr>
      </w:pPr>
      <w:proofErr w:type="spellStart"/>
      <w:r w:rsidRPr="00903D52">
        <w:rPr>
          <w:lang w:val="en-IN"/>
        </w:rPr>
        <w:t>Karataş</w:t>
      </w:r>
      <w:proofErr w:type="spellEnd"/>
      <w:r w:rsidRPr="00903D52">
        <w:rPr>
          <w:lang w:val="en-IN"/>
        </w:rPr>
        <w:t xml:space="preserve">, F., &amp; </w:t>
      </w:r>
      <w:proofErr w:type="spellStart"/>
      <w:r w:rsidRPr="00903D52">
        <w:rPr>
          <w:lang w:val="en-IN"/>
        </w:rPr>
        <w:t>Yüce</w:t>
      </w:r>
      <w:proofErr w:type="spellEnd"/>
      <w:r w:rsidRPr="00903D52">
        <w:rPr>
          <w:lang w:val="en-IN"/>
        </w:rPr>
        <w:t xml:space="preserve">, E. (2024). AI </w:t>
      </w:r>
      <w:proofErr w:type="gramStart"/>
      <w:r w:rsidRPr="00903D52">
        <w:rPr>
          <w:lang w:val="en-IN"/>
        </w:rPr>
        <w:t>And</w:t>
      </w:r>
      <w:proofErr w:type="gramEnd"/>
      <w:r w:rsidRPr="00903D52">
        <w:rPr>
          <w:lang w:val="en-IN"/>
        </w:rPr>
        <w:t xml:space="preserve"> the Future of Teaching: Preservice Teachers’ Reflections on The Use of Artificial Intelligence in Open and Distributed Learning. </w:t>
      </w:r>
      <w:r w:rsidRPr="00903D52">
        <w:rPr>
          <w:i/>
          <w:iCs/>
          <w:lang w:val="en-IN"/>
        </w:rPr>
        <w:t>The International Review of Research in Open and Distributed Learning</w:t>
      </w:r>
      <w:r w:rsidRPr="00903D52">
        <w:rPr>
          <w:lang w:val="en-IN"/>
        </w:rPr>
        <w:t>, </w:t>
      </w:r>
      <w:r w:rsidRPr="00903D52">
        <w:rPr>
          <w:i/>
          <w:iCs/>
          <w:lang w:val="en-IN"/>
        </w:rPr>
        <w:t>25</w:t>
      </w:r>
      <w:r w:rsidRPr="00903D52">
        <w:rPr>
          <w:lang w:val="en-IN"/>
        </w:rPr>
        <w:t xml:space="preserve">(3), 304-325. </w:t>
      </w:r>
      <w:hyperlink r:id="rId7" w:history="1">
        <w:r w:rsidRPr="00903D52">
          <w:rPr>
            <w:rStyle w:val="Hyperlink"/>
            <w:lang w:val="en-IN"/>
          </w:rPr>
          <w:t>https://doi.org/10.19173/irrodl.v25i3.7785</w:t>
        </w:r>
      </w:hyperlink>
      <w:r w:rsidRPr="00903D52">
        <w:rPr>
          <w:lang w:val="en-IN"/>
        </w:rPr>
        <w:t xml:space="preserve"> </w:t>
      </w:r>
    </w:p>
    <w:p w:rsidR="00B21745" w:rsidRPr="00903D52" w:rsidRDefault="00B21745" w:rsidP="00B21745">
      <w:pPr>
        <w:pStyle w:val="Els-NoIndent"/>
        <w:numPr>
          <w:ilvl w:val="0"/>
          <w:numId w:val="1"/>
        </w:numPr>
        <w:spacing w:after="120" w:line="240" w:lineRule="exact"/>
        <w:rPr>
          <w:lang w:val="en-IN"/>
        </w:rPr>
      </w:pPr>
      <w:r w:rsidRPr="00903D52">
        <w:rPr>
          <w:lang w:val="en-IN"/>
        </w:rPr>
        <w:t xml:space="preserve">Kelley, M., &amp; Wenzel, T. (2025). Advancing Artificial Intelligence Literacy in Teacher Education Through Professional Partnership Inquiry. </w:t>
      </w:r>
      <w:r w:rsidRPr="00903D52">
        <w:rPr>
          <w:i/>
          <w:iCs/>
          <w:lang w:val="en-IN"/>
        </w:rPr>
        <w:t>Education Sciences</w:t>
      </w:r>
      <w:r w:rsidRPr="00903D52">
        <w:rPr>
          <w:lang w:val="en-IN"/>
        </w:rPr>
        <w:t>, </w:t>
      </w:r>
      <w:r w:rsidRPr="00903D52">
        <w:rPr>
          <w:i/>
          <w:iCs/>
          <w:lang w:val="en-IN"/>
        </w:rPr>
        <w:t>15</w:t>
      </w:r>
      <w:r w:rsidRPr="00903D52">
        <w:rPr>
          <w:lang w:val="en-IN"/>
        </w:rPr>
        <w:t xml:space="preserve">(6), 1-15. </w:t>
      </w:r>
      <w:hyperlink r:id="rId8" w:history="1">
        <w:r w:rsidRPr="00903D52">
          <w:rPr>
            <w:rStyle w:val="Hyperlink"/>
            <w:lang w:val="en-IN"/>
          </w:rPr>
          <w:t>https://doi.org/10.3390/educsci15060659</w:t>
        </w:r>
      </w:hyperlink>
      <w:r w:rsidRPr="00903D52">
        <w:rPr>
          <w:lang w:val="en-IN"/>
        </w:rPr>
        <w:t xml:space="preserve"> </w:t>
      </w:r>
    </w:p>
    <w:p w:rsidR="00B21745" w:rsidRPr="00903D52" w:rsidRDefault="00B21745" w:rsidP="00B21745">
      <w:pPr>
        <w:pStyle w:val="Els-NoIndent"/>
        <w:numPr>
          <w:ilvl w:val="0"/>
          <w:numId w:val="1"/>
        </w:numPr>
        <w:spacing w:after="120" w:line="240" w:lineRule="exact"/>
        <w:rPr>
          <w:lang w:val="en-IN"/>
        </w:rPr>
      </w:pPr>
      <w:r w:rsidRPr="00903D52">
        <w:rPr>
          <w:lang w:val="en-IN"/>
        </w:rPr>
        <w:t xml:space="preserve">Marín, V. I., Bond, M., &amp; </w:t>
      </w:r>
      <w:proofErr w:type="spellStart"/>
      <w:r w:rsidRPr="00903D52">
        <w:rPr>
          <w:lang w:val="en-IN"/>
        </w:rPr>
        <w:t>Zawacki</w:t>
      </w:r>
      <w:proofErr w:type="spellEnd"/>
      <w:r w:rsidRPr="00903D52">
        <w:rPr>
          <w:lang w:val="en-IN"/>
        </w:rPr>
        <w:noBreakHyphen/>
        <w:t xml:space="preserve">Richter, O. (2019). Systematic Review of Research on Artificial Intelligence Applications in Higher Education -Where is The Evidence from and What Has Been Studied? </w:t>
      </w:r>
      <w:r w:rsidRPr="00903D52">
        <w:rPr>
          <w:i/>
          <w:iCs/>
          <w:lang w:val="en-IN"/>
        </w:rPr>
        <w:t>International Journal of Educational Technology in Higher Education</w:t>
      </w:r>
      <w:r w:rsidRPr="00903D52">
        <w:rPr>
          <w:lang w:val="en-IN"/>
        </w:rPr>
        <w:t>, </w:t>
      </w:r>
      <w:r w:rsidRPr="00903D52">
        <w:rPr>
          <w:i/>
          <w:iCs/>
          <w:lang w:val="en-IN"/>
        </w:rPr>
        <w:t>16</w:t>
      </w:r>
      <w:r w:rsidRPr="00903D52">
        <w:rPr>
          <w:lang w:val="en-IN"/>
        </w:rPr>
        <w:t>(1), 1-27.</w:t>
      </w:r>
    </w:p>
    <w:p w:rsidR="00B21745" w:rsidRPr="00903D52" w:rsidRDefault="00B21745" w:rsidP="00B21745">
      <w:pPr>
        <w:pStyle w:val="Els-NoIndent"/>
        <w:numPr>
          <w:ilvl w:val="0"/>
          <w:numId w:val="1"/>
        </w:numPr>
        <w:spacing w:after="120" w:line="240" w:lineRule="exact"/>
        <w:rPr>
          <w:lang w:val="en-IN"/>
        </w:rPr>
      </w:pPr>
      <w:proofErr w:type="spellStart"/>
      <w:r w:rsidRPr="00903D52">
        <w:rPr>
          <w:lang w:val="en-IN"/>
        </w:rPr>
        <w:t>Marienko</w:t>
      </w:r>
      <w:proofErr w:type="spellEnd"/>
      <w:r w:rsidRPr="00903D52">
        <w:rPr>
          <w:lang w:val="en-IN"/>
        </w:rPr>
        <w:t xml:space="preserve">, M., </w:t>
      </w:r>
      <w:proofErr w:type="spellStart"/>
      <w:r w:rsidRPr="00903D52">
        <w:rPr>
          <w:lang w:val="en-IN"/>
        </w:rPr>
        <w:t>Nosenko</w:t>
      </w:r>
      <w:proofErr w:type="spellEnd"/>
      <w:r w:rsidRPr="00903D52">
        <w:rPr>
          <w:lang w:val="en-IN"/>
        </w:rPr>
        <w:t xml:space="preserve">, Y., </w:t>
      </w:r>
      <w:proofErr w:type="spellStart"/>
      <w:r w:rsidRPr="00903D52">
        <w:rPr>
          <w:lang w:val="en-IN"/>
        </w:rPr>
        <w:t>Sukhikh</w:t>
      </w:r>
      <w:proofErr w:type="spellEnd"/>
      <w:r w:rsidRPr="00903D52">
        <w:rPr>
          <w:lang w:val="en-IN"/>
        </w:rPr>
        <w:t xml:space="preserve">, A., </w:t>
      </w:r>
      <w:proofErr w:type="spellStart"/>
      <w:r w:rsidRPr="00903D52">
        <w:rPr>
          <w:lang w:val="en-IN"/>
        </w:rPr>
        <w:t>Tataurov</w:t>
      </w:r>
      <w:proofErr w:type="spellEnd"/>
      <w:r w:rsidRPr="00903D52">
        <w:rPr>
          <w:lang w:val="en-IN"/>
        </w:rPr>
        <w:t xml:space="preserve">, V., &amp; </w:t>
      </w:r>
      <w:proofErr w:type="spellStart"/>
      <w:r w:rsidRPr="00903D52">
        <w:rPr>
          <w:lang w:val="en-IN"/>
        </w:rPr>
        <w:t>Shyshkina</w:t>
      </w:r>
      <w:proofErr w:type="spellEnd"/>
      <w:r w:rsidRPr="00903D52">
        <w:rPr>
          <w:lang w:val="en-IN"/>
        </w:rPr>
        <w:t xml:space="preserve">, M. (2020). Personalization </w:t>
      </w:r>
      <w:proofErr w:type="gramStart"/>
      <w:r w:rsidRPr="00903D52">
        <w:rPr>
          <w:lang w:val="en-IN"/>
        </w:rPr>
        <w:t>Of</w:t>
      </w:r>
      <w:proofErr w:type="gramEnd"/>
      <w:r w:rsidRPr="00903D52">
        <w:rPr>
          <w:lang w:val="en-IN"/>
        </w:rPr>
        <w:t xml:space="preserve"> Learning Through Adaptive Technologies in the Context of Sustainable Development of Teachers’ Education. </w:t>
      </w:r>
      <w:r w:rsidRPr="00903D52">
        <w:rPr>
          <w:i/>
          <w:iCs/>
          <w:lang w:val="en-IN"/>
        </w:rPr>
        <w:t>International Journal of Emerging Technologies in Learning</w:t>
      </w:r>
      <w:r w:rsidRPr="00903D52">
        <w:rPr>
          <w:lang w:val="en-IN"/>
        </w:rPr>
        <w:t>, </w:t>
      </w:r>
      <w:r w:rsidRPr="00903D52">
        <w:rPr>
          <w:i/>
          <w:iCs/>
          <w:lang w:val="en-IN"/>
        </w:rPr>
        <w:t>15</w:t>
      </w:r>
      <w:r w:rsidRPr="00903D52">
        <w:rPr>
          <w:lang w:val="en-IN"/>
        </w:rPr>
        <w:t>(6), 234-250.</w:t>
      </w:r>
    </w:p>
    <w:p w:rsidR="00B21745" w:rsidRPr="00903D52" w:rsidRDefault="00B21745" w:rsidP="00B21745">
      <w:pPr>
        <w:pStyle w:val="Els-NoIndent"/>
        <w:numPr>
          <w:ilvl w:val="0"/>
          <w:numId w:val="1"/>
        </w:numPr>
        <w:spacing w:after="120" w:line="240" w:lineRule="exact"/>
        <w:rPr>
          <w:lang w:val="en-IN"/>
        </w:rPr>
      </w:pPr>
      <w:r w:rsidRPr="00903D52">
        <w:rPr>
          <w:lang w:val="en-IN"/>
        </w:rPr>
        <w:t xml:space="preserve">Makwana, J. C. (2025). Artificial Intelligence (AI) Role in Educator Evolution: Opportunities and Challenges for the Modern Teacher. </w:t>
      </w:r>
      <w:r w:rsidRPr="00903D52">
        <w:rPr>
          <w:i/>
          <w:iCs/>
          <w:lang w:val="en-IN"/>
        </w:rPr>
        <w:t>Research Review International Journal of Multidisciplinary</w:t>
      </w:r>
      <w:r w:rsidRPr="00903D52">
        <w:rPr>
          <w:lang w:val="en-IN"/>
        </w:rPr>
        <w:t>, </w:t>
      </w:r>
      <w:r w:rsidRPr="00903D52">
        <w:rPr>
          <w:i/>
          <w:iCs/>
          <w:lang w:val="en-IN"/>
        </w:rPr>
        <w:t>10</w:t>
      </w:r>
      <w:r w:rsidRPr="00903D52">
        <w:rPr>
          <w:lang w:val="en-IN"/>
        </w:rPr>
        <w:t>(7), 256-260.</w:t>
      </w:r>
    </w:p>
    <w:p w:rsidR="00B21745" w:rsidRPr="00903D52" w:rsidRDefault="00B21745" w:rsidP="00B21745">
      <w:pPr>
        <w:pStyle w:val="Els-NoIndent"/>
        <w:numPr>
          <w:ilvl w:val="0"/>
          <w:numId w:val="1"/>
        </w:numPr>
        <w:spacing w:after="120" w:line="240" w:lineRule="exact"/>
        <w:rPr>
          <w:lang w:val="en-IN"/>
        </w:rPr>
      </w:pPr>
      <w:proofErr w:type="spellStart"/>
      <w:r w:rsidRPr="00903D52">
        <w:rPr>
          <w:lang w:val="en-IN"/>
        </w:rPr>
        <w:t>Ngongpah</w:t>
      </w:r>
      <w:proofErr w:type="spellEnd"/>
      <w:r w:rsidRPr="00903D52">
        <w:rPr>
          <w:lang w:val="en-IN"/>
        </w:rPr>
        <w:t xml:space="preserve">, G., &amp; Oni, O. Y. (2025). Teachers’ Readiness and Competency in Using AI in the Classroom. </w:t>
      </w:r>
      <w:r w:rsidRPr="00903D52">
        <w:rPr>
          <w:i/>
          <w:iCs/>
          <w:lang w:val="en-IN"/>
        </w:rPr>
        <w:t>Asian Journal of Education and Social Studies</w:t>
      </w:r>
      <w:r w:rsidRPr="00903D52">
        <w:rPr>
          <w:lang w:val="en-IN"/>
        </w:rPr>
        <w:t>, </w:t>
      </w:r>
      <w:r w:rsidRPr="00903D52">
        <w:rPr>
          <w:i/>
          <w:iCs/>
          <w:lang w:val="en-IN"/>
        </w:rPr>
        <w:t>51</w:t>
      </w:r>
      <w:r w:rsidRPr="00903D52">
        <w:rPr>
          <w:lang w:val="en-IN"/>
        </w:rPr>
        <w:t>(9), 742-757.</w:t>
      </w:r>
    </w:p>
    <w:p w:rsidR="00B21745" w:rsidRPr="00903D52" w:rsidRDefault="00B21745" w:rsidP="00B21745">
      <w:pPr>
        <w:pStyle w:val="Els-NoIndent"/>
        <w:numPr>
          <w:ilvl w:val="0"/>
          <w:numId w:val="1"/>
        </w:numPr>
        <w:spacing w:after="120" w:line="240" w:lineRule="exact"/>
        <w:rPr>
          <w:lang w:val="en-IN"/>
        </w:rPr>
      </w:pPr>
      <w:r w:rsidRPr="00903D52">
        <w:rPr>
          <w:lang w:val="en-IN"/>
        </w:rPr>
        <w:t xml:space="preserve">Ravi, P., </w:t>
      </w:r>
      <w:proofErr w:type="spellStart"/>
      <w:r w:rsidRPr="00903D52">
        <w:rPr>
          <w:lang w:val="en-IN"/>
        </w:rPr>
        <w:t>Broski</w:t>
      </w:r>
      <w:proofErr w:type="spellEnd"/>
      <w:r w:rsidRPr="00903D52">
        <w:rPr>
          <w:lang w:val="en-IN"/>
        </w:rPr>
        <w:t xml:space="preserve">, A., Stump, G., Abelson, H., </w:t>
      </w:r>
      <w:proofErr w:type="spellStart"/>
      <w:r w:rsidRPr="00903D52">
        <w:rPr>
          <w:lang w:val="en-IN"/>
        </w:rPr>
        <w:t>Klopfer</w:t>
      </w:r>
      <w:proofErr w:type="spellEnd"/>
      <w:r w:rsidRPr="00903D52">
        <w:rPr>
          <w:lang w:val="en-IN"/>
        </w:rPr>
        <w:t>, E., &amp; Breazeal, C. (2023). Understanding Teacher Perspectives and Experiences After Deployment of AI Literacy Curriculum in Middle</w:t>
      </w:r>
      <w:r w:rsidRPr="00903D52">
        <w:rPr>
          <w:lang w:val="en-IN"/>
        </w:rPr>
        <w:noBreakHyphen/>
        <w:t xml:space="preserve">School Classrooms. </w:t>
      </w:r>
      <w:r w:rsidRPr="00903D52">
        <w:rPr>
          <w:i/>
          <w:iCs/>
          <w:lang w:val="en-IN"/>
        </w:rPr>
        <w:t>Journal of Teacher Education</w:t>
      </w:r>
      <w:r w:rsidRPr="00903D52">
        <w:rPr>
          <w:lang w:val="en-IN"/>
        </w:rPr>
        <w:t>, </w:t>
      </w:r>
      <w:r w:rsidRPr="00903D52">
        <w:rPr>
          <w:i/>
          <w:iCs/>
          <w:lang w:val="en-IN"/>
        </w:rPr>
        <w:t>74</w:t>
      </w:r>
      <w:r w:rsidRPr="00903D52">
        <w:rPr>
          <w:lang w:val="en-IN"/>
        </w:rPr>
        <w:t>(5), 612-629.</w:t>
      </w:r>
    </w:p>
    <w:p w:rsidR="00B21745" w:rsidRPr="00903D52" w:rsidRDefault="00B21745" w:rsidP="00B21745">
      <w:pPr>
        <w:pStyle w:val="Els-NoIndent"/>
        <w:numPr>
          <w:ilvl w:val="0"/>
          <w:numId w:val="1"/>
        </w:numPr>
        <w:spacing w:after="120" w:line="240" w:lineRule="exact"/>
        <w:rPr>
          <w:lang w:val="en-IN"/>
        </w:rPr>
      </w:pPr>
      <w:r w:rsidRPr="00903D52">
        <w:rPr>
          <w:lang w:val="en-IN"/>
        </w:rPr>
        <w:t xml:space="preserve">Tan, K., Pang, T., Fan, C., &amp; Yu, S. (2023). Towards Applying Powerful Large AI Models in Classroom Teaching: Opportunities, Challenges and Prospects. </w:t>
      </w:r>
      <w:r w:rsidRPr="00903D52">
        <w:rPr>
          <w:i/>
          <w:iCs/>
          <w:lang w:val="en-IN"/>
        </w:rPr>
        <w:t>Journal of Educational Computing Research</w:t>
      </w:r>
      <w:r w:rsidRPr="00903D52">
        <w:rPr>
          <w:lang w:val="en-IN"/>
        </w:rPr>
        <w:t xml:space="preserve">, 2, 1-16. </w:t>
      </w:r>
      <w:hyperlink r:id="rId9" w:history="1">
        <w:r w:rsidRPr="00903D52">
          <w:rPr>
            <w:rStyle w:val="Hyperlink"/>
            <w:lang w:val="en-IN"/>
          </w:rPr>
          <w:t>https://arxiv.org/abs/2305.03433</w:t>
        </w:r>
      </w:hyperlink>
      <w:r w:rsidRPr="00903D52">
        <w:rPr>
          <w:lang w:val="en-IN"/>
        </w:rPr>
        <w:t xml:space="preserve"> </w:t>
      </w:r>
    </w:p>
    <w:p w:rsidR="00B21745" w:rsidRPr="00903D52" w:rsidRDefault="00B21745" w:rsidP="00B21745">
      <w:pPr>
        <w:pStyle w:val="Els-NoIndent"/>
        <w:numPr>
          <w:ilvl w:val="0"/>
          <w:numId w:val="1"/>
        </w:numPr>
        <w:spacing w:after="120" w:line="240" w:lineRule="exact"/>
        <w:rPr>
          <w:lang w:val="en-IN"/>
        </w:rPr>
      </w:pPr>
      <w:r w:rsidRPr="00903D52">
        <w:rPr>
          <w:lang w:val="en-IN"/>
        </w:rPr>
        <w:t xml:space="preserve">Yadav, A. K., &amp; Yadav, S. S. (2025). Transforming Teacher Professional Development Through Artificial Intelligence. </w:t>
      </w:r>
      <w:r w:rsidRPr="00903D52">
        <w:rPr>
          <w:i/>
          <w:iCs/>
          <w:lang w:val="en-IN"/>
        </w:rPr>
        <w:t>Indian Journal of Educational Technology</w:t>
      </w:r>
      <w:r w:rsidRPr="00903D52">
        <w:rPr>
          <w:lang w:val="en-IN"/>
        </w:rPr>
        <w:t>, </w:t>
      </w:r>
      <w:r w:rsidRPr="00903D52">
        <w:rPr>
          <w:i/>
          <w:iCs/>
          <w:lang w:val="en-IN"/>
        </w:rPr>
        <w:t>7</w:t>
      </w:r>
      <w:r w:rsidRPr="00903D52">
        <w:rPr>
          <w:lang w:val="en-IN"/>
        </w:rPr>
        <w:t>(2), 381-389.</w:t>
      </w:r>
    </w:p>
    <w:p w:rsidR="00B21745" w:rsidRPr="00903D52" w:rsidRDefault="00B21745" w:rsidP="00B21745">
      <w:pPr>
        <w:pStyle w:val="Els-NoIndent"/>
        <w:spacing w:after="120" w:line="240" w:lineRule="exact"/>
        <w:rPr>
          <w:lang w:val="en-IN"/>
        </w:rPr>
      </w:pPr>
    </w:p>
    <w:p w:rsidR="00B21745" w:rsidRPr="00903D52" w:rsidRDefault="00B21745" w:rsidP="00B21745">
      <w:pPr>
        <w:pStyle w:val="Els-NoIndent"/>
        <w:rPr>
          <w:vanish/>
          <w:lang w:val="en-IN"/>
        </w:rPr>
      </w:pPr>
    </w:p>
    <w:p w:rsidR="00B21745" w:rsidRPr="00903D52" w:rsidRDefault="00B21745" w:rsidP="00B21745">
      <w:pPr>
        <w:pStyle w:val="Els-NoIndent"/>
        <w:rPr>
          <w:vanish/>
          <w:lang w:val="en-IN"/>
        </w:rPr>
      </w:pPr>
      <w:r w:rsidRPr="00903D52">
        <w:rPr>
          <w:vanish/>
          <w:lang w:val="en-IN"/>
        </w:rPr>
        <w:t>Bottom of Form</w:t>
      </w:r>
    </w:p>
    <w:p w:rsidR="00B21745" w:rsidRDefault="00B21745" w:rsidP="00B21745">
      <w:pPr>
        <w:pStyle w:val="Els-NoIndent"/>
      </w:pPr>
    </w:p>
    <w:p w:rsidR="00932B54" w:rsidRDefault="00932B54"/>
    <w:sectPr w:rsidR="00932B54" w:rsidSect="00626C4F">
      <w:headerReference w:type="even" r:id="rId10"/>
      <w:headerReference w:type="default" r:id="rId11"/>
      <w:footerReference w:type="even" r:id="rId12"/>
      <w:footerReference w:type="default" r:id="rId13"/>
      <w:headerReference w:type="first" r:id="rId14"/>
      <w:footerReference w:type="first" r:id="rId15"/>
      <w:pgSz w:w="11906" w:h="16838" w:code="9"/>
      <w:pgMar w:top="1440" w:right="1080" w:bottom="1440" w:left="1080" w:header="720" w:footer="720" w:gutter="0"/>
      <w:pgNumType w:start="3116"/>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13F1" w:rsidRDefault="00BC13F1" w:rsidP="004B655B">
      <w:pPr>
        <w:spacing w:after="0" w:line="240" w:lineRule="auto"/>
      </w:pPr>
      <w:r>
        <w:separator/>
      </w:r>
    </w:p>
  </w:endnote>
  <w:endnote w:type="continuationSeparator" w:id="0">
    <w:p w:rsidR="00BC13F1" w:rsidRDefault="00BC13F1" w:rsidP="004B65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655B" w:rsidRDefault="004B65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655B" w:rsidRDefault="004B65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655B" w:rsidRDefault="004B65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13F1" w:rsidRDefault="00BC13F1" w:rsidP="004B655B">
      <w:pPr>
        <w:spacing w:after="0" w:line="240" w:lineRule="auto"/>
      </w:pPr>
      <w:r>
        <w:separator/>
      </w:r>
    </w:p>
  </w:footnote>
  <w:footnote w:type="continuationSeparator" w:id="0">
    <w:p w:rsidR="00BC13F1" w:rsidRDefault="00BC13F1" w:rsidP="004B65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655B" w:rsidRDefault="004B65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655B" w:rsidRPr="004920C9" w:rsidRDefault="004B655B" w:rsidP="004B655B">
    <w:pPr>
      <w:widowControl w:val="0"/>
      <w:tabs>
        <w:tab w:val="center" w:pos="4513"/>
        <w:tab w:val="right" w:pos="9026"/>
      </w:tabs>
      <w:spacing w:after="0" w:line="240" w:lineRule="auto"/>
      <w:jc w:val="right"/>
      <w:rPr>
        <w:rFonts w:ascii="Times New Roman" w:eastAsia="SimSun" w:hAnsi="Times New Roman" w:cs="Times New Roman"/>
        <w:b/>
        <w:sz w:val="16"/>
        <w:szCs w:val="16"/>
        <w:lang w:val="en-US" w:eastAsia="en-IN"/>
      </w:rPr>
    </w:pPr>
    <w:r w:rsidRPr="004920C9">
      <w:rPr>
        <w:rFonts w:ascii="Times New Roman" w:eastAsia="SimSun" w:hAnsi="Times New Roman" w:cs="Times New Roman"/>
        <w:sz w:val="16"/>
        <w:szCs w:val="20"/>
        <w:lang w:val="en-US" w:eastAsia="en-IN"/>
      </w:rPr>
      <w:t xml:space="preserve">International Journal of Research Publication and Reviews, Vol 6, Issue 12, pp </w:t>
    </w:r>
    <w:r w:rsidR="00626C4F">
      <w:rPr>
        <w:rFonts w:ascii="Times New Roman" w:eastAsia="SimSun" w:hAnsi="Times New Roman" w:cs="Times New Roman"/>
        <w:sz w:val="16"/>
        <w:szCs w:val="20"/>
        <w:lang w:val="en-US" w:eastAsia="en-IN"/>
      </w:rPr>
      <w:t>3116</w:t>
    </w:r>
    <w:r w:rsidRPr="004920C9">
      <w:rPr>
        <w:rFonts w:ascii="Times New Roman" w:eastAsia="SimSun" w:hAnsi="Times New Roman" w:cs="Times New Roman"/>
        <w:sz w:val="16"/>
        <w:szCs w:val="20"/>
        <w:lang w:val="en-US" w:eastAsia="en-IN"/>
      </w:rPr>
      <w:t>-3</w:t>
    </w:r>
    <w:r w:rsidR="00626C4F">
      <w:rPr>
        <w:rFonts w:ascii="Times New Roman" w:eastAsia="SimSun" w:hAnsi="Times New Roman" w:cs="Times New Roman"/>
        <w:sz w:val="16"/>
        <w:szCs w:val="20"/>
        <w:lang w:val="en-US" w:eastAsia="en-IN"/>
      </w:rPr>
      <w:t>120</w:t>
    </w:r>
    <w:r w:rsidRPr="004920C9">
      <w:rPr>
        <w:rFonts w:ascii="Times New Roman" w:eastAsia="SimSun" w:hAnsi="Times New Roman" w:cs="Times New Roman"/>
        <w:sz w:val="16"/>
        <w:szCs w:val="20"/>
        <w:lang w:val="en-US" w:eastAsia="en-IN"/>
      </w:rPr>
      <w:t xml:space="preserve"> December, </w:t>
    </w:r>
    <w:r w:rsidRPr="004920C9">
      <w:rPr>
        <w:rFonts w:ascii="Times New Roman" w:eastAsia="SimSun" w:hAnsi="Times New Roman" w:cs="Times New Roman"/>
        <w:sz w:val="16"/>
        <w:szCs w:val="16"/>
        <w:lang w:val="en-US" w:eastAsia="en-IN"/>
      </w:rPr>
      <w:t xml:space="preserve">2025                                 </w:t>
    </w:r>
    <w:r w:rsidRPr="004920C9">
      <w:rPr>
        <w:rFonts w:ascii="Times New Roman" w:eastAsia="SimSun" w:hAnsi="Times New Roman" w:cs="Times New Roman"/>
        <w:b/>
        <w:sz w:val="16"/>
        <w:szCs w:val="16"/>
        <w:lang w:val="en-GB" w:eastAsia="en-IN"/>
      </w:rPr>
      <w:fldChar w:fldCharType="begin"/>
    </w:r>
    <w:r w:rsidRPr="004920C9">
      <w:rPr>
        <w:rFonts w:ascii="Times New Roman" w:eastAsia="SimSun" w:hAnsi="Times New Roman" w:cs="Times New Roman"/>
        <w:b/>
        <w:sz w:val="16"/>
        <w:szCs w:val="16"/>
        <w:lang w:val="en-US" w:eastAsia="en-IN"/>
      </w:rPr>
      <w:instrText xml:space="preserve"> PAGE   \* MERGEFORMAT </w:instrText>
    </w:r>
    <w:r w:rsidRPr="004920C9">
      <w:rPr>
        <w:rFonts w:ascii="Times New Roman" w:eastAsia="SimSun" w:hAnsi="Times New Roman" w:cs="Times New Roman"/>
        <w:b/>
        <w:sz w:val="16"/>
        <w:szCs w:val="16"/>
        <w:lang w:val="en-GB" w:eastAsia="en-IN"/>
      </w:rPr>
      <w:fldChar w:fldCharType="separate"/>
    </w:r>
    <w:r>
      <w:rPr>
        <w:rFonts w:ascii="Times New Roman" w:eastAsia="SimSun" w:hAnsi="Times New Roman" w:cs="Times New Roman"/>
        <w:b/>
        <w:sz w:val="16"/>
        <w:szCs w:val="16"/>
        <w:lang w:val="en-GB" w:eastAsia="en-IN"/>
      </w:rPr>
      <w:t>2</w:t>
    </w:r>
    <w:r w:rsidRPr="004920C9">
      <w:rPr>
        <w:rFonts w:ascii="Times New Roman" w:eastAsia="SimSun" w:hAnsi="Times New Roman" w:cs="Times New Roman"/>
        <w:sz w:val="16"/>
        <w:szCs w:val="16"/>
        <w:lang w:val="en-GB" w:eastAsia="en-IN"/>
      </w:rPr>
      <w:fldChar w:fldCharType="end"/>
    </w:r>
  </w:p>
  <w:p w:rsidR="004B655B" w:rsidRDefault="00BC13F1" w:rsidP="004B655B">
    <w:pPr>
      <w:pStyle w:val="Header"/>
    </w:pPr>
    <w:bookmarkStart w:id="0" w:name="_Hlk212830482"/>
    <w:bookmarkStart w:id="1" w:name="_Hlk212830481"/>
    <w:bookmarkStart w:id="2" w:name="_Hlk212830480"/>
    <w:bookmarkStart w:id="3" w:name="_Hlk212830479"/>
    <w:bookmarkStart w:id="4" w:name="_Hlk212830476"/>
    <w:bookmarkStart w:id="5" w:name="_Hlk212830475"/>
    <w:bookmarkStart w:id="6" w:name="_Hlk212830474"/>
    <w:bookmarkStart w:id="7" w:name="_Hlk212830473"/>
    <w:r>
      <w:rPr>
        <w:rFonts w:ascii="Times New Roman" w:eastAsia="Aptos" w:hAnsi="Times New Roman" w:cs="Times New Roman"/>
        <w:kern w:val="2"/>
        <w:sz w:val="16"/>
        <w:szCs w:val="16"/>
        <w:lang w:val="en-GB"/>
      </w:rPr>
      <w:pict>
        <v:rect id="_x0000_i1025" style="width:472.5pt;height:1pt" o:hrpct="0" o:hralign="right" o:hrstd="t" o:hrnoshade="t" o:hr="t" fillcolor="black" stroked="f"/>
      </w:pict>
    </w:r>
    <w:bookmarkEnd w:id="0"/>
    <w:bookmarkEnd w:id="1"/>
    <w:bookmarkEnd w:id="2"/>
    <w:bookmarkEnd w:id="3"/>
    <w:bookmarkEnd w:id="4"/>
    <w:bookmarkEnd w:id="5"/>
    <w:bookmarkEnd w:id="6"/>
    <w:bookmarkEnd w:id="7"/>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005" w:type="dxa"/>
      <w:tblBorders>
        <w:bottom w:val="single" w:sz="36" w:space="0" w:color="auto"/>
      </w:tblBorders>
      <w:shd w:val="pct10" w:color="F2F2F2" w:fill="auto"/>
      <w:tblLayout w:type="fixed"/>
      <w:tblLook w:val="04A0" w:firstRow="1" w:lastRow="0" w:firstColumn="1" w:lastColumn="0" w:noHBand="0" w:noVBand="1"/>
    </w:tblPr>
    <w:tblGrid>
      <w:gridCol w:w="1417"/>
      <w:gridCol w:w="8588"/>
    </w:tblGrid>
    <w:tr w:rsidR="004B655B" w:rsidRPr="004920C9" w:rsidTr="00816294">
      <w:trPr>
        <w:trHeight w:val="142"/>
      </w:trPr>
      <w:tc>
        <w:tcPr>
          <w:tcW w:w="10005" w:type="dxa"/>
          <w:gridSpan w:val="2"/>
          <w:tcBorders>
            <w:top w:val="nil"/>
            <w:left w:val="nil"/>
            <w:bottom w:val="single" w:sz="2" w:space="0" w:color="auto"/>
            <w:right w:val="nil"/>
          </w:tcBorders>
          <w:shd w:val="pct10" w:color="F2F2F2" w:fill="auto"/>
          <w:vAlign w:val="bottom"/>
          <w:hideMark/>
        </w:tcPr>
        <w:p w:rsidR="004B655B" w:rsidRPr="004920C9" w:rsidRDefault="004B655B" w:rsidP="004B655B">
          <w:pPr>
            <w:widowControl w:val="0"/>
            <w:tabs>
              <w:tab w:val="left" w:pos="385"/>
              <w:tab w:val="left" w:pos="1696"/>
              <w:tab w:val="left" w:pos="2594"/>
              <w:tab w:val="left" w:pos="2863"/>
              <w:tab w:val="left" w:pos="6804"/>
            </w:tabs>
            <w:spacing w:after="120" w:line="240" w:lineRule="auto"/>
            <w:jc w:val="center"/>
            <w:rPr>
              <w:rFonts w:ascii="Times New Roman" w:eastAsia="SimSun" w:hAnsi="Times New Roman" w:cs="Times New Roman"/>
              <w:sz w:val="16"/>
              <w:szCs w:val="16"/>
              <w:lang w:val="en-GB"/>
            </w:rPr>
          </w:pPr>
          <w:r w:rsidRPr="004920C9">
            <w:rPr>
              <w:rFonts w:ascii="Times New Roman" w:eastAsia="SimSun" w:hAnsi="Times New Roman" w:cs="Times New Roman"/>
              <w:sz w:val="16"/>
              <w:szCs w:val="16"/>
              <w:lang w:val="en-GB"/>
            </w:rPr>
            <w:t xml:space="preserve">International Journal of Research Publication and Reviews, Vol 6, Issue 12, pp </w:t>
          </w:r>
          <w:r w:rsidR="00626C4F">
            <w:rPr>
              <w:rFonts w:ascii="Times New Roman" w:eastAsia="SimSun" w:hAnsi="Times New Roman" w:cs="Times New Roman"/>
              <w:sz w:val="16"/>
              <w:szCs w:val="16"/>
              <w:lang w:val="en-GB"/>
            </w:rPr>
            <w:t>3116</w:t>
          </w:r>
          <w:r w:rsidRPr="004920C9">
            <w:rPr>
              <w:rFonts w:ascii="Times New Roman" w:eastAsia="SimSun" w:hAnsi="Times New Roman" w:cs="Times New Roman"/>
              <w:sz w:val="16"/>
              <w:szCs w:val="16"/>
              <w:lang w:val="en-GB"/>
            </w:rPr>
            <w:t>-3</w:t>
          </w:r>
          <w:r w:rsidR="00626C4F">
            <w:rPr>
              <w:rFonts w:ascii="Times New Roman" w:eastAsia="SimSun" w:hAnsi="Times New Roman" w:cs="Times New Roman"/>
              <w:sz w:val="16"/>
              <w:szCs w:val="16"/>
              <w:lang w:val="en-GB"/>
            </w:rPr>
            <w:t>12</w:t>
          </w:r>
          <w:bookmarkStart w:id="8" w:name="_GoBack"/>
          <w:bookmarkEnd w:id="8"/>
          <w:r w:rsidR="00626C4F">
            <w:rPr>
              <w:rFonts w:ascii="Times New Roman" w:eastAsia="SimSun" w:hAnsi="Times New Roman" w:cs="Times New Roman"/>
              <w:sz w:val="16"/>
              <w:szCs w:val="16"/>
              <w:lang w:val="en-GB"/>
            </w:rPr>
            <w:t>0</w:t>
          </w:r>
          <w:r w:rsidRPr="004920C9">
            <w:rPr>
              <w:rFonts w:ascii="Times New Roman" w:eastAsia="SimSun" w:hAnsi="Times New Roman" w:cs="Times New Roman"/>
              <w:sz w:val="16"/>
              <w:szCs w:val="16"/>
              <w:lang w:val="en-GB"/>
            </w:rPr>
            <w:t xml:space="preserve"> December, 2025</w:t>
          </w:r>
        </w:p>
      </w:tc>
    </w:tr>
    <w:tr w:rsidR="004B655B" w:rsidRPr="004920C9" w:rsidTr="00816294">
      <w:trPr>
        <w:trHeight w:val="1539"/>
      </w:trPr>
      <w:tc>
        <w:tcPr>
          <w:tcW w:w="1417" w:type="dxa"/>
          <w:tcBorders>
            <w:top w:val="single" w:sz="2" w:space="0" w:color="auto"/>
            <w:left w:val="nil"/>
            <w:bottom w:val="single" w:sz="36" w:space="0" w:color="auto"/>
            <w:right w:val="nil"/>
          </w:tcBorders>
          <w:shd w:val="pct10" w:color="F2F2F2" w:fill="auto"/>
          <w:vAlign w:val="center"/>
          <w:hideMark/>
        </w:tcPr>
        <w:p w:rsidR="004B655B" w:rsidRPr="004920C9" w:rsidRDefault="004B655B" w:rsidP="004B655B">
          <w:pPr>
            <w:widowControl w:val="0"/>
            <w:spacing w:after="0" w:line="240" w:lineRule="auto"/>
            <w:rPr>
              <w:rFonts w:ascii="Times New Roman" w:eastAsia="SimSun" w:hAnsi="Times New Roman" w:cs="Times New Roman"/>
              <w:sz w:val="16"/>
              <w:szCs w:val="20"/>
              <w:lang w:val="en-GB"/>
            </w:rPr>
          </w:pPr>
          <w:r w:rsidRPr="004920C9">
            <w:rPr>
              <w:rFonts w:ascii="Times New Roman" w:eastAsia="SimSun" w:hAnsi="Times New Roman" w:cs="Times New Roman"/>
              <w:noProof/>
              <w:sz w:val="16"/>
              <w:szCs w:val="20"/>
              <w:lang w:val="en-GB"/>
            </w:rPr>
            <w:drawing>
              <wp:anchor distT="0" distB="0" distL="114300" distR="114300" simplePos="0" relativeHeight="251659264" behindDoc="0" locked="0" layoutInCell="1" allowOverlap="1" wp14:anchorId="6D21314D" wp14:editId="2D6D50CF">
                <wp:simplePos x="0" y="0"/>
                <wp:positionH relativeFrom="column">
                  <wp:posOffset>33020</wp:posOffset>
                </wp:positionH>
                <wp:positionV relativeFrom="paragraph">
                  <wp:posOffset>-5715</wp:posOffset>
                </wp:positionV>
                <wp:extent cx="774065" cy="818515"/>
                <wp:effectExtent l="0" t="0" r="6985" b="635"/>
                <wp:wrapSquare wrapText="bothSides"/>
                <wp:docPr id="7" name="Picture 1" descr="International Journal Publication fee under 500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ernational Journal Publication fee under 500_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4065" cy="818515"/>
                        </a:xfrm>
                        <a:prstGeom prst="rect">
                          <a:avLst/>
                        </a:prstGeom>
                        <a:noFill/>
                      </pic:spPr>
                    </pic:pic>
                  </a:graphicData>
                </a:graphic>
                <wp14:sizeRelH relativeFrom="page">
                  <wp14:pctWidth>0</wp14:pctWidth>
                </wp14:sizeRelH>
                <wp14:sizeRelV relativeFrom="page">
                  <wp14:pctHeight>0</wp14:pctHeight>
                </wp14:sizeRelV>
              </wp:anchor>
            </w:drawing>
          </w:r>
        </w:p>
      </w:tc>
      <w:tc>
        <w:tcPr>
          <w:tcW w:w="8588" w:type="dxa"/>
          <w:tcBorders>
            <w:top w:val="single" w:sz="2" w:space="0" w:color="auto"/>
            <w:left w:val="nil"/>
            <w:bottom w:val="single" w:sz="36" w:space="0" w:color="auto"/>
            <w:right w:val="nil"/>
          </w:tcBorders>
          <w:shd w:val="pct10" w:color="F2F2F2" w:fill="auto"/>
          <w:vAlign w:val="center"/>
        </w:tcPr>
        <w:p w:rsidR="004B655B" w:rsidRPr="004920C9" w:rsidRDefault="004B655B" w:rsidP="004B655B">
          <w:pPr>
            <w:widowControl w:val="0"/>
            <w:spacing w:after="0" w:line="240" w:lineRule="auto"/>
            <w:jc w:val="center"/>
            <w:rPr>
              <w:rFonts w:ascii="Arial" w:eastAsia="SimSun" w:hAnsi="Arial" w:cs="Arial"/>
              <w:i/>
              <w:iCs/>
              <w:color w:val="0000FF"/>
              <w:sz w:val="16"/>
              <w:szCs w:val="20"/>
              <w:u w:val="single"/>
              <w:lang w:val="en-GB"/>
            </w:rPr>
          </w:pPr>
          <w:r w:rsidRPr="004920C9">
            <w:rPr>
              <w:rFonts w:ascii="Calibri" w:eastAsia="Calibri" w:hAnsi="Calibri" w:cs="Times New Roman"/>
              <w:b/>
              <w:sz w:val="32"/>
              <w:szCs w:val="20"/>
              <w:lang w:val="en-GB"/>
            </w:rPr>
            <w:t>International Journal of Research Publication and Reviews</w:t>
          </w:r>
        </w:p>
        <w:p w:rsidR="004B655B" w:rsidRPr="004920C9" w:rsidRDefault="004B655B" w:rsidP="004B655B">
          <w:pPr>
            <w:widowControl w:val="0"/>
            <w:spacing w:after="0" w:line="240" w:lineRule="auto"/>
            <w:jc w:val="center"/>
            <w:rPr>
              <w:rFonts w:ascii="Arial" w:eastAsia="SimSun" w:hAnsi="Arial" w:cs="Arial"/>
              <w:i/>
              <w:iCs/>
              <w:color w:val="0000FF"/>
              <w:sz w:val="18"/>
              <w:szCs w:val="20"/>
              <w:u w:val="single"/>
              <w:lang w:val="en-GB"/>
            </w:rPr>
          </w:pPr>
        </w:p>
        <w:p w:rsidR="004B655B" w:rsidRPr="004920C9" w:rsidRDefault="004B655B" w:rsidP="004B655B">
          <w:pPr>
            <w:widowControl w:val="0"/>
            <w:tabs>
              <w:tab w:val="left" w:pos="6804"/>
            </w:tabs>
            <w:spacing w:after="0" w:line="240" w:lineRule="auto"/>
            <w:jc w:val="center"/>
            <w:rPr>
              <w:rFonts w:ascii="Times New Roman" w:eastAsia="SimSun" w:hAnsi="Times New Roman" w:cs="Times New Roman"/>
              <w:sz w:val="28"/>
              <w:szCs w:val="28"/>
              <w:lang w:val="en-GB"/>
            </w:rPr>
          </w:pPr>
          <w:r w:rsidRPr="004920C9">
            <w:rPr>
              <w:rFonts w:ascii="Times New Roman" w:eastAsia="SimSun" w:hAnsi="Times New Roman" w:cs="Times New Roman"/>
              <w:iCs/>
              <w:sz w:val="28"/>
              <w:szCs w:val="28"/>
              <w:lang w:val="en-GB"/>
            </w:rPr>
            <w:t xml:space="preserve">Journal homepage: </w:t>
          </w:r>
          <w:hyperlink r:id="rId2" w:history="1">
            <w:r w:rsidRPr="004920C9">
              <w:rPr>
                <w:rFonts w:ascii="Calibri" w:eastAsia="Calibri" w:hAnsi="Calibri" w:cs="Times New Roman"/>
                <w:color w:val="0000FF"/>
                <w:sz w:val="28"/>
                <w:szCs w:val="28"/>
                <w:u w:val="single"/>
                <w:lang w:val="en-GB"/>
              </w:rPr>
              <w:t>www.ijrpr.com</w:t>
            </w:r>
          </w:hyperlink>
          <w:r w:rsidRPr="004920C9">
            <w:rPr>
              <w:rFonts w:ascii="Times New Roman" w:eastAsia="SimSun" w:hAnsi="Times New Roman" w:cs="Times New Roman"/>
              <w:sz w:val="28"/>
              <w:szCs w:val="28"/>
              <w:lang w:val="en-GB"/>
            </w:rPr>
            <w:t xml:space="preserve"> ISSN 2582-7421</w:t>
          </w:r>
        </w:p>
      </w:tc>
    </w:tr>
  </w:tbl>
  <w:p w:rsidR="004B655B" w:rsidRPr="004B655B" w:rsidRDefault="004B655B">
    <w:pPr>
      <w:pStyle w:val="Header"/>
      <w:rPr>
        <w:sz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4D1EF0"/>
    <w:multiLevelType w:val="multilevel"/>
    <w:tmpl w:val="45821D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1745"/>
    <w:rsid w:val="00236222"/>
    <w:rsid w:val="00443EEF"/>
    <w:rsid w:val="004B655B"/>
    <w:rsid w:val="0054618E"/>
    <w:rsid w:val="00626C4F"/>
    <w:rsid w:val="00932B54"/>
    <w:rsid w:val="00B21745"/>
    <w:rsid w:val="00BC13F1"/>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33B53E"/>
  <w15:chartTrackingRefBased/>
  <w15:docId w15:val="{B0A353BA-1CDF-4563-B39C-FFAE23AB4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2B54"/>
  </w:style>
  <w:style w:type="paragraph" w:styleId="Heading1">
    <w:name w:val="heading 1"/>
    <w:aliases w:val="A main heading"/>
    <w:basedOn w:val="Normal"/>
    <w:next w:val="Normal"/>
    <w:link w:val="Heading1Char"/>
    <w:qFormat/>
    <w:rsid w:val="00B21745"/>
    <w:pPr>
      <w:keepNext/>
      <w:pBdr>
        <w:top w:val="single" w:sz="18" w:space="1" w:color="auto"/>
      </w:pBdr>
      <w:suppressAutoHyphens/>
      <w:spacing w:before="230" w:after="230" w:line="230" w:lineRule="exact"/>
      <w:outlineLvl w:val="0"/>
    </w:pPr>
    <w:rPr>
      <w:rFonts w:ascii="Times New Roman" w:eastAsia="SimSun" w:hAnsi="Times New Roman" w:cs="Times New Roman"/>
      <w:b/>
      <w:sz w:val="19"/>
      <w:szCs w:val="19"/>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 main heading Char"/>
    <w:basedOn w:val="DefaultParagraphFont"/>
    <w:link w:val="Heading1"/>
    <w:rsid w:val="00B21745"/>
    <w:rPr>
      <w:rFonts w:ascii="Times New Roman" w:eastAsia="SimSun" w:hAnsi="Times New Roman" w:cs="Times New Roman"/>
      <w:b/>
      <w:sz w:val="19"/>
      <w:szCs w:val="19"/>
      <w:lang w:val="en-US"/>
    </w:rPr>
  </w:style>
  <w:style w:type="character" w:styleId="Hyperlink">
    <w:name w:val="Hyperlink"/>
    <w:basedOn w:val="DefaultParagraphFont"/>
    <w:uiPriority w:val="99"/>
    <w:rsid w:val="00B21745"/>
    <w:rPr>
      <w:color w:val="0000FF"/>
      <w:u w:val="single"/>
    </w:rPr>
  </w:style>
  <w:style w:type="paragraph" w:styleId="Caption">
    <w:name w:val="caption"/>
    <w:aliases w:val="A Paper Heading"/>
    <w:basedOn w:val="Normal"/>
    <w:next w:val="Normal"/>
    <w:qFormat/>
    <w:rsid w:val="00B21745"/>
    <w:pPr>
      <w:suppressAutoHyphens/>
      <w:spacing w:after="340" w:line="440" w:lineRule="exact"/>
      <w:jc w:val="both"/>
    </w:pPr>
    <w:rPr>
      <w:rFonts w:ascii="Times New Roman" w:eastAsia="SimSun" w:hAnsi="Times New Roman" w:cs="Times New Roman"/>
      <w:b/>
      <w:sz w:val="32"/>
      <w:szCs w:val="20"/>
      <w:lang w:val="en-US"/>
    </w:rPr>
  </w:style>
  <w:style w:type="paragraph" w:customStyle="1" w:styleId="Aauthor">
    <w:name w:val="A author"/>
    <w:basedOn w:val="Normal"/>
    <w:qFormat/>
    <w:rsid w:val="00B21745"/>
    <w:pPr>
      <w:keepNext/>
      <w:tabs>
        <w:tab w:val="center" w:pos="5189"/>
        <w:tab w:val="left" w:pos="9525"/>
      </w:tabs>
      <w:suppressAutoHyphens/>
      <w:spacing w:after="180" w:line="300" w:lineRule="exact"/>
      <w:jc w:val="both"/>
    </w:pPr>
    <w:rPr>
      <w:rFonts w:ascii="Times New Roman" w:eastAsia="SimSun" w:hAnsi="Times New Roman" w:cs="Times New Roman"/>
      <w:b/>
      <w:i/>
      <w:noProof/>
      <w:sz w:val="24"/>
      <w:szCs w:val="24"/>
      <w:lang w:val="en-US"/>
    </w:rPr>
  </w:style>
  <w:style w:type="paragraph" w:customStyle="1" w:styleId="Aabstract">
    <w:name w:val="A abstract"/>
    <w:basedOn w:val="Normal"/>
    <w:qFormat/>
    <w:rsid w:val="00B21745"/>
    <w:pPr>
      <w:pBdr>
        <w:top w:val="single" w:sz="4" w:space="1" w:color="auto"/>
      </w:pBdr>
      <w:spacing w:before="200" w:after="0" w:line="230" w:lineRule="exact"/>
      <w:jc w:val="both"/>
    </w:pPr>
    <w:rPr>
      <w:rFonts w:ascii="Times New Roman" w:eastAsia="SimSun" w:hAnsi="Times New Roman" w:cs="Times New Roman"/>
      <w:sz w:val="15"/>
      <w:szCs w:val="20"/>
      <w:lang w:val="en-US"/>
    </w:rPr>
  </w:style>
  <w:style w:type="paragraph" w:customStyle="1" w:styleId="Els-NoIndent">
    <w:name w:val="Els-NoIndent"/>
    <w:basedOn w:val="Normal"/>
    <w:qFormat/>
    <w:rsid w:val="00B21745"/>
    <w:pPr>
      <w:spacing w:after="0" w:line="230" w:lineRule="exact"/>
      <w:jc w:val="both"/>
    </w:pPr>
    <w:rPr>
      <w:rFonts w:ascii="Times New Roman" w:eastAsia="SimSun" w:hAnsi="Times New Roman" w:cs="Times New Roman"/>
      <w:sz w:val="16"/>
      <w:szCs w:val="20"/>
      <w:lang w:val="en-US"/>
    </w:rPr>
  </w:style>
  <w:style w:type="paragraph" w:styleId="Header">
    <w:name w:val="header"/>
    <w:basedOn w:val="Normal"/>
    <w:link w:val="HeaderChar"/>
    <w:uiPriority w:val="99"/>
    <w:unhideWhenUsed/>
    <w:rsid w:val="004B655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B655B"/>
  </w:style>
  <w:style w:type="paragraph" w:styleId="Footer">
    <w:name w:val="footer"/>
    <w:basedOn w:val="Normal"/>
    <w:link w:val="FooterChar"/>
    <w:uiPriority w:val="99"/>
    <w:unhideWhenUsed/>
    <w:rsid w:val="004B655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B65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3390/educsci15060659"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doi.org/10.19173/irrodl.v25i3.7785"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arxiv.org/abs/2305.03433"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2" Type="http://schemas.openxmlformats.org/officeDocument/2006/relationships/hyperlink" Target="http://www.ijrpr.com"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3700</Words>
  <Characters>21093</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Sustaining Teacher Preparation in the Age of Artificial Intelligence</dc:title>
  <dc:subject/>
  <dc:creator>Shankar Mondal</dc:creator>
  <cp:keywords/>
  <dc:description>Sustaining Teacher Preparation in the Age of Artificial Intelligence</dc:description>
  <cp:lastModifiedBy>Moudgil</cp:lastModifiedBy>
  <cp:revision>4</cp:revision>
  <dcterms:created xsi:type="dcterms:W3CDTF">2025-12-11T14:07:00Z</dcterms:created>
  <dcterms:modified xsi:type="dcterms:W3CDTF">2025-12-11T20:05:00Z</dcterms:modified>
</cp:coreProperties>
</file>