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0210DF" w:rsidRPr="005F0D6C" w:rsidRDefault="00544899" w:rsidP="00E50D63">
      <w:pPr>
        <w:jc w:val="both"/>
        <w:rPr>
          <w:rFonts w:ascii="Times New Roman" w:eastAsia="Times New Roman" w:hAnsi="Times New Roman" w:cs="Times New Roman"/>
          <w:i/>
          <w:sz w:val="24"/>
          <w:szCs w:val="24"/>
        </w:rPr>
      </w:pPr>
      <w:r w:rsidRPr="005F0D6C">
        <w:rPr>
          <w:rFonts w:ascii="Times New Roman" w:eastAsia="Times New Roman" w:hAnsi="Times New Roman" w:cs="Times New Roman"/>
          <w:i/>
          <w:sz w:val="24"/>
          <w:szCs w:val="24"/>
        </w:rPr>
        <w:t>Felcis, R., Ņikišins, J. (2023, forthcoming)</w:t>
      </w:r>
    </w:p>
    <w:p w14:paraId="00000003" w14:textId="186D1AB0" w:rsidR="000210DF" w:rsidRPr="005F0D6C" w:rsidRDefault="00F96771" w:rsidP="00E50D63">
      <w:pPr>
        <w:jc w:val="both"/>
        <w:rPr>
          <w:rFonts w:ascii="Times New Roman" w:eastAsia="Times New Roman" w:hAnsi="Times New Roman" w:cs="Times New Roman"/>
          <w:b/>
          <w:sz w:val="24"/>
          <w:szCs w:val="24"/>
        </w:rPr>
      </w:pPr>
      <w:r w:rsidRPr="005F0D6C">
        <w:rPr>
          <w:rFonts w:ascii="Times New Roman" w:eastAsia="Times New Roman" w:hAnsi="Times New Roman" w:cs="Times New Roman"/>
          <w:b/>
          <w:sz w:val="24"/>
          <w:szCs w:val="24"/>
        </w:rPr>
        <w:t>Uzticēšanās institūcijām un politikas prioritāšu izvēle pandēmijas laikā: Latvijas gadījums</w:t>
      </w:r>
    </w:p>
    <w:p w14:paraId="6785A7F3" w14:textId="77777777" w:rsidR="00F96771" w:rsidRPr="005F0D6C" w:rsidRDefault="00F96771" w:rsidP="00E50D63">
      <w:pPr>
        <w:spacing w:before="120" w:after="120" w:line="360" w:lineRule="auto"/>
        <w:jc w:val="both"/>
        <w:rPr>
          <w:rFonts w:ascii="Times New Roman" w:eastAsia="Times New Roman" w:hAnsi="Times New Roman" w:cs="Times New Roman"/>
          <w:b/>
          <w:sz w:val="24"/>
          <w:szCs w:val="24"/>
        </w:rPr>
      </w:pPr>
    </w:p>
    <w:p w14:paraId="00000004" w14:textId="2CA59659" w:rsidR="000210DF" w:rsidRPr="005F0D6C" w:rsidRDefault="000A2545" w:rsidP="00E50D63">
      <w:pPr>
        <w:spacing w:before="120" w:after="120" w:line="360" w:lineRule="auto"/>
        <w:jc w:val="both"/>
        <w:rPr>
          <w:rFonts w:ascii="Times New Roman" w:eastAsia="Times New Roman" w:hAnsi="Times New Roman" w:cs="Times New Roman"/>
          <w:b/>
          <w:sz w:val="24"/>
          <w:szCs w:val="24"/>
        </w:rPr>
      </w:pPr>
      <w:r w:rsidRPr="005F0D6C">
        <w:rPr>
          <w:rFonts w:ascii="Times New Roman" w:eastAsia="Times New Roman" w:hAnsi="Times New Roman" w:cs="Times New Roman"/>
          <w:b/>
          <w:sz w:val="24"/>
          <w:szCs w:val="24"/>
        </w:rPr>
        <w:t>Kopsavilkums</w:t>
      </w:r>
    </w:p>
    <w:p w14:paraId="00000006" w14:textId="6BC5994F" w:rsidR="000210DF" w:rsidRPr="005F0D6C" w:rsidRDefault="000A2545" w:rsidP="00E50D63">
      <w:pPr>
        <w:spacing w:before="120" w:after="120" w:line="360" w:lineRule="auto"/>
        <w:jc w:val="both"/>
        <w:rPr>
          <w:rFonts w:ascii="Times New Roman" w:eastAsia="Times New Roman" w:hAnsi="Times New Roman" w:cs="Times New Roman"/>
          <w:b/>
          <w:sz w:val="24"/>
          <w:szCs w:val="24"/>
        </w:rPr>
      </w:pPr>
      <w:r w:rsidRPr="005F0D6C">
        <w:rPr>
          <w:rFonts w:ascii="Times New Roman" w:eastAsia="Times New Roman" w:hAnsi="Times New Roman" w:cs="Times New Roman"/>
          <w:sz w:val="24"/>
          <w:szCs w:val="24"/>
        </w:rPr>
        <w:t>Koronavīrusa pandēmija kļuva par nopietnu izaicinājumu politiskajām institūcijām visā pasaulē laikā, kad vērojama vairāku krīžu saplūšana (Felcis &amp; Zobena, eds., 2022). Pastāv liela dažādība pandēmijas apkarošanas pieejās, kā arī dažādu valstu iedzīvotāju gatavībā ievērot valdību īstenotos pasākumus, apšaubīt tos vai izrādīt pretestību tiem. Pētījumi par politisko un institucionālo uzticību pēdējā laikā ir piedzīvojuši atdzimšanu, jo tie ir saistīti ar sabiedrības attieksmi pret Covid-19 mazināšanas politiku (sal. Bot</w:t>
      </w:r>
      <w:r w:rsidR="00290BF2" w:rsidRPr="005F0D6C">
        <w:rPr>
          <w:rFonts w:ascii="Times New Roman" w:eastAsia="Times New Roman" w:hAnsi="Times New Roman" w:cs="Times New Roman"/>
          <w:sz w:val="24"/>
          <w:szCs w:val="24"/>
        </w:rPr>
        <w:t>t</w:t>
      </w:r>
      <w:r w:rsidRPr="005F0D6C">
        <w:rPr>
          <w:rFonts w:ascii="Times New Roman" w:eastAsia="Times New Roman" w:hAnsi="Times New Roman" w:cs="Times New Roman"/>
          <w:sz w:val="24"/>
          <w:szCs w:val="24"/>
        </w:rPr>
        <w:t>asso et al., 2022; Jäckle et al., 2022; Lalot et al., 2022). Šajā pērījumā mēs pētām attiecības starp politisko uzticēšanos un politikas prioritāšu izvēli (piemēram, par prioritāti izvirzot epidemioloģisko d</w:t>
      </w:r>
      <w:r w:rsidR="00A25029" w:rsidRPr="005F0D6C">
        <w:rPr>
          <w:rFonts w:ascii="Times New Roman" w:eastAsia="Times New Roman" w:hAnsi="Times New Roman" w:cs="Times New Roman"/>
          <w:sz w:val="24"/>
          <w:szCs w:val="24"/>
        </w:rPr>
        <w:t>rošību vai ekonomisko izaugsmi)</w:t>
      </w:r>
      <w:r w:rsidRPr="005F0D6C">
        <w:rPr>
          <w:rFonts w:ascii="Times New Roman" w:eastAsia="Times New Roman" w:hAnsi="Times New Roman" w:cs="Times New Roman"/>
          <w:sz w:val="24"/>
          <w:szCs w:val="24"/>
        </w:rPr>
        <w:t>.</w:t>
      </w:r>
    </w:p>
    <w:p w14:paraId="4DF7B220" w14:textId="77777777" w:rsidR="000A2545" w:rsidRPr="005F0D6C" w:rsidRDefault="000A2545" w:rsidP="00E50D63">
      <w:pPr>
        <w:spacing w:before="120" w:after="120" w:line="360" w:lineRule="auto"/>
        <w:jc w:val="both"/>
        <w:rPr>
          <w:rFonts w:ascii="Times New Roman" w:eastAsia="Times New Roman" w:hAnsi="Times New Roman" w:cs="Times New Roman"/>
          <w:b/>
          <w:sz w:val="24"/>
          <w:szCs w:val="24"/>
        </w:rPr>
      </w:pPr>
    </w:p>
    <w:p w14:paraId="00000007" w14:textId="4FDE22F1" w:rsidR="000210DF" w:rsidRPr="005F0D6C" w:rsidRDefault="000A2545" w:rsidP="00E50D63">
      <w:pPr>
        <w:spacing w:before="120" w:after="120" w:line="360" w:lineRule="auto"/>
        <w:jc w:val="both"/>
        <w:rPr>
          <w:rFonts w:ascii="Times New Roman" w:eastAsia="Times New Roman" w:hAnsi="Times New Roman" w:cs="Times New Roman"/>
          <w:b/>
          <w:sz w:val="24"/>
          <w:szCs w:val="24"/>
        </w:rPr>
      </w:pPr>
      <w:r w:rsidRPr="005F0D6C">
        <w:rPr>
          <w:rFonts w:ascii="Times New Roman" w:eastAsia="Times New Roman" w:hAnsi="Times New Roman" w:cs="Times New Roman"/>
          <w:b/>
          <w:sz w:val="24"/>
          <w:szCs w:val="24"/>
        </w:rPr>
        <w:t>Ievads</w:t>
      </w:r>
    </w:p>
    <w:p w14:paraId="00000009" w14:textId="2802799A" w:rsidR="000210DF" w:rsidRPr="005F0D6C" w:rsidRDefault="00AC6C8E" w:rsidP="00E50D63">
      <w:pPr>
        <w:spacing w:before="120" w:after="120" w:line="360" w:lineRule="auto"/>
        <w:jc w:val="both"/>
        <w:rPr>
          <w:rFonts w:ascii="Times New Roman" w:eastAsia="Times New Roman" w:hAnsi="Times New Roman" w:cs="Times New Roman"/>
          <w:b/>
          <w:i/>
          <w:sz w:val="24"/>
          <w:szCs w:val="24"/>
        </w:rPr>
      </w:pPr>
      <w:r w:rsidRPr="005F0D6C">
        <w:rPr>
          <w:rFonts w:ascii="Times New Roman" w:eastAsia="Times New Roman" w:hAnsi="Times New Roman" w:cs="Times New Roman"/>
          <w:b/>
          <w:i/>
          <w:sz w:val="24"/>
          <w:szCs w:val="24"/>
        </w:rPr>
        <w:t xml:space="preserve">Politiskās uzticēšanās </w:t>
      </w:r>
      <w:r w:rsidR="00290BF2" w:rsidRPr="005F0D6C">
        <w:rPr>
          <w:rFonts w:ascii="Times New Roman" w:eastAsia="Times New Roman" w:hAnsi="Times New Roman" w:cs="Times New Roman"/>
          <w:b/>
          <w:i/>
          <w:sz w:val="24"/>
          <w:szCs w:val="24"/>
        </w:rPr>
        <w:t>definēšana</w:t>
      </w:r>
    </w:p>
    <w:p w14:paraId="1F8E2021" w14:textId="77777777" w:rsidR="00AC6C8E" w:rsidRPr="005F0D6C" w:rsidRDefault="007D54F2" w:rsidP="00E50D63">
      <w:pPr>
        <w:spacing w:before="120" w:after="120" w:line="360" w:lineRule="auto"/>
        <w:jc w:val="both"/>
        <w:rPr>
          <w:rFonts w:ascii="Times New Roman" w:eastAsia="Times New Roman" w:hAnsi="Times New Roman" w:cs="Times New Roman"/>
          <w:sz w:val="24"/>
          <w:szCs w:val="24"/>
          <w:lang w:val="en-US"/>
        </w:rPr>
      </w:pPr>
      <w:r w:rsidRPr="005F0D6C">
        <w:rPr>
          <w:rFonts w:ascii="Times New Roman" w:eastAsia="Times New Roman" w:hAnsi="Times New Roman" w:cs="Times New Roman"/>
          <w:sz w:val="24"/>
          <w:szCs w:val="24"/>
        </w:rPr>
        <w:t>Vispārīgo uzticēšanās definīciju piedāvāja pētnieki Jans Delhejs un Kennets Ņūtons (Delhey and Newton 2005, 311), saskaņā ar kuru uzticēšanās ir “pārliecība, ka citi tīši vai apzināti nenodarīs mums ļaunu, ja varēs no tā izvairīties, un rūpēsies par mūsu interesēm, ja tas būs iespējams” (</w:t>
      </w:r>
      <w:r w:rsidRPr="005F0D6C">
        <w:rPr>
          <w:rFonts w:ascii="Times New Roman" w:eastAsia="Times New Roman" w:hAnsi="Times New Roman" w:cs="Times New Roman"/>
          <w:i/>
          <w:sz w:val="24"/>
          <w:szCs w:val="24"/>
        </w:rPr>
        <w:t>belief that others will not deliberately or knowingly do us harm, if they can avoid it, and will look after our interest, if this is possible</w:t>
      </w:r>
      <w:r w:rsidRPr="005F0D6C">
        <w:rPr>
          <w:rFonts w:ascii="Times New Roman" w:eastAsia="Times New Roman" w:hAnsi="Times New Roman" w:cs="Times New Roman"/>
          <w:sz w:val="24"/>
          <w:szCs w:val="24"/>
        </w:rPr>
        <w:t xml:space="preserve">). Līdzīga ideja, lai arī sarežgītākā veidā, ir izteikta vienā no visbiežāk citētajām uzticēšanās definīcijām, kuru autori ir pētnieki Ruso, Sitkins, Burts un Kamerers, pēc kuras ar uzticēšanos jāsaprot </w:t>
      </w:r>
      <w:r w:rsidR="00A26654" w:rsidRPr="005F0D6C">
        <w:rPr>
          <w:rFonts w:ascii="Times New Roman" w:eastAsia="Times New Roman" w:hAnsi="Times New Roman" w:cs="Times New Roman"/>
          <w:sz w:val="24"/>
          <w:szCs w:val="24"/>
        </w:rPr>
        <w:t>psiholoģisko stāvokli, kuram piemīt gatavība pieņemt ievainojamību (vulnerability) uz pozitīvo ekspektāciju pamata par cita nodomiem vai rīcību (Rousseau et al. 1998, 395). Abas definīcijas paredz, ka uzticēšanās subjekts uzņemas risku vilties uzticēšanās objektā vai viņa rīcībā.</w:t>
      </w:r>
    </w:p>
    <w:p w14:paraId="7751FC6F" w14:textId="52BA083B" w:rsidR="00796CF8" w:rsidRPr="005F0D6C" w:rsidRDefault="004C113E" w:rsidP="00E50D63">
      <w:pPr>
        <w:spacing w:before="120" w:after="120" w:line="360" w:lineRule="auto"/>
        <w:jc w:val="both"/>
        <w:rPr>
          <w:rFonts w:ascii="Times New Roman" w:eastAsia="Times New Roman" w:hAnsi="Times New Roman" w:cs="Times New Roman"/>
          <w:sz w:val="24"/>
          <w:szCs w:val="24"/>
          <w:lang w:val="lv-LV"/>
        </w:rPr>
      </w:pPr>
      <w:r w:rsidRPr="005F0D6C">
        <w:rPr>
          <w:rFonts w:ascii="Times New Roman" w:eastAsia="Times New Roman" w:hAnsi="Times New Roman" w:cs="Times New Roman"/>
          <w:sz w:val="24"/>
          <w:szCs w:val="24"/>
        </w:rPr>
        <w:t xml:space="preserve">Šī ir vispārīga definīcija, kurā ar “citiem” pirmām kārtām tiek saprasti </w:t>
      </w:r>
      <w:r w:rsidR="00ED3A64" w:rsidRPr="005F0D6C">
        <w:rPr>
          <w:rFonts w:ascii="Times New Roman" w:eastAsia="Times New Roman" w:hAnsi="Times New Roman" w:cs="Times New Roman"/>
          <w:sz w:val="24"/>
          <w:szCs w:val="24"/>
        </w:rPr>
        <w:t xml:space="preserve">cilvēki ar kuriem mijiedarbojas uzticēšanās subjekts, taču tā var ietvert </w:t>
      </w:r>
      <w:r w:rsidRPr="005F0D6C">
        <w:rPr>
          <w:rFonts w:ascii="Times New Roman" w:eastAsia="Times New Roman" w:hAnsi="Times New Roman" w:cs="Times New Roman"/>
          <w:sz w:val="24"/>
          <w:szCs w:val="24"/>
        </w:rPr>
        <w:t>arī kopienas, iestādes un organizācijas</w:t>
      </w:r>
      <w:r w:rsidR="00ED3A64" w:rsidRPr="005F0D6C">
        <w:rPr>
          <w:rFonts w:ascii="Times New Roman" w:eastAsia="Times New Roman" w:hAnsi="Times New Roman" w:cs="Times New Roman"/>
          <w:sz w:val="24"/>
          <w:szCs w:val="24"/>
        </w:rPr>
        <w:t>, tas skaitā tās, kuras dažādos līmeņos īsteno politisko varu vai cenšas to iegū</w:t>
      </w:r>
      <w:r w:rsidRPr="005F0D6C">
        <w:rPr>
          <w:rFonts w:ascii="Times New Roman" w:eastAsia="Times New Roman" w:hAnsi="Times New Roman" w:cs="Times New Roman"/>
          <w:sz w:val="24"/>
          <w:szCs w:val="24"/>
        </w:rPr>
        <w:t>tu. Millers (</w:t>
      </w:r>
      <w:r w:rsidR="00ED3A64" w:rsidRPr="005F0D6C">
        <w:rPr>
          <w:rFonts w:ascii="Times New Roman" w:eastAsia="Times New Roman" w:hAnsi="Times New Roman" w:cs="Times New Roman"/>
          <w:sz w:val="24"/>
          <w:szCs w:val="24"/>
        </w:rPr>
        <w:t>M</w:t>
      </w:r>
      <w:r w:rsidR="00300CF5" w:rsidRPr="005F0D6C">
        <w:rPr>
          <w:rFonts w:ascii="Times New Roman" w:eastAsia="Times New Roman" w:hAnsi="Times New Roman" w:cs="Times New Roman"/>
          <w:sz w:val="24"/>
          <w:szCs w:val="24"/>
        </w:rPr>
        <w:t>i</w:t>
      </w:r>
      <w:r w:rsidR="00ED3A64" w:rsidRPr="005F0D6C">
        <w:rPr>
          <w:rFonts w:ascii="Times New Roman" w:eastAsia="Times New Roman" w:hAnsi="Times New Roman" w:cs="Times New Roman"/>
          <w:sz w:val="24"/>
          <w:szCs w:val="24"/>
        </w:rPr>
        <w:t xml:space="preserve">ller, </w:t>
      </w:r>
      <w:r w:rsidRPr="005F0D6C">
        <w:rPr>
          <w:rFonts w:ascii="Times New Roman" w:eastAsia="Times New Roman" w:hAnsi="Times New Roman" w:cs="Times New Roman"/>
          <w:sz w:val="24"/>
          <w:szCs w:val="24"/>
        </w:rPr>
        <w:t xml:space="preserve">1974) </w:t>
      </w:r>
      <w:r w:rsidR="00ED3A64" w:rsidRPr="005F0D6C">
        <w:rPr>
          <w:rFonts w:ascii="Times New Roman" w:eastAsia="Times New Roman" w:hAnsi="Times New Roman" w:cs="Times New Roman"/>
          <w:sz w:val="24"/>
          <w:szCs w:val="24"/>
        </w:rPr>
        <w:t>definē</w:t>
      </w:r>
      <w:r w:rsidRPr="005F0D6C">
        <w:rPr>
          <w:rFonts w:ascii="Times New Roman" w:eastAsia="Times New Roman" w:hAnsi="Times New Roman" w:cs="Times New Roman"/>
          <w:sz w:val="24"/>
          <w:szCs w:val="24"/>
        </w:rPr>
        <w:t xml:space="preserve"> politisko uzticēšanos kā “novērtējošo vai afektīvo orientāciju uz valdību”</w:t>
      </w:r>
      <w:r w:rsidR="00ED3A64" w:rsidRPr="005F0D6C">
        <w:rPr>
          <w:rFonts w:ascii="Times New Roman" w:eastAsia="Times New Roman" w:hAnsi="Times New Roman" w:cs="Times New Roman"/>
          <w:sz w:val="24"/>
          <w:szCs w:val="24"/>
        </w:rPr>
        <w:t xml:space="preserve"> (</w:t>
      </w:r>
      <w:r w:rsidR="00ED3A64" w:rsidRPr="005F0D6C">
        <w:rPr>
          <w:rFonts w:ascii="Times New Roman" w:eastAsia="Times New Roman" w:hAnsi="Times New Roman" w:cs="Times New Roman"/>
          <w:i/>
          <w:sz w:val="24"/>
          <w:szCs w:val="24"/>
        </w:rPr>
        <w:t>government</w:t>
      </w:r>
      <w:r w:rsidR="00ED3A64" w:rsidRPr="005F0D6C">
        <w:rPr>
          <w:rFonts w:ascii="Times New Roman" w:eastAsia="Times New Roman" w:hAnsi="Times New Roman" w:cs="Times New Roman"/>
          <w:sz w:val="24"/>
          <w:szCs w:val="24"/>
        </w:rPr>
        <w:t xml:space="preserve">); jāatrunā, ka valdības jēdzienam ASV tradīcijā ir krietni plašāks jēdziens nekā </w:t>
      </w:r>
      <w:r w:rsidR="00ED3A64" w:rsidRPr="005F0D6C">
        <w:rPr>
          <w:rFonts w:ascii="Times New Roman" w:eastAsia="Times New Roman" w:hAnsi="Times New Roman" w:cs="Times New Roman"/>
          <w:sz w:val="24"/>
          <w:szCs w:val="24"/>
        </w:rPr>
        <w:lastRenderedPageBreak/>
        <w:t>Latvijā un tas iekļauj ne tikai centrālo izpildvaru, bet arī parlamentu, tiesu varu, kā arī pavalstu un pašvaldību varas institūcijas. Pētnieki Citrins un Muste</w:t>
      </w:r>
      <w:r w:rsidRPr="005F0D6C">
        <w:rPr>
          <w:rFonts w:ascii="Times New Roman" w:eastAsia="Times New Roman" w:hAnsi="Times New Roman" w:cs="Times New Roman"/>
          <w:sz w:val="24"/>
          <w:szCs w:val="24"/>
        </w:rPr>
        <w:t xml:space="preserve"> </w:t>
      </w:r>
      <w:r w:rsidR="00ED3A64" w:rsidRPr="005F0D6C">
        <w:rPr>
          <w:rFonts w:ascii="Times New Roman" w:eastAsia="Times New Roman" w:hAnsi="Times New Roman" w:cs="Times New Roman"/>
          <w:sz w:val="24"/>
          <w:szCs w:val="24"/>
        </w:rPr>
        <w:t xml:space="preserve">(Citrin un Muste, </w:t>
      </w:r>
      <w:r w:rsidRPr="005F0D6C">
        <w:rPr>
          <w:rFonts w:ascii="Times New Roman" w:eastAsia="Times New Roman" w:hAnsi="Times New Roman" w:cs="Times New Roman"/>
          <w:sz w:val="24"/>
          <w:szCs w:val="24"/>
        </w:rPr>
        <w:t xml:space="preserve">1999) </w:t>
      </w:r>
      <w:r w:rsidR="00ED3A64" w:rsidRPr="005F0D6C">
        <w:rPr>
          <w:rFonts w:ascii="Times New Roman" w:eastAsia="Times New Roman" w:hAnsi="Times New Roman" w:cs="Times New Roman"/>
          <w:sz w:val="24"/>
          <w:szCs w:val="24"/>
        </w:rPr>
        <w:t xml:space="preserve">ar </w:t>
      </w:r>
      <w:r w:rsidRPr="005F0D6C">
        <w:rPr>
          <w:rFonts w:ascii="Times New Roman" w:eastAsia="Times New Roman" w:hAnsi="Times New Roman" w:cs="Times New Roman"/>
          <w:sz w:val="24"/>
          <w:szCs w:val="24"/>
        </w:rPr>
        <w:t xml:space="preserve">politisko </w:t>
      </w:r>
      <w:r w:rsidR="00ED3A64" w:rsidRPr="005F0D6C">
        <w:rPr>
          <w:rFonts w:ascii="Times New Roman" w:eastAsia="Times New Roman" w:hAnsi="Times New Roman" w:cs="Times New Roman"/>
          <w:sz w:val="24"/>
          <w:szCs w:val="24"/>
        </w:rPr>
        <w:t>uzticēšanos</w:t>
      </w:r>
      <w:r w:rsidRPr="005F0D6C">
        <w:rPr>
          <w:rFonts w:ascii="Times New Roman" w:eastAsia="Times New Roman" w:hAnsi="Times New Roman" w:cs="Times New Roman"/>
          <w:sz w:val="24"/>
          <w:szCs w:val="24"/>
        </w:rPr>
        <w:t xml:space="preserve"> </w:t>
      </w:r>
      <w:r w:rsidR="00ED3A64" w:rsidRPr="005F0D6C">
        <w:rPr>
          <w:rFonts w:ascii="Times New Roman" w:eastAsia="Times New Roman" w:hAnsi="Times New Roman" w:cs="Times New Roman"/>
          <w:sz w:val="24"/>
          <w:szCs w:val="24"/>
        </w:rPr>
        <w:t>saprot</w:t>
      </w:r>
      <w:r w:rsidRPr="005F0D6C">
        <w:rPr>
          <w:rFonts w:ascii="Times New Roman" w:eastAsia="Times New Roman" w:hAnsi="Times New Roman" w:cs="Times New Roman"/>
          <w:sz w:val="24"/>
          <w:szCs w:val="24"/>
        </w:rPr>
        <w:t xml:space="preserve"> pārliecību, ka varas iestādes spēlēs saskaņā ar noteikumiem un kalpos vispārējām interesēm. </w:t>
      </w:r>
      <w:r w:rsidR="00ED3A64" w:rsidRPr="005F0D6C">
        <w:rPr>
          <w:rFonts w:ascii="Times New Roman" w:eastAsia="Times New Roman" w:hAnsi="Times New Roman" w:cs="Times New Roman"/>
          <w:sz w:val="24"/>
          <w:szCs w:val="24"/>
        </w:rPr>
        <w:t>Šī</w:t>
      </w:r>
      <w:r w:rsidRPr="005F0D6C">
        <w:rPr>
          <w:rFonts w:ascii="Times New Roman" w:eastAsia="Times New Roman" w:hAnsi="Times New Roman" w:cs="Times New Roman"/>
          <w:sz w:val="24"/>
          <w:szCs w:val="24"/>
        </w:rPr>
        <w:t xml:space="preserve"> definīcija </w:t>
      </w:r>
      <w:r w:rsidR="00ED3A64" w:rsidRPr="005F0D6C">
        <w:rPr>
          <w:rFonts w:ascii="Times New Roman" w:eastAsia="Times New Roman" w:hAnsi="Times New Roman" w:cs="Times New Roman"/>
          <w:sz w:val="24"/>
          <w:szCs w:val="24"/>
        </w:rPr>
        <w:t xml:space="preserve">ir konkrētāka, jo </w:t>
      </w:r>
      <w:r w:rsidRPr="005F0D6C">
        <w:rPr>
          <w:rFonts w:ascii="Times New Roman" w:eastAsia="Times New Roman" w:hAnsi="Times New Roman" w:cs="Times New Roman"/>
          <w:sz w:val="24"/>
          <w:szCs w:val="24"/>
        </w:rPr>
        <w:t xml:space="preserve">skaidri </w:t>
      </w:r>
      <w:r w:rsidR="00ED3A64" w:rsidRPr="005F0D6C">
        <w:rPr>
          <w:rFonts w:ascii="Times New Roman" w:eastAsia="Times New Roman" w:hAnsi="Times New Roman" w:cs="Times New Roman"/>
          <w:sz w:val="24"/>
          <w:szCs w:val="24"/>
        </w:rPr>
        <w:t>apraksta to</w:t>
      </w:r>
      <w:r w:rsidRPr="005F0D6C">
        <w:rPr>
          <w:rFonts w:ascii="Times New Roman" w:eastAsia="Times New Roman" w:hAnsi="Times New Roman" w:cs="Times New Roman"/>
          <w:sz w:val="24"/>
          <w:szCs w:val="24"/>
        </w:rPr>
        <w:t xml:space="preserve"> </w:t>
      </w:r>
      <w:r w:rsidR="00ED3A64" w:rsidRPr="005F0D6C">
        <w:rPr>
          <w:rFonts w:ascii="Times New Roman" w:eastAsia="Times New Roman" w:hAnsi="Times New Roman" w:cs="Times New Roman"/>
          <w:sz w:val="24"/>
          <w:szCs w:val="24"/>
        </w:rPr>
        <w:t>gaidu saturu</w:t>
      </w:r>
      <w:r w:rsidRPr="005F0D6C">
        <w:rPr>
          <w:rFonts w:ascii="Times New Roman" w:eastAsia="Times New Roman" w:hAnsi="Times New Roman" w:cs="Times New Roman"/>
          <w:sz w:val="24"/>
          <w:szCs w:val="24"/>
        </w:rPr>
        <w:t xml:space="preserve">, kas ir </w:t>
      </w:r>
      <w:r w:rsidR="00ED3A64" w:rsidRPr="005F0D6C">
        <w:rPr>
          <w:rFonts w:ascii="Times New Roman" w:eastAsia="Times New Roman" w:hAnsi="Times New Roman" w:cs="Times New Roman"/>
          <w:sz w:val="24"/>
          <w:szCs w:val="24"/>
        </w:rPr>
        <w:t>uzticēšanās kā attieksmes pamatā – šajā gadījumā tās ietver noteikumu ievērošanu</w:t>
      </w:r>
      <w:r w:rsidRPr="005F0D6C">
        <w:rPr>
          <w:rFonts w:ascii="Times New Roman" w:eastAsia="Times New Roman" w:hAnsi="Times New Roman" w:cs="Times New Roman"/>
          <w:sz w:val="24"/>
          <w:szCs w:val="24"/>
        </w:rPr>
        <w:t xml:space="preserve"> un</w:t>
      </w:r>
      <w:r w:rsidR="00ED3A64" w:rsidRPr="005F0D6C">
        <w:rPr>
          <w:rFonts w:ascii="Times New Roman" w:eastAsia="Times New Roman" w:hAnsi="Times New Roman" w:cs="Times New Roman"/>
          <w:sz w:val="24"/>
          <w:szCs w:val="24"/>
        </w:rPr>
        <w:t xml:space="preserve"> varas iestāžu kalpošanu sabiedrības interesēm.</w:t>
      </w:r>
      <w:r w:rsidRPr="005F0D6C">
        <w:rPr>
          <w:rFonts w:ascii="Times New Roman" w:eastAsia="Times New Roman" w:hAnsi="Times New Roman" w:cs="Times New Roman"/>
          <w:sz w:val="24"/>
          <w:szCs w:val="24"/>
        </w:rPr>
        <w:t xml:space="preserve"> </w:t>
      </w:r>
      <w:r w:rsidR="00ED3A64" w:rsidRPr="005F0D6C">
        <w:rPr>
          <w:rFonts w:ascii="Times New Roman" w:eastAsia="Times New Roman" w:hAnsi="Times New Roman" w:cs="Times New Roman"/>
          <w:sz w:val="24"/>
          <w:szCs w:val="24"/>
        </w:rPr>
        <w:t>Savā ziņā tā</w:t>
      </w:r>
      <w:r w:rsidRPr="005F0D6C">
        <w:rPr>
          <w:rFonts w:ascii="Times New Roman" w:eastAsia="Times New Roman" w:hAnsi="Times New Roman" w:cs="Times New Roman"/>
          <w:sz w:val="24"/>
          <w:szCs w:val="24"/>
        </w:rPr>
        <w:t xml:space="preserve"> iezīmē iespējamās attieksmes dimensijas. </w:t>
      </w:r>
      <w:r w:rsidR="00ED3A64" w:rsidRPr="005F0D6C">
        <w:rPr>
          <w:rFonts w:ascii="Times New Roman" w:eastAsia="Times New Roman" w:hAnsi="Times New Roman" w:cs="Times New Roman"/>
          <w:sz w:val="24"/>
          <w:szCs w:val="24"/>
        </w:rPr>
        <w:t>Katerberga un Moreno (</w:t>
      </w:r>
      <w:r w:rsidRPr="005F0D6C">
        <w:rPr>
          <w:rFonts w:ascii="Times New Roman" w:eastAsia="Times New Roman" w:hAnsi="Times New Roman" w:cs="Times New Roman"/>
          <w:sz w:val="24"/>
          <w:szCs w:val="24"/>
        </w:rPr>
        <w:t>Catterberg un Moreno</w:t>
      </w:r>
      <w:r w:rsidR="00ED3A64" w:rsidRPr="005F0D6C">
        <w:rPr>
          <w:rFonts w:ascii="Times New Roman" w:eastAsia="Times New Roman" w:hAnsi="Times New Roman" w:cs="Times New Roman"/>
          <w:sz w:val="24"/>
          <w:szCs w:val="24"/>
        </w:rPr>
        <w:t xml:space="preserve">, </w:t>
      </w:r>
      <w:r w:rsidRPr="005F0D6C">
        <w:rPr>
          <w:rFonts w:ascii="Times New Roman" w:eastAsia="Times New Roman" w:hAnsi="Times New Roman" w:cs="Times New Roman"/>
          <w:sz w:val="24"/>
          <w:szCs w:val="24"/>
        </w:rPr>
        <w:t xml:space="preserve">2005) politisko uzticēšanos definē kā </w:t>
      </w:r>
      <w:r w:rsidR="00ED3A64" w:rsidRPr="005F0D6C">
        <w:rPr>
          <w:rFonts w:ascii="Times New Roman" w:eastAsia="Times New Roman" w:hAnsi="Times New Roman" w:cs="Times New Roman"/>
          <w:sz w:val="24"/>
          <w:szCs w:val="24"/>
        </w:rPr>
        <w:t>paļaušanos uz (</w:t>
      </w:r>
      <w:r w:rsidR="00ED3A64" w:rsidRPr="005F0D6C">
        <w:rPr>
          <w:rFonts w:ascii="Times New Roman" w:eastAsia="Times New Roman" w:hAnsi="Times New Roman" w:cs="Times New Roman"/>
          <w:i/>
          <w:sz w:val="24"/>
          <w:szCs w:val="24"/>
        </w:rPr>
        <w:t>confidence in</w:t>
      </w:r>
      <w:r w:rsidR="00ED3A64" w:rsidRPr="005F0D6C">
        <w:rPr>
          <w:rFonts w:ascii="Times New Roman" w:eastAsia="Times New Roman" w:hAnsi="Times New Roman" w:cs="Times New Roman"/>
          <w:sz w:val="24"/>
          <w:szCs w:val="24"/>
        </w:rPr>
        <w:t>)</w:t>
      </w:r>
      <w:r w:rsidRPr="005F0D6C">
        <w:rPr>
          <w:rFonts w:ascii="Times New Roman" w:eastAsia="Times New Roman" w:hAnsi="Times New Roman" w:cs="Times New Roman"/>
          <w:sz w:val="24"/>
          <w:szCs w:val="24"/>
        </w:rPr>
        <w:t xml:space="preserve"> politiskajām institūcijām. </w:t>
      </w:r>
      <w:r w:rsidR="00ED3A64" w:rsidRPr="005F0D6C">
        <w:rPr>
          <w:rFonts w:ascii="Times New Roman" w:eastAsia="Times New Roman" w:hAnsi="Times New Roman" w:cs="Times New Roman"/>
          <w:sz w:val="24"/>
          <w:szCs w:val="24"/>
        </w:rPr>
        <w:t>Tai pašā laikā</w:t>
      </w:r>
      <w:r w:rsidRPr="005F0D6C">
        <w:rPr>
          <w:rFonts w:ascii="Times New Roman" w:eastAsia="Times New Roman" w:hAnsi="Times New Roman" w:cs="Times New Roman"/>
          <w:sz w:val="24"/>
          <w:szCs w:val="24"/>
        </w:rPr>
        <w:t xml:space="preserve"> Ērls (</w:t>
      </w:r>
      <w:r w:rsidR="00ED3A64" w:rsidRPr="005F0D6C">
        <w:rPr>
          <w:rFonts w:ascii="Times New Roman" w:eastAsia="Times New Roman" w:hAnsi="Times New Roman" w:cs="Times New Roman"/>
          <w:sz w:val="24"/>
          <w:szCs w:val="24"/>
        </w:rPr>
        <w:t xml:space="preserve">Earle, </w:t>
      </w:r>
      <w:r w:rsidRPr="005F0D6C">
        <w:rPr>
          <w:rFonts w:ascii="Times New Roman" w:eastAsia="Times New Roman" w:hAnsi="Times New Roman" w:cs="Times New Roman"/>
          <w:sz w:val="24"/>
          <w:szCs w:val="24"/>
        </w:rPr>
        <w:t xml:space="preserve">2010) brīdina, ka ir </w:t>
      </w:r>
      <w:r w:rsidR="00ED3A64" w:rsidRPr="005F0D6C">
        <w:rPr>
          <w:rFonts w:ascii="Times New Roman" w:eastAsia="Times New Roman" w:hAnsi="Times New Roman" w:cs="Times New Roman"/>
          <w:sz w:val="24"/>
          <w:szCs w:val="24"/>
        </w:rPr>
        <w:t>uzticēšanās un pārliecība ir jānodala</w:t>
      </w:r>
      <w:r w:rsidR="00796CF8" w:rsidRPr="005F0D6C">
        <w:rPr>
          <w:rFonts w:ascii="Times New Roman" w:eastAsia="Times New Roman" w:hAnsi="Times New Roman" w:cs="Times New Roman"/>
          <w:sz w:val="24"/>
          <w:szCs w:val="24"/>
        </w:rPr>
        <w:t xml:space="preserve">, jo pirmā ir </w:t>
      </w:r>
      <w:r w:rsidRPr="005F0D6C">
        <w:rPr>
          <w:rFonts w:ascii="Times New Roman" w:eastAsia="Times New Roman" w:hAnsi="Times New Roman" w:cs="Times New Roman"/>
          <w:sz w:val="24"/>
          <w:szCs w:val="24"/>
        </w:rPr>
        <w:t xml:space="preserve">balstīta uz attiecībām starp </w:t>
      </w:r>
      <w:r w:rsidR="00796CF8" w:rsidRPr="005F0D6C">
        <w:rPr>
          <w:rFonts w:ascii="Times New Roman" w:eastAsia="Times New Roman" w:hAnsi="Times New Roman" w:cs="Times New Roman"/>
          <w:sz w:val="24"/>
          <w:szCs w:val="24"/>
        </w:rPr>
        <w:t>uzticēšanās subjektu</w:t>
      </w:r>
      <w:r w:rsidRPr="005F0D6C">
        <w:rPr>
          <w:rFonts w:ascii="Times New Roman" w:eastAsia="Times New Roman" w:hAnsi="Times New Roman" w:cs="Times New Roman"/>
          <w:sz w:val="24"/>
          <w:szCs w:val="24"/>
        </w:rPr>
        <w:t xml:space="preserve"> un </w:t>
      </w:r>
      <w:r w:rsidR="00796CF8" w:rsidRPr="005F0D6C">
        <w:rPr>
          <w:rFonts w:ascii="Times New Roman" w:eastAsia="Times New Roman" w:hAnsi="Times New Roman" w:cs="Times New Roman"/>
          <w:sz w:val="24"/>
          <w:szCs w:val="24"/>
        </w:rPr>
        <w:t>uzticēšanās objektu, bet otrā –</w:t>
      </w:r>
      <w:r w:rsidRPr="005F0D6C">
        <w:rPr>
          <w:rFonts w:ascii="Times New Roman" w:eastAsia="Times New Roman" w:hAnsi="Times New Roman" w:cs="Times New Roman"/>
          <w:sz w:val="24"/>
          <w:szCs w:val="24"/>
        </w:rPr>
        <w:t xml:space="preserve"> uz </w:t>
      </w:r>
      <w:r w:rsidR="00796CF8" w:rsidRPr="005F0D6C">
        <w:rPr>
          <w:rFonts w:ascii="Times New Roman" w:eastAsia="Times New Roman" w:hAnsi="Times New Roman" w:cs="Times New Roman"/>
          <w:sz w:val="24"/>
          <w:szCs w:val="24"/>
        </w:rPr>
        <w:t>uzticēšanās objekta pagātnes uzvedības</w:t>
      </w:r>
      <w:r w:rsidRPr="005F0D6C">
        <w:rPr>
          <w:rFonts w:ascii="Times New Roman" w:eastAsia="Times New Roman" w:hAnsi="Times New Roman" w:cs="Times New Roman"/>
          <w:sz w:val="24"/>
          <w:szCs w:val="24"/>
        </w:rPr>
        <w:t xml:space="preserve"> </w:t>
      </w:r>
      <w:r w:rsidR="00796CF8" w:rsidRPr="005F0D6C">
        <w:rPr>
          <w:rFonts w:ascii="Times New Roman" w:eastAsia="Times New Roman" w:hAnsi="Times New Roman" w:cs="Times New Roman"/>
          <w:sz w:val="24"/>
          <w:szCs w:val="24"/>
        </w:rPr>
        <w:t>un prognozēm par</w:t>
      </w:r>
      <w:r w:rsidR="00ED3A64" w:rsidRPr="005F0D6C">
        <w:rPr>
          <w:rFonts w:ascii="Times New Roman" w:eastAsia="Times New Roman" w:hAnsi="Times New Roman" w:cs="Times New Roman"/>
          <w:sz w:val="24"/>
          <w:szCs w:val="24"/>
        </w:rPr>
        <w:t xml:space="preserve"> sagaidāmo</w:t>
      </w:r>
      <w:r w:rsidRPr="005F0D6C">
        <w:rPr>
          <w:rFonts w:ascii="Times New Roman" w:eastAsia="Times New Roman" w:hAnsi="Times New Roman" w:cs="Times New Roman"/>
          <w:sz w:val="24"/>
          <w:szCs w:val="24"/>
        </w:rPr>
        <w:t xml:space="preserve"> uzvedību nākotnē. Citiem vārdiem sakot, uzticēšanās ir balstīta uz partnera nodomu darīt labu vai sliktu, savukārt </w:t>
      </w:r>
      <w:r w:rsidR="00796CF8" w:rsidRPr="005F0D6C">
        <w:rPr>
          <w:rFonts w:ascii="Times New Roman" w:eastAsia="Times New Roman" w:hAnsi="Times New Roman" w:cs="Times New Roman"/>
          <w:sz w:val="24"/>
          <w:szCs w:val="24"/>
        </w:rPr>
        <w:t>paļaušanās</w:t>
      </w:r>
      <w:r w:rsidRPr="005F0D6C">
        <w:rPr>
          <w:rFonts w:ascii="Times New Roman" w:eastAsia="Times New Roman" w:hAnsi="Times New Roman" w:cs="Times New Roman"/>
          <w:sz w:val="24"/>
          <w:szCs w:val="24"/>
        </w:rPr>
        <w:t xml:space="preserve"> nozīmē partnera spēju novērtēšanu, pamatojoties uz iepriekšējo pieredzi (sal. Earle, 20</w:t>
      </w:r>
      <w:r w:rsidR="00796CF8" w:rsidRPr="005F0D6C">
        <w:rPr>
          <w:rFonts w:ascii="Times New Roman" w:eastAsia="Times New Roman" w:hAnsi="Times New Roman" w:cs="Times New Roman"/>
          <w:sz w:val="24"/>
          <w:szCs w:val="24"/>
        </w:rPr>
        <w:t xml:space="preserve">10). </w:t>
      </w:r>
      <w:r w:rsidR="002F0E1F" w:rsidRPr="005F0D6C">
        <w:rPr>
          <w:rFonts w:ascii="Times New Roman" w:eastAsia="Times New Roman" w:hAnsi="Times New Roman" w:cs="Times New Roman"/>
          <w:sz w:val="24"/>
          <w:szCs w:val="24"/>
        </w:rPr>
        <w:t>U</w:t>
      </w:r>
      <w:r w:rsidR="00796CF8" w:rsidRPr="005F0D6C">
        <w:rPr>
          <w:rFonts w:ascii="Times New Roman" w:eastAsia="Times New Roman" w:hAnsi="Times New Roman" w:cs="Times New Roman"/>
          <w:sz w:val="24"/>
          <w:szCs w:val="24"/>
        </w:rPr>
        <w:t>zticēšanās pētnieks Eriks Aslaner</w:t>
      </w:r>
      <w:r w:rsidR="002F0E1F" w:rsidRPr="005F0D6C">
        <w:rPr>
          <w:rFonts w:ascii="Times New Roman" w:eastAsia="Times New Roman" w:hAnsi="Times New Roman" w:cs="Times New Roman"/>
          <w:sz w:val="24"/>
          <w:szCs w:val="24"/>
        </w:rPr>
        <w:t>s</w:t>
      </w:r>
      <w:r w:rsidRPr="005F0D6C">
        <w:rPr>
          <w:rFonts w:ascii="Times New Roman" w:eastAsia="Times New Roman" w:hAnsi="Times New Roman" w:cs="Times New Roman"/>
          <w:sz w:val="24"/>
          <w:szCs w:val="24"/>
        </w:rPr>
        <w:t xml:space="preserve"> (</w:t>
      </w:r>
      <w:r w:rsidR="00796CF8" w:rsidRPr="005F0D6C">
        <w:rPr>
          <w:rFonts w:ascii="Times New Roman" w:eastAsia="Times New Roman" w:hAnsi="Times New Roman" w:cs="Times New Roman"/>
          <w:sz w:val="24"/>
          <w:szCs w:val="24"/>
        </w:rPr>
        <w:t xml:space="preserve">Uslaner, </w:t>
      </w:r>
      <w:r w:rsidRPr="005F0D6C">
        <w:rPr>
          <w:rFonts w:ascii="Times New Roman" w:eastAsia="Times New Roman" w:hAnsi="Times New Roman" w:cs="Times New Roman"/>
          <w:sz w:val="24"/>
          <w:szCs w:val="24"/>
        </w:rPr>
        <w:t xml:space="preserve">2015) </w:t>
      </w:r>
      <w:r w:rsidR="00796CF8" w:rsidRPr="005F0D6C">
        <w:rPr>
          <w:rFonts w:ascii="Times New Roman" w:eastAsia="Times New Roman" w:hAnsi="Times New Roman" w:cs="Times New Roman"/>
          <w:sz w:val="24"/>
          <w:szCs w:val="24"/>
        </w:rPr>
        <w:t xml:space="preserve">definē uzticēšanos kā </w:t>
      </w:r>
      <w:r w:rsidRPr="005F0D6C">
        <w:rPr>
          <w:rFonts w:ascii="Times New Roman" w:eastAsia="Times New Roman" w:hAnsi="Times New Roman" w:cs="Times New Roman"/>
          <w:sz w:val="24"/>
          <w:szCs w:val="24"/>
        </w:rPr>
        <w:t xml:space="preserve">gaidas, ka valsts nodrošinās pamatpakalpojumus un </w:t>
      </w:r>
      <w:r w:rsidR="00796CF8" w:rsidRPr="005F0D6C">
        <w:rPr>
          <w:rFonts w:ascii="Times New Roman" w:eastAsia="Times New Roman" w:hAnsi="Times New Roman" w:cs="Times New Roman"/>
          <w:sz w:val="24"/>
          <w:szCs w:val="24"/>
        </w:rPr>
        <w:t>uzturēs valstī drošību</w:t>
      </w:r>
      <w:r w:rsidRPr="005F0D6C">
        <w:rPr>
          <w:rFonts w:ascii="Times New Roman" w:eastAsia="Times New Roman" w:hAnsi="Times New Roman" w:cs="Times New Roman"/>
          <w:sz w:val="24"/>
          <w:szCs w:val="24"/>
        </w:rPr>
        <w:t xml:space="preserve"> un </w:t>
      </w:r>
      <w:r w:rsidR="00796CF8" w:rsidRPr="005F0D6C">
        <w:rPr>
          <w:rFonts w:ascii="Times New Roman" w:eastAsia="Times New Roman" w:hAnsi="Times New Roman" w:cs="Times New Roman"/>
          <w:sz w:val="24"/>
          <w:szCs w:val="24"/>
        </w:rPr>
        <w:t>pārticību</w:t>
      </w:r>
      <w:r w:rsidRPr="005F0D6C">
        <w:rPr>
          <w:rFonts w:ascii="Times New Roman" w:eastAsia="Times New Roman" w:hAnsi="Times New Roman" w:cs="Times New Roman"/>
          <w:sz w:val="24"/>
          <w:szCs w:val="24"/>
        </w:rPr>
        <w:t xml:space="preserve">, </w:t>
      </w:r>
      <w:r w:rsidR="00796CF8" w:rsidRPr="005F0D6C">
        <w:rPr>
          <w:rFonts w:ascii="Times New Roman" w:eastAsia="Times New Roman" w:hAnsi="Times New Roman" w:cs="Times New Roman"/>
          <w:sz w:val="24"/>
          <w:szCs w:val="24"/>
        </w:rPr>
        <w:t xml:space="preserve">būtībā pielīdzinot uzticēšanos </w:t>
      </w:r>
      <w:r w:rsidR="002F0E1F" w:rsidRPr="005F0D6C">
        <w:rPr>
          <w:rFonts w:ascii="Times New Roman" w:eastAsia="Times New Roman" w:hAnsi="Times New Roman" w:cs="Times New Roman"/>
          <w:sz w:val="24"/>
          <w:szCs w:val="24"/>
        </w:rPr>
        <w:t>valdības darbības novērtējumam, turkl</w:t>
      </w:r>
      <w:r w:rsidR="002F0E1F" w:rsidRPr="005F0D6C">
        <w:rPr>
          <w:rFonts w:ascii="Times New Roman" w:eastAsia="Times New Roman" w:hAnsi="Times New Roman" w:cs="Times New Roman"/>
          <w:sz w:val="24"/>
          <w:szCs w:val="24"/>
          <w:lang w:val="lv-LV"/>
        </w:rPr>
        <w:t>āt, aplūkojot uzticēšanās empīrisko mērīšanu, viņš secina, ka uzticēšanās un paļaušanās (</w:t>
      </w:r>
      <w:r w:rsidR="002F0E1F" w:rsidRPr="005F0D6C">
        <w:rPr>
          <w:rFonts w:ascii="Times New Roman" w:eastAsia="Times New Roman" w:hAnsi="Times New Roman" w:cs="Times New Roman"/>
          <w:i/>
          <w:sz w:val="24"/>
          <w:szCs w:val="24"/>
          <w:lang w:val="lv-LV"/>
        </w:rPr>
        <w:t>trust and confidence</w:t>
      </w:r>
      <w:r w:rsidR="002F0E1F" w:rsidRPr="005F0D6C">
        <w:rPr>
          <w:rFonts w:ascii="Times New Roman" w:eastAsia="Times New Roman" w:hAnsi="Times New Roman" w:cs="Times New Roman"/>
          <w:sz w:val="24"/>
          <w:szCs w:val="24"/>
          <w:lang w:val="lv-LV"/>
        </w:rPr>
        <w:t xml:space="preserve">) rādītāji ir tuvu, ja ne identiski (turpat). </w:t>
      </w:r>
    </w:p>
    <w:p w14:paraId="25A0FC5C" w14:textId="2BFE0D05" w:rsidR="00AC6C8E" w:rsidRPr="005F0D6C" w:rsidRDefault="00AC6C8E" w:rsidP="00E50D63">
      <w:pPr>
        <w:spacing w:before="120" w:after="120" w:line="360" w:lineRule="auto"/>
        <w:jc w:val="both"/>
        <w:rPr>
          <w:rFonts w:ascii="Times New Roman" w:eastAsia="Times New Roman" w:hAnsi="Times New Roman" w:cs="Times New Roman"/>
          <w:sz w:val="24"/>
          <w:szCs w:val="24"/>
          <w:lang w:val="lv-LV"/>
        </w:rPr>
      </w:pPr>
    </w:p>
    <w:p w14:paraId="4C464A1D" w14:textId="79BE05D4" w:rsidR="00AC6C8E" w:rsidRPr="005F0D6C" w:rsidRDefault="00635BA2" w:rsidP="00E50D63">
      <w:pPr>
        <w:spacing w:before="120" w:after="120" w:line="360" w:lineRule="auto"/>
        <w:jc w:val="both"/>
        <w:rPr>
          <w:rFonts w:ascii="Times New Roman" w:eastAsia="Times New Roman" w:hAnsi="Times New Roman" w:cs="Times New Roman"/>
          <w:b/>
          <w:i/>
          <w:sz w:val="24"/>
          <w:szCs w:val="24"/>
          <w:lang w:val="en-US"/>
        </w:rPr>
      </w:pPr>
      <w:r w:rsidRPr="005F0D6C">
        <w:rPr>
          <w:rFonts w:ascii="Times New Roman" w:eastAsia="Times New Roman" w:hAnsi="Times New Roman" w:cs="Times New Roman"/>
          <w:b/>
          <w:i/>
          <w:sz w:val="24"/>
          <w:szCs w:val="24"/>
          <w:lang w:val="lv-LV"/>
        </w:rPr>
        <w:t>U</w:t>
      </w:r>
      <w:r w:rsidR="00AC6C8E" w:rsidRPr="005F0D6C">
        <w:rPr>
          <w:rFonts w:ascii="Times New Roman" w:eastAsia="Times New Roman" w:hAnsi="Times New Roman" w:cs="Times New Roman"/>
          <w:b/>
          <w:i/>
          <w:sz w:val="24"/>
          <w:szCs w:val="24"/>
          <w:lang w:val="lv-LV"/>
        </w:rPr>
        <w:t>zticēšanās faktori</w:t>
      </w:r>
      <w:r w:rsidRPr="005F0D6C">
        <w:rPr>
          <w:rFonts w:ascii="Times New Roman" w:eastAsia="Times New Roman" w:hAnsi="Times New Roman" w:cs="Times New Roman"/>
          <w:b/>
          <w:i/>
          <w:sz w:val="24"/>
          <w:szCs w:val="24"/>
          <w:lang w:val="lv-LV"/>
        </w:rPr>
        <w:t xml:space="preserve"> un uzticēšanās kā faktors</w:t>
      </w:r>
      <w:r w:rsidR="00AC6C8E" w:rsidRPr="005F0D6C">
        <w:rPr>
          <w:rFonts w:ascii="Times New Roman" w:eastAsia="Times New Roman" w:hAnsi="Times New Roman" w:cs="Times New Roman"/>
          <w:b/>
          <w:i/>
          <w:sz w:val="24"/>
          <w:szCs w:val="24"/>
          <w:lang w:val="lv-LV"/>
        </w:rPr>
        <w:t>: atziņas no iepriekš veiktajiem pētījumiem</w:t>
      </w:r>
    </w:p>
    <w:p w14:paraId="25641D0C" w14:textId="6BD51D33" w:rsidR="002F0E1F" w:rsidRPr="005F0D6C" w:rsidRDefault="002F0E1F" w:rsidP="00E50D63">
      <w:p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Vēl 2001. gadā pētnieki Mišlers un Rouzs atzina, ka politiskā uzticēšanās būs atkarīga no politisko institūciju darbības novērtējuma (Mishler and Rose, 2001). Politisko uzticēšanos var ietekmēt īstermiņa un vidēja termiņa problēmas un izaicinājumi, ar kuriem jāsaskaras sabiedrībai, tostarp korupcija (Ares un Hernández 2017; Výrost 2017), imigrācija (Brosius, van Elsas un de Vreese 2019), klima</w:t>
      </w:r>
      <w:r w:rsidR="00573F58" w:rsidRPr="005F0D6C">
        <w:rPr>
          <w:rFonts w:ascii="Times New Roman" w:eastAsia="Times New Roman" w:hAnsi="Times New Roman" w:cs="Times New Roman"/>
          <w:sz w:val="24"/>
          <w:szCs w:val="24"/>
        </w:rPr>
        <w:t xml:space="preserve">ta pārmaiņas un vides politika </w:t>
      </w:r>
      <w:r w:rsidRPr="005F0D6C">
        <w:rPr>
          <w:rFonts w:ascii="Times New Roman" w:eastAsia="Times New Roman" w:hAnsi="Times New Roman" w:cs="Times New Roman"/>
          <w:sz w:val="24"/>
          <w:szCs w:val="24"/>
        </w:rPr>
        <w:t>(</w:t>
      </w:r>
      <w:r w:rsidR="00573F58" w:rsidRPr="005F0D6C">
        <w:rPr>
          <w:rFonts w:ascii="Times New Roman" w:eastAsia="Times New Roman" w:hAnsi="Times New Roman" w:cs="Times New Roman"/>
        </w:rPr>
        <w:t>Davidovic &amp; Harring 2020</w:t>
      </w:r>
      <w:r w:rsidRPr="005F0D6C">
        <w:rPr>
          <w:rFonts w:ascii="Times New Roman" w:eastAsia="Times New Roman" w:hAnsi="Times New Roman" w:cs="Times New Roman"/>
          <w:sz w:val="24"/>
          <w:szCs w:val="24"/>
        </w:rPr>
        <w:t>)</w:t>
      </w:r>
      <w:r w:rsidRPr="005F0D6C">
        <w:rPr>
          <w:rFonts w:ascii="Times New Roman" w:eastAsia="Times New Roman" w:hAnsi="Times New Roman" w:cs="Times New Roman"/>
          <w:sz w:val="24"/>
          <w:szCs w:val="24"/>
        </w:rPr>
        <w:t>, kā arī Covid-19 pandēmijas pieredze (Thoresen, Blix, Wentzel-Larsen un Skogbrott Birkeland 2021). Pēdējos gados ir tika publicēta virkne pētījumu, kas pievēršas politiskās uzticēšanās sakarībai ar koronavīrusa pandēmijas uztveres aspektiem, tai skaitā valsts un starptautisko institūciju mēģinājumiem to</w:t>
      </w:r>
      <w:r w:rsidR="00635BA2" w:rsidRPr="005F0D6C">
        <w:rPr>
          <w:rFonts w:ascii="Times New Roman" w:eastAsia="Times New Roman" w:hAnsi="Times New Roman" w:cs="Times New Roman"/>
          <w:sz w:val="24"/>
          <w:szCs w:val="24"/>
        </w:rPr>
        <w:t xml:space="preserve"> apkarot vai mazināt tās sekas</w:t>
      </w:r>
      <w:r w:rsidR="00A90355" w:rsidRPr="005F0D6C">
        <w:rPr>
          <w:rFonts w:ascii="Times New Roman" w:eastAsia="Times New Roman" w:hAnsi="Times New Roman" w:cs="Times New Roman"/>
          <w:sz w:val="24"/>
          <w:szCs w:val="24"/>
        </w:rPr>
        <w:t>.</w:t>
      </w:r>
      <w:r w:rsidR="00635BA2" w:rsidRPr="005F0D6C">
        <w:rPr>
          <w:rFonts w:ascii="Times New Roman" w:eastAsia="Times New Roman" w:hAnsi="Times New Roman" w:cs="Times New Roman"/>
          <w:sz w:val="24"/>
          <w:szCs w:val="24"/>
        </w:rPr>
        <w:t xml:space="preserve"> Atziņas no tām ir apkopotas nākamajās rindkopās</w:t>
      </w:r>
      <w:r w:rsidRPr="005F0D6C">
        <w:rPr>
          <w:rFonts w:ascii="Times New Roman" w:eastAsia="Times New Roman" w:hAnsi="Times New Roman" w:cs="Times New Roman"/>
          <w:sz w:val="24"/>
          <w:szCs w:val="24"/>
        </w:rPr>
        <w:t>.</w:t>
      </w:r>
    </w:p>
    <w:p w14:paraId="2961324D" w14:textId="3DB2397B" w:rsidR="008B24F5" w:rsidRPr="005F0D6C" w:rsidRDefault="00BF2780" w:rsidP="00E50D63">
      <w:pPr>
        <w:spacing w:before="120" w:after="120" w:line="360" w:lineRule="auto"/>
        <w:jc w:val="both"/>
        <w:rPr>
          <w:rFonts w:ascii="Times New Roman" w:eastAsia="Times New Roman" w:hAnsi="Times New Roman" w:cs="Times New Roman"/>
          <w:sz w:val="24"/>
          <w:szCs w:val="24"/>
          <w:lang w:val="lv-LV"/>
        </w:rPr>
      </w:pPr>
      <w:r w:rsidRPr="005F0D6C">
        <w:rPr>
          <w:rFonts w:ascii="Times New Roman" w:eastAsia="Times New Roman" w:hAnsi="Times New Roman" w:cs="Times New Roman"/>
          <w:sz w:val="24"/>
          <w:szCs w:val="24"/>
        </w:rPr>
        <w:t xml:space="preserve">Pētījumi </w:t>
      </w:r>
      <w:r w:rsidR="0014081D" w:rsidRPr="005F0D6C">
        <w:rPr>
          <w:rFonts w:ascii="Times New Roman" w:eastAsia="Times New Roman" w:hAnsi="Times New Roman" w:cs="Times New Roman"/>
          <w:sz w:val="24"/>
          <w:szCs w:val="24"/>
        </w:rPr>
        <w:t xml:space="preserve">ārvasltīs </w:t>
      </w:r>
      <w:r w:rsidRPr="005F0D6C">
        <w:rPr>
          <w:rFonts w:ascii="Times New Roman" w:eastAsia="Times New Roman" w:hAnsi="Times New Roman" w:cs="Times New Roman"/>
          <w:sz w:val="24"/>
          <w:szCs w:val="24"/>
        </w:rPr>
        <w:t>liecina, ka uzticēšanās politiskām institūcijām ir svarīga, lai nodrošinātu sabiedrības atbalstu Covid-19 preventīvajiem pasākumiem (</w:t>
      </w:r>
      <w:r w:rsidRPr="005F0D6C">
        <w:rPr>
          <w:rFonts w:ascii="Times New Roman" w:hAnsi="Times New Roman" w:cs="Times New Roman"/>
          <w:sz w:val="24"/>
          <w:szCs w:val="24"/>
        </w:rPr>
        <w:t>Badman et al., 2022</w:t>
      </w:r>
      <w:r w:rsidRPr="005F0D6C">
        <w:rPr>
          <w:rFonts w:ascii="Times New Roman" w:eastAsia="Times New Roman" w:hAnsi="Times New Roman" w:cs="Times New Roman"/>
          <w:sz w:val="24"/>
          <w:szCs w:val="24"/>
        </w:rPr>
        <w:t xml:space="preserve">). Taču nozīme </w:t>
      </w:r>
      <w:r w:rsidRPr="005F0D6C">
        <w:rPr>
          <w:rFonts w:ascii="Times New Roman" w:eastAsia="Times New Roman" w:hAnsi="Times New Roman" w:cs="Times New Roman"/>
          <w:sz w:val="24"/>
          <w:szCs w:val="24"/>
        </w:rPr>
        <w:lastRenderedPageBreak/>
        <w:t>ir arī institūciju iepriekšējam veikumam, jo politisko institūciju darba novērtējums pirms jauna liela satricinājuma kā pandēmija var būt izšķirošs politiskās uzticēšanās veidošanā (</w:t>
      </w:r>
      <w:r w:rsidRPr="005F0D6C">
        <w:rPr>
          <w:rFonts w:ascii="Times New Roman" w:eastAsia="Times New Roman" w:hAnsi="Times New Roman" w:cs="Times New Roman"/>
          <w:color w:val="1C1D1E"/>
          <w:sz w:val="24"/>
          <w:szCs w:val="24"/>
        </w:rPr>
        <w:t>Bottasso et al., 2022</w:t>
      </w:r>
      <w:r w:rsidRPr="005F0D6C">
        <w:rPr>
          <w:rFonts w:ascii="Times New Roman" w:eastAsia="Times New Roman" w:hAnsi="Times New Roman" w:cs="Times New Roman"/>
          <w:sz w:val="24"/>
          <w:szCs w:val="24"/>
        </w:rPr>
        <w:t>).</w:t>
      </w:r>
      <w:r w:rsidR="007520FF" w:rsidRPr="005F0D6C">
        <w:rPr>
          <w:rFonts w:ascii="Times New Roman" w:eastAsia="Times New Roman" w:hAnsi="Times New Roman" w:cs="Times New Roman"/>
          <w:sz w:val="24"/>
          <w:szCs w:val="24"/>
          <w:lang w:val="en-US"/>
        </w:rPr>
        <w:t xml:space="preserve"> Eiropas Savienības re</w:t>
      </w:r>
      <w:r w:rsidR="007520FF" w:rsidRPr="005F0D6C">
        <w:rPr>
          <w:rFonts w:ascii="Times New Roman" w:eastAsia="Times New Roman" w:hAnsi="Times New Roman" w:cs="Times New Roman"/>
          <w:sz w:val="24"/>
          <w:szCs w:val="24"/>
          <w:lang w:val="lv-LV"/>
        </w:rPr>
        <w:t>ģionos, kuros politiskās uzticēšanās līmeņa plaisa starp valdības atbalstītājiem un pretiniekiem ir liela, vērojama arī paaugstinātāka mirstība no Covid-19</w:t>
      </w:r>
      <w:r w:rsidR="0015091B" w:rsidRPr="005F0D6C">
        <w:rPr>
          <w:rFonts w:ascii="Times New Roman" w:eastAsia="Times New Roman" w:hAnsi="Times New Roman" w:cs="Times New Roman"/>
          <w:sz w:val="24"/>
          <w:szCs w:val="24"/>
          <w:lang w:val="lv-LV"/>
        </w:rPr>
        <w:t>, turklāt paaugstināta mirstība tika novērota reģionos, kur politiskā elite ir noskaņota pret ES integrāciju un ir populistiskāka</w:t>
      </w:r>
      <w:r w:rsidR="007520FF" w:rsidRPr="005F0D6C">
        <w:rPr>
          <w:rFonts w:ascii="Times New Roman" w:eastAsia="Times New Roman" w:hAnsi="Times New Roman" w:cs="Times New Roman"/>
          <w:sz w:val="24"/>
          <w:szCs w:val="24"/>
          <w:lang w:val="lv-LV"/>
        </w:rPr>
        <w:t xml:space="preserve"> (Charron et al., 2023).</w:t>
      </w:r>
      <w:r w:rsidR="0015091B" w:rsidRPr="005F0D6C">
        <w:rPr>
          <w:rFonts w:ascii="Times New Roman" w:eastAsia="Times New Roman" w:hAnsi="Times New Roman" w:cs="Times New Roman"/>
          <w:sz w:val="24"/>
          <w:szCs w:val="24"/>
          <w:lang w:val="lv-LV"/>
        </w:rPr>
        <w:t xml:space="preserve"> </w:t>
      </w:r>
      <w:r w:rsidR="00B14586" w:rsidRPr="005F0D6C">
        <w:rPr>
          <w:rFonts w:ascii="Times New Roman" w:eastAsia="Times New Roman" w:hAnsi="Times New Roman" w:cs="Times New Roman"/>
          <w:sz w:val="24"/>
          <w:szCs w:val="24"/>
          <w:lang w:val="lv-LV"/>
        </w:rPr>
        <w:t>Politiskās uzticēšanas līmenim ir arī lielā nozīme iedzīvotāju attieksmēs pret vakcinēšanos un gatavību tajā piedalīties (</w:t>
      </w:r>
      <w:r w:rsidR="00635C4E" w:rsidRPr="005F0D6C">
        <w:rPr>
          <w:rFonts w:ascii="Times New Roman" w:eastAsia="Times New Roman" w:hAnsi="Times New Roman" w:cs="Times New Roman"/>
          <w:sz w:val="24"/>
          <w:szCs w:val="24"/>
          <w:lang w:val="lv-LV"/>
        </w:rPr>
        <w:t>Denemark et al., 2022</w:t>
      </w:r>
      <w:r w:rsidR="00B14586" w:rsidRPr="005F0D6C">
        <w:rPr>
          <w:rFonts w:ascii="Times New Roman" w:eastAsia="Times New Roman" w:hAnsi="Times New Roman" w:cs="Times New Roman"/>
          <w:sz w:val="24"/>
          <w:szCs w:val="24"/>
          <w:lang w:val="lv-LV"/>
        </w:rPr>
        <w:t>)</w:t>
      </w:r>
      <w:r w:rsidR="00635C4E" w:rsidRPr="005F0D6C">
        <w:rPr>
          <w:rFonts w:ascii="Times New Roman" w:eastAsia="Times New Roman" w:hAnsi="Times New Roman" w:cs="Times New Roman"/>
          <w:sz w:val="24"/>
          <w:szCs w:val="24"/>
          <w:lang w:val="lv-LV"/>
        </w:rPr>
        <w:t xml:space="preserve">. </w:t>
      </w:r>
      <w:r w:rsidR="008B24F5" w:rsidRPr="005F0D6C">
        <w:rPr>
          <w:rFonts w:ascii="Times New Roman" w:eastAsia="Times New Roman" w:hAnsi="Times New Roman" w:cs="Times New Roman"/>
          <w:sz w:val="24"/>
          <w:szCs w:val="24"/>
          <w:lang w:val="lv-LV"/>
        </w:rPr>
        <w:t xml:space="preserve">Vācijas pētījuma rezultāti apliecina, ka ne tikai politiskās, bet arī sociālās uzticēšanās līmenis ietekmē to, vai iedzīvotāji atbalsta valdības koronavīrusa pandēmijas apkarošanas pasākumus (Jäckle et al., 2022). Cilvēki, kuri uzticas politiskajiem līderiem un institūcijām, visticamāk, vairāk pieņems valdības argumentus, kad runa ir par pandēmijas apkarošanai, pat ja tiek ierobežota personiskā brīvība (turpat). Tai pašā laikā uzticēšanās efekts nav bijis vienveidīgs respondentu vidū, un pētnieki ir konstatējuši, ja uzticēšanās pozitīvais efekts būs spēcīgāk izteikts liberālāk, nevis autoritārāk noskaņotajiem iedzīvotājiem (turpat). </w:t>
      </w:r>
    </w:p>
    <w:p w14:paraId="07793CDE" w14:textId="720376A9" w:rsidR="00EB0239" w:rsidRPr="005F0D6C" w:rsidRDefault="00034796" w:rsidP="00E50D63">
      <w:pPr>
        <w:spacing w:before="120" w:after="120" w:line="360" w:lineRule="auto"/>
        <w:jc w:val="both"/>
        <w:rPr>
          <w:rFonts w:ascii="Times New Roman" w:eastAsia="Times New Roman" w:hAnsi="Times New Roman" w:cs="Times New Roman"/>
          <w:sz w:val="24"/>
          <w:szCs w:val="24"/>
          <w:lang w:val="lv-LV"/>
        </w:rPr>
      </w:pPr>
      <w:r w:rsidRPr="005F0D6C">
        <w:rPr>
          <w:rFonts w:ascii="Times New Roman" w:eastAsia="Times New Roman" w:hAnsi="Times New Roman" w:cs="Times New Roman"/>
          <w:sz w:val="24"/>
          <w:szCs w:val="24"/>
          <w:lang w:val="lv-LV"/>
        </w:rPr>
        <w:t>Pētījums Somijā liecina, ka Covid-19 pirmā viļņa laikā somu politiskā uzticēšanās līmenis ir ievērojami palielinājies. Tāpat arī iedzīvotāju sekošana rekomendācijām Covid-19 ierobežošanai bija tieši saistīta ar politisko uzticēšanos, lai gan nozīme bija arī uzticēšanās mijiedarbībai ar subjektīvo politisko kompetenci (</w:t>
      </w:r>
      <w:r w:rsidRPr="005F0D6C">
        <w:rPr>
          <w:rFonts w:ascii="Times New Roman" w:eastAsia="Times New Roman" w:hAnsi="Times New Roman" w:cs="Times New Roman"/>
          <w:color w:val="1C1D1E"/>
          <w:sz w:val="24"/>
          <w:szCs w:val="24"/>
        </w:rPr>
        <w:t>Kestilä-Kekkonen et al., 2022</w:t>
      </w:r>
      <w:r w:rsidRPr="005F0D6C">
        <w:rPr>
          <w:rFonts w:ascii="Times New Roman" w:eastAsia="Times New Roman" w:hAnsi="Times New Roman" w:cs="Times New Roman"/>
          <w:sz w:val="24"/>
          <w:szCs w:val="24"/>
          <w:lang w:val="lv-LV"/>
        </w:rPr>
        <w:t>).</w:t>
      </w:r>
      <w:r w:rsidR="00AC6C8E" w:rsidRPr="005F0D6C">
        <w:rPr>
          <w:rFonts w:ascii="Times New Roman" w:eastAsia="Times New Roman" w:hAnsi="Times New Roman" w:cs="Times New Roman"/>
          <w:sz w:val="24"/>
          <w:szCs w:val="24"/>
          <w:lang w:val="lv-LV"/>
        </w:rPr>
        <w:t xml:space="preserve"> </w:t>
      </w:r>
      <w:r w:rsidR="00EB0239" w:rsidRPr="005F0D6C">
        <w:rPr>
          <w:rFonts w:ascii="Times New Roman" w:eastAsia="Times New Roman" w:hAnsi="Times New Roman" w:cs="Times New Roman"/>
          <w:sz w:val="24"/>
          <w:szCs w:val="24"/>
          <w:lang w:val="lv-LV"/>
        </w:rPr>
        <w:t>Noteikumu ievērošanai (</w:t>
      </w:r>
      <w:r w:rsidR="00EB0239" w:rsidRPr="005F0D6C">
        <w:rPr>
          <w:rFonts w:ascii="Times New Roman" w:eastAsia="Times New Roman" w:hAnsi="Times New Roman" w:cs="Times New Roman"/>
          <w:i/>
          <w:sz w:val="24"/>
          <w:szCs w:val="24"/>
          <w:lang w:val="lv-LV"/>
        </w:rPr>
        <w:t>integrity</w:t>
      </w:r>
      <w:r w:rsidR="00EB0239" w:rsidRPr="005F0D6C">
        <w:rPr>
          <w:rFonts w:ascii="Times New Roman" w:eastAsia="Times New Roman" w:hAnsi="Times New Roman" w:cs="Times New Roman"/>
          <w:sz w:val="24"/>
          <w:szCs w:val="24"/>
          <w:lang w:val="lv-LV"/>
        </w:rPr>
        <w:t xml:space="preserve">) ir korelācija ar uzticēšanos valsts institūcijām, ciktāl uzticēšanos konceptualizē kā politiskās sistēmas un tās elementu darbības novērtējumu (Kołczyńska, 2021). </w:t>
      </w:r>
    </w:p>
    <w:p w14:paraId="4596E603" w14:textId="5F91080C" w:rsidR="007477EA" w:rsidRPr="005F0D6C" w:rsidRDefault="008C345E" w:rsidP="00E50D63">
      <w:p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lang w:val="lv-LV"/>
        </w:rPr>
        <w:t>Uztraukums par pandēmiju un politiskā uzticēšanās pozitīvi ietekmēja cilvēku vēlmi pakļauties valdības noteiktajiem ierobežojumiem pandēmijas sakarā. Cilvēki ir gatavi pakļauties stingriem ierobežojumiem, kas skar viņu konstitucionālās tiesības, vai nu dēļ uztraukuma par pandēmiju un saslimšanas risku, vai arī dēļ augsta politiskās uzticēšanās līmeņa, taču visizteiktāka ir šo divu faktoru kombinētā ietekme (Lalot et al., 2020).</w:t>
      </w:r>
      <w:r w:rsidR="006C1303" w:rsidRPr="005F0D6C">
        <w:rPr>
          <w:rFonts w:ascii="Times New Roman" w:eastAsia="Times New Roman" w:hAnsi="Times New Roman" w:cs="Times New Roman"/>
          <w:sz w:val="24"/>
          <w:szCs w:val="24"/>
          <w:lang w:val="lv-LV"/>
        </w:rPr>
        <w:t xml:space="preserve"> </w:t>
      </w:r>
      <w:r w:rsidR="005C22D5" w:rsidRPr="005F0D6C">
        <w:rPr>
          <w:rFonts w:ascii="Times New Roman" w:eastAsia="Times New Roman" w:hAnsi="Times New Roman" w:cs="Times New Roman"/>
          <w:sz w:val="24"/>
          <w:szCs w:val="24"/>
          <w:lang w:val="lv-LV"/>
        </w:rPr>
        <w:t>Lai gan p</w:t>
      </w:r>
      <w:r w:rsidR="006C1303" w:rsidRPr="005F0D6C">
        <w:rPr>
          <w:rFonts w:ascii="Times New Roman" w:eastAsia="Times New Roman" w:hAnsi="Times New Roman" w:cs="Times New Roman"/>
          <w:sz w:val="24"/>
          <w:szCs w:val="24"/>
          <w:lang w:val="lv-LV"/>
        </w:rPr>
        <w:t xml:space="preserve">olitiskā uzticēšanās veidojas </w:t>
      </w:r>
      <w:r w:rsidR="005C22D5" w:rsidRPr="005F0D6C">
        <w:rPr>
          <w:rFonts w:ascii="Times New Roman" w:eastAsia="Times New Roman" w:hAnsi="Times New Roman" w:cs="Times New Roman"/>
          <w:sz w:val="24"/>
          <w:szCs w:val="24"/>
          <w:lang w:val="lv-LV"/>
        </w:rPr>
        <w:t>ilgstoši un lēni</w:t>
      </w:r>
      <w:r w:rsidR="006C1303" w:rsidRPr="005F0D6C">
        <w:rPr>
          <w:rFonts w:ascii="Times New Roman" w:eastAsia="Times New Roman" w:hAnsi="Times New Roman" w:cs="Times New Roman"/>
          <w:sz w:val="24"/>
          <w:szCs w:val="24"/>
          <w:lang w:val="lv-LV"/>
        </w:rPr>
        <w:t xml:space="preserve"> un var būt izturīga pret īslaicīgām </w:t>
      </w:r>
      <w:r w:rsidR="005C22D5" w:rsidRPr="005F0D6C">
        <w:rPr>
          <w:rFonts w:ascii="Times New Roman" w:eastAsia="Times New Roman" w:hAnsi="Times New Roman" w:cs="Times New Roman"/>
          <w:sz w:val="24"/>
          <w:szCs w:val="24"/>
          <w:lang w:val="lv-LV"/>
        </w:rPr>
        <w:t>pārmaiņām (Levi &amp; Stoker, 2000),</w:t>
      </w:r>
      <w:r w:rsidR="006C1303" w:rsidRPr="005F0D6C">
        <w:rPr>
          <w:rFonts w:ascii="Times New Roman" w:eastAsia="Times New Roman" w:hAnsi="Times New Roman" w:cs="Times New Roman"/>
          <w:sz w:val="24"/>
          <w:szCs w:val="24"/>
          <w:lang w:val="lv-LV"/>
        </w:rPr>
        <w:t xml:space="preserve"> </w:t>
      </w:r>
      <w:r w:rsidR="005C22D5" w:rsidRPr="005F0D6C">
        <w:rPr>
          <w:rFonts w:ascii="Times New Roman" w:eastAsia="Times New Roman" w:hAnsi="Times New Roman" w:cs="Times New Roman"/>
          <w:sz w:val="24"/>
          <w:szCs w:val="24"/>
          <w:lang w:val="lv-LV"/>
        </w:rPr>
        <w:t xml:space="preserve">pēkšņās un negaidītās </w:t>
      </w:r>
      <w:r w:rsidR="006C1303" w:rsidRPr="005F0D6C">
        <w:rPr>
          <w:rFonts w:ascii="Times New Roman" w:eastAsia="Times New Roman" w:hAnsi="Times New Roman" w:cs="Times New Roman"/>
          <w:sz w:val="24"/>
          <w:szCs w:val="24"/>
          <w:lang w:val="lv-LV"/>
        </w:rPr>
        <w:t xml:space="preserve">krīzes laikā cilvēku priekšstati par </w:t>
      </w:r>
      <w:r w:rsidR="005C22D5" w:rsidRPr="005F0D6C">
        <w:rPr>
          <w:rFonts w:ascii="Times New Roman" w:eastAsia="Times New Roman" w:hAnsi="Times New Roman" w:cs="Times New Roman"/>
          <w:sz w:val="24"/>
          <w:szCs w:val="24"/>
          <w:lang w:val="lv-LV"/>
        </w:rPr>
        <w:t>politisko varu</w:t>
      </w:r>
      <w:r w:rsidR="006C1303" w:rsidRPr="005F0D6C">
        <w:rPr>
          <w:rFonts w:ascii="Times New Roman" w:eastAsia="Times New Roman" w:hAnsi="Times New Roman" w:cs="Times New Roman"/>
          <w:sz w:val="24"/>
          <w:szCs w:val="24"/>
          <w:lang w:val="lv-LV"/>
        </w:rPr>
        <w:t xml:space="preserve"> var krasi mainīties. </w:t>
      </w:r>
      <w:r w:rsidR="005C22D5" w:rsidRPr="005F0D6C">
        <w:rPr>
          <w:rFonts w:ascii="Times New Roman" w:eastAsia="Times New Roman" w:hAnsi="Times New Roman" w:cs="Times New Roman"/>
          <w:sz w:val="24"/>
          <w:szCs w:val="24"/>
          <w:lang w:val="lv-LV"/>
        </w:rPr>
        <w:t>Tāpēc sagaidāms, ka uzticēšanos</w:t>
      </w:r>
      <w:r w:rsidR="006C1303" w:rsidRPr="005F0D6C">
        <w:rPr>
          <w:rFonts w:ascii="Times New Roman" w:eastAsia="Times New Roman" w:hAnsi="Times New Roman" w:cs="Times New Roman"/>
          <w:sz w:val="24"/>
          <w:szCs w:val="24"/>
          <w:lang w:val="lv-LV"/>
        </w:rPr>
        <w:t xml:space="preserve"> īstermiņā noteiks iedzīvotāju </w:t>
      </w:r>
      <w:r w:rsidR="005C22D5" w:rsidRPr="005F0D6C">
        <w:rPr>
          <w:rFonts w:ascii="Times New Roman" w:eastAsia="Times New Roman" w:hAnsi="Times New Roman" w:cs="Times New Roman"/>
          <w:sz w:val="24"/>
          <w:szCs w:val="24"/>
          <w:lang w:val="lv-LV"/>
        </w:rPr>
        <w:t>viedokļi</w:t>
      </w:r>
      <w:r w:rsidR="006C1303" w:rsidRPr="005F0D6C">
        <w:rPr>
          <w:rFonts w:ascii="Times New Roman" w:eastAsia="Times New Roman" w:hAnsi="Times New Roman" w:cs="Times New Roman"/>
          <w:sz w:val="24"/>
          <w:szCs w:val="24"/>
          <w:lang w:val="lv-LV"/>
        </w:rPr>
        <w:t xml:space="preserve"> par to, cik adekvāta ir </w:t>
      </w:r>
      <w:r w:rsidR="005C22D5" w:rsidRPr="005F0D6C">
        <w:rPr>
          <w:rFonts w:ascii="Times New Roman" w:eastAsia="Times New Roman" w:hAnsi="Times New Roman" w:cs="Times New Roman"/>
          <w:sz w:val="24"/>
          <w:szCs w:val="24"/>
          <w:lang w:val="lv-LV"/>
        </w:rPr>
        <w:t>varas iestāžu reakcija uz krīzi (piemēram, pandēmiju) un spēja pārvarēt tās sekas (Lalot et al., 2020).</w:t>
      </w:r>
      <w:r w:rsidR="00AC6C8E" w:rsidRPr="005F0D6C">
        <w:rPr>
          <w:rFonts w:ascii="Times New Roman" w:eastAsia="Times New Roman" w:hAnsi="Times New Roman" w:cs="Times New Roman"/>
          <w:sz w:val="24"/>
          <w:szCs w:val="24"/>
          <w:lang w:val="lv-LV"/>
        </w:rPr>
        <w:t xml:space="preserve"> </w:t>
      </w:r>
      <w:r w:rsidR="00AC6C8E" w:rsidRPr="005F0D6C">
        <w:rPr>
          <w:rFonts w:ascii="Times New Roman" w:eastAsia="Times New Roman" w:hAnsi="Times New Roman" w:cs="Times New Roman"/>
          <w:sz w:val="24"/>
          <w:szCs w:val="24"/>
        </w:rPr>
        <w:t>Politiskā uzticēšanās pozitīvi korelē ar obligātās vakcinācijas atbalstu (Viskupic and Wiltse, 2022).</w:t>
      </w:r>
      <w:r w:rsidR="00AC6C8E" w:rsidRPr="005F0D6C">
        <w:rPr>
          <w:rFonts w:ascii="Times New Roman" w:eastAsia="Times New Roman" w:hAnsi="Times New Roman" w:cs="Times New Roman"/>
          <w:sz w:val="24"/>
          <w:szCs w:val="24"/>
          <w:lang w:val="lv-LV"/>
        </w:rPr>
        <w:t xml:space="preserve"> </w:t>
      </w:r>
      <w:r w:rsidR="007477EA" w:rsidRPr="005F0D6C">
        <w:rPr>
          <w:rFonts w:ascii="Times New Roman" w:eastAsia="Times New Roman" w:hAnsi="Times New Roman" w:cs="Times New Roman"/>
          <w:sz w:val="24"/>
          <w:szCs w:val="24"/>
          <w:lang w:val="lv-LV"/>
        </w:rPr>
        <w:t xml:space="preserve">Politiskās uzticēšanās līmenim tika novērota arī negatīvā sakarība </w:t>
      </w:r>
      <w:r w:rsidR="007477EA" w:rsidRPr="005F0D6C">
        <w:rPr>
          <w:rFonts w:ascii="Times New Roman" w:eastAsia="Times New Roman" w:hAnsi="Times New Roman" w:cs="Times New Roman"/>
          <w:sz w:val="24"/>
          <w:szCs w:val="24"/>
          <w:lang w:val="lv-LV"/>
        </w:rPr>
        <w:lastRenderedPageBreak/>
        <w:t>ar ticēšanu sazvērestības teorijām, proti, ticēšanas varbūtība ir lielāka tiem, kuri mazāk uzticas politiskajām institūcijām (</w:t>
      </w:r>
      <w:r w:rsidR="00EB3B6E" w:rsidRPr="005F0D6C">
        <w:rPr>
          <w:rFonts w:ascii="Times New Roman" w:eastAsia="Times New Roman" w:hAnsi="Times New Roman" w:cs="Times New Roman"/>
          <w:sz w:val="24"/>
          <w:szCs w:val="24"/>
          <w:lang w:val="lv-LV"/>
        </w:rPr>
        <w:t>Mancosu et al., 2021</w:t>
      </w:r>
      <w:r w:rsidR="007477EA" w:rsidRPr="005F0D6C">
        <w:rPr>
          <w:rFonts w:ascii="Times New Roman" w:eastAsia="Times New Roman" w:hAnsi="Times New Roman" w:cs="Times New Roman"/>
          <w:sz w:val="24"/>
          <w:szCs w:val="24"/>
          <w:lang w:val="lv-LV"/>
        </w:rPr>
        <w:t>)</w:t>
      </w:r>
      <w:r w:rsidR="00EB3B6E" w:rsidRPr="005F0D6C">
        <w:rPr>
          <w:rFonts w:ascii="Times New Roman" w:eastAsia="Times New Roman" w:hAnsi="Times New Roman" w:cs="Times New Roman"/>
          <w:sz w:val="24"/>
          <w:szCs w:val="24"/>
          <w:lang w:val="lv-LV"/>
        </w:rPr>
        <w:t>.</w:t>
      </w:r>
    </w:p>
    <w:p w14:paraId="77BD8976" w14:textId="52F3F455" w:rsidR="00EB3B6E" w:rsidRPr="005F0D6C" w:rsidRDefault="00EB3B6E" w:rsidP="00E50D63">
      <w:pPr>
        <w:spacing w:before="120" w:after="120" w:line="360" w:lineRule="auto"/>
        <w:jc w:val="both"/>
        <w:rPr>
          <w:rFonts w:ascii="Times New Roman" w:eastAsia="Times New Roman" w:hAnsi="Times New Roman" w:cs="Times New Roman"/>
          <w:sz w:val="24"/>
          <w:szCs w:val="24"/>
          <w:lang w:val="lv-LV"/>
        </w:rPr>
      </w:pPr>
      <w:r w:rsidRPr="005F0D6C">
        <w:rPr>
          <w:rFonts w:ascii="Times New Roman" w:eastAsia="Times New Roman" w:hAnsi="Times New Roman" w:cs="Times New Roman"/>
          <w:sz w:val="24"/>
          <w:szCs w:val="24"/>
          <w:lang w:val="lv-LV"/>
        </w:rPr>
        <w:t>Iepriekš veiktie pētījumi atklāja arī politiskās uzticēšanās korelāciju ar sociāli demogrāfiskajiem faktoriem, tādiem, kā vecums un socioekonomiskais statuss. Kopumā uzticēšanās līmeņi ir augstāki vecākiem un cilvēkiem ar augstāku statusu (Mari et al., 2022). Uzticēšanās būs zemāka gados jaunākiem iedzīvotājiem, sievietēm un cilvēkiem ar zemāku sociālekonomisko statusu. Kopumā var teikt, ka uzticēšanās līmenis būs zemāks neaizsargātākiem iedzīvotāju slāņiem (turpat).</w:t>
      </w:r>
    </w:p>
    <w:p w14:paraId="73F154B7" w14:textId="55B4A200" w:rsidR="0050477D" w:rsidRPr="005F0D6C" w:rsidRDefault="0050477D" w:rsidP="00E50D63">
      <w:pPr>
        <w:spacing w:before="120" w:after="120" w:line="360" w:lineRule="auto"/>
        <w:jc w:val="both"/>
        <w:rPr>
          <w:rFonts w:ascii="Times New Roman" w:eastAsia="Times New Roman" w:hAnsi="Times New Roman" w:cs="Times New Roman"/>
          <w:sz w:val="24"/>
          <w:szCs w:val="24"/>
          <w:lang w:val="lv-LV"/>
        </w:rPr>
      </w:pPr>
      <w:r w:rsidRPr="005F0D6C">
        <w:rPr>
          <w:rFonts w:ascii="Times New Roman" w:eastAsia="Times New Roman" w:hAnsi="Times New Roman" w:cs="Times New Roman"/>
          <w:sz w:val="24"/>
          <w:szCs w:val="24"/>
          <w:lang w:val="lv-LV"/>
        </w:rPr>
        <w:t>Iedzīvotāju uzticēšanās valdībai, kas ievieš cilvēktiesību (piemēram, pārvietošanās) ierobežojumus, mājsēdi un sociālo distancēšanos, būs atkarīga no gatavības praktizēt uzvedību, kas aicināta apturēt vīrusa izplatīšanos (</w:t>
      </w:r>
      <w:r w:rsidR="0010280E" w:rsidRPr="005F0D6C">
        <w:rPr>
          <w:rFonts w:ascii="Times New Roman" w:eastAsia="Times New Roman" w:hAnsi="Times New Roman" w:cs="Times New Roman"/>
          <w:sz w:val="24"/>
          <w:szCs w:val="24"/>
          <w:lang w:val="lv-LV"/>
        </w:rPr>
        <w:t>Newton, 2020</w:t>
      </w:r>
      <w:r w:rsidRPr="005F0D6C">
        <w:rPr>
          <w:rFonts w:ascii="Times New Roman" w:eastAsia="Times New Roman" w:hAnsi="Times New Roman" w:cs="Times New Roman"/>
          <w:sz w:val="24"/>
          <w:szCs w:val="24"/>
          <w:lang w:val="lv-LV"/>
        </w:rPr>
        <w:t>)</w:t>
      </w:r>
      <w:r w:rsidR="0010280E" w:rsidRPr="005F0D6C">
        <w:rPr>
          <w:rFonts w:ascii="Times New Roman" w:eastAsia="Times New Roman" w:hAnsi="Times New Roman" w:cs="Times New Roman"/>
          <w:sz w:val="24"/>
          <w:szCs w:val="24"/>
          <w:lang w:val="lv-LV"/>
        </w:rPr>
        <w:t>.</w:t>
      </w:r>
      <w:r w:rsidRPr="005F0D6C">
        <w:rPr>
          <w:rFonts w:ascii="Times New Roman" w:eastAsia="Times New Roman" w:hAnsi="Times New Roman" w:cs="Times New Roman"/>
          <w:sz w:val="24"/>
          <w:szCs w:val="24"/>
          <w:lang w:val="lv-LV"/>
        </w:rPr>
        <w:t xml:space="preserve"> </w:t>
      </w:r>
      <w:r w:rsidR="0010280E" w:rsidRPr="005F0D6C">
        <w:rPr>
          <w:rFonts w:ascii="Times New Roman" w:eastAsia="Times New Roman" w:hAnsi="Times New Roman" w:cs="Times New Roman"/>
          <w:sz w:val="24"/>
          <w:szCs w:val="24"/>
          <w:lang w:val="lv-LV"/>
        </w:rPr>
        <w:t>Kā parāda Lielbritānijas pieredze, izšķiroša loma ir uzticamākas un labāk pamatotās informācijas pieejamība masu medijos par valdības rīcību un sniegumu salīdzinājumā ar citām valstīm. Par neskatoties uz ievērojamu uzticēšanās kritumu tikai dažu nedēļu laikā, Lielbritānijas sabiedrība kopumā ievēroja varas institūciju noteiktos ierobežojumus (turpat).</w:t>
      </w:r>
    </w:p>
    <w:p w14:paraId="1E4AD19D" w14:textId="5C8E0195" w:rsidR="00CF64CB" w:rsidRPr="005F0D6C" w:rsidRDefault="00212B85" w:rsidP="00E50D63">
      <w:pPr>
        <w:spacing w:before="120" w:after="120" w:line="360" w:lineRule="auto"/>
        <w:jc w:val="both"/>
        <w:rPr>
          <w:rFonts w:ascii="Times New Roman" w:eastAsia="Times New Roman" w:hAnsi="Times New Roman" w:cs="Times New Roman"/>
          <w:sz w:val="24"/>
          <w:szCs w:val="24"/>
          <w:lang w:val="lv-LV"/>
        </w:rPr>
      </w:pPr>
      <w:r w:rsidRPr="005F0D6C">
        <w:rPr>
          <w:rFonts w:ascii="Times New Roman" w:eastAsia="Times New Roman" w:hAnsi="Times New Roman" w:cs="Times New Roman"/>
          <w:sz w:val="24"/>
          <w:szCs w:val="24"/>
          <w:lang w:val="lv-LV"/>
        </w:rPr>
        <w:t xml:space="preserve">Pētījums Nīderlandē, kas tika veikts pandēmijas </w:t>
      </w:r>
      <w:r w:rsidRPr="005F0D6C">
        <w:rPr>
          <w:rFonts w:ascii="Times New Roman" w:eastAsia="Times New Roman" w:hAnsi="Times New Roman" w:cs="Times New Roman"/>
          <w:sz w:val="24"/>
          <w:szCs w:val="24"/>
          <w:lang w:val="de-DE"/>
        </w:rPr>
        <w:t xml:space="preserve">sākumā, nekonstatēja politiskās uzticēšanās kritumu ieviestu ierobežojumu dēļ, turklāt slimības izplatīšanās un līdz ar to pieaugoša trauksme īstenībā palielinā sabiedrības uzticēšanos valdībai (Schraff, 2021).  </w:t>
      </w:r>
      <w:r w:rsidR="00CF64CB" w:rsidRPr="005F0D6C">
        <w:rPr>
          <w:rFonts w:ascii="Times New Roman" w:eastAsia="Times New Roman" w:hAnsi="Times New Roman" w:cs="Times New Roman"/>
          <w:sz w:val="24"/>
          <w:szCs w:val="24"/>
        </w:rPr>
        <w:t xml:space="preserve">Garengriezuma tendences liecina par politiskās uzticēšanās līmeņa samazināšanos ilgtermiņā, un lielākoties par šīs parādības iemesliem uzskata ekonomiskās un sociālās krīzes (Torcal and Christmann, 2021).  </w:t>
      </w:r>
    </w:p>
    <w:p w14:paraId="202C8B53" w14:textId="3450A8A7" w:rsidR="00544899" w:rsidRPr="005F0D6C" w:rsidRDefault="00544899" w:rsidP="00E50D63">
      <w:p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Izmantojot paņelpētījuma datus no piecām Eiropas valstīm (Apvienotā Karaliste, Austrija, Francija, Itālija un Vācija), tika secināts, ka bailes no Covid-19 ir saistītas ar lielāku gatavību atteikties no pilsoniskajām brīvībām, lai aizsargātu sabiedrības veselību. Turklāt bailes lika tiem, kas neuzticējās valdībai, mainīt savas domas un atbalstīt gan cilvēku pārvietošanās izsekošanu, gan komandanta stundu ieviešanu (</w:t>
      </w:r>
      <w:r w:rsidR="00E20C8F" w:rsidRPr="005F0D6C">
        <w:rPr>
          <w:rFonts w:ascii="Times New Roman" w:eastAsia="Times New Roman" w:hAnsi="Times New Roman" w:cs="Times New Roman"/>
          <w:color w:val="1C1D1E"/>
          <w:sz w:val="24"/>
          <w:szCs w:val="24"/>
        </w:rPr>
        <w:t>Vasilopoulos et al., 2023</w:t>
      </w:r>
      <w:r w:rsidRPr="005F0D6C">
        <w:rPr>
          <w:rFonts w:ascii="Times New Roman" w:eastAsia="Times New Roman" w:hAnsi="Times New Roman" w:cs="Times New Roman"/>
          <w:sz w:val="24"/>
          <w:szCs w:val="24"/>
        </w:rPr>
        <w:t>)</w:t>
      </w:r>
      <w:r w:rsidR="00E20C8F" w:rsidRPr="005F0D6C">
        <w:rPr>
          <w:rFonts w:ascii="Times New Roman" w:eastAsia="Times New Roman" w:hAnsi="Times New Roman" w:cs="Times New Roman"/>
          <w:sz w:val="24"/>
          <w:szCs w:val="24"/>
        </w:rPr>
        <w:t>.</w:t>
      </w:r>
    </w:p>
    <w:p w14:paraId="3AB02466" w14:textId="59EEA1E7" w:rsidR="00B1784E" w:rsidRPr="005F0D6C" w:rsidRDefault="00726F3A" w:rsidP="00E50D63">
      <w:pPr>
        <w:spacing w:before="120" w:after="120" w:line="360" w:lineRule="auto"/>
        <w:jc w:val="both"/>
        <w:rPr>
          <w:rFonts w:ascii="Times New Roman" w:eastAsia="Times New Roman" w:hAnsi="Times New Roman" w:cs="Times New Roman"/>
          <w:sz w:val="24"/>
          <w:szCs w:val="24"/>
          <w:lang w:val="lv-LV"/>
        </w:rPr>
      </w:pPr>
      <w:r w:rsidRPr="005F0D6C">
        <w:rPr>
          <w:rFonts w:ascii="Times New Roman" w:eastAsia="Times New Roman" w:hAnsi="Times New Roman" w:cs="Times New Roman"/>
          <w:sz w:val="24"/>
          <w:szCs w:val="24"/>
        </w:rPr>
        <w:t>Atbalsts politiskiem lēmumiem un to pie</w:t>
      </w:r>
      <w:r w:rsidRPr="005F0D6C">
        <w:rPr>
          <w:rFonts w:ascii="Times New Roman" w:eastAsia="Times New Roman" w:hAnsi="Times New Roman" w:cs="Times New Roman"/>
          <w:sz w:val="24"/>
          <w:szCs w:val="24"/>
          <w:lang w:val="lv-LV"/>
        </w:rPr>
        <w:t>ņēmējiem, it sevišķi ja šie lēmumu ir saistīti ar riskiem un upuriem, sarūk, ja iedzīvotāji neuzticas politiskajām elitēm. Savā ziņā politiskā uzticēšanās darbojas kā uzvedne, kas palīdz cilvēkiem saprast, vai būs droši un izdevīgi atbalstīt elitu lēmumus (</w:t>
      </w:r>
      <w:r w:rsidR="00B1784E" w:rsidRPr="005F0D6C">
        <w:rPr>
          <w:rFonts w:ascii="Times New Roman" w:eastAsia="Times New Roman" w:hAnsi="Times New Roman" w:cs="Times New Roman"/>
          <w:sz w:val="24"/>
          <w:szCs w:val="24"/>
          <w:lang w:val="lv-LV"/>
        </w:rPr>
        <w:t>Weinberg, 2022</w:t>
      </w:r>
      <w:r w:rsidRPr="005F0D6C">
        <w:rPr>
          <w:rFonts w:ascii="Times New Roman" w:eastAsia="Times New Roman" w:hAnsi="Times New Roman" w:cs="Times New Roman"/>
          <w:sz w:val="24"/>
          <w:szCs w:val="24"/>
          <w:lang w:val="lv-LV"/>
        </w:rPr>
        <w:t>). Pētnieki pielīdzina šo procesu garantiju meklēšanai nenoteiktības apstākļos. Šī iemesla dēļ uzticēšanās nozīme pieaug kritisko norišu laikā, kad valdības lēmumu neievērošana var novest pie infekcijas izplatīša</w:t>
      </w:r>
      <w:r w:rsidR="00B1784E" w:rsidRPr="005F0D6C">
        <w:rPr>
          <w:rFonts w:ascii="Times New Roman" w:eastAsia="Times New Roman" w:hAnsi="Times New Roman" w:cs="Times New Roman"/>
          <w:sz w:val="24"/>
          <w:szCs w:val="24"/>
          <w:lang w:val="lv-LV"/>
        </w:rPr>
        <w:t>n</w:t>
      </w:r>
      <w:r w:rsidRPr="005F0D6C">
        <w:rPr>
          <w:rFonts w:ascii="Times New Roman" w:eastAsia="Times New Roman" w:hAnsi="Times New Roman" w:cs="Times New Roman"/>
          <w:sz w:val="24"/>
          <w:szCs w:val="24"/>
          <w:lang w:val="lv-LV"/>
        </w:rPr>
        <w:t>os un maksāt dzīvības (turpat).</w:t>
      </w:r>
    </w:p>
    <w:p w14:paraId="725D3FEC" w14:textId="1D7BBA28" w:rsidR="00AC6C8E" w:rsidRPr="005F0D6C" w:rsidRDefault="00AC6C8E" w:rsidP="00E50D63">
      <w:pPr>
        <w:spacing w:before="120" w:after="120" w:line="360" w:lineRule="auto"/>
        <w:jc w:val="both"/>
        <w:rPr>
          <w:rFonts w:ascii="Times New Roman" w:eastAsia="Times New Roman" w:hAnsi="Times New Roman" w:cs="Times New Roman"/>
          <w:b/>
          <w:i/>
          <w:sz w:val="24"/>
          <w:szCs w:val="24"/>
          <w:lang w:val="lv-LV"/>
        </w:rPr>
      </w:pPr>
      <w:r w:rsidRPr="005F0D6C">
        <w:rPr>
          <w:rFonts w:ascii="Times New Roman" w:eastAsia="Times New Roman" w:hAnsi="Times New Roman" w:cs="Times New Roman"/>
          <w:b/>
          <w:i/>
          <w:sz w:val="24"/>
          <w:szCs w:val="24"/>
          <w:lang w:val="lv-LV"/>
        </w:rPr>
        <w:lastRenderedPageBreak/>
        <w:t>Pētnieciskie jautājumi</w:t>
      </w:r>
    </w:p>
    <w:p w14:paraId="2FE4AF73" w14:textId="0243275E" w:rsidR="0000287D" w:rsidRPr="005F0D6C" w:rsidRDefault="0056600D" w:rsidP="00E50D63">
      <w:pPr>
        <w:spacing w:before="120" w:after="120" w:line="360" w:lineRule="auto"/>
        <w:jc w:val="both"/>
        <w:rPr>
          <w:rFonts w:ascii="Times New Roman" w:eastAsia="Times New Roman" w:hAnsi="Times New Roman" w:cs="Times New Roman"/>
          <w:sz w:val="24"/>
          <w:szCs w:val="24"/>
          <w:lang w:val="lv-LV"/>
        </w:rPr>
      </w:pPr>
      <w:r w:rsidRPr="005F0D6C">
        <w:rPr>
          <w:rFonts w:ascii="Times New Roman" w:eastAsia="Times New Roman" w:hAnsi="Times New Roman" w:cs="Times New Roman"/>
          <w:sz w:val="24"/>
          <w:szCs w:val="24"/>
          <w:lang w:val="lv-LV"/>
        </w:rPr>
        <w:t>Politiskā uzticēšanās ir daudzdimensionāla parādība</w:t>
      </w:r>
      <w:r w:rsidR="0000287D" w:rsidRPr="005F0D6C">
        <w:rPr>
          <w:rFonts w:ascii="Times New Roman" w:eastAsia="Times New Roman" w:hAnsi="Times New Roman" w:cs="Times New Roman"/>
          <w:sz w:val="24"/>
          <w:szCs w:val="24"/>
          <w:lang w:val="lv-LV"/>
        </w:rPr>
        <w:t xml:space="preserve"> (Choi et al., 2023; Wroe, 2013). Empīriskajos pētījumos</w:t>
      </w:r>
      <w:r w:rsidR="0014081D" w:rsidRPr="005F0D6C">
        <w:rPr>
          <w:rFonts w:ascii="Times New Roman" w:eastAsia="Times New Roman" w:hAnsi="Times New Roman" w:cs="Times New Roman"/>
          <w:sz w:val="24"/>
          <w:szCs w:val="24"/>
          <w:lang w:val="lv-LV"/>
        </w:rPr>
        <w:t>,</w:t>
      </w:r>
      <w:r w:rsidR="0000287D" w:rsidRPr="005F0D6C">
        <w:rPr>
          <w:rFonts w:ascii="Times New Roman" w:eastAsia="Times New Roman" w:hAnsi="Times New Roman" w:cs="Times New Roman"/>
          <w:sz w:val="24"/>
          <w:szCs w:val="24"/>
          <w:lang w:val="lv-LV"/>
        </w:rPr>
        <w:t xml:space="preserve"> tai skaitā vairākvalstu salīdzinošajos apsekojumos respondentiem jautā par uzticēšanos svarīgākajām institūcijām, tādām, kā nacionāls parlaments, tiesu vara, politiskās partijas un citi. Jo plašāks ir institūciju skaits, kurus pētnieki vēlas ņemt vērā, analizējot uzticēšanos, jo aktuālāk kļūst jautājums par to, </w:t>
      </w:r>
      <w:r w:rsidR="0014081D" w:rsidRPr="005F0D6C">
        <w:rPr>
          <w:rFonts w:ascii="Times New Roman" w:eastAsia="Times New Roman" w:hAnsi="Times New Roman" w:cs="Times New Roman"/>
          <w:sz w:val="24"/>
          <w:szCs w:val="24"/>
          <w:lang w:val="lv-LV"/>
        </w:rPr>
        <w:t>cik kādās dimensijās apvienojas konkrēti</w:t>
      </w:r>
      <w:r w:rsidR="004E21E6" w:rsidRPr="005F0D6C">
        <w:rPr>
          <w:rFonts w:ascii="Times New Roman" w:eastAsia="Times New Roman" w:hAnsi="Times New Roman" w:cs="Times New Roman"/>
          <w:sz w:val="24"/>
          <w:szCs w:val="24"/>
          <w:lang w:val="lv-LV"/>
        </w:rPr>
        <w:t xml:space="preserve">e uzticēšanās objekti. Ņemot vērā, ka mums pieejamās Latvijas iedzīvotāju aptaujas dati satur atbildes par 11 institūcijām (to sarakstu sk. metodoloģijas nodaļā), </w:t>
      </w:r>
      <w:r w:rsidR="004E21E6" w:rsidRPr="005F0D6C">
        <w:rPr>
          <w:rFonts w:ascii="Times New Roman" w:eastAsia="Times New Roman" w:hAnsi="Times New Roman" w:cs="Times New Roman"/>
          <w:b/>
          <w:sz w:val="24"/>
          <w:szCs w:val="24"/>
          <w:lang w:val="lv-LV"/>
        </w:rPr>
        <w:t>pirmais</w:t>
      </w:r>
      <w:r w:rsidR="004E21E6" w:rsidRPr="005F0D6C">
        <w:rPr>
          <w:rFonts w:ascii="Times New Roman" w:eastAsia="Times New Roman" w:hAnsi="Times New Roman" w:cs="Times New Roman"/>
          <w:sz w:val="24"/>
          <w:szCs w:val="24"/>
          <w:lang w:val="lv-LV"/>
        </w:rPr>
        <w:t xml:space="preserve"> izvirzāmais </w:t>
      </w:r>
      <w:r w:rsidR="004E21E6" w:rsidRPr="005F0D6C">
        <w:rPr>
          <w:rFonts w:ascii="Times New Roman" w:eastAsia="Times New Roman" w:hAnsi="Times New Roman" w:cs="Times New Roman"/>
          <w:b/>
          <w:sz w:val="24"/>
          <w:szCs w:val="24"/>
          <w:lang w:val="lv-LV"/>
        </w:rPr>
        <w:t>pētnieciskais jautājums</w:t>
      </w:r>
      <w:r w:rsidR="004E21E6" w:rsidRPr="005F0D6C">
        <w:rPr>
          <w:rFonts w:ascii="Times New Roman" w:eastAsia="Times New Roman" w:hAnsi="Times New Roman" w:cs="Times New Roman"/>
          <w:sz w:val="24"/>
          <w:szCs w:val="24"/>
          <w:lang w:val="lv-LV"/>
        </w:rPr>
        <w:t xml:space="preserve"> ir: kurās dimensijās apvienojas Latvijas respondenti uzticēšanās paveidi, kuru objekti ir dažādas valsts pārvaldes institūcijas un starptautiskās organizācijas, kuru dalībvalsts ir Latvija?</w:t>
      </w:r>
    </w:p>
    <w:p w14:paraId="4F1981EF" w14:textId="223B4574" w:rsidR="004E21E6" w:rsidRPr="005F0D6C" w:rsidRDefault="004E21E6" w:rsidP="00E50D63">
      <w:pPr>
        <w:spacing w:before="120" w:after="120" w:line="360" w:lineRule="auto"/>
        <w:jc w:val="both"/>
        <w:rPr>
          <w:rFonts w:ascii="Times New Roman" w:eastAsia="Times New Roman" w:hAnsi="Times New Roman" w:cs="Times New Roman"/>
          <w:sz w:val="24"/>
          <w:szCs w:val="24"/>
          <w:lang w:val="lv-LV"/>
        </w:rPr>
      </w:pPr>
      <w:r w:rsidRPr="005F0D6C">
        <w:rPr>
          <w:rFonts w:ascii="Times New Roman" w:eastAsia="Times New Roman" w:hAnsi="Times New Roman" w:cs="Times New Roman"/>
          <w:sz w:val="24"/>
          <w:szCs w:val="24"/>
          <w:lang w:val="lv-LV"/>
        </w:rPr>
        <w:t xml:space="preserve">Politiskās uzticēšanās pētījumos pastāv ievērojama tradīcija </w:t>
      </w:r>
      <w:r w:rsidR="00855F33" w:rsidRPr="005F0D6C">
        <w:rPr>
          <w:rFonts w:ascii="Times New Roman" w:eastAsia="Times New Roman" w:hAnsi="Times New Roman" w:cs="Times New Roman"/>
          <w:sz w:val="24"/>
          <w:szCs w:val="24"/>
          <w:lang w:val="lv-LV"/>
        </w:rPr>
        <w:t>aplūkot to kā varas</w:t>
      </w:r>
      <w:r w:rsidR="00A25029" w:rsidRPr="005F0D6C">
        <w:rPr>
          <w:rFonts w:ascii="Times New Roman" w:eastAsia="Times New Roman" w:hAnsi="Times New Roman" w:cs="Times New Roman"/>
          <w:sz w:val="24"/>
          <w:szCs w:val="24"/>
          <w:lang w:val="lv-LV"/>
        </w:rPr>
        <w:t xml:space="preserve"> institūciju veikuma indikatoru</w:t>
      </w:r>
      <w:r w:rsidR="00855F33" w:rsidRPr="005F0D6C">
        <w:rPr>
          <w:rFonts w:ascii="Times New Roman" w:eastAsia="Times New Roman" w:hAnsi="Times New Roman" w:cs="Times New Roman"/>
          <w:sz w:val="24"/>
          <w:szCs w:val="24"/>
          <w:lang w:val="lv-LV"/>
        </w:rPr>
        <w:t xml:space="preserve"> vai pētīt tās korelācijas un, iespējams, atkarību no apmierinātības ar institūciju darbu vai ar stāvokli nozarēs, kuras atr</w:t>
      </w:r>
      <w:r w:rsidR="00A25029" w:rsidRPr="005F0D6C">
        <w:rPr>
          <w:rFonts w:ascii="Times New Roman" w:eastAsia="Times New Roman" w:hAnsi="Times New Roman" w:cs="Times New Roman"/>
          <w:sz w:val="24"/>
          <w:szCs w:val="24"/>
          <w:lang w:val="lv-LV"/>
        </w:rPr>
        <w:t>odas šo institūciju pārraudzībā</w:t>
      </w:r>
      <w:r w:rsidR="00855F33" w:rsidRPr="005F0D6C">
        <w:rPr>
          <w:rFonts w:ascii="Times New Roman" w:eastAsia="Times New Roman" w:hAnsi="Times New Roman" w:cs="Times New Roman"/>
          <w:sz w:val="24"/>
          <w:szCs w:val="24"/>
          <w:lang w:val="lv-LV"/>
        </w:rPr>
        <w:t>.</w:t>
      </w:r>
      <w:r w:rsidR="009728C3" w:rsidRPr="005F0D6C">
        <w:rPr>
          <w:rFonts w:ascii="Times New Roman" w:eastAsia="Times New Roman" w:hAnsi="Times New Roman" w:cs="Times New Roman"/>
          <w:sz w:val="24"/>
          <w:szCs w:val="24"/>
          <w:lang w:val="lv-LV"/>
        </w:rPr>
        <w:t xml:space="preserve"> Tāpēc </w:t>
      </w:r>
      <w:r w:rsidR="009728C3" w:rsidRPr="005F0D6C">
        <w:rPr>
          <w:rFonts w:ascii="Times New Roman" w:eastAsia="Times New Roman" w:hAnsi="Times New Roman" w:cs="Times New Roman"/>
          <w:b/>
          <w:sz w:val="24"/>
          <w:szCs w:val="24"/>
          <w:lang w:val="lv-LV"/>
        </w:rPr>
        <w:t>otrs pētnieciskais jautājums</w:t>
      </w:r>
      <w:r w:rsidR="009728C3" w:rsidRPr="005F0D6C">
        <w:rPr>
          <w:rFonts w:ascii="Times New Roman" w:eastAsia="Times New Roman" w:hAnsi="Times New Roman" w:cs="Times New Roman"/>
          <w:sz w:val="24"/>
          <w:szCs w:val="24"/>
          <w:lang w:val="lv-LV"/>
        </w:rPr>
        <w:t xml:space="preserve"> ir: kurās dimensijās apvienojas Latvijas respondentu vērtējumi dažādu sociālo, politisko un ekonomisko jomu stāvoklim? Savukārt </w:t>
      </w:r>
      <w:r w:rsidR="009728C3" w:rsidRPr="005F0D6C">
        <w:rPr>
          <w:rFonts w:ascii="Times New Roman" w:eastAsia="Times New Roman" w:hAnsi="Times New Roman" w:cs="Times New Roman"/>
          <w:b/>
          <w:sz w:val="24"/>
          <w:szCs w:val="24"/>
          <w:lang w:val="lv-LV"/>
        </w:rPr>
        <w:t>trešais pētnieciskais jautājums</w:t>
      </w:r>
      <w:r w:rsidR="009728C3" w:rsidRPr="005F0D6C">
        <w:rPr>
          <w:rFonts w:ascii="Times New Roman" w:eastAsia="Times New Roman" w:hAnsi="Times New Roman" w:cs="Times New Roman"/>
          <w:sz w:val="24"/>
          <w:szCs w:val="24"/>
          <w:lang w:val="lv-LV"/>
        </w:rPr>
        <w:t xml:space="preserve"> ir: kāda ir sakarība starp uzticēšanos politiskajām institūcijām un apmierinātību ar lietu stāvokli Latvijas Republikā?</w:t>
      </w:r>
    </w:p>
    <w:p w14:paraId="0AC03BE1" w14:textId="7955223D" w:rsidR="00EE1E15" w:rsidRPr="005F0D6C" w:rsidRDefault="00EE1E15" w:rsidP="00E50D63">
      <w:pPr>
        <w:spacing w:before="120" w:after="120" w:line="360" w:lineRule="auto"/>
        <w:jc w:val="both"/>
        <w:rPr>
          <w:rFonts w:ascii="Times New Roman" w:eastAsia="Times New Roman" w:hAnsi="Times New Roman" w:cs="Times New Roman"/>
          <w:sz w:val="24"/>
          <w:szCs w:val="24"/>
          <w:lang w:val="lv-LV"/>
        </w:rPr>
      </w:pPr>
      <w:r w:rsidRPr="005F0D6C">
        <w:rPr>
          <w:rFonts w:ascii="Times New Roman" w:eastAsia="Times New Roman" w:hAnsi="Times New Roman" w:cs="Times New Roman"/>
          <w:sz w:val="24"/>
          <w:szCs w:val="24"/>
          <w:lang w:val="lv-LV"/>
        </w:rPr>
        <w:t xml:space="preserve">Visbeidzot, </w:t>
      </w:r>
      <w:r w:rsidR="0061709C" w:rsidRPr="005F0D6C">
        <w:rPr>
          <w:rFonts w:ascii="Times New Roman" w:eastAsia="Times New Roman" w:hAnsi="Times New Roman" w:cs="Times New Roman"/>
          <w:sz w:val="24"/>
          <w:szCs w:val="24"/>
          <w:lang w:val="lv-LV"/>
        </w:rPr>
        <w:t>atsaucoties uz Lalot et al.</w:t>
      </w:r>
      <w:r w:rsidR="0061709C" w:rsidRPr="005F0D6C">
        <w:rPr>
          <w:rFonts w:ascii="Times New Roman" w:eastAsia="Times New Roman" w:hAnsi="Times New Roman" w:cs="Times New Roman"/>
          <w:sz w:val="24"/>
          <w:szCs w:val="24"/>
          <w:lang w:val="lv-LV"/>
        </w:rPr>
        <w:t xml:space="preserve"> </w:t>
      </w:r>
      <w:r w:rsidR="0061709C" w:rsidRPr="005F0D6C">
        <w:rPr>
          <w:rFonts w:ascii="Times New Roman" w:eastAsia="Times New Roman" w:hAnsi="Times New Roman" w:cs="Times New Roman"/>
          <w:sz w:val="24"/>
          <w:szCs w:val="24"/>
          <w:lang w:val="lv-LV"/>
        </w:rPr>
        <w:t>(</w:t>
      </w:r>
      <w:r w:rsidR="0061709C" w:rsidRPr="005F0D6C">
        <w:rPr>
          <w:rFonts w:ascii="Times New Roman" w:eastAsia="Times New Roman" w:hAnsi="Times New Roman" w:cs="Times New Roman"/>
          <w:sz w:val="24"/>
          <w:szCs w:val="24"/>
          <w:lang w:val="lv-LV"/>
        </w:rPr>
        <w:t>2020</w:t>
      </w:r>
      <w:r w:rsidR="0061709C" w:rsidRPr="005F0D6C">
        <w:rPr>
          <w:rFonts w:ascii="Times New Roman" w:eastAsia="Times New Roman" w:hAnsi="Times New Roman" w:cs="Times New Roman"/>
          <w:sz w:val="24"/>
          <w:szCs w:val="24"/>
          <w:lang w:val="lv-LV"/>
        </w:rPr>
        <w:t>) un Newton</w:t>
      </w:r>
      <w:r w:rsidR="0061709C" w:rsidRPr="005F0D6C">
        <w:rPr>
          <w:rFonts w:ascii="Times New Roman" w:eastAsia="Times New Roman" w:hAnsi="Times New Roman" w:cs="Times New Roman"/>
          <w:sz w:val="24"/>
          <w:szCs w:val="24"/>
          <w:lang w:val="lv-LV"/>
        </w:rPr>
        <w:t xml:space="preserve"> </w:t>
      </w:r>
      <w:r w:rsidR="0061709C" w:rsidRPr="005F0D6C">
        <w:rPr>
          <w:rFonts w:ascii="Times New Roman" w:eastAsia="Times New Roman" w:hAnsi="Times New Roman" w:cs="Times New Roman"/>
          <w:sz w:val="24"/>
          <w:szCs w:val="24"/>
          <w:lang w:val="lv-LV"/>
        </w:rPr>
        <w:t>(</w:t>
      </w:r>
      <w:r w:rsidR="0061709C" w:rsidRPr="005F0D6C">
        <w:rPr>
          <w:rFonts w:ascii="Times New Roman" w:eastAsia="Times New Roman" w:hAnsi="Times New Roman" w:cs="Times New Roman"/>
          <w:sz w:val="24"/>
          <w:szCs w:val="24"/>
          <w:lang w:val="lv-LV"/>
        </w:rPr>
        <w:t>2020</w:t>
      </w:r>
      <w:r w:rsidR="0061709C" w:rsidRPr="005F0D6C">
        <w:rPr>
          <w:rFonts w:ascii="Times New Roman" w:eastAsia="Times New Roman" w:hAnsi="Times New Roman" w:cs="Times New Roman"/>
          <w:sz w:val="24"/>
          <w:szCs w:val="24"/>
          <w:lang w:val="lv-LV"/>
        </w:rPr>
        <w:t xml:space="preserve">) atziņām par cilvēku gatavību pakļauties noteiktiem ierobežojumiem, izvirzāms arī </w:t>
      </w:r>
      <w:r w:rsidRPr="005F0D6C">
        <w:rPr>
          <w:rFonts w:ascii="Times New Roman" w:eastAsia="Times New Roman" w:hAnsi="Times New Roman" w:cs="Times New Roman"/>
          <w:b/>
          <w:sz w:val="24"/>
          <w:szCs w:val="24"/>
          <w:lang w:val="lv-LV"/>
        </w:rPr>
        <w:t>ceturtais pētnieciskais jautājums</w:t>
      </w:r>
      <w:r w:rsidR="0061709C" w:rsidRPr="005F0D6C">
        <w:rPr>
          <w:rFonts w:ascii="Times New Roman" w:eastAsia="Times New Roman" w:hAnsi="Times New Roman" w:cs="Times New Roman"/>
          <w:sz w:val="24"/>
          <w:szCs w:val="24"/>
          <w:lang w:val="lv-LV"/>
        </w:rPr>
        <w:t>: kā uzticēšanās korelē ar noteiktu prioritāšu izvēli pandēmijas apkarošanas apstākļos – vai cilvēki pandēmijas laikā izvēlas sabiedrības veselības saglabāšanu vai ekonomikas attīstību, sabiedrības uzraudzību vai izsekošanu vai privātuma nodrošināšanu, kā arī vai uzskatīt par prioritāti stingrāk ievērot valdības notikumus vai pieņemt savus lēmumus cīņā ar pandēmiju?</w:t>
      </w:r>
    </w:p>
    <w:p w14:paraId="116040F8" w14:textId="77777777" w:rsidR="00EE1E15" w:rsidRPr="005F0D6C" w:rsidRDefault="00EE1E15" w:rsidP="00E50D63">
      <w:pPr>
        <w:spacing w:before="120" w:after="120" w:line="360" w:lineRule="auto"/>
        <w:jc w:val="both"/>
        <w:rPr>
          <w:rFonts w:ascii="Times New Roman" w:eastAsia="Times New Roman" w:hAnsi="Times New Roman" w:cs="Times New Roman"/>
          <w:sz w:val="24"/>
          <w:szCs w:val="24"/>
          <w:lang w:val="lv-LV"/>
        </w:rPr>
      </w:pPr>
    </w:p>
    <w:p w14:paraId="4F516308" w14:textId="0050F73D" w:rsidR="002F409D" w:rsidRPr="005F0D6C" w:rsidRDefault="002F409D" w:rsidP="00E50D63">
      <w:pPr>
        <w:spacing w:before="120" w:after="120" w:line="360" w:lineRule="auto"/>
        <w:jc w:val="both"/>
        <w:rPr>
          <w:rFonts w:ascii="Times New Roman" w:eastAsia="Times New Roman" w:hAnsi="Times New Roman" w:cs="Times New Roman"/>
          <w:sz w:val="24"/>
          <w:szCs w:val="24"/>
          <w:lang w:val="lv-LV"/>
        </w:rPr>
      </w:pPr>
    </w:p>
    <w:p w14:paraId="360B1792" w14:textId="77777777" w:rsidR="0061709C" w:rsidRPr="005F0D6C" w:rsidRDefault="0061709C">
      <w:pPr>
        <w:rPr>
          <w:rFonts w:ascii="Times New Roman" w:eastAsia="Times New Roman" w:hAnsi="Times New Roman" w:cs="Times New Roman"/>
          <w:b/>
          <w:sz w:val="24"/>
          <w:szCs w:val="24"/>
          <w:lang w:val="lv-LV"/>
        </w:rPr>
      </w:pPr>
      <w:r w:rsidRPr="005F0D6C">
        <w:rPr>
          <w:rFonts w:ascii="Times New Roman" w:eastAsia="Times New Roman" w:hAnsi="Times New Roman" w:cs="Times New Roman"/>
          <w:b/>
          <w:sz w:val="24"/>
          <w:szCs w:val="24"/>
          <w:lang w:val="lv-LV"/>
        </w:rPr>
        <w:br w:type="page"/>
      </w:r>
    </w:p>
    <w:p w14:paraId="3D297DA8" w14:textId="520F7512" w:rsidR="002F409D" w:rsidRPr="005F0D6C" w:rsidRDefault="00AC6C8E" w:rsidP="00E50D63">
      <w:pPr>
        <w:spacing w:before="120" w:after="120" w:line="360" w:lineRule="auto"/>
        <w:jc w:val="both"/>
        <w:rPr>
          <w:rFonts w:ascii="Times New Roman" w:eastAsia="Times New Roman" w:hAnsi="Times New Roman" w:cs="Times New Roman"/>
          <w:b/>
          <w:sz w:val="24"/>
          <w:szCs w:val="24"/>
          <w:lang w:val="lv-LV"/>
        </w:rPr>
      </w:pPr>
      <w:r w:rsidRPr="005F0D6C">
        <w:rPr>
          <w:rFonts w:ascii="Times New Roman" w:eastAsia="Times New Roman" w:hAnsi="Times New Roman" w:cs="Times New Roman"/>
          <w:b/>
          <w:sz w:val="24"/>
          <w:szCs w:val="24"/>
          <w:lang w:val="lv-LV"/>
        </w:rPr>
        <w:lastRenderedPageBreak/>
        <w:t>Metodoloģija</w:t>
      </w:r>
    </w:p>
    <w:p w14:paraId="2C78FC59" w14:textId="3C447E01" w:rsidR="00B2613D" w:rsidRPr="005F0D6C" w:rsidRDefault="00B2613D" w:rsidP="00E50D63">
      <w:pPr>
        <w:spacing w:before="120" w:after="120" w:line="360" w:lineRule="auto"/>
        <w:jc w:val="both"/>
        <w:rPr>
          <w:rFonts w:ascii="Times New Roman" w:eastAsia="Times New Roman" w:hAnsi="Times New Roman" w:cs="Times New Roman"/>
          <w:sz w:val="24"/>
          <w:szCs w:val="24"/>
          <w:lang w:val="lv-LV"/>
        </w:rPr>
      </w:pPr>
      <w:r w:rsidRPr="005F0D6C">
        <w:rPr>
          <w:rFonts w:ascii="Times New Roman" w:eastAsia="Times New Roman" w:hAnsi="Times New Roman" w:cs="Times New Roman"/>
          <w:sz w:val="24"/>
          <w:szCs w:val="24"/>
          <w:lang w:val="lv-LV"/>
        </w:rPr>
        <w:t>Pētījumā analizētie dati nāk no Latvijas iedzīvotāju reprezentatīvās aptaujas, kuru 2023. gada martā (no 3. līdz 15. datumam) pēc Latvijas Universitātes pasūtījuma veica SKDS pētījumu centrs. Ņemot vērā to, ka aptauja fokusējās lielākoties uz balsošanu vēlēšanās un ar to korelējošiem faktoriem, izlasē (N = 1016) tika iekļauti tikai Latvijas pilsoņi vecumā no 18 gadiem bez augšējās robežas. Izlases veids bija nejaušs, stratificēts, veicot stratifikāciju pēc administratīvi teritoriālajām pazīmēm. Dati tika savākti, veicot klātienes intervijas ar respondentiem viņu dzīvesvietās. Anketa tika sagatavota latviešu un krievu valodā un intervijas notika vienā no šīm valodām pēc respondenta izvēles.</w:t>
      </w:r>
    </w:p>
    <w:p w14:paraId="5E051090" w14:textId="4C392F5E" w:rsidR="002F409D" w:rsidRPr="005F0D6C" w:rsidRDefault="00B2613D" w:rsidP="00E50D63">
      <w:pPr>
        <w:spacing w:before="120" w:after="120" w:line="360" w:lineRule="auto"/>
        <w:jc w:val="both"/>
        <w:rPr>
          <w:rFonts w:ascii="Times New Roman" w:eastAsia="Times New Roman" w:hAnsi="Times New Roman" w:cs="Times New Roman"/>
          <w:sz w:val="24"/>
          <w:szCs w:val="24"/>
          <w:lang w:val="lv-LV"/>
        </w:rPr>
      </w:pPr>
      <w:r w:rsidRPr="005F0D6C">
        <w:rPr>
          <w:rFonts w:ascii="Times New Roman" w:eastAsia="Times New Roman" w:hAnsi="Times New Roman" w:cs="Times New Roman"/>
          <w:sz w:val="24"/>
          <w:szCs w:val="24"/>
          <w:lang w:val="lv-LV"/>
        </w:rPr>
        <w:t xml:space="preserve">Lai atbildētu uz </w:t>
      </w:r>
      <w:r w:rsidR="00FC351B" w:rsidRPr="005F0D6C">
        <w:rPr>
          <w:rFonts w:ascii="Times New Roman" w:eastAsia="Times New Roman" w:hAnsi="Times New Roman" w:cs="Times New Roman"/>
          <w:sz w:val="24"/>
          <w:szCs w:val="24"/>
          <w:lang w:val="lv-LV"/>
        </w:rPr>
        <w:t>1. un 2. pētniecisko jautājumu</w:t>
      </w:r>
      <w:r w:rsidRPr="005F0D6C">
        <w:rPr>
          <w:rFonts w:ascii="Times New Roman" w:eastAsia="Times New Roman" w:hAnsi="Times New Roman" w:cs="Times New Roman"/>
          <w:sz w:val="24"/>
          <w:szCs w:val="24"/>
          <w:lang w:val="lv-LV"/>
        </w:rPr>
        <w:t xml:space="preserve">, </w:t>
      </w:r>
      <w:r w:rsidR="00810835" w:rsidRPr="005F0D6C">
        <w:rPr>
          <w:rFonts w:ascii="Times New Roman" w:eastAsia="Times New Roman" w:hAnsi="Times New Roman" w:cs="Times New Roman"/>
          <w:sz w:val="24"/>
          <w:szCs w:val="24"/>
          <w:lang w:val="lv-LV"/>
        </w:rPr>
        <w:t xml:space="preserve">kā analīzes pamatmetodi </w:t>
      </w:r>
      <w:r w:rsidRPr="005F0D6C">
        <w:rPr>
          <w:rFonts w:ascii="Times New Roman" w:eastAsia="Times New Roman" w:hAnsi="Times New Roman" w:cs="Times New Roman"/>
          <w:sz w:val="24"/>
          <w:szCs w:val="24"/>
          <w:lang w:val="lv-LV"/>
        </w:rPr>
        <w:t>esam izmantojuši galveno komponenšu analīzes metodi (</w:t>
      </w:r>
      <w:r w:rsidRPr="005F0D6C">
        <w:rPr>
          <w:rFonts w:ascii="Times New Roman" w:eastAsia="Times New Roman" w:hAnsi="Times New Roman" w:cs="Times New Roman"/>
          <w:i/>
          <w:sz w:val="24"/>
          <w:szCs w:val="24"/>
          <w:lang w:val="lv-LV"/>
        </w:rPr>
        <w:t>Principal Component Analysis</w:t>
      </w:r>
      <w:r w:rsidR="007E46CB" w:rsidRPr="005F0D6C">
        <w:rPr>
          <w:rFonts w:ascii="Times New Roman" w:eastAsia="Times New Roman" w:hAnsi="Times New Roman" w:cs="Times New Roman"/>
          <w:sz w:val="24"/>
          <w:szCs w:val="24"/>
          <w:lang w:val="lv-LV"/>
        </w:rPr>
        <w:t xml:space="preserve"> jēb saīsināti PCA</w:t>
      </w:r>
      <w:r w:rsidRPr="005F0D6C">
        <w:rPr>
          <w:rFonts w:ascii="Times New Roman" w:eastAsia="Times New Roman" w:hAnsi="Times New Roman" w:cs="Times New Roman"/>
          <w:sz w:val="24"/>
          <w:szCs w:val="24"/>
          <w:lang w:val="lv-LV"/>
        </w:rPr>
        <w:t>), kas pieder pie faktoru analīzes (</w:t>
      </w:r>
      <w:r w:rsidRPr="005F0D6C">
        <w:rPr>
          <w:rFonts w:ascii="Times New Roman" w:eastAsia="Times New Roman" w:hAnsi="Times New Roman" w:cs="Times New Roman"/>
          <w:i/>
          <w:sz w:val="24"/>
          <w:szCs w:val="24"/>
          <w:lang w:val="lv-LV"/>
        </w:rPr>
        <w:t>Factor Analysis</w:t>
      </w:r>
      <w:r w:rsidRPr="005F0D6C">
        <w:rPr>
          <w:rFonts w:ascii="Times New Roman" w:eastAsia="Times New Roman" w:hAnsi="Times New Roman" w:cs="Times New Roman"/>
          <w:sz w:val="24"/>
          <w:szCs w:val="24"/>
          <w:lang w:val="lv-LV"/>
        </w:rPr>
        <w:t>) metožu saimes.</w:t>
      </w:r>
      <w:r w:rsidR="007E46CB" w:rsidRPr="005F0D6C">
        <w:rPr>
          <w:rFonts w:ascii="Times New Roman" w:eastAsia="Times New Roman" w:hAnsi="Times New Roman" w:cs="Times New Roman"/>
          <w:sz w:val="24"/>
          <w:szCs w:val="24"/>
          <w:lang w:val="lv-LV"/>
        </w:rPr>
        <w:t xml:space="preserve"> </w:t>
      </w:r>
      <w:r w:rsidR="0007677F" w:rsidRPr="005F0D6C">
        <w:rPr>
          <w:rFonts w:ascii="Times New Roman" w:eastAsia="Times New Roman" w:hAnsi="Times New Roman" w:cs="Times New Roman"/>
          <w:sz w:val="24"/>
          <w:szCs w:val="24"/>
          <w:lang w:val="lv-LV"/>
        </w:rPr>
        <w:t>Tā ļauj reducēt atbildes uz daudziem vienveidīgiem jautājumiem līdz dažām dimensijām jeb faktoriem, kas nav tiešā veidā novērojamas, aprēķinot sakarības (tā saucamās faktorslodzes) starp katru jautājumu un latento faktoru, kuram tas pieder saskaņā ar datu struktūru. Šajā ziņā faktoru analīze vadās vairāk no empīrisko datu struktūras un sadalījuma (</w:t>
      </w:r>
      <w:r w:rsidR="0007677F" w:rsidRPr="005F0D6C">
        <w:rPr>
          <w:rFonts w:ascii="Times New Roman" w:eastAsia="Times New Roman" w:hAnsi="Times New Roman" w:cs="Times New Roman"/>
          <w:i/>
          <w:sz w:val="24"/>
          <w:szCs w:val="24"/>
          <w:lang w:val="lv-LV"/>
        </w:rPr>
        <w:t>data-driven</w:t>
      </w:r>
      <w:r w:rsidR="0007677F" w:rsidRPr="005F0D6C">
        <w:rPr>
          <w:rFonts w:ascii="Times New Roman" w:eastAsia="Times New Roman" w:hAnsi="Times New Roman" w:cs="Times New Roman"/>
          <w:sz w:val="24"/>
          <w:szCs w:val="24"/>
          <w:lang w:val="lv-LV"/>
        </w:rPr>
        <w:t>), nekā no iepriekšējās teorijās iesakņotajām hipotēzēm (</w:t>
      </w:r>
      <w:r w:rsidR="0007677F" w:rsidRPr="005F0D6C">
        <w:rPr>
          <w:rFonts w:ascii="Times New Roman" w:eastAsia="Times New Roman" w:hAnsi="Times New Roman" w:cs="Times New Roman"/>
          <w:i/>
          <w:sz w:val="24"/>
          <w:szCs w:val="24"/>
          <w:lang w:val="lv-LV"/>
        </w:rPr>
        <w:t>theory-driven</w:t>
      </w:r>
      <w:r w:rsidR="0007677F" w:rsidRPr="005F0D6C">
        <w:rPr>
          <w:rFonts w:ascii="Times New Roman" w:eastAsia="Times New Roman" w:hAnsi="Times New Roman" w:cs="Times New Roman"/>
          <w:sz w:val="24"/>
          <w:szCs w:val="24"/>
          <w:lang w:val="lv-LV"/>
        </w:rPr>
        <w:t>).</w:t>
      </w:r>
    </w:p>
    <w:p w14:paraId="4353072B" w14:textId="262D05DF" w:rsidR="00810835" w:rsidRPr="005F0D6C" w:rsidRDefault="00810835" w:rsidP="00E50D63">
      <w:pPr>
        <w:spacing w:before="120" w:after="120" w:line="360" w:lineRule="auto"/>
        <w:jc w:val="both"/>
        <w:rPr>
          <w:rFonts w:ascii="Times New Roman" w:eastAsia="Times New Roman" w:hAnsi="Times New Roman" w:cs="Times New Roman"/>
          <w:sz w:val="24"/>
          <w:szCs w:val="24"/>
          <w:lang w:val="lv-LV"/>
        </w:rPr>
      </w:pPr>
      <w:r w:rsidRPr="005F0D6C">
        <w:rPr>
          <w:rFonts w:ascii="Times New Roman" w:eastAsia="Times New Roman" w:hAnsi="Times New Roman" w:cs="Times New Roman"/>
          <w:sz w:val="24"/>
          <w:szCs w:val="24"/>
          <w:lang w:val="lv-LV"/>
        </w:rPr>
        <w:t>Pirmā pētnieciskā jautājuma atbildēšanai ar PCA metodi tika analizēti jautājumi par uzticēšanās pakāpi 11 institūcijām: Saeimai, Ministru kabinetam, Latvijas tiesām, Valsts prezidentam, respondenta pašvaldības domei, Eiropas Savienībai, Nacionālajiem bruņotajiem spēkiem, policijai, Valsts drošības dienestam, Valsts robežsardzei un NATO. Katrai institūcijai respondentam bija jānovērtē uzticēšanās pakāpe pēc 11 rangu skalas, kur 0 nozīmē “nemaz neuzticos”, bet 10 – “uzticos pilnībā”.</w:t>
      </w:r>
    </w:p>
    <w:p w14:paraId="45998780" w14:textId="30B879B3" w:rsidR="00F077B9" w:rsidRPr="005F0D6C" w:rsidRDefault="0007677F" w:rsidP="00E50D63">
      <w:pPr>
        <w:spacing w:before="120" w:after="120" w:line="360" w:lineRule="auto"/>
        <w:jc w:val="both"/>
        <w:rPr>
          <w:rFonts w:ascii="Times New Roman" w:eastAsia="Times New Roman" w:hAnsi="Times New Roman" w:cs="Times New Roman"/>
          <w:sz w:val="24"/>
          <w:szCs w:val="24"/>
          <w:lang w:val="lv-LV"/>
        </w:rPr>
      </w:pPr>
      <w:r w:rsidRPr="005F0D6C">
        <w:rPr>
          <w:rFonts w:ascii="Times New Roman" w:eastAsia="Times New Roman" w:hAnsi="Times New Roman" w:cs="Times New Roman"/>
          <w:sz w:val="24"/>
          <w:szCs w:val="24"/>
          <w:lang w:val="lv-LV"/>
        </w:rPr>
        <w:t xml:space="preserve">Līdzīgā veidā, </w:t>
      </w:r>
      <w:r w:rsidR="00F077B9" w:rsidRPr="005F0D6C">
        <w:rPr>
          <w:rFonts w:ascii="Times New Roman" w:eastAsia="Times New Roman" w:hAnsi="Times New Roman" w:cs="Times New Roman"/>
          <w:sz w:val="24"/>
          <w:szCs w:val="24"/>
          <w:lang w:val="lv-LV"/>
        </w:rPr>
        <w:t>izpētot otro pētniecisko jautājumu</w:t>
      </w:r>
      <w:r w:rsidRPr="005F0D6C">
        <w:rPr>
          <w:rFonts w:ascii="Times New Roman" w:eastAsia="Times New Roman" w:hAnsi="Times New Roman" w:cs="Times New Roman"/>
          <w:sz w:val="24"/>
          <w:szCs w:val="24"/>
          <w:lang w:val="lv-LV"/>
        </w:rPr>
        <w:t>, tika aplūkots pētījuma dalībnieku sniegtais situācijas novērtējums dažādās sociālajās, politiskajās un ekonomiskajās jomās, kas iekļauj nodokļu iekasēšanu, bezdarbu, sociālos pabalstus un pakalpojumus, lauksaimniecību un lopkopību, veselības aprūpi, izglītību, korupciju, valsts ārējo drošību, valsts iekšējo drošību, vides jautājumus un enerģētiku.</w:t>
      </w:r>
      <w:r w:rsidR="00F077B9" w:rsidRPr="005F0D6C">
        <w:rPr>
          <w:rFonts w:ascii="Times New Roman" w:eastAsia="Times New Roman" w:hAnsi="Times New Roman" w:cs="Times New Roman"/>
          <w:sz w:val="24"/>
          <w:szCs w:val="24"/>
          <w:lang w:val="lv-LV"/>
        </w:rPr>
        <w:t xml:space="preserve"> Vērtējumam respondenti izmantoja skalu no -3 līdz +3, kur -3 nozīmē „situācija ir būtiski pasliktinājusies”, bet +3 nozīmē „situācija ir būtiski uzlabojusies”. 0 – “situācija saglabājusies nemainīga”.</w:t>
      </w:r>
    </w:p>
    <w:p w14:paraId="5F6F7CFA" w14:textId="6B4465F0" w:rsidR="0007677F" w:rsidRPr="005F0D6C" w:rsidRDefault="00657F14" w:rsidP="00E50D63">
      <w:pPr>
        <w:spacing w:before="120" w:after="120" w:line="360" w:lineRule="auto"/>
        <w:jc w:val="both"/>
        <w:rPr>
          <w:rFonts w:ascii="Times New Roman" w:eastAsia="Times New Roman" w:hAnsi="Times New Roman" w:cs="Times New Roman"/>
          <w:sz w:val="24"/>
          <w:szCs w:val="24"/>
          <w:lang w:val="lv-LV"/>
        </w:rPr>
      </w:pPr>
      <w:r w:rsidRPr="005F0D6C">
        <w:rPr>
          <w:rFonts w:ascii="Times New Roman" w:eastAsia="Times New Roman" w:hAnsi="Times New Roman" w:cs="Times New Roman"/>
          <w:sz w:val="24"/>
          <w:szCs w:val="24"/>
          <w:lang w:val="lv-LV"/>
        </w:rPr>
        <w:lastRenderedPageBreak/>
        <w:t>A</w:t>
      </w:r>
      <w:r w:rsidR="00F077B9" w:rsidRPr="005F0D6C">
        <w:rPr>
          <w:rFonts w:ascii="Times New Roman" w:eastAsia="Times New Roman" w:hAnsi="Times New Roman" w:cs="Times New Roman"/>
          <w:sz w:val="24"/>
          <w:szCs w:val="24"/>
          <w:lang w:val="lv-LV"/>
        </w:rPr>
        <w:t xml:space="preserve">tbildot uz trešo pētniecisko jautājumi, </w:t>
      </w:r>
      <w:r w:rsidR="005A506B" w:rsidRPr="005F0D6C">
        <w:rPr>
          <w:rFonts w:ascii="Times New Roman" w:eastAsia="Times New Roman" w:hAnsi="Times New Roman" w:cs="Times New Roman"/>
          <w:sz w:val="24"/>
          <w:szCs w:val="24"/>
          <w:lang w:val="lv-LV"/>
        </w:rPr>
        <w:t>uzticēšanās faktori tika korelēti ar situācijas novērtējumu, lai noskaidrotu, cik liela vai maza ir sakarība starp šo attieksmju grupām.</w:t>
      </w:r>
      <w:r w:rsidR="00F077B9" w:rsidRPr="005F0D6C">
        <w:rPr>
          <w:rFonts w:ascii="Times New Roman" w:eastAsia="Times New Roman" w:hAnsi="Times New Roman" w:cs="Times New Roman"/>
          <w:sz w:val="24"/>
          <w:szCs w:val="24"/>
          <w:lang w:val="lv-LV"/>
        </w:rPr>
        <w:t xml:space="preserve"> Analīzei tika izmantots Pirsona korelācijas koeficients.</w:t>
      </w:r>
    </w:p>
    <w:p w14:paraId="3A07A6BE" w14:textId="08E2A930" w:rsidR="00657F14" w:rsidRPr="005F0D6C" w:rsidRDefault="00657F14" w:rsidP="00E50D63">
      <w:pPr>
        <w:spacing w:before="120" w:after="120" w:line="360" w:lineRule="auto"/>
        <w:jc w:val="both"/>
        <w:rPr>
          <w:rFonts w:ascii="Times New Roman" w:eastAsia="Times New Roman" w:hAnsi="Times New Roman" w:cs="Times New Roman"/>
          <w:sz w:val="24"/>
          <w:szCs w:val="24"/>
          <w:lang w:val="lv-LV"/>
        </w:rPr>
      </w:pPr>
      <w:r w:rsidRPr="005F0D6C">
        <w:rPr>
          <w:rFonts w:ascii="Times New Roman" w:eastAsia="Times New Roman" w:hAnsi="Times New Roman" w:cs="Times New Roman"/>
          <w:sz w:val="24"/>
          <w:szCs w:val="24"/>
          <w:lang w:val="lv-LV"/>
        </w:rPr>
        <w:t>Atbilde uz ceturto pētniecisko jautājumu tika meklēta, izmantojot korelācijas koeficientus uzticēšanās rādītājiem (gan kopējam, gan tiem, kas atspoguļo uzticēšanās dimensijas) ar trīs jautājumiem, kas tika aizgūti no Eiropas sociālā pētījuma 10. kārtas anketas. Skalā no 0 līdz 10 respondentiem jautā:</w:t>
      </w:r>
    </w:p>
    <w:p w14:paraId="7A81450A" w14:textId="074A20BF" w:rsidR="00657F14" w:rsidRPr="005F0D6C" w:rsidRDefault="00657F14" w:rsidP="00C32029">
      <w:pPr>
        <w:pStyle w:val="Sarakstarindkopa"/>
        <w:numPr>
          <w:ilvl w:val="0"/>
          <w:numId w:val="5"/>
        </w:numPr>
        <w:spacing w:before="120" w:after="120" w:line="360" w:lineRule="auto"/>
        <w:jc w:val="both"/>
        <w:rPr>
          <w:rFonts w:ascii="Times New Roman" w:eastAsia="Times New Roman" w:hAnsi="Times New Roman" w:cs="Times New Roman"/>
          <w:i/>
          <w:lang w:val="lv-LV"/>
        </w:rPr>
      </w:pPr>
      <w:r w:rsidRPr="005F0D6C">
        <w:rPr>
          <w:rFonts w:ascii="Times New Roman" w:eastAsia="Times New Roman" w:hAnsi="Times New Roman" w:cs="Times New Roman"/>
          <w:i/>
          <w:lang w:val="lv-LV"/>
        </w:rPr>
        <w:t>Vai cīņā pret pandēmiju ir svarīgāk par prioritāti izvirzīt sabiedrības veselību (0) vai saimniecisko darbību (10)?</w:t>
      </w:r>
    </w:p>
    <w:p w14:paraId="2CBCC424" w14:textId="74FA0283" w:rsidR="00657F14" w:rsidRPr="005F0D6C" w:rsidRDefault="00657F14" w:rsidP="00C32029">
      <w:pPr>
        <w:pStyle w:val="Sarakstarindkopa"/>
        <w:numPr>
          <w:ilvl w:val="0"/>
          <w:numId w:val="5"/>
        </w:numPr>
        <w:spacing w:before="120" w:after="120" w:line="360" w:lineRule="auto"/>
        <w:jc w:val="both"/>
        <w:rPr>
          <w:rFonts w:ascii="Times New Roman" w:eastAsia="Times New Roman" w:hAnsi="Times New Roman" w:cs="Times New Roman"/>
          <w:i/>
          <w:lang w:val="lv-LV"/>
        </w:rPr>
      </w:pPr>
      <w:r w:rsidRPr="005F0D6C">
        <w:rPr>
          <w:rFonts w:ascii="Times New Roman" w:eastAsia="Times New Roman" w:hAnsi="Times New Roman" w:cs="Times New Roman"/>
          <w:i/>
          <w:lang w:val="lv-LV"/>
        </w:rPr>
        <w:t>Vai cīņā ar pandēmiju valdībām ir svarīgāk uzraudzīt un izsekot sabiedrību (0) vai nodrošināt sabiedrības privātumu (10)?</w:t>
      </w:r>
    </w:p>
    <w:p w14:paraId="31E6AD5B" w14:textId="3635BFBE" w:rsidR="00657F14" w:rsidRPr="005F0D6C" w:rsidRDefault="00657F14" w:rsidP="00C32029">
      <w:pPr>
        <w:pStyle w:val="Sarakstarindkopa"/>
        <w:numPr>
          <w:ilvl w:val="0"/>
          <w:numId w:val="5"/>
        </w:numPr>
        <w:spacing w:before="120" w:after="120" w:line="360" w:lineRule="auto"/>
        <w:jc w:val="both"/>
        <w:rPr>
          <w:rFonts w:ascii="Times New Roman" w:eastAsia="Times New Roman" w:hAnsi="Times New Roman" w:cs="Times New Roman"/>
          <w:i/>
          <w:lang w:val="lv-LV"/>
        </w:rPr>
      </w:pPr>
      <w:r w:rsidRPr="005F0D6C">
        <w:rPr>
          <w:rFonts w:ascii="Times New Roman" w:eastAsia="Times New Roman" w:hAnsi="Times New Roman" w:cs="Times New Roman"/>
          <w:i/>
          <w:lang w:val="lv-LV"/>
        </w:rPr>
        <w:t>Vai jums personīgi ir svarīgāk ievērot valdības noteikumus (0) vai pieņemt savus lēmumus cīņā ar pandēmiju (10)?</w:t>
      </w:r>
    </w:p>
    <w:p w14:paraId="131195AB" w14:textId="06CDB350" w:rsidR="00657F14" w:rsidRPr="005F0D6C" w:rsidRDefault="00657F14" w:rsidP="00657F14">
      <w:pPr>
        <w:spacing w:before="120" w:after="120" w:line="360" w:lineRule="auto"/>
        <w:jc w:val="both"/>
        <w:rPr>
          <w:rFonts w:ascii="Times New Roman" w:eastAsia="Times New Roman" w:hAnsi="Times New Roman" w:cs="Times New Roman"/>
          <w:sz w:val="24"/>
          <w:szCs w:val="24"/>
          <w:lang w:val="lv-LV"/>
        </w:rPr>
      </w:pPr>
      <w:r w:rsidRPr="005F0D6C">
        <w:rPr>
          <w:rFonts w:ascii="Times New Roman" w:eastAsia="Times New Roman" w:hAnsi="Times New Roman" w:cs="Times New Roman"/>
          <w:sz w:val="24"/>
          <w:szCs w:val="24"/>
          <w:lang w:val="lv-LV"/>
        </w:rPr>
        <w:t>Ir redzams, ka atbilžu varianti, kas ir orientēti uz ierobežojumu ievērošanu, pakļaušanos valdības noteiktai politikai un lēmumiem pandēmijas apkarošanā</w:t>
      </w:r>
      <w:r w:rsidR="00C32029" w:rsidRPr="005F0D6C">
        <w:rPr>
          <w:rFonts w:ascii="Times New Roman" w:eastAsia="Times New Roman" w:hAnsi="Times New Roman" w:cs="Times New Roman"/>
          <w:sz w:val="24"/>
          <w:szCs w:val="24"/>
          <w:lang w:val="lv-LV"/>
        </w:rPr>
        <w:t>,</w:t>
      </w:r>
      <w:r w:rsidRPr="005F0D6C">
        <w:rPr>
          <w:rFonts w:ascii="Times New Roman" w:eastAsia="Times New Roman" w:hAnsi="Times New Roman" w:cs="Times New Roman"/>
          <w:sz w:val="24"/>
          <w:szCs w:val="24"/>
          <w:lang w:val="lv-LV"/>
        </w:rPr>
        <w:t xml:space="preserve"> ir tuvākās skalas kreisajam galam un tiek kodētas ar mazākām vērtībām, savukārt pretējās prioritātes ir kodētas ar lielākiem skaitļiem. Saskaņā ar iepriekšējo pētījumu atziņām, sagaidāms, ka uzticēšanās līmenis pozitīvi korelē ar orientāciju uz pakļaušanos valdības lēmumiem un </w:t>
      </w:r>
      <w:r w:rsidR="00C32029" w:rsidRPr="005F0D6C">
        <w:rPr>
          <w:rFonts w:ascii="Times New Roman" w:eastAsia="Times New Roman" w:hAnsi="Times New Roman" w:cs="Times New Roman"/>
          <w:sz w:val="24"/>
          <w:szCs w:val="24"/>
          <w:lang w:val="lv-LV"/>
        </w:rPr>
        <w:t xml:space="preserve">sabiedrības veselības izcelšanu, bet negatīvi – ar pretējiem mērķiem, kas uzsver, respektīvi, ekonomikas, privātuma un autonomijas </w:t>
      </w:r>
      <w:r w:rsidR="00C32029" w:rsidRPr="005F0D6C">
        <w:rPr>
          <w:rFonts w:ascii="Times New Roman" w:eastAsia="Times New Roman" w:hAnsi="Times New Roman" w:cs="Times New Roman"/>
          <w:sz w:val="24"/>
          <w:szCs w:val="24"/>
          <w:lang w:val="lv-LV"/>
        </w:rPr>
        <w:t>prioritāti</w:t>
      </w:r>
      <w:r w:rsidR="00C32029" w:rsidRPr="005F0D6C">
        <w:rPr>
          <w:rFonts w:ascii="Times New Roman" w:eastAsia="Times New Roman" w:hAnsi="Times New Roman" w:cs="Times New Roman"/>
          <w:sz w:val="24"/>
          <w:szCs w:val="24"/>
          <w:lang w:val="lv-LV"/>
        </w:rPr>
        <w:t xml:space="preserve"> lēmumu pieņemšanā.</w:t>
      </w:r>
    </w:p>
    <w:p w14:paraId="5D3EEEB2" w14:textId="28883BDD" w:rsidR="00657F14" w:rsidRPr="005F0D6C" w:rsidRDefault="00657F14" w:rsidP="00E50D63">
      <w:pPr>
        <w:spacing w:before="120" w:after="120" w:line="360" w:lineRule="auto"/>
        <w:jc w:val="both"/>
        <w:rPr>
          <w:rFonts w:ascii="Times New Roman" w:eastAsia="Times New Roman" w:hAnsi="Times New Roman" w:cs="Times New Roman"/>
          <w:sz w:val="24"/>
          <w:szCs w:val="24"/>
          <w:lang w:val="en-US"/>
        </w:rPr>
      </w:pPr>
    </w:p>
    <w:p w14:paraId="0337343F" w14:textId="77777777" w:rsidR="00B2613D" w:rsidRPr="005F0D6C" w:rsidRDefault="00B2613D" w:rsidP="00E50D63">
      <w:pPr>
        <w:spacing w:before="120" w:after="120" w:line="360" w:lineRule="auto"/>
        <w:jc w:val="both"/>
        <w:rPr>
          <w:rFonts w:ascii="Times New Roman" w:eastAsia="Times New Roman" w:hAnsi="Times New Roman" w:cs="Times New Roman"/>
          <w:sz w:val="24"/>
          <w:szCs w:val="24"/>
          <w:lang w:val="lv-LV"/>
        </w:rPr>
      </w:pPr>
    </w:p>
    <w:p w14:paraId="6B76B245" w14:textId="77777777" w:rsidR="00C32029" w:rsidRPr="005F0D6C" w:rsidRDefault="00C32029">
      <w:pPr>
        <w:rPr>
          <w:rFonts w:ascii="Times New Roman" w:eastAsia="Times New Roman" w:hAnsi="Times New Roman" w:cs="Times New Roman"/>
          <w:b/>
          <w:sz w:val="24"/>
          <w:szCs w:val="24"/>
          <w:lang w:val="lv-LV"/>
        </w:rPr>
      </w:pPr>
      <w:r w:rsidRPr="005F0D6C">
        <w:rPr>
          <w:rFonts w:ascii="Times New Roman" w:eastAsia="Times New Roman" w:hAnsi="Times New Roman" w:cs="Times New Roman"/>
          <w:b/>
          <w:sz w:val="24"/>
          <w:szCs w:val="24"/>
          <w:lang w:val="lv-LV"/>
        </w:rPr>
        <w:br w:type="page"/>
      </w:r>
    </w:p>
    <w:p w14:paraId="13671C2F" w14:textId="4DAFC71E" w:rsidR="002F409D" w:rsidRPr="005F0D6C" w:rsidRDefault="00F96771" w:rsidP="00E50D63">
      <w:pPr>
        <w:spacing w:before="120" w:after="120" w:line="360" w:lineRule="auto"/>
        <w:jc w:val="both"/>
        <w:rPr>
          <w:rFonts w:ascii="Times New Roman" w:eastAsia="Times New Roman" w:hAnsi="Times New Roman" w:cs="Times New Roman"/>
          <w:b/>
          <w:sz w:val="24"/>
          <w:szCs w:val="24"/>
          <w:lang w:val="lv-LV"/>
        </w:rPr>
      </w:pPr>
      <w:r w:rsidRPr="005F0D6C">
        <w:rPr>
          <w:rFonts w:ascii="Times New Roman" w:eastAsia="Times New Roman" w:hAnsi="Times New Roman" w:cs="Times New Roman"/>
          <w:b/>
          <w:sz w:val="24"/>
          <w:szCs w:val="24"/>
          <w:lang w:val="lv-LV"/>
        </w:rPr>
        <w:lastRenderedPageBreak/>
        <w:t>Empīrisko datu analīze</w:t>
      </w:r>
    </w:p>
    <w:p w14:paraId="307FD83C" w14:textId="0D890A65" w:rsidR="002F409D" w:rsidRPr="005F0D6C" w:rsidRDefault="002F409D" w:rsidP="00E50D63">
      <w:pPr>
        <w:spacing w:before="120" w:after="120" w:line="360" w:lineRule="auto"/>
        <w:jc w:val="both"/>
        <w:rPr>
          <w:rFonts w:ascii="Times New Roman" w:hAnsi="Times New Roman" w:cs="Times New Roman"/>
          <w:b/>
          <w:bCs/>
          <w:i/>
          <w:sz w:val="24"/>
          <w:szCs w:val="24"/>
          <w:lang w:val="lv-LV"/>
        </w:rPr>
      </w:pPr>
      <w:r w:rsidRPr="005F0D6C">
        <w:rPr>
          <w:rFonts w:ascii="Times New Roman" w:hAnsi="Times New Roman" w:cs="Times New Roman"/>
          <w:b/>
          <w:bCs/>
          <w:i/>
          <w:sz w:val="24"/>
          <w:szCs w:val="24"/>
          <w:lang w:val="lv-LV"/>
        </w:rPr>
        <w:t>Uzticēšanās institūcijām</w:t>
      </w:r>
    </w:p>
    <w:p w14:paraId="5D60747F" w14:textId="6C4FA2CE" w:rsidR="00F96771" w:rsidRPr="005F0D6C" w:rsidRDefault="00F96771" w:rsidP="00E50D63">
      <w:pPr>
        <w:spacing w:before="120" w:after="120" w:line="360" w:lineRule="auto"/>
        <w:jc w:val="both"/>
        <w:rPr>
          <w:rFonts w:ascii="Times New Roman" w:hAnsi="Times New Roman" w:cs="Times New Roman"/>
          <w:bCs/>
          <w:sz w:val="24"/>
          <w:szCs w:val="24"/>
          <w:lang w:val="lv-LV"/>
        </w:rPr>
      </w:pPr>
      <w:r w:rsidRPr="005F0D6C">
        <w:rPr>
          <w:rFonts w:ascii="Times New Roman" w:hAnsi="Times New Roman" w:cs="Times New Roman"/>
          <w:bCs/>
          <w:sz w:val="24"/>
          <w:szCs w:val="24"/>
          <w:lang w:val="lv-LV"/>
        </w:rPr>
        <w:t>SKDS aptaujas anketas jautājumā par uzticēšanos tika iekļauts plašāks institūciju skaits, nekā, piemēram, Eiropas sociālā pētījuma anketā. Piemēram, papildus tika vaicāts par uzticēšanos valdībai, Valsts prezidentam, pašvaldības domai, kā arī iestādēm, kas atbild par valsts drošību un aizsardzību.</w:t>
      </w:r>
      <w:r w:rsidR="00D87E1F" w:rsidRPr="005F0D6C">
        <w:rPr>
          <w:rFonts w:ascii="Times New Roman" w:hAnsi="Times New Roman" w:cs="Times New Roman"/>
          <w:bCs/>
          <w:sz w:val="24"/>
          <w:szCs w:val="24"/>
          <w:lang w:val="lv-LV"/>
        </w:rPr>
        <w:t xml:space="preserve"> </w:t>
      </w:r>
      <w:r w:rsidR="00A90355" w:rsidRPr="005F0D6C">
        <w:rPr>
          <w:rFonts w:ascii="Times New Roman" w:hAnsi="Times New Roman" w:cs="Times New Roman"/>
          <w:bCs/>
          <w:sz w:val="24"/>
          <w:szCs w:val="24"/>
          <w:lang w:val="lv-LV"/>
        </w:rPr>
        <w:t>1</w:t>
      </w:r>
      <w:r w:rsidR="00D87E1F" w:rsidRPr="005F0D6C">
        <w:rPr>
          <w:rFonts w:ascii="Times New Roman" w:hAnsi="Times New Roman" w:cs="Times New Roman"/>
          <w:bCs/>
          <w:sz w:val="24"/>
          <w:szCs w:val="24"/>
          <w:lang w:val="lv-LV"/>
        </w:rPr>
        <w:t>. tabulā ir atspoguļota aprakstošā statistika katram uzticēšanās objektam.</w:t>
      </w:r>
    </w:p>
    <w:p w14:paraId="554F31FD" w14:textId="33699FD1" w:rsidR="00D87E1F" w:rsidRPr="005F0D6C" w:rsidRDefault="00856DE5" w:rsidP="00657F14">
      <w:pPr>
        <w:spacing w:before="120" w:after="120" w:line="360" w:lineRule="auto"/>
        <w:jc w:val="center"/>
        <w:rPr>
          <w:rFonts w:ascii="Times New Roman" w:hAnsi="Times New Roman" w:cs="Times New Roman"/>
          <w:bCs/>
          <w:i/>
          <w:sz w:val="24"/>
          <w:szCs w:val="24"/>
          <w:lang w:val="lv-LV"/>
        </w:rPr>
      </w:pPr>
      <w:r w:rsidRPr="005F0D6C">
        <w:rPr>
          <w:rFonts w:ascii="Times New Roman" w:hAnsi="Times New Roman" w:cs="Times New Roman"/>
          <w:bCs/>
          <w:i/>
          <w:sz w:val="24"/>
          <w:szCs w:val="24"/>
          <w:lang w:val="lv-LV"/>
        </w:rPr>
        <w:t>1</w:t>
      </w:r>
      <w:r w:rsidR="00D87E1F" w:rsidRPr="005F0D6C">
        <w:rPr>
          <w:rFonts w:ascii="Times New Roman" w:hAnsi="Times New Roman" w:cs="Times New Roman"/>
          <w:bCs/>
          <w:i/>
          <w:sz w:val="24"/>
          <w:szCs w:val="24"/>
          <w:lang w:val="lv-LV"/>
        </w:rPr>
        <w:t>.tabula. Uzticēšanās politiskajām institūcijām</w:t>
      </w:r>
    </w:p>
    <w:tbl>
      <w:tblPr>
        <w:tblW w:w="9075" w:type="dxa"/>
        <w:jc w:val="center"/>
        <w:tblLook w:val="04A0" w:firstRow="1" w:lastRow="0" w:firstColumn="1" w:lastColumn="0" w:noHBand="0" w:noVBand="1"/>
      </w:tblPr>
      <w:tblGrid>
        <w:gridCol w:w="3775"/>
        <w:gridCol w:w="1060"/>
        <w:gridCol w:w="1060"/>
        <w:gridCol w:w="1060"/>
        <w:gridCol w:w="1060"/>
        <w:gridCol w:w="1060"/>
      </w:tblGrid>
      <w:tr w:rsidR="00D87E1F" w:rsidRPr="005F0D6C" w14:paraId="1DC427E3" w14:textId="77777777" w:rsidTr="00C32029">
        <w:trPr>
          <w:trHeight w:val="307"/>
          <w:jc w:val="center"/>
        </w:trPr>
        <w:tc>
          <w:tcPr>
            <w:tcW w:w="3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5F537"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062D0BA3"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N</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092418BA"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Vidējais</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48D54700"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Mediāna</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3911A404"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Moda</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14:paraId="74CDFF32"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St.nov.</w:t>
            </w:r>
          </w:p>
        </w:tc>
      </w:tr>
      <w:tr w:rsidR="00D87E1F" w:rsidRPr="005F0D6C" w14:paraId="06D030BD" w14:textId="77777777" w:rsidTr="00C32029">
        <w:trPr>
          <w:trHeight w:val="307"/>
          <w:jc w:val="center"/>
        </w:trPr>
        <w:tc>
          <w:tcPr>
            <w:tcW w:w="3775" w:type="dxa"/>
            <w:tcBorders>
              <w:top w:val="nil"/>
              <w:left w:val="single" w:sz="4" w:space="0" w:color="auto"/>
              <w:bottom w:val="single" w:sz="4" w:space="0" w:color="auto"/>
              <w:right w:val="single" w:sz="4" w:space="0" w:color="auto"/>
            </w:tcBorders>
            <w:shd w:val="clear" w:color="auto" w:fill="auto"/>
            <w:noWrap/>
            <w:vAlign w:val="center"/>
            <w:hideMark/>
          </w:tcPr>
          <w:p w14:paraId="093AF9B9"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Saeimai</w:t>
            </w:r>
          </w:p>
        </w:tc>
        <w:tc>
          <w:tcPr>
            <w:tcW w:w="1060" w:type="dxa"/>
            <w:tcBorders>
              <w:top w:val="nil"/>
              <w:left w:val="nil"/>
              <w:bottom w:val="single" w:sz="4" w:space="0" w:color="auto"/>
              <w:right w:val="single" w:sz="4" w:space="0" w:color="auto"/>
            </w:tcBorders>
            <w:shd w:val="clear" w:color="auto" w:fill="auto"/>
            <w:noWrap/>
            <w:vAlign w:val="center"/>
            <w:hideMark/>
          </w:tcPr>
          <w:p w14:paraId="368AE1E9"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990</w:t>
            </w:r>
          </w:p>
        </w:tc>
        <w:tc>
          <w:tcPr>
            <w:tcW w:w="1060" w:type="dxa"/>
            <w:tcBorders>
              <w:top w:val="nil"/>
              <w:left w:val="nil"/>
              <w:bottom w:val="single" w:sz="4" w:space="0" w:color="auto"/>
              <w:right w:val="single" w:sz="4" w:space="0" w:color="auto"/>
            </w:tcBorders>
            <w:shd w:val="clear" w:color="auto" w:fill="auto"/>
            <w:noWrap/>
            <w:vAlign w:val="center"/>
            <w:hideMark/>
          </w:tcPr>
          <w:p w14:paraId="090967DD"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3.70</w:t>
            </w:r>
          </w:p>
        </w:tc>
        <w:tc>
          <w:tcPr>
            <w:tcW w:w="1060" w:type="dxa"/>
            <w:tcBorders>
              <w:top w:val="nil"/>
              <w:left w:val="nil"/>
              <w:bottom w:val="single" w:sz="4" w:space="0" w:color="auto"/>
              <w:right w:val="single" w:sz="4" w:space="0" w:color="auto"/>
            </w:tcBorders>
            <w:shd w:val="clear" w:color="auto" w:fill="auto"/>
            <w:noWrap/>
            <w:vAlign w:val="center"/>
            <w:hideMark/>
          </w:tcPr>
          <w:p w14:paraId="48E22FF3"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4.00</w:t>
            </w:r>
          </w:p>
        </w:tc>
        <w:tc>
          <w:tcPr>
            <w:tcW w:w="1060" w:type="dxa"/>
            <w:tcBorders>
              <w:top w:val="nil"/>
              <w:left w:val="nil"/>
              <w:bottom w:val="single" w:sz="4" w:space="0" w:color="auto"/>
              <w:right w:val="single" w:sz="4" w:space="0" w:color="auto"/>
            </w:tcBorders>
            <w:shd w:val="clear" w:color="auto" w:fill="auto"/>
            <w:noWrap/>
            <w:vAlign w:val="center"/>
            <w:hideMark/>
          </w:tcPr>
          <w:p w14:paraId="28564CA1"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5</w:t>
            </w:r>
          </w:p>
        </w:tc>
        <w:tc>
          <w:tcPr>
            <w:tcW w:w="1060" w:type="dxa"/>
            <w:tcBorders>
              <w:top w:val="nil"/>
              <w:left w:val="nil"/>
              <w:bottom w:val="single" w:sz="4" w:space="0" w:color="auto"/>
              <w:right w:val="single" w:sz="4" w:space="0" w:color="auto"/>
            </w:tcBorders>
            <w:shd w:val="clear" w:color="auto" w:fill="auto"/>
            <w:noWrap/>
            <w:vAlign w:val="center"/>
            <w:hideMark/>
          </w:tcPr>
          <w:p w14:paraId="11C67DAE" w14:textId="12A841AC" w:rsidR="00D87E1F" w:rsidRPr="005F0D6C" w:rsidRDefault="0010509B"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2.41</w:t>
            </w:r>
          </w:p>
        </w:tc>
      </w:tr>
      <w:tr w:rsidR="00D87E1F" w:rsidRPr="005F0D6C" w14:paraId="54840356" w14:textId="77777777" w:rsidTr="00C32029">
        <w:trPr>
          <w:trHeight w:val="307"/>
          <w:jc w:val="center"/>
        </w:trPr>
        <w:tc>
          <w:tcPr>
            <w:tcW w:w="3775" w:type="dxa"/>
            <w:tcBorders>
              <w:top w:val="nil"/>
              <w:left w:val="single" w:sz="4" w:space="0" w:color="auto"/>
              <w:bottom w:val="single" w:sz="4" w:space="0" w:color="auto"/>
              <w:right w:val="single" w:sz="4" w:space="0" w:color="auto"/>
            </w:tcBorders>
            <w:shd w:val="clear" w:color="auto" w:fill="auto"/>
            <w:noWrap/>
            <w:vAlign w:val="center"/>
            <w:hideMark/>
          </w:tcPr>
          <w:p w14:paraId="7BEA82CC"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Ministru kabinetam</w:t>
            </w:r>
          </w:p>
        </w:tc>
        <w:tc>
          <w:tcPr>
            <w:tcW w:w="1060" w:type="dxa"/>
            <w:tcBorders>
              <w:top w:val="nil"/>
              <w:left w:val="nil"/>
              <w:bottom w:val="single" w:sz="4" w:space="0" w:color="auto"/>
              <w:right w:val="single" w:sz="4" w:space="0" w:color="auto"/>
            </w:tcBorders>
            <w:shd w:val="clear" w:color="auto" w:fill="auto"/>
            <w:noWrap/>
            <w:vAlign w:val="center"/>
            <w:hideMark/>
          </w:tcPr>
          <w:p w14:paraId="6EA8B887"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988</w:t>
            </w:r>
          </w:p>
        </w:tc>
        <w:tc>
          <w:tcPr>
            <w:tcW w:w="1060" w:type="dxa"/>
            <w:tcBorders>
              <w:top w:val="nil"/>
              <w:left w:val="nil"/>
              <w:bottom w:val="single" w:sz="4" w:space="0" w:color="auto"/>
              <w:right w:val="single" w:sz="4" w:space="0" w:color="auto"/>
            </w:tcBorders>
            <w:shd w:val="clear" w:color="auto" w:fill="auto"/>
            <w:noWrap/>
            <w:vAlign w:val="center"/>
            <w:hideMark/>
          </w:tcPr>
          <w:p w14:paraId="59BC0CF3"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3.78</w:t>
            </w:r>
          </w:p>
        </w:tc>
        <w:tc>
          <w:tcPr>
            <w:tcW w:w="1060" w:type="dxa"/>
            <w:tcBorders>
              <w:top w:val="nil"/>
              <w:left w:val="nil"/>
              <w:bottom w:val="single" w:sz="4" w:space="0" w:color="auto"/>
              <w:right w:val="single" w:sz="4" w:space="0" w:color="auto"/>
            </w:tcBorders>
            <w:shd w:val="clear" w:color="auto" w:fill="auto"/>
            <w:noWrap/>
            <w:vAlign w:val="center"/>
            <w:hideMark/>
          </w:tcPr>
          <w:p w14:paraId="1E49B480"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4.00</w:t>
            </w:r>
          </w:p>
        </w:tc>
        <w:tc>
          <w:tcPr>
            <w:tcW w:w="1060" w:type="dxa"/>
            <w:tcBorders>
              <w:top w:val="nil"/>
              <w:left w:val="nil"/>
              <w:bottom w:val="single" w:sz="4" w:space="0" w:color="auto"/>
              <w:right w:val="single" w:sz="4" w:space="0" w:color="auto"/>
            </w:tcBorders>
            <w:shd w:val="clear" w:color="auto" w:fill="auto"/>
            <w:noWrap/>
            <w:vAlign w:val="center"/>
            <w:hideMark/>
          </w:tcPr>
          <w:p w14:paraId="0C9E4D66"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5</w:t>
            </w:r>
          </w:p>
        </w:tc>
        <w:tc>
          <w:tcPr>
            <w:tcW w:w="1060" w:type="dxa"/>
            <w:tcBorders>
              <w:top w:val="nil"/>
              <w:left w:val="nil"/>
              <w:bottom w:val="single" w:sz="4" w:space="0" w:color="auto"/>
              <w:right w:val="single" w:sz="4" w:space="0" w:color="auto"/>
            </w:tcBorders>
            <w:shd w:val="clear" w:color="auto" w:fill="auto"/>
            <w:noWrap/>
            <w:vAlign w:val="center"/>
            <w:hideMark/>
          </w:tcPr>
          <w:p w14:paraId="300BECB1"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2.50</w:t>
            </w:r>
          </w:p>
        </w:tc>
      </w:tr>
      <w:tr w:rsidR="00D87E1F" w:rsidRPr="005F0D6C" w14:paraId="563102D0" w14:textId="77777777" w:rsidTr="00C32029">
        <w:trPr>
          <w:trHeight w:val="307"/>
          <w:jc w:val="center"/>
        </w:trPr>
        <w:tc>
          <w:tcPr>
            <w:tcW w:w="3775" w:type="dxa"/>
            <w:tcBorders>
              <w:top w:val="nil"/>
              <w:left w:val="single" w:sz="4" w:space="0" w:color="auto"/>
              <w:bottom w:val="single" w:sz="4" w:space="0" w:color="auto"/>
              <w:right w:val="single" w:sz="4" w:space="0" w:color="auto"/>
            </w:tcBorders>
            <w:shd w:val="clear" w:color="auto" w:fill="auto"/>
            <w:noWrap/>
            <w:vAlign w:val="center"/>
            <w:hideMark/>
          </w:tcPr>
          <w:p w14:paraId="6780ED8E"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Latvijas tiesām</w:t>
            </w:r>
          </w:p>
        </w:tc>
        <w:tc>
          <w:tcPr>
            <w:tcW w:w="1060" w:type="dxa"/>
            <w:tcBorders>
              <w:top w:val="nil"/>
              <w:left w:val="nil"/>
              <w:bottom w:val="single" w:sz="4" w:space="0" w:color="auto"/>
              <w:right w:val="single" w:sz="4" w:space="0" w:color="auto"/>
            </w:tcBorders>
            <w:shd w:val="clear" w:color="auto" w:fill="auto"/>
            <w:noWrap/>
            <w:vAlign w:val="center"/>
            <w:hideMark/>
          </w:tcPr>
          <w:p w14:paraId="58264F54"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948</w:t>
            </w:r>
          </w:p>
        </w:tc>
        <w:tc>
          <w:tcPr>
            <w:tcW w:w="1060" w:type="dxa"/>
            <w:tcBorders>
              <w:top w:val="nil"/>
              <w:left w:val="nil"/>
              <w:bottom w:val="single" w:sz="4" w:space="0" w:color="auto"/>
              <w:right w:val="single" w:sz="4" w:space="0" w:color="auto"/>
            </w:tcBorders>
            <w:shd w:val="clear" w:color="auto" w:fill="auto"/>
            <w:noWrap/>
            <w:vAlign w:val="center"/>
            <w:hideMark/>
          </w:tcPr>
          <w:p w14:paraId="50BE3530"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4.65</w:t>
            </w:r>
          </w:p>
        </w:tc>
        <w:tc>
          <w:tcPr>
            <w:tcW w:w="1060" w:type="dxa"/>
            <w:tcBorders>
              <w:top w:val="nil"/>
              <w:left w:val="nil"/>
              <w:bottom w:val="single" w:sz="4" w:space="0" w:color="auto"/>
              <w:right w:val="single" w:sz="4" w:space="0" w:color="auto"/>
            </w:tcBorders>
            <w:shd w:val="clear" w:color="auto" w:fill="auto"/>
            <w:noWrap/>
            <w:vAlign w:val="center"/>
            <w:hideMark/>
          </w:tcPr>
          <w:p w14:paraId="2C0B4CF4"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5.00</w:t>
            </w:r>
          </w:p>
        </w:tc>
        <w:tc>
          <w:tcPr>
            <w:tcW w:w="1060" w:type="dxa"/>
            <w:tcBorders>
              <w:top w:val="nil"/>
              <w:left w:val="nil"/>
              <w:bottom w:val="single" w:sz="4" w:space="0" w:color="auto"/>
              <w:right w:val="single" w:sz="4" w:space="0" w:color="auto"/>
            </w:tcBorders>
            <w:shd w:val="clear" w:color="auto" w:fill="auto"/>
            <w:noWrap/>
            <w:vAlign w:val="center"/>
            <w:hideMark/>
          </w:tcPr>
          <w:p w14:paraId="4893F04D"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5</w:t>
            </w:r>
          </w:p>
        </w:tc>
        <w:tc>
          <w:tcPr>
            <w:tcW w:w="1060" w:type="dxa"/>
            <w:tcBorders>
              <w:top w:val="nil"/>
              <w:left w:val="nil"/>
              <w:bottom w:val="single" w:sz="4" w:space="0" w:color="auto"/>
              <w:right w:val="single" w:sz="4" w:space="0" w:color="auto"/>
            </w:tcBorders>
            <w:shd w:val="clear" w:color="auto" w:fill="auto"/>
            <w:noWrap/>
            <w:vAlign w:val="center"/>
            <w:hideMark/>
          </w:tcPr>
          <w:p w14:paraId="6E7694A2"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2.48</w:t>
            </w:r>
          </w:p>
        </w:tc>
      </w:tr>
      <w:tr w:rsidR="00D87E1F" w:rsidRPr="005F0D6C" w14:paraId="0DB7DA2C" w14:textId="77777777" w:rsidTr="00C32029">
        <w:trPr>
          <w:trHeight w:val="307"/>
          <w:jc w:val="center"/>
        </w:trPr>
        <w:tc>
          <w:tcPr>
            <w:tcW w:w="3775" w:type="dxa"/>
            <w:tcBorders>
              <w:top w:val="nil"/>
              <w:left w:val="single" w:sz="4" w:space="0" w:color="auto"/>
              <w:bottom w:val="single" w:sz="4" w:space="0" w:color="auto"/>
              <w:right w:val="single" w:sz="4" w:space="0" w:color="auto"/>
            </w:tcBorders>
            <w:shd w:val="clear" w:color="auto" w:fill="auto"/>
            <w:noWrap/>
            <w:vAlign w:val="center"/>
            <w:hideMark/>
          </w:tcPr>
          <w:p w14:paraId="3145B80F"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Valsts prezidentam</w:t>
            </w:r>
          </w:p>
        </w:tc>
        <w:tc>
          <w:tcPr>
            <w:tcW w:w="1060" w:type="dxa"/>
            <w:tcBorders>
              <w:top w:val="nil"/>
              <w:left w:val="nil"/>
              <w:bottom w:val="single" w:sz="4" w:space="0" w:color="auto"/>
              <w:right w:val="single" w:sz="4" w:space="0" w:color="auto"/>
            </w:tcBorders>
            <w:shd w:val="clear" w:color="auto" w:fill="auto"/>
            <w:noWrap/>
            <w:vAlign w:val="center"/>
            <w:hideMark/>
          </w:tcPr>
          <w:p w14:paraId="5AB2F0C3"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981</w:t>
            </w:r>
          </w:p>
        </w:tc>
        <w:tc>
          <w:tcPr>
            <w:tcW w:w="1060" w:type="dxa"/>
            <w:tcBorders>
              <w:top w:val="nil"/>
              <w:left w:val="nil"/>
              <w:bottom w:val="single" w:sz="4" w:space="0" w:color="auto"/>
              <w:right w:val="single" w:sz="4" w:space="0" w:color="auto"/>
            </w:tcBorders>
            <w:shd w:val="clear" w:color="auto" w:fill="auto"/>
            <w:noWrap/>
            <w:vAlign w:val="center"/>
            <w:hideMark/>
          </w:tcPr>
          <w:p w14:paraId="1DCB5676"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3.82</w:t>
            </w:r>
          </w:p>
        </w:tc>
        <w:tc>
          <w:tcPr>
            <w:tcW w:w="1060" w:type="dxa"/>
            <w:tcBorders>
              <w:top w:val="nil"/>
              <w:left w:val="nil"/>
              <w:bottom w:val="single" w:sz="4" w:space="0" w:color="auto"/>
              <w:right w:val="single" w:sz="4" w:space="0" w:color="auto"/>
            </w:tcBorders>
            <w:shd w:val="clear" w:color="auto" w:fill="auto"/>
            <w:noWrap/>
            <w:vAlign w:val="center"/>
            <w:hideMark/>
          </w:tcPr>
          <w:p w14:paraId="1CC0BCBE"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4.00</w:t>
            </w:r>
          </w:p>
        </w:tc>
        <w:tc>
          <w:tcPr>
            <w:tcW w:w="1060" w:type="dxa"/>
            <w:tcBorders>
              <w:top w:val="nil"/>
              <w:left w:val="nil"/>
              <w:bottom w:val="single" w:sz="4" w:space="0" w:color="auto"/>
              <w:right w:val="single" w:sz="4" w:space="0" w:color="auto"/>
            </w:tcBorders>
            <w:shd w:val="clear" w:color="auto" w:fill="auto"/>
            <w:noWrap/>
            <w:vAlign w:val="center"/>
            <w:hideMark/>
          </w:tcPr>
          <w:p w14:paraId="291590A1"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0</w:t>
            </w:r>
          </w:p>
        </w:tc>
        <w:tc>
          <w:tcPr>
            <w:tcW w:w="1060" w:type="dxa"/>
            <w:tcBorders>
              <w:top w:val="nil"/>
              <w:left w:val="nil"/>
              <w:bottom w:val="single" w:sz="4" w:space="0" w:color="auto"/>
              <w:right w:val="single" w:sz="4" w:space="0" w:color="auto"/>
            </w:tcBorders>
            <w:shd w:val="clear" w:color="auto" w:fill="auto"/>
            <w:noWrap/>
            <w:vAlign w:val="center"/>
            <w:hideMark/>
          </w:tcPr>
          <w:p w14:paraId="3B5A2E88"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2.79</w:t>
            </w:r>
          </w:p>
        </w:tc>
      </w:tr>
      <w:tr w:rsidR="00D87E1F" w:rsidRPr="005F0D6C" w14:paraId="251D5C43" w14:textId="77777777" w:rsidTr="00C32029">
        <w:trPr>
          <w:trHeight w:val="307"/>
          <w:jc w:val="center"/>
        </w:trPr>
        <w:tc>
          <w:tcPr>
            <w:tcW w:w="3775" w:type="dxa"/>
            <w:tcBorders>
              <w:top w:val="nil"/>
              <w:left w:val="single" w:sz="4" w:space="0" w:color="auto"/>
              <w:bottom w:val="single" w:sz="4" w:space="0" w:color="auto"/>
              <w:right w:val="single" w:sz="4" w:space="0" w:color="auto"/>
            </w:tcBorders>
            <w:shd w:val="clear" w:color="auto" w:fill="auto"/>
            <w:noWrap/>
            <w:vAlign w:val="center"/>
            <w:hideMark/>
          </w:tcPr>
          <w:p w14:paraId="61397764"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Jūsu pašvaldības domei</w:t>
            </w:r>
          </w:p>
        </w:tc>
        <w:tc>
          <w:tcPr>
            <w:tcW w:w="1060" w:type="dxa"/>
            <w:tcBorders>
              <w:top w:val="nil"/>
              <w:left w:val="nil"/>
              <w:bottom w:val="single" w:sz="4" w:space="0" w:color="auto"/>
              <w:right w:val="single" w:sz="4" w:space="0" w:color="auto"/>
            </w:tcBorders>
            <w:shd w:val="clear" w:color="auto" w:fill="auto"/>
            <w:noWrap/>
            <w:vAlign w:val="center"/>
            <w:hideMark/>
          </w:tcPr>
          <w:p w14:paraId="74A61403"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987</w:t>
            </w:r>
          </w:p>
        </w:tc>
        <w:tc>
          <w:tcPr>
            <w:tcW w:w="1060" w:type="dxa"/>
            <w:tcBorders>
              <w:top w:val="nil"/>
              <w:left w:val="nil"/>
              <w:bottom w:val="single" w:sz="4" w:space="0" w:color="auto"/>
              <w:right w:val="single" w:sz="4" w:space="0" w:color="auto"/>
            </w:tcBorders>
            <w:shd w:val="clear" w:color="auto" w:fill="auto"/>
            <w:noWrap/>
            <w:vAlign w:val="center"/>
            <w:hideMark/>
          </w:tcPr>
          <w:p w14:paraId="225AAB61"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5.30</w:t>
            </w:r>
          </w:p>
        </w:tc>
        <w:tc>
          <w:tcPr>
            <w:tcW w:w="1060" w:type="dxa"/>
            <w:tcBorders>
              <w:top w:val="nil"/>
              <w:left w:val="nil"/>
              <w:bottom w:val="single" w:sz="4" w:space="0" w:color="auto"/>
              <w:right w:val="single" w:sz="4" w:space="0" w:color="auto"/>
            </w:tcBorders>
            <w:shd w:val="clear" w:color="auto" w:fill="auto"/>
            <w:noWrap/>
            <w:vAlign w:val="center"/>
            <w:hideMark/>
          </w:tcPr>
          <w:p w14:paraId="0B6D7E7C"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5.00</w:t>
            </w:r>
          </w:p>
        </w:tc>
        <w:tc>
          <w:tcPr>
            <w:tcW w:w="1060" w:type="dxa"/>
            <w:tcBorders>
              <w:top w:val="nil"/>
              <w:left w:val="nil"/>
              <w:bottom w:val="single" w:sz="4" w:space="0" w:color="auto"/>
              <w:right w:val="single" w:sz="4" w:space="0" w:color="auto"/>
            </w:tcBorders>
            <w:shd w:val="clear" w:color="auto" w:fill="auto"/>
            <w:noWrap/>
            <w:vAlign w:val="center"/>
            <w:hideMark/>
          </w:tcPr>
          <w:p w14:paraId="029A1126"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5</w:t>
            </w:r>
          </w:p>
        </w:tc>
        <w:tc>
          <w:tcPr>
            <w:tcW w:w="1060" w:type="dxa"/>
            <w:tcBorders>
              <w:top w:val="nil"/>
              <w:left w:val="nil"/>
              <w:bottom w:val="single" w:sz="4" w:space="0" w:color="auto"/>
              <w:right w:val="single" w:sz="4" w:space="0" w:color="auto"/>
            </w:tcBorders>
            <w:shd w:val="clear" w:color="auto" w:fill="auto"/>
            <w:noWrap/>
            <w:vAlign w:val="center"/>
            <w:hideMark/>
          </w:tcPr>
          <w:p w14:paraId="6B9097D3"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2.37</w:t>
            </w:r>
          </w:p>
        </w:tc>
      </w:tr>
      <w:tr w:rsidR="00D87E1F" w:rsidRPr="005F0D6C" w14:paraId="4F7ECF0E" w14:textId="77777777" w:rsidTr="00C32029">
        <w:trPr>
          <w:trHeight w:val="307"/>
          <w:jc w:val="center"/>
        </w:trPr>
        <w:tc>
          <w:tcPr>
            <w:tcW w:w="3775" w:type="dxa"/>
            <w:tcBorders>
              <w:top w:val="nil"/>
              <w:left w:val="single" w:sz="4" w:space="0" w:color="auto"/>
              <w:bottom w:val="single" w:sz="4" w:space="0" w:color="auto"/>
              <w:right w:val="single" w:sz="4" w:space="0" w:color="auto"/>
            </w:tcBorders>
            <w:shd w:val="clear" w:color="auto" w:fill="auto"/>
            <w:noWrap/>
            <w:vAlign w:val="center"/>
            <w:hideMark/>
          </w:tcPr>
          <w:p w14:paraId="72694264"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Eiropas Savienībai</w:t>
            </w:r>
          </w:p>
        </w:tc>
        <w:tc>
          <w:tcPr>
            <w:tcW w:w="1060" w:type="dxa"/>
            <w:tcBorders>
              <w:top w:val="nil"/>
              <w:left w:val="nil"/>
              <w:bottom w:val="single" w:sz="4" w:space="0" w:color="auto"/>
              <w:right w:val="single" w:sz="4" w:space="0" w:color="auto"/>
            </w:tcBorders>
            <w:shd w:val="clear" w:color="auto" w:fill="auto"/>
            <w:noWrap/>
            <w:vAlign w:val="center"/>
            <w:hideMark/>
          </w:tcPr>
          <w:p w14:paraId="4B24DE2E"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966</w:t>
            </w:r>
          </w:p>
        </w:tc>
        <w:tc>
          <w:tcPr>
            <w:tcW w:w="1060" w:type="dxa"/>
            <w:tcBorders>
              <w:top w:val="nil"/>
              <w:left w:val="nil"/>
              <w:bottom w:val="single" w:sz="4" w:space="0" w:color="auto"/>
              <w:right w:val="single" w:sz="4" w:space="0" w:color="auto"/>
            </w:tcBorders>
            <w:shd w:val="clear" w:color="auto" w:fill="auto"/>
            <w:noWrap/>
            <w:vAlign w:val="center"/>
            <w:hideMark/>
          </w:tcPr>
          <w:p w14:paraId="606C5B42"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5.25</w:t>
            </w:r>
          </w:p>
        </w:tc>
        <w:tc>
          <w:tcPr>
            <w:tcW w:w="1060" w:type="dxa"/>
            <w:tcBorders>
              <w:top w:val="nil"/>
              <w:left w:val="nil"/>
              <w:bottom w:val="single" w:sz="4" w:space="0" w:color="auto"/>
              <w:right w:val="single" w:sz="4" w:space="0" w:color="auto"/>
            </w:tcBorders>
            <w:shd w:val="clear" w:color="auto" w:fill="auto"/>
            <w:noWrap/>
            <w:vAlign w:val="center"/>
            <w:hideMark/>
          </w:tcPr>
          <w:p w14:paraId="37F5D6EF"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5.00</w:t>
            </w:r>
          </w:p>
        </w:tc>
        <w:tc>
          <w:tcPr>
            <w:tcW w:w="1060" w:type="dxa"/>
            <w:tcBorders>
              <w:top w:val="nil"/>
              <w:left w:val="nil"/>
              <w:bottom w:val="single" w:sz="4" w:space="0" w:color="auto"/>
              <w:right w:val="single" w:sz="4" w:space="0" w:color="auto"/>
            </w:tcBorders>
            <w:shd w:val="clear" w:color="auto" w:fill="auto"/>
            <w:noWrap/>
            <w:vAlign w:val="center"/>
            <w:hideMark/>
          </w:tcPr>
          <w:p w14:paraId="6D434E23"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5</w:t>
            </w:r>
          </w:p>
        </w:tc>
        <w:tc>
          <w:tcPr>
            <w:tcW w:w="1060" w:type="dxa"/>
            <w:tcBorders>
              <w:top w:val="nil"/>
              <w:left w:val="nil"/>
              <w:bottom w:val="single" w:sz="4" w:space="0" w:color="auto"/>
              <w:right w:val="single" w:sz="4" w:space="0" w:color="auto"/>
            </w:tcBorders>
            <w:shd w:val="clear" w:color="auto" w:fill="auto"/>
            <w:noWrap/>
            <w:vAlign w:val="center"/>
            <w:hideMark/>
          </w:tcPr>
          <w:p w14:paraId="4A198136"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2.57</w:t>
            </w:r>
          </w:p>
        </w:tc>
      </w:tr>
      <w:tr w:rsidR="00D87E1F" w:rsidRPr="005F0D6C" w14:paraId="510A9F63" w14:textId="77777777" w:rsidTr="00C32029">
        <w:trPr>
          <w:trHeight w:val="307"/>
          <w:jc w:val="center"/>
        </w:trPr>
        <w:tc>
          <w:tcPr>
            <w:tcW w:w="3775" w:type="dxa"/>
            <w:tcBorders>
              <w:top w:val="nil"/>
              <w:left w:val="single" w:sz="4" w:space="0" w:color="auto"/>
              <w:bottom w:val="single" w:sz="4" w:space="0" w:color="auto"/>
              <w:right w:val="single" w:sz="4" w:space="0" w:color="auto"/>
            </w:tcBorders>
            <w:shd w:val="clear" w:color="auto" w:fill="auto"/>
            <w:noWrap/>
            <w:vAlign w:val="center"/>
            <w:hideMark/>
          </w:tcPr>
          <w:p w14:paraId="4EDA2F24"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Nacionālajiem bruņotajiem spēkiem</w:t>
            </w:r>
          </w:p>
        </w:tc>
        <w:tc>
          <w:tcPr>
            <w:tcW w:w="1060" w:type="dxa"/>
            <w:tcBorders>
              <w:top w:val="nil"/>
              <w:left w:val="nil"/>
              <w:bottom w:val="single" w:sz="4" w:space="0" w:color="auto"/>
              <w:right w:val="single" w:sz="4" w:space="0" w:color="auto"/>
            </w:tcBorders>
            <w:shd w:val="clear" w:color="auto" w:fill="auto"/>
            <w:noWrap/>
            <w:vAlign w:val="center"/>
            <w:hideMark/>
          </w:tcPr>
          <w:p w14:paraId="234F56DD"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970</w:t>
            </w:r>
          </w:p>
        </w:tc>
        <w:tc>
          <w:tcPr>
            <w:tcW w:w="1060" w:type="dxa"/>
            <w:tcBorders>
              <w:top w:val="nil"/>
              <w:left w:val="nil"/>
              <w:bottom w:val="single" w:sz="4" w:space="0" w:color="auto"/>
              <w:right w:val="single" w:sz="4" w:space="0" w:color="auto"/>
            </w:tcBorders>
            <w:shd w:val="clear" w:color="auto" w:fill="auto"/>
            <w:noWrap/>
            <w:vAlign w:val="center"/>
            <w:hideMark/>
          </w:tcPr>
          <w:p w14:paraId="35C42D82"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6.10</w:t>
            </w:r>
          </w:p>
        </w:tc>
        <w:tc>
          <w:tcPr>
            <w:tcW w:w="1060" w:type="dxa"/>
            <w:tcBorders>
              <w:top w:val="nil"/>
              <w:left w:val="nil"/>
              <w:bottom w:val="single" w:sz="4" w:space="0" w:color="auto"/>
              <w:right w:val="single" w:sz="4" w:space="0" w:color="auto"/>
            </w:tcBorders>
            <w:shd w:val="clear" w:color="auto" w:fill="auto"/>
            <w:noWrap/>
            <w:vAlign w:val="center"/>
            <w:hideMark/>
          </w:tcPr>
          <w:p w14:paraId="4212AA2B"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7.00</w:t>
            </w:r>
          </w:p>
        </w:tc>
        <w:tc>
          <w:tcPr>
            <w:tcW w:w="1060" w:type="dxa"/>
            <w:tcBorders>
              <w:top w:val="nil"/>
              <w:left w:val="nil"/>
              <w:bottom w:val="single" w:sz="4" w:space="0" w:color="auto"/>
              <w:right w:val="single" w:sz="4" w:space="0" w:color="auto"/>
            </w:tcBorders>
            <w:shd w:val="clear" w:color="auto" w:fill="auto"/>
            <w:noWrap/>
            <w:vAlign w:val="center"/>
            <w:hideMark/>
          </w:tcPr>
          <w:p w14:paraId="61171A92"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8</w:t>
            </w:r>
          </w:p>
        </w:tc>
        <w:tc>
          <w:tcPr>
            <w:tcW w:w="1060" w:type="dxa"/>
            <w:tcBorders>
              <w:top w:val="nil"/>
              <w:left w:val="nil"/>
              <w:bottom w:val="single" w:sz="4" w:space="0" w:color="auto"/>
              <w:right w:val="single" w:sz="4" w:space="0" w:color="auto"/>
            </w:tcBorders>
            <w:shd w:val="clear" w:color="auto" w:fill="auto"/>
            <w:noWrap/>
            <w:vAlign w:val="center"/>
            <w:hideMark/>
          </w:tcPr>
          <w:p w14:paraId="4E6342E8"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2.65</w:t>
            </w:r>
          </w:p>
        </w:tc>
      </w:tr>
      <w:tr w:rsidR="00D87E1F" w:rsidRPr="005F0D6C" w14:paraId="3C30BE7E" w14:textId="77777777" w:rsidTr="00C32029">
        <w:trPr>
          <w:trHeight w:val="307"/>
          <w:jc w:val="center"/>
        </w:trPr>
        <w:tc>
          <w:tcPr>
            <w:tcW w:w="3775" w:type="dxa"/>
            <w:tcBorders>
              <w:top w:val="nil"/>
              <w:left w:val="single" w:sz="4" w:space="0" w:color="auto"/>
              <w:bottom w:val="single" w:sz="4" w:space="0" w:color="auto"/>
              <w:right w:val="single" w:sz="4" w:space="0" w:color="auto"/>
            </w:tcBorders>
            <w:shd w:val="clear" w:color="auto" w:fill="auto"/>
            <w:noWrap/>
            <w:vAlign w:val="center"/>
            <w:hideMark/>
          </w:tcPr>
          <w:p w14:paraId="1F918264"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Policijai</w:t>
            </w:r>
          </w:p>
        </w:tc>
        <w:tc>
          <w:tcPr>
            <w:tcW w:w="1060" w:type="dxa"/>
            <w:tcBorders>
              <w:top w:val="nil"/>
              <w:left w:val="nil"/>
              <w:bottom w:val="single" w:sz="4" w:space="0" w:color="auto"/>
              <w:right w:val="single" w:sz="4" w:space="0" w:color="auto"/>
            </w:tcBorders>
            <w:shd w:val="clear" w:color="auto" w:fill="auto"/>
            <w:noWrap/>
            <w:vAlign w:val="center"/>
            <w:hideMark/>
          </w:tcPr>
          <w:p w14:paraId="2C43FF9C"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988</w:t>
            </w:r>
          </w:p>
        </w:tc>
        <w:tc>
          <w:tcPr>
            <w:tcW w:w="1060" w:type="dxa"/>
            <w:tcBorders>
              <w:top w:val="nil"/>
              <w:left w:val="nil"/>
              <w:bottom w:val="single" w:sz="4" w:space="0" w:color="auto"/>
              <w:right w:val="single" w:sz="4" w:space="0" w:color="auto"/>
            </w:tcBorders>
            <w:shd w:val="clear" w:color="auto" w:fill="auto"/>
            <w:noWrap/>
            <w:vAlign w:val="center"/>
            <w:hideMark/>
          </w:tcPr>
          <w:p w14:paraId="47B1CFE0"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5.71</w:t>
            </w:r>
          </w:p>
        </w:tc>
        <w:tc>
          <w:tcPr>
            <w:tcW w:w="1060" w:type="dxa"/>
            <w:tcBorders>
              <w:top w:val="nil"/>
              <w:left w:val="nil"/>
              <w:bottom w:val="single" w:sz="4" w:space="0" w:color="auto"/>
              <w:right w:val="single" w:sz="4" w:space="0" w:color="auto"/>
            </w:tcBorders>
            <w:shd w:val="clear" w:color="auto" w:fill="auto"/>
            <w:noWrap/>
            <w:vAlign w:val="center"/>
            <w:hideMark/>
          </w:tcPr>
          <w:p w14:paraId="0B8093CD"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6.00</w:t>
            </w:r>
          </w:p>
        </w:tc>
        <w:tc>
          <w:tcPr>
            <w:tcW w:w="1060" w:type="dxa"/>
            <w:tcBorders>
              <w:top w:val="nil"/>
              <w:left w:val="nil"/>
              <w:bottom w:val="single" w:sz="4" w:space="0" w:color="auto"/>
              <w:right w:val="single" w:sz="4" w:space="0" w:color="auto"/>
            </w:tcBorders>
            <w:shd w:val="clear" w:color="auto" w:fill="auto"/>
            <w:noWrap/>
            <w:vAlign w:val="center"/>
            <w:hideMark/>
          </w:tcPr>
          <w:p w14:paraId="5EB2E7A1"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5</w:t>
            </w:r>
          </w:p>
        </w:tc>
        <w:tc>
          <w:tcPr>
            <w:tcW w:w="1060" w:type="dxa"/>
            <w:tcBorders>
              <w:top w:val="nil"/>
              <w:left w:val="nil"/>
              <w:bottom w:val="single" w:sz="4" w:space="0" w:color="auto"/>
              <w:right w:val="single" w:sz="4" w:space="0" w:color="auto"/>
            </w:tcBorders>
            <w:shd w:val="clear" w:color="auto" w:fill="auto"/>
            <w:noWrap/>
            <w:vAlign w:val="center"/>
            <w:hideMark/>
          </w:tcPr>
          <w:p w14:paraId="106CE242"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2.49</w:t>
            </w:r>
          </w:p>
        </w:tc>
      </w:tr>
      <w:tr w:rsidR="00D87E1F" w:rsidRPr="005F0D6C" w14:paraId="119F7A6F" w14:textId="77777777" w:rsidTr="00C32029">
        <w:trPr>
          <w:trHeight w:val="307"/>
          <w:jc w:val="center"/>
        </w:trPr>
        <w:tc>
          <w:tcPr>
            <w:tcW w:w="3775" w:type="dxa"/>
            <w:tcBorders>
              <w:top w:val="nil"/>
              <w:left w:val="single" w:sz="4" w:space="0" w:color="auto"/>
              <w:bottom w:val="single" w:sz="4" w:space="0" w:color="auto"/>
              <w:right w:val="single" w:sz="4" w:space="0" w:color="auto"/>
            </w:tcBorders>
            <w:shd w:val="clear" w:color="auto" w:fill="auto"/>
            <w:noWrap/>
            <w:vAlign w:val="center"/>
            <w:hideMark/>
          </w:tcPr>
          <w:p w14:paraId="3508AA50"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Valsts drošības dienestam</w:t>
            </w:r>
          </w:p>
        </w:tc>
        <w:tc>
          <w:tcPr>
            <w:tcW w:w="1060" w:type="dxa"/>
            <w:tcBorders>
              <w:top w:val="nil"/>
              <w:left w:val="nil"/>
              <w:bottom w:val="single" w:sz="4" w:space="0" w:color="auto"/>
              <w:right w:val="single" w:sz="4" w:space="0" w:color="auto"/>
            </w:tcBorders>
            <w:shd w:val="clear" w:color="auto" w:fill="auto"/>
            <w:noWrap/>
            <w:vAlign w:val="center"/>
            <w:hideMark/>
          </w:tcPr>
          <w:p w14:paraId="287A7DEE"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919</w:t>
            </w:r>
          </w:p>
        </w:tc>
        <w:tc>
          <w:tcPr>
            <w:tcW w:w="1060" w:type="dxa"/>
            <w:tcBorders>
              <w:top w:val="nil"/>
              <w:left w:val="nil"/>
              <w:bottom w:val="single" w:sz="4" w:space="0" w:color="auto"/>
              <w:right w:val="single" w:sz="4" w:space="0" w:color="auto"/>
            </w:tcBorders>
            <w:shd w:val="clear" w:color="auto" w:fill="auto"/>
            <w:noWrap/>
            <w:vAlign w:val="center"/>
            <w:hideMark/>
          </w:tcPr>
          <w:p w14:paraId="7E3DD625"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5.77</w:t>
            </w:r>
          </w:p>
        </w:tc>
        <w:tc>
          <w:tcPr>
            <w:tcW w:w="1060" w:type="dxa"/>
            <w:tcBorders>
              <w:top w:val="nil"/>
              <w:left w:val="nil"/>
              <w:bottom w:val="single" w:sz="4" w:space="0" w:color="auto"/>
              <w:right w:val="single" w:sz="4" w:space="0" w:color="auto"/>
            </w:tcBorders>
            <w:shd w:val="clear" w:color="auto" w:fill="auto"/>
            <w:noWrap/>
            <w:vAlign w:val="center"/>
            <w:hideMark/>
          </w:tcPr>
          <w:p w14:paraId="254D3C9C"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6.00</w:t>
            </w:r>
          </w:p>
        </w:tc>
        <w:tc>
          <w:tcPr>
            <w:tcW w:w="1060" w:type="dxa"/>
            <w:tcBorders>
              <w:top w:val="nil"/>
              <w:left w:val="nil"/>
              <w:bottom w:val="single" w:sz="4" w:space="0" w:color="auto"/>
              <w:right w:val="single" w:sz="4" w:space="0" w:color="auto"/>
            </w:tcBorders>
            <w:shd w:val="clear" w:color="auto" w:fill="auto"/>
            <w:noWrap/>
            <w:vAlign w:val="center"/>
            <w:hideMark/>
          </w:tcPr>
          <w:p w14:paraId="1F1AE731"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8</w:t>
            </w:r>
          </w:p>
        </w:tc>
        <w:tc>
          <w:tcPr>
            <w:tcW w:w="1060" w:type="dxa"/>
            <w:tcBorders>
              <w:top w:val="nil"/>
              <w:left w:val="nil"/>
              <w:bottom w:val="single" w:sz="4" w:space="0" w:color="auto"/>
              <w:right w:val="single" w:sz="4" w:space="0" w:color="auto"/>
            </w:tcBorders>
            <w:shd w:val="clear" w:color="auto" w:fill="auto"/>
            <w:noWrap/>
            <w:vAlign w:val="center"/>
            <w:hideMark/>
          </w:tcPr>
          <w:p w14:paraId="66241751"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2.51</w:t>
            </w:r>
          </w:p>
        </w:tc>
      </w:tr>
      <w:tr w:rsidR="00D87E1F" w:rsidRPr="005F0D6C" w14:paraId="2074B5C2" w14:textId="77777777" w:rsidTr="00C32029">
        <w:trPr>
          <w:trHeight w:val="307"/>
          <w:jc w:val="center"/>
        </w:trPr>
        <w:tc>
          <w:tcPr>
            <w:tcW w:w="3775" w:type="dxa"/>
            <w:tcBorders>
              <w:top w:val="nil"/>
              <w:left w:val="single" w:sz="4" w:space="0" w:color="auto"/>
              <w:bottom w:val="single" w:sz="4" w:space="0" w:color="auto"/>
              <w:right w:val="single" w:sz="4" w:space="0" w:color="auto"/>
            </w:tcBorders>
            <w:shd w:val="clear" w:color="auto" w:fill="auto"/>
            <w:noWrap/>
            <w:vAlign w:val="center"/>
            <w:hideMark/>
          </w:tcPr>
          <w:p w14:paraId="2E28BF67"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Valsts robežsardzei</w:t>
            </w:r>
          </w:p>
        </w:tc>
        <w:tc>
          <w:tcPr>
            <w:tcW w:w="1060" w:type="dxa"/>
            <w:tcBorders>
              <w:top w:val="nil"/>
              <w:left w:val="nil"/>
              <w:bottom w:val="single" w:sz="4" w:space="0" w:color="auto"/>
              <w:right w:val="single" w:sz="4" w:space="0" w:color="auto"/>
            </w:tcBorders>
            <w:shd w:val="clear" w:color="auto" w:fill="auto"/>
            <w:noWrap/>
            <w:vAlign w:val="center"/>
            <w:hideMark/>
          </w:tcPr>
          <w:p w14:paraId="6C43AC68"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956</w:t>
            </w:r>
          </w:p>
        </w:tc>
        <w:tc>
          <w:tcPr>
            <w:tcW w:w="1060" w:type="dxa"/>
            <w:tcBorders>
              <w:top w:val="nil"/>
              <w:left w:val="nil"/>
              <w:bottom w:val="single" w:sz="4" w:space="0" w:color="auto"/>
              <w:right w:val="single" w:sz="4" w:space="0" w:color="auto"/>
            </w:tcBorders>
            <w:shd w:val="clear" w:color="auto" w:fill="auto"/>
            <w:noWrap/>
            <w:vAlign w:val="center"/>
            <w:hideMark/>
          </w:tcPr>
          <w:p w14:paraId="7B39F163"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6.29</w:t>
            </w:r>
          </w:p>
        </w:tc>
        <w:tc>
          <w:tcPr>
            <w:tcW w:w="1060" w:type="dxa"/>
            <w:tcBorders>
              <w:top w:val="nil"/>
              <w:left w:val="nil"/>
              <w:bottom w:val="single" w:sz="4" w:space="0" w:color="auto"/>
              <w:right w:val="single" w:sz="4" w:space="0" w:color="auto"/>
            </w:tcBorders>
            <w:shd w:val="clear" w:color="auto" w:fill="auto"/>
            <w:noWrap/>
            <w:vAlign w:val="center"/>
            <w:hideMark/>
          </w:tcPr>
          <w:p w14:paraId="78EE5A79"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7.00</w:t>
            </w:r>
          </w:p>
        </w:tc>
        <w:tc>
          <w:tcPr>
            <w:tcW w:w="1060" w:type="dxa"/>
            <w:tcBorders>
              <w:top w:val="nil"/>
              <w:left w:val="nil"/>
              <w:bottom w:val="single" w:sz="4" w:space="0" w:color="auto"/>
              <w:right w:val="single" w:sz="4" w:space="0" w:color="auto"/>
            </w:tcBorders>
            <w:shd w:val="clear" w:color="auto" w:fill="auto"/>
            <w:noWrap/>
            <w:vAlign w:val="center"/>
            <w:hideMark/>
          </w:tcPr>
          <w:p w14:paraId="6B11C95E"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8</w:t>
            </w:r>
          </w:p>
        </w:tc>
        <w:tc>
          <w:tcPr>
            <w:tcW w:w="1060" w:type="dxa"/>
            <w:tcBorders>
              <w:top w:val="nil"/>
              <w:left w:val="nil"/>
              <w:bottom w:val="single" w:sz="4" w:space="0" w:color="auto"/>
              <w:right w:val="single" w:sz="4" w:space="0" w:color="auto"/>
            </w:tcBorders>
            <w:shd w:val="clear" w:color="auto" w:fill="auto"/>
            <w:noWrap/>
            <w:vAlign w:val="center"/>
            <w:hideMark/>
          </w:tcPr>
          <w:p w14:paraId="24670D44"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2.49</w:t>
            </w:r>
          </w:p>
        </w:tc>
      </w:tr>
      <w:tr w:rsidR="00D87E1F" w:rsidRPr="005F0D6C" w14:paraId="248A4B42" w14:textId="77777777" w:rsidTr="00C32029">
        <w:trPr>
          <w:trHeight w:val="307"/>
          <w:jc w:val="center"/>
        </w:trPr>
        <w:tc>
          <w:tcPr>
            <w:tcW w:w="3775" w:type="dxa"/>
            <w:tcBorders>
              <w:top w:val="nil"/>
              <w:left w:val="single" w:sz="4" w:space="0" w:color="auto"/>
              <w:bottom w:val="single" w:sz="4" w:space="0" w:color="auto"/>
              <w:right w:val="single" w:sz="4" w:space="0" w:color="auto"/>
            </w:tcBorders>
            <w:shd w:val="clear" w:color="auto" w:fill="auto"/>
            <w:noWrap/>
            <w:vAlign w:val="center"/>
            <w:hideMark/>
          </w:tcPr>
          <w:p w14:paraId="386D94F7" w14:textId="55D7A96A"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NATO</w:t>
            </w:r>
          </w:p>
        </w:tc>
        <w:tc>
          <w:tcPr>
            <w:tcW w:w="1060" w:type="dxa"/>
            <w:tcBorders>
              <w:top w:val="nil"/>
              <w:left w:val="nil"/>
              <w:bottom w:val="single" w:sz="4" w:space="0" w:color="auto"/>
              <w:right w:val="single" w:sz="4" w:space="0" w:color="auto"/>
            </w:tcBorders>
            <w:shd w:val="clear" w:color="auto" w:fill="auto"/>
            <w:noWrap/>
            <w:vAlign w:val="center"/>
            <w:hideMark/>
          </w:tcPr>
          <w:p w14:paraId="5EF89821"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939</w:t>
            </w:r>
          </w:p>
        </w:tc>
        <w:tc>
          <w:tcPr>
            <w:tcW w:w="1060" w:type="dxa"/>
            <w:tcBorders>
              <w:top w:val="nil"/>
              <w:left w:val="nil"/>
              <w:bottom w:val="single" w:sz="4" w:space="0" w:color="auto"/>
              <w:right w:val="single" w:sz="4" w:space="0" w:color="auto"/>
            </w:tcBorders>
            <w:shd w:val="clear" w:color="auto" w:fill="auto"/>
            <w:noWrap/>
            <w:vAlign w:val="center"/>
            <w:hideMark/>
          </w:tcPr>
          <w:p w14:paraId="01F10003"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5.81</w:t>
            </w:r>
          </w:p>
        </w:tc>
        <w:tc>
          <w:tcPr>
            <w:tcW w:w="1060" w:type="dxa"/>
            <w:tcBorders>
              <w:top w:val="nil"/>
              <w:left w:val="nil"/>
              <w:bottom w:val="single" w:sz="4" w:space="0" w:color="auto"/>
              <w:right w:val="single" w:sz="4" w:space="0" w:color="auto"/>
            </w:tcBorders>
            <w:shd w:val="clear" w:color="auto" w:fill="auto"/>
            <w:noWrap/>
            <w:vAlign w:val="center"/>
            <w:hideMark/>
          </w:tcPr>
          <w:p w14:paraId="159A1449"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6.00</w:t>
            </w:r>
          </w:p>
        </w:tc>
        <w:tc>
          <w:tcPr>
            <w:tcW w:w="1060" w:type="dxa"/>
            <w:tcBorders>
              <w:top w:val="nil"/>
              <w:left w:val="nil"/>
              <w:bottom w:val="single" w:sz="4" w:space="0" w:color="auto"/>
              <w:right w:val="single" w:sz="4" w:space="0" w:color="auto"/>
            </w:tcBorders>
            <w:shd w:val="clear" w:color="auto" w:fill="auto"/>
            <w:noWrap/>
            <w:vAlign w:val="center"/>
            <w:hideMark/>
          </w:tcPr>
          <w:p w14:paraId="5308F9E8"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5</w:t>
            </w:r>
          </w:p>
        </w:tc>
        <w:tc>
          <w:tcPr>
            <w:tcW w:w="1060" w:type="dxa"/>
            <w:tcBorders>
              <w:top w:val="nil"/>
              <w:left w:val="nil"/>
              <w:bottom w:val="single" w:sz="4" w:space="0" w:color="auto"/>
              <w:right w:val="single" w:sz="4" w:space="0" w:color="auto"/>
            </w:tcBorders>
            <w:shd w:val="clear" w:color="auto" w:fill="auto"/>
            <w:noWrap/>
            <w:vAlign w:val="center"/>
            <w:hideMark/>
          </w:tcPr>
          <w:p w14:paraId="1A680B68" w14:textId="77777777" w:rsidR="00D87E1F" w:rsidRPr="005F0D6C" w:rsidRDefault="00D87E1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2.87</w:t>
            </w:r>
          </w:p>
        </w:tc>
      </w:tr>
    </w:tbl>
    <w:p w14:paraId="042E5EF2" w14:textId="223B70B6" w:rsidR="000416D9" w:rsidRPr="005F0D6C" w:rsidRDefault="00D87E1F" w:rsidP="00E50D63">
      <w:pPr>
        <w:spacing w:before="120" w:after="120" w:line="360" w:lineRule="auto"/>
        <w:jc w:val="both"/>
        <w:rPr>
          <w:rFonts w:ascii="Times New Roman" w:hAnsi="Times New Roman" w:cs="Times New Roman"/>
          <w:bCs/>
          <w:sz w:val="24"/>
          <w:szCs w:val="24"/>
          <w:lang w:val="lv-LV"/>
        </w:rPr>
      </w:pPr>
      <w:r w:rsidRPr="005F0D6C">
        <w:rPr>
          <w:rFonts w:ascii="Times New Roman" w:hAnsi="Times New Roman" w:cs="Times New Roman"/>
          <w:bCs/>
          <w:sz w:val="24"/>
          <w:szCs w:val="24"/>
          <w:lang w:val="lv-LV"/>
        </w:rPr>
        <w:t>Zemākais uzticēšanās līmenis ir Saeimai (3,70), Ministru kabinetam (3,78) un Valsts prezidentam (3,82). Toties, kamēr pirmajām divām institūcijām visbiežāk sastopamā vērtība ir 5 (11 rangu skalas viduspunkts), tad valsts augstākajai amatpersonai moda ir vienāda ar 0. Mediāna visām trijām institūcijām ar zemāko vidējo uzticēšanos ir 4</w:t>
      </w:r>
      <w:r w:rsidR="0010509B" w:rsidRPr="005F0D6C">
        <w:rPr>
          <w:rFonts w:ascii="Times New Roman" w:hAnsi="Times New Roman" w:cs="Times New Roman"/>
          <w:bCs/>
          <w:sz w:val="24"/>
          <w:szCs w:val="24"/>
          <w:lang w:val="lv-LV"/>
        </w:rPr>
        <w:t>,</w:t>
      </w:r>
      <w:r w:rsidRPr="005F0D6C">
        <w:rPr>
          <w:rFonts w:ascii="Times New Roman" w:hAnsi="Times New Roman" w:cs="Times New Roman"/>
          <w:bCs/>
          <w:sz w:val="24"/>
          <w:szCs w:val="24"/>
          <w:lang w:val="lv-LV"/>
        </w:rPr>
        <w:t xml:space="preserve"> kas nozīmē, ka </w:t>
      </w:r>
      <w:r w:rsidR="0010509B" w:rsidRPr="005F0D6C">
        <w:rPr>
          <w:rFonts w:ascii="Times New Roman" w:hAnsi="Times New Roman" w:cs="Times New Roman"/>
          <w:bCs/>
          <w:sz w:val="24"/>
          <w:szCs w:val="24"/>
          <w:lang w:val="lv-LV"/>
        </w:rPr>
        <w:t>50% respondentu uzticēšanās nepārsniedz šo līmeni. Nedaudz, taču manāmi augstāks ir uzticēšanās līmenis Latvijas tiesām (4,65), kas gandrīz sakrīt ar mediānu un modu (5).</w:t>
      </w:r>
      <w:r w:rsidR="0062657F" w:rsidRPr="005F0D6C">
        <w:rPr>
          <w:rFonts w:ascii="Times New Roman" w:hAnsi="Times New Roman" w:cs="Times New Roman"/>
          <w:bCs/>
          <w:sz w:val="24"/>
          <w:szCs w:val="24"/>
          <w:lang w:val="lv-LV"/>
        </w:rPr>
        <w:t xml:space="preserve"> </w:t>
      </w:r>
      <w:r w:rsidR="0010509B" w:rsidRPr="005F0D6C">
        <w:rPr>
          <w:rFonts w:ascii="Times New Roman" w:hAnsi="Times New Roman" w:cs="Times New Roman"/>
          <w:bCs/>
          <w:sz w:val="24"/>
          <w:szCs w:val="24"/>
          <w:lang w:val="lv-LV"/>
        </w:rPr>
        <w:t xml:space="preserve">Pa vidu vērtējuma skalai atrodas piecas institūcijas – ES (5,25), respondenta pašvaldības dome (5,3), policija (5,71), VDD (5,77) un NATO (5,81). Tādējādi, šajā grupā ietilpst abas Latvijai svarīgākās politiskās apvienības, divas drošības iestādes, kā arī vietējās pārvaldes institūcijas. Kopumā uzticēšanās tām ir vidējā </w:t>
      </w:r>
      <w:r w:rsidR="0062657F" w:rsidRPr="005F0D6C">
        <w:rPr>
          <w:rFonts w:ascii="Times New Roman" w:hAnsi="Times New Roman" w:cs="Times New Roman"/>
          <w:bCs/>
          <w:sz w:val="24"/>
          <w:szCs w:val="24"/>
          <w:lang w:val="lv-LV"/>
        </w:rPr>
        <w:t xml:space="preserve">vai nedaudz virs vidējā līmeņa. </w:t>
      </w:r>
      <w:r w:rsidR="000416D9" w:rsidRPr="005F0D6C">
        <w:rPr>
          <w:rFonts w:ascii="Times New Roman" w:hAnsi="Times New Roman" w:cs="Times New Roman"/>
          <w:bCs/>
          <w:sz w:val="24"/>
          <w:szCs w:val="24"/>
          <w:lang w:val="lv-LV"/>
        </w:rPr>
        <w:t>Nacionālie bruņotie spēki (6,1) un Valsts robežsardze (6,29) bauda visaugstāko uzticēšanos no visām analīzē iekļautajām institūcijām.</w:t>
      </w:r>
      <w:r w:rsidR="0062657F" w:rsidRPr="005F0D6C">
        <w:rPr>
          <w:rFonts w:ascii="Times New Roman" w:hAnsi="Times New Roman" w:cs="Times New Roman"/>
          <w:bCs/>
          <w:sz w:val="24"/>
          <w:szCs w:val="24"/>
          <w:lang w:val="lv-LV"/>
        </w:rPr>
        <w:t xml:space="preserve"> Abām ir arī samērā augsta mediāna (7).</w:t>
      </w:r>
    </w:p>
    <w:p w14:paraId="5D5FBA60" w14:textId="57EF2F1A" w:rsidR="00AD687F" w:rsidRPr="005F0D6C" w:rsidRDefault="00AD687F" w:rsidP="00E50D63">
      <w:pPr>
        <w:spacing w:before="120" w:after="120" w:line="360" w:lineRule="auto"/>
        <w:jc w:val="both"/>
        <w:rPr>
          <w:rFonts w:ascii="Times New Roman" w:hAnsi="Times New Roman" w:cs="Times New Roman"/>
          <w:bCs/>
          <w:sz w:val="24"/>
          <w:szCs w:val="24"/>
          <w:lang w:val="lv-LV"/>
        </w:rPr>
      </w:pPr>
      <w:r w:rsidRPr="005F0D6C">
        <w:rPr>
          <w:rFonts w:ascii="Times New Roman" w:hAnsi="Times New Roman" w:cs="Times New Roman"/>
          <w:bCs/>
          <w:sz w:val="24"/>
          <w:szCs w:val="24"/>
          <w:lang w:val="lv-LV"/>
        </w:rPr>
        <w:t>Aplūkojot vienu un to pašu attieksmi vairākiem objektiem, vēlama kļūst šīs attieksmes dimensiju redukcija (</w:t>
      </w:r>
      <w:r w:rsidRPr="005F0D6C">
        <w:rPr>
          <w:rFonts w:ascii="Times New Roman" w:hAnsi="Times New Roman" w:cs="Times New Roman"/>
          <w:bCs/>
          <w:i/>
          <w:sz w:val="24"/>
          <w:szCs w:val="24"/>
          <w:lang w:val="lv-LV"/>
        </w:rPr>
        <w:t>dimension reduction</w:t>
      </w:r>
      <w:r w:rsidRPr="005F0D6C">
        <w:rPr>
          <w:rFonts w:ascii="Times New Roman" w:hAnsi="Times New Roman" w:cs="Times New Roman"/>
          <w:bCs/>
          <w:sz w:val="24"/>
          <w:szCs w:val="24"/>
          <w:lang w:val="lv-LV"/>
        </w:rPr>
        <w:t xml:space="preserve">), kas parādītu, kuriem uzticēšanās objektiem ir ciešākā savstarpējā korelācija un vai tā ir skaidrojama ar kādu datos tieši nenovērojamu, latentu </w:t>
      </w:r>
      <w:r w:rsidRPr="005F0D6C">
        <w:rPr>
          <w:rFonts w:ascii="Times New Roman" w:hAnsi="Times New Roman" w:cs="Times New Roman"/>
          <w:bCs/>
          <w:sz w:val="24"/>
          <w:szCs w:val="24"/>
          <w:lang w:val="lv-LV"/>
        </w:rPr>
        <w:lastRenderedPageBreak/>
        <w:t>faktoru. Šim nolūkam autori ir veikuši faktoru analīzi, izmantojot galveno komponenšu analīzes paveidu.</w:t>
      </w:r>
    </w:p>
    <w:p w14:paraId="339749A5" w14:textId="6549EABB" w:rsidR="002F409D" w:rsidRPr="005F0D6C" w:rsidRDefault="002F409D" w:rsidP="00E50D63">
      <w:pPr>
        <w:spacing w:before="120" w:after="120" w:line="360" w:lineRule="auto"/>
        <w:jc w:val="both"/>
        <w:rPr>
          <w:rFonts w:ascii="Times New Roman" w:hAnsi="Times New Roman" w:cs="Times New Roman"/>
          <w:sz w:val="24"/>
          <w:szCs w:val="24"/>
          <w:lang w:val="lv-LV"/>
        </w:rPr>
      </w:pPr>
      <w:r w:rsidRPr="005F0D6C">
        <w:rPr>
          <w:rFonts w:ascii="Times New Roman" w:hAnsi="Times New Roman" w:cs="Times New Roman"/>
          <w:sz w:val="24"/>
          <w:szCs w:val="24"/>
          <w:lang w:val="lv-LV"/>
        </w:rPr>
        <w:t>Galveno komponenšu analīze (</w:t>
      </w:r>
      <w:r w:rsidRPr="005F0D6C">
        <w:rPr>
          <w:rFonts w:ascii="Times New Roman" w:hAnsi="Times New Roman" w:cs="Times New Roman"/>
          <w:i/>
          <w:sz w:val="24"/>
          <w:szCs w:val="24"/>
          <w:lang w:val="lv-LV"/>
        </w:rPr>
        <w:t>Principal component analysis, PCA</w:t>
      </w:r>
      <w:r w:rsidRPr="005F0D6C">
        <w:rPr>
          <w:rFonts w:ascii="Times New Roman" w:hAnsi="Times New Roman" w:cs="Times New Roman"/>
          <w:sz w:val="24"/>
          <w:szCs w:val="24"/>
          <w:lang w:val="lv-LV"/>
        </w:rPr>
        <w:t>) analīze tika veikta par 11 uzticēšanās mainīgajiem ar ortogonālās rotācijas (</w:t>
      </w:r>
      <w:r w:rsidRPr="005F0D6C">
        <w:rPr>
          <w:rFonts w:ascii="Times New Roman" w:hAnsi="Times New Roman" w:cs="Times New Roman"/>
          <w:i/>
          <w:iCs/>
          <w:sz w:val="24"/>
          <w:szCs w:val="24"/>
          <w:lang w:val="lv-LV"/>
        </w:rPr>
        <w:t>varimax</w:t>
      </w:r>
      <w:r w:rsidRPr="005F0D6C">
        <w:rPr>
          <w:rFonts w:ascii="Times New Roman" w:hAnsi="Times New Roman" w:cs="Times New Roman"/>
          <w:sz w:val="24"/>
          <w:szCs w:val="24"/>
          <w:lang w:val="lv-LV"/>
        </w:rPr>
        <w:t>) paņēmienu. Kaiser-Meyer-Olkin rādītāji novērtē izlases atbilstību analīzei kā teicamu (KMO = 0,92) un KMO vērtības atsevišķām vienībām &gt;</w:t>
      </w:r>
      <w:r w:rsidR="00AE535C" w:rsidRPr="005F0D6C">
        <w:rPr>
          <w:rFonts w:ascii="Times New Roman" w:hAnsi="Times New Roman" w:cs="Times New Roman"/>
          <w:sz w:val="24"/>
          <w:szCs w:val="24"/>
          <w:lang w:val="lv-LV"/>
        </w:rPr>
        <w:t>0</w:t>
      </w:r>
      <w:r w:rsidRPr="005F0D6C">
        <w:rPr>
          <w:rFonts w:ascii="Times New Roman" w:hAnsi="Times New Roman" w:cs="Times New Roman"/>
          <w:sz w:val="24"/>
          <w:szCs w:val="24"/>
          <w:lang w:val="lv-LV"/>
        </w:rPr>
        <w:t>.5</w:t>
      </w:r>
      <w:r w:rsidR="00A90355" w:rsidRPr="005F0D6C">
        <w:rPr>
          <w:rFonts w:ascii="Times New Roman" w:hAnsi="Times New Roman" w:cs="Times New Roman"/>
          <w:sz w:val="24"/>
          <w:szCs w:val="24"/>
          <w:lang w:val="lv-LV"/>
        </w:rPr>
        <w:t>,</w:t>
      </w:r>
      <w:r w:rsidRPr="005F0D6C">
        <w:rPr>
          <w:rFonts w:ascii="Times New Roman" w:hAnsi="Times New Roman" w:cs="Times New Roman"/>
          <w:sz w:val="24"/>
          <w:szCs w:val="24"/>
          <w:lang w:val="lv-LV"/>
        </w:rPr>
        <w:t xml:space="preserve"> kas ir virs pieņemamā līmeņa </w:t>
      </w:r>
      <w:r w:rsidR="00AE535C" w:rsidRPr="005F0D6C">
        <w:rPr>
          <w:rFonts w:ascii="Times New Roman" w:hAnsi="Times New Roman" w:cs="Times New Roman"/>
          <w:sz w:val="24"/>
          <w:szCs w:val="24"/>
          <w:lang w:val="lv-LV"/>
        </w:rPr>
        <w:t>0</w:t>
      </w:r>
      <w:r w:rsidRPr="005F0D6C">
        <w:rPr>
          <w:rFonts w:ascii="Times New Roman" w:hAnsi="Times New Roman" w:cs="Times New Roman"/>
          <w:sz w:val="24"/>
          <w:szCs w:val="24"/>
          <w:lang w:val="lv-LV"/>
        </w:rPr>
        <w:t xml:space="preserve">.5 (Field, 2009). Bārtleta  sfēritātes tests (Bartlett’s test of sphericity) </w:t>
      </w:r>
      <w:r w:rsidRPr="005F0D6C">
        <w:rPr>
          <w:rFonts w:ascii="Cambria Math" w:hAnsi="Cambria Math" w:cs="Cambria Math"/>
          <w:sz w:val="24"/>
          <w:szCs w:val="24"/>
          <w:lang w:val="lv-LV"/>
        </w:rPr>
        <w:t>𝑥</w:t>
      </w:r>
      <w:r w:rsidRPr="005F0D6C">
        <w:rPr>
          <w:rFonts w:ascii="Times New Roman" w:hAnsi="Times New Roman" w:cs="Times New Roman"/>
          <w:sz w:val="24"/>
          <w:szCs w:val="24"/>
          <w:lang w:val="lv-LV"/>
        </w:rPr>
        <w:t>^2 = 8760,246, p &lt; .001 liecina, ka korelācijas starp mainīgajiem ir pietiekamas galveno komponentu analīzei. Sākotnējā analīzē tika meklētas īpašvērtības (</w:t>
      </w:r>
      <w:r w:rsidRPr="005F0D6C">
        <w:rPr>
          <w:rFonts w:ascii="Times New Roman" w:hAnsi="Times New Roman" w:cs="Times New Roman"/>
          <w:i/>
          <w:iCs/>
          <w:sz w:val="24"/>
          <w:szCs w:val="24"/>
          <w:lang w:val="lv-LV"/>
        </w:rPr>
        <w:t>eigenvalue</w:t>
      </w:r>
      <w:r w:rsidRPr="005F0D6C">
        <w:rPr>
          <w:rFonts w:ascii="Times New Roman" w:hAnsi="Times New Roman" w:cs="Times New Roman"/>
          <w:sz w:val="24"/>
          <w:szCs w:val="24"/>
          <w:lang w:val="lv-LV"/>
        </w:rPr>
        <w:t xml:space="preserve">) katrai no datu komponentei. </w:t>
      </w:r>
      <w:r w:rsidR="00AD687F" w:rsidRPr="005F0D6C">
        <w:rPr>
          <w:rFonts w:ascii="Times New Roman" w:hAnsi="Times New Roman" w:cs="Times New Roman"/>
          <w:sz w:val="24"/>
          <w:szCs w:val="24"/>
          <w:lang w:val="lv-LV"/>
        </w:rPr>
        <w:t>Divas</w:t>
      </w:r>
      <w:r w:rsidRPr="005F0D6C">
        <w:rPr>
          <w:rFonts w:ascii="Times New Roman" w:hAnsi="Times New Roman" w:cs="Times New Roman"/>
          <w:sz w:val="24"/>
          <w:szCs w:val="24"/>
          <w:lang w:val="lv-LV"/>
        </w:rPr>
        <w:t xml:space="preserve"> komponentes pēc Kaisera atbilstības bija lielākas par 1 un šīs trīs komponentes izskaidro pat 76% no dispersijas. Jāpiebilst, ka izvēlētā rotācijas metode ir atbilstoša, jo</w:t>
      </w:r>
      <w:r w:rsidR="00AD687F" w:rsidRPr="005F0D6C">
        <w:rPr>
          <w:rFonts w:ascii="Times New Roman" w:hAnsi="Times New Roman" w:cs="Times New Roman"/>
          <w:sz w:val="24"/>
          <w:szCs w:val="24"/>
          <w:lang w:val="lv-LV"/>
        </w:rPr>
        <w:t xml:space="preserve"> atlikumi ar </w:t>
      </w:r>
      <w:r w:rsidR="00CC7AF0" w:rsidRPr="005F0D6C">
        <w:rPr>
          <w:rFonts w:ascii="Times New Roman" w:hAnsi="Times New Roman" w:cs="Times New Roman"/>
          <w:sz w:val="24"/>
          <w:szCs w:val="24"/>
          <w:lang w:val="lv-LV"/>
        </w:rPr>
        <w:t>absolūtajām vērtībām virs 0,05</w:t>
      </w:r>
      <w:r w:rsidRPr="005F0D6C">
        <w:rPr>
          <w:rFonts w:ascii="Times New Roman" w:hAnsi="Times New Roman" w:cs="Times New Roman"/>
          <w:sz w:val="24"/>
          <w:szCs w:val="24"/>
          <w:lang w:val="lv-LV"/>
        </w:rPr>
        <w:t xml:space="preserve"> </w:t>
      </w:r>
      <w:r w:rsidR="00CC7AF0" w:rsidRPr="005F0D6C">
        <w:rPr>
          <w:rFonts w:ascii="Times New Roman" w:hAnsi="Times New Roman" w:cs="Times New Roman"/>
          <w:sz w:val="24"/>
          <w:szCs w:val="24"/>
          <w:lang w:val="lv-LV"/>
        </w:rPr>
        <w:t>(</w:t>
      </w:r>
      <w:r w:rsidRPr="005F0D6C">
        <w:rPr>
          <w:rFonts w:ascii="Times New Roman" w:hAnsi="Times New Roman" w:cs="Times New Roman"/>
          <w:i/>
          <w:iCs/>
          <w:sz w:val="24"/>
          <w:szCs w:val="24"/>
          <w:lang w:val="lv-LV"/>
        </w:rPr>
        <w:t>nonredundant residuals with absolute values greater than 0.05</w:t>
      </w:r>
      <w:r w:rsidR="00CC7AF0" w:rsidRPr="005F0D6C">
        <w:rPr>
          <w:rFonts w:ascii="Times New Roman" w:hAnsi="Times New Roman" w:cs="Times New Roman"/>
          <w:i/>
          <w:iCs/>
          <w:sz w:val="24"/>
          <w:szCs w:val="24"/>
          <w:lang w:val="lv-LV"/>
        </w:rPr>
        <w:t>)</w:t>
      </w:r>
      <w:r w:rsidRPr="005F0D6C">
        <w:rPr>
          <w:rFonts w:ascii="Times New Roman" w:hAnsi="Times New Roman" w:cs="Times New Roman"/>
          <w:sz w:val="24"/>
          <w:szCs w:val="24"/>
          <w:lang w:val="lv-LV"/>
        </w:rPr>
        <w:t xml:space="preserve"> ir 36%, kas ir zem ieteicamā (50%) līmeņa.</w:t>
      </w:r>
    </w:p>
    <w:p w14:paraId="4DF0FC3B" w14:textId="39A1DA58" w:rsidR="002F409D" w:rsidRPr="005F0D6C" w:rsidRDefault="00CC7AF0" w:rsidP="00E50D63">
      <w:pPr>
        <w:spacing w:before="120" w:after="120" w:line="360" w:lineRule="auto"/>
        <w:jc w:val="both"/>
        <w:rPr>
          <w:rFonts w:ascii="Times New Roman" w:hAnsi="Times New Roman" w:cs="Times New Roman"/>
          <w:sz w:val="24"/>
          <w:szCs w:val="24"/>
          <w:lang w:val="lv-LV"/>
        </w:rPr>
      </w:pPr>
      <w:r w:rsidRPr="005F0D6C">
        <w:rPr>
          <w:rFonts w:ascii="Times New Roman" w:hAnsi="Times New Roman" w:cs="Times New Roman"/>
          <w:sz w:val="24"/>
          <w:szCs w:val="24"/>
          <w:lang w:val="lv-LV"/>
        </w:rPr>
        <w:t>Gala analīzē tika piedāvātas divas</w:t>
      </w:r>
      <w:r w:rsidR="002F409D" w:rsidRPr="005F0D6C">
        <w:rPr>
          <w:rFonts w:ascii="Times New Roman" w:hAnsi="Times New Roman" w:cs="Times New Roman"/>
          <w:sz w:val="24"/>
          <w:szCs w:val="24"/>
          <w:lang w:val="lv-LV"/>
        </w:rPr>
        <w:t xml:space="preserve"> komponentes. Tabulā redzami faktoru rādītāji (</w:t>
      </w:r>
      <w:r w:rsidR="002F409D" w:rsidRPr="005F0D6C">
        <w:rPr>
          <w:rFonts w:ascii="Times New Roman" w:hAnsi="Times New Roman" w:cs="Times New Roman"/>
          <w:i/>
          <w:sz w:val="24"/>
          <w:szCs w:val="24"/>
          <w:lang w:val="lv-LV"/>
        </w:rPr>
        <w:t>loadings</w:t>
      </w:r>
      <w:r w:rsidR="002F409D" w:rsidRPr="005F0D6C">
        <w:rPr>
          <w:rFonts w:ascii="Times New Roman" w:hAnsi="Times New Roman" w:cs="Times New Roman"/>
          <w:sz w:val="24"/>
          <w:szCs w:val="24"/>
          <w:lang w:val="lv-LV"/>
        </w:rPr>
        <w:t xml:space="preserve">) pēc rotācijas, kas šajā gadījumā ir gan korelāciju koeficienti, gan regresijas koeficienti uz šīm 2 komponentēm, kas saista uzticēšanās dažādām institūcijām. Uzticēšanās dimensijas 1. kompenentē ļauj raksturot </w:t>
      </w:r>
      <w:r w:rsidR="002F409D" w:rsidRPr="005F0D6C">
        <w:rPr>
          <w:rFonts w:ascii="Times New Roman" w:hAnsi="Times New Roman" w:cs="Times New Roman"/>
          <w:b/>
          <w:bCs/>
          <w:sz w:val="24"/>
          <w:szCs w:val="24"/>
          <w:lang w:val="lv-LV"/>
        </w:rPr>
        <w:t>uzticēšanos citām institūcijām</w:t>
      </w:r>
      <w:r w:rsidR="002F409D" w:rsidRPr="005F0D6C">
        <w:rPr>
          <w:rFonts w:ascii="Times New Roman" w:hAnsi="Times New Roman" w:cs="Times New Roman"/>
          <w:sz w:val="24"/>
          <w:szCs w:val="24"/>
          <w:lang w:val="lv-LV"/>
        </w:rPr>
        <w:t>, kas nav politiskās varas institūcijas, kur ietilpst 8 institūcijas un tie izskaidro pat 65% no visām iespējamām dispersijām pirms rotācijas (44% pēc rotācijas), savukārt 2. </w:t>
      </w:r>
      <w:r w:rsidRPr="005F0D6C">
        <w:rPr>
          <w:rFonts w:ascii="Times New Roman" w:hAnsi="Times New Roman" w:cs="Times New Roman"/>
          <w:sz w:val="24"/>
          <w:szCs w:val="24"/>
          <w:lang w:val="lv-LV"/>
        </w:rPr>
        <w:t>komponente</w:t>
      </w:r>
      <w:r w:rsidR="002F409D" w:rsidRPr="005F0D6C">
        <w:rPr>
          <w:rFonts w:ascii="Times New Roman" w:hAnsi="Times New Roman" w:cs="Times New Roman"/>
          <w:sz w:val="24"/>
          <w:szCs w:val="24"/>
          <w:lang w:val="lv-LV"/>
        </w:rPr>
        <w:t xml:space="preserve"> – </w:t>
      </w:r>
      <w:r w:rsidR="002F409D" w:rsidRPr="005F0D6C">
        <w:rPr>
          <w:rFonts w:ascii="Times New Roman" w:hAnsi="Times New Roman" w:cs="Times New Roman"/>
          <w:b/>
          <w:bCs/>
          <w:sz w:val="24"/>
          <w:szCs w:val="24"/>
          <w:lang w:val="lv-LV"/>
        </w:rPr>
        <w:t>uzticēšanos politiskās varas institūcijām</w:t>
      </w:r>
      <w:r w:rsidR="002F409D" w:rsidRPr="005F0D6C">
        <w:rPr>
          <w:rFonts w:ascii="Times New Roman" w:hAnsi="Times New Roman" w:cs="Times New Roman"/>
          <w:sz w:val="24"/>
          <w:szCs w:val="24"/>
          <w:lang w:val="lv-LV"/>
        </w:rPr>
        <w:t xml:space="preserve">, tur ietilpst tikai 3 mainīgie – </w:t>
      </w:r>
      <w:r w:rsidR="002F409D" w:rsidRPr="005F0D6C">
        <w:rPr>
          <w:rFonts w:ascii="Times New Roman" w:hAnsi="Times New Roman" w:cs="Times New Roman"/>
          <w:b/>
          <w:bCs/>
          <w:sz w:val="24"/>
          <w:szCs w:val="24"/>
          <w:lang w:val="lv-LV"/>
        </w:rPr>
        <w:t>uzticēšanās Saeimai, Ministru kabinetam, valsts prezidentam</w:t>
      </w:r>
      <w:r w:rsidR="002F409D" w:rsidRPr="005F0D6C">
        <w:rPr>
          <w:rFonts w:ascii="Times New Roman" w:hAnsi="Times New Roman" w:cs="Times New Roman"/>
          <w:sz w:val="24"/>
          <w:szCs w:val="24"/>
          <w:lang w:val="lv-LV"/>
        </w:rPr>
        <w:t xml:space="preserve"> un tie izskaidro 11% no visām iespējamām dispersijām (pēc rotācijas 32%). Līdz ar to ar rotācijas palīdzību izteiktāk izkristalizēta </w:t>
      </w:r>
      <w:r w:rsidR="002F409D" w:rsidRPr="005F0D6C">
        <w:rPr>
          <w:rFonts w:ascii="Times New Roman" w:hAnsi="Times New Roman" w:cs="Times New Roman"/>
          <w:b/>
          <w:bCs/>
          <w:sz w:val="24"/>
          <w:szCs w:val="24"/>
          <w:lang w:val="lv-LV"/>
        </w:rPr>
        <w:t>uzticēšanās tieši politiskās varas institūcijām dimensija</w:t>
      </w:r>
      <w:r w:rsidR="002F409D" w:rsidRPr="005F0D6C">
        <w:rPr>
          <w:rFonts w:ascii="Times New Roman" w:hAnsi="Times New Roman" w:cs="Times New Roman"/>
          <w:sz w:val="24"/>
          <w:szCs w:val="24"/>
          <w:lang w:val="lv-LV"/>
        </w:rPr>
        <w:t>.</w:t>
      </w:r>
    </w:p>
    <w:p w14:paraId="3109539A" w14:textId="70D29FEF" w:rsidR="002F409D" w:rsidRPr="005F0D6C" w:rsidRDefault="002F409D" w:rsidP="00E50D63">
      <w:pPr>
        <w:spacing w:before="120" w:after="120" w:line="360" w:lineRule="auto"/>
        <w:jc w:val="both"/>
        <w:rPr>
          <w:rFonts w:ascii="Times New Roman" w:hAnsi="Times New Roman" w:cs="Times New Roman"/>
          <w:sz w:val="24"/>
          <w:szCs w:val="24"/>
          <w:lang w:val="lv-LV"/>
        </w:rPr>
      </w:pPr>
      <w:r w:rsidRPr="005F0D6C">
        <w:rPr>
          <w:rFonts w:ascii="Times New Roman" w:hAnsi="Times New Roman" w:cs="Times New Roman"/>
          <w:sz w:val="24"/>
          <w:szCs w:val="24"/>
          <w:lang w:val="lv-LV"/>
        </w:rPr>
        <w:t xml:space="preserve">Uzticēšanās tiesām ir pietiekami cieši (&gt;0,4) saistīta ar abām komponentēm. Tomēr testējot skalas noturīgumu 8 uzticēšanās mainīgajiem 1.kompotentē redzams, ka Cronbach's Alpha rādītājs ir ļoti augsts (0,94), kas liecina, ka mainīgie mēra līdzīgas uzticēšanās izpausmes. Nevienā gadījumā, ja kāds no 8 mainīgajiem tiktu izslēgts, </w:t>
      </w:r>
      <w:r w:rsidR="00CC7AF0" w:rsidRPr="005F0D6C">
        <w:rPr>
          <w:rFonts w:ascii="Times New Roman" w:hAnsi="Times New Roman" w:cs="Times New Roman"/>
          <w:sz w:val="24"/>
          <w:szCs w:val="24"/>
          <w:lang w:val="lv-LV"/>
        </w:rPr>
        <w:t xml:space="preserve">Kronbaha alfas </w:t>
      </w:r>
      <w:r w:rsidRPr="005F0D6C">
        <w:rPr>
          <w:rFonts w:ascii="Times New Roman" w:hAnsi="Times New Roman" w:cs="Times New Roman"/>
          <w:sz w:val="24"/>
          <w:szCs w:val="24"/>
          <w:lang w:val="lv-LV"/>
        </w:rPr>
        <w:t>koeficients nepieaugtu (</w:t>
      </w:r>
      <w:r w:rsidR="00CC7AF0" w:rsidRPr="005F0D6C">
        <w:rPr>
          <w:rFonts w:ascii="Times New Roman" w:hAnsi="Times New Roman" w:cs="Times New Roman"/>
          <w:sz w:val="24"/>
          <w:szCs w:val="24"/>
          <w:lang w:val="lv-LV"/>
        </w:rPr>
        <w:t xml:space="preserve">nebūtu lielāks par </w:t>
      </w:r>
      <w:r w:rsidRPr="005F0D6C">
        <w:rPr>
          <w:rFonts w:ascii="Times New Roman" w:hAnsi="Times New Roman" w:cs="Times New Roman"/>
          <w:sz w:val="24"/>
          <w:szCs w:val="24"/>
          <w:lang w:val="lv-LV"/>
        </w:rPr>
        <w:t>0,94).</w:t>
      </w:r>
    </w:p>
    <w:p w14:paraId="4DD91190" w14:textId="6EF3D383" w:rsidR="002F409D" w:rsidRPr="005F0D6C" w:rsidRDefault="00CC7AF0" w:rsidP="00E50D63">
      <w:pPr>
        <w:spacing w:before="120" w:after="120" w:line="360" w:lineRule="auto"/>
        <w:jc w:val="both"/>
        <w:rPr>
          <w:rFonts w:ascii="Times New Roman" w:hAnsi="Times New Roman" w:cs="Times New Roman"/>
          <w:sz w:val="24"/>
          <w:szCs w:val="24"/>
          <w:lang w:val="lv-LV"/>
        </w:rPr>
      </w:pPr>
      <w:r w:rsidRPr="005F0D6C">
        <w:rPr>
          <w:rFonts w:ascii="Times New Roman" w:hAnsi="Times New Roman" w:cs="Times New Roman"/>
          <w:sz w:val="24"/>
          <w:szCs w:val="24"/>
          <w:lang w:val="lv-LV"/>
        </w:rPr>
        <w:t>Līdzīgi arī 2. komponentē</w:t>
      </w:r>
      <w:r w:rsidR="002F409D" w:rsidRPr="005F0D6C">
        <w:rPr>
          <w:rFonts w:ascii="Times New Roman" w:hAnsi="Times New Roman" w:cs="Times New Roman"/>
          <w:sz w:val="24"/>
          <w:szCs w:val="24"/>
          <w:lang w:val="lv-LV"/>
        </w:rPr>
        <w:t xml:space="preserve"> </w:t>
      </w:r>
      <w:r w:rsidRPr="005F0D6C">
        <w:rPr>
          <w:rFonts w:ascii="Times New Roman" w:hAnsi="Times New Roman" w:cs="Times New Roman"/>
          <w:sz w:val="24"/>
          <w:szCs w:val="24"/>
          <w:lang w:val="lv-LV"/>
        </w:rPr>
        <w:t>(</w:t>
      </w:r>
      <w:r w:rsidR="002F409D" w:rsidRPr="005F0D6C">
        <w:rPr>
          <w:rFonts w:ascii="Times New Roman" w:hAnsi="Times New Roman" w:cs="Times New Roman"/>
          <w:sz w:val="24"/>
          <w:szCs w:val="24"/>
          <w:lang w:val="lv-LV"/>
        </w:rPr>
        <w:t>Uzticēšanās politiskās varas institūcijām</w:t>
      </w:r>
      <w:r w:rsidRPr="005F0D6C">
        <w:rPr>
          <w:rFonts w:ascii="Times New Roman" w:hAnsi="Times New Roman" w:cs="Times New Roman"/>
          <w:sz w:val="24"/>
          <w:szCs w:val="24"/>
          <w:lang w:val="lv-LV"/>
        </w:rPr>
        <w:t>) trīs</w:t>
      </w:r>
      <w:r w:rsidR="002F409D" w:rsidRPr="005F0D6C">
        <w:rPr>
          <w:rFonts w:ascii="Times New Roman" w:hAnsi="Times New Roman" w:cs="Times New Roman"/>
          <w:sz w:val="24"/>
          <w:szCs w:val="24"/>
          <w:lang w:val="lv-LV"/>
        </w:rPr>
        <w:t xml:space="preserve"> mainīgajiem Cronbach's Alpha koef</w:t>
      </w:r>
      <w:r w:rsidRPr="005F0D6C">
        <w:rPr>
          <w:rFonts w:ascii="Times New Roman" w:hAnsi="Times New Roman" w:cs="Times New Roman"/>
          <w:sz w:val="24"/>
          <w:szCs w:val="24"/>
          <w:lang w:val="lv-LV"/>
        </w:rPr>
        <w:t>icients ir 0,92, kas arī liecina par ļoti augstu iekšējo saskaņotību.</w:t>
      </w:r>
    </w:p>
    <w:p w14:paraId="1B839A41" w14:textId="155B1AF0" w:rsidR="00F67D78" w:rsidRPr="005F0D6C" w:rsidRDefault="00CC7AF0" w:rsidP="00E50D63">
      <w:pPr>
        <w:spacing w:before="120" w:after="120" w:line="360" w:lineRule="auto"/>
        <w:jc w:val="both"/>
        <w:rPr>
          <w:rFonts w:ascii="Times New Roman" w:hAnsi="Times New Roman" w:cs="Times New Roman"/>
          <w:sz w:val="24"/>
          <w:szCs w:val="24"/>
          <w:lang w:val="lv-LV"/>
        </w:rPr>
      </w:pPr>
      <w:r w:rsidRPr="005F0D6C">
        <w:rPr>
          <w:rFonts w:ascii="Times New Roman" w:hAnsi="Times New Roman" w:cs="Times New Roman"/>
          <w:sz w:val="24"/>
          <w:szCs w:val="24"/>
          <w:lang w:val="lv-LV"/>
        </w:rPr>
        <w:t>Savukārt</w:t>
      </w:r>
      <w:r w:rsidR="002F409D" w:rsidRPr="005F0D6C">
        <w:rPr>
          <w:rFonts w:ascii="Times New Roman" w:hAnsi="Times New Roman" w:cs="Times New Roman"/>
          <w:sz w:val="24"/>
          <w:szCs w:val="24"/>
          <w:lang w:val="lv-LV"/>
        </w:rPr>
        <w:t xml:space="preserve"> visiem 11 uzticēšanās mainīgajiem Cronbach's Alpha koeficients ir pat 0,95 un nevienā gadījumā, ja kāds no 11 mainīgajiem tiktu izslēgts, koeficients nepieaugtu.</w:t>
      </w:r>
    </w:p>
    <w:p w14:paraId="632515B1" w14:textId="235D184F" w:rsidR="00CE32AB" w:rsidRPr="005F0D6C" w:rsidRDefault="00856DE5" w:rsidP="00A90355">
      <w:pPr>
        <w:spacing w:before="120" w:after="120" w:line="360" w:lineRule="auto"/>
        <w:jc w:val="center"/>
        <w:rPr>
          <w:rFonts w:ascii="Times New Roman" w:hAnsi="Times New Roman" w:cs="Times New Roman"/>
          <w:i/>
          <w:sz w:val="24"/>
          <w:szCs w:val="24"/>
          <w:lang w:val="lv-LV"/>
        </w:rPr>
      </w:pPr>
      <w:r w:rsidRPr="005F0D6C">
        <w:rPr>
          <w:rFonts w:ascii="Times New Roman" w:hAnsi="Times New Roman" w:cs="Times New Roman"/>
          <w:i/>
          <w:sz w:val="24"/>
          <w:szCs w:val="24"/>
          <w:lang w:val="lv-LV"/>
        </w:rPr>
        <w:lastRenderedPageBreak/>
        <w:t>2.</w:t>
      </w:r>
      <w:r w:rsidR="00CE32AB" w:rsidRPr="005F0D6C">
        <w:rPr>
          <w:rFonts w:ascii="Times New Roman" w:hAnsi="Times New Roman" w:cs="Times New Roman"/>
          <w:i/>
          <w:sz w:val="24"/>
          <w:szCs w:val="24"/>
          <w:lang w:val="lv-LV"/>
        </w:rPr>
        <w:t>tabula. Faktoru analīzes gaitā identificētās uzticēšanās dimensijas</w:t>
      </w:r>
    </w:p>
    <w:tbl>
      <w:tblPr>
        <w:tblW w:w="8789"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387"/>
        <w:gridCol w:w="1701"/>
        <w:gridCol w:w="1701"/>
      </w:tblGrid>
      <w:tr w:rsidR="002F409D" w:rsidRPr="005F0D6C" w14:paraId="3E86F8EE" w14:textId="77777777" w:rsidTr="00F67D78">
        <w:trPr>
          <w:cantSplit/>
        </w:trPr>
        <w:tc>
          <w:tcPr>
            <w:tcW w:w="5387" w:type="dxa"/>
            <w:vMerge w:val="restart"/>
            <w:shd w:val="clear" w:color="auto" w:fill="FFFFFF"/>
            <w:vAlign w:val="center"/>
          </w:tcPr>
          <w:p w14:paraId="22C17A65" w14:textId="4BCD12E8" w:rsidR="002F409D" w:rsidRPr="005F0D6C" w:rsidRDefault="00F67D78"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br w:type="page"/>
            </w:r>
            <w:r w:rsidR="002F409D" w:rsidRPr="005F0D6C">
              <w:rPr>
                <w:rFonts w:ascii="Times New Roman" w:hAnsi="Times New Roman" w:cs="Times New Roman"/>
                <w:lang w:val="lv-LV"/>
              </w:rPr>
              <w:t>Kompontentes</w:t>
            </w:r>
          </w:p>
        </w:tc>
        <w:tc>
          <w:tcPr>
            <w:tcW w:w="3402" w:type="dxa"/>
            <w:gridSpan w:val="2"/>
            <w:shd w:val="clear" w:color="auto" w:fill="FFFFFF"/>
            <w:vAlign w:val="center"/>
          </w:tcPr>
          <w:p w14:paraId="738132CE" w14:textId="77777777"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Rotētie faktoru rādītāji</w:t>
            </w:r>
          </w:p>
        </w:tc>
      </w:tr>
      <w:tr w:rsidR="002F409D" w:rsidRPr="005F0D6C" w14:paraId="0660D59B" w14:textId="77777777" w:rsidTr="00F67D78">
        <w:trPr>
          <w:cantSplit/>
        </w:trPr>
        <w:tc>
          <w:tcPr>
            <w:tcW w:w="5387" w:type="dxa"/>
            <w:vMerge/>
            <w:shd w:val="clear" w:color="auto" w:fill="FFFFFF"/>
            <w:vAlign w:val="center"/>
          </w:tcPr>
          <w:p w14:paraId="5B08921C" w14:textId="77777777" w:rsidR="002F409D" w:rsidRPr="005F0D6C" w:rsidRDefault="002F409D" w:rsidP="00A90355">
            <w:pPr>
              <w:spacing w:line="240" w:lineRule="auto"/>
              <w:jc w:val="both"/>
              <w:rPr>
                <w:rFonts w:ascii="Times New Roman" w:hAnsi="Times New Roman" w:cs="Times New Roman"/>
                <w:lang w:val="lv-LV"/>
              </w:rPr>
            </w:pPr>
          </w:p>
        </w:tc>
        <w:tc>
          <w:tcPr>
            <w:tcW w:w="1701" w:type="dxa"/>
            <w:shd w:val="clear" w:color="auto" w:fill="4F81BD" w:themeFill="accent1"/>
            <w:vAlign w:val="center"/>
          </w:tcPr>
          <w:p w14:paraId="72DA193B" w14:textId="77777777"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1 - Uzticēšanās citām institūcijām</w:t>
            </w:r>
          </w:p>
        </w:tc>
        <w:tc>
          <w:tcPr>
            <w:tcW w:w="1701" w:type="dxa"/>
            <w:shd w:val="clear" w:color="auto" w:fill="8064A2" w:themeFill="accent4"/>
            <w:vAlign w:val="center"/>
          </w:tcPr>
          <w:p w14:paraId="3406DD34" w14:textId="77777777"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2 - Uzticēšanās politiskās varas institūcijām</w:t>
            </w:r>
          </w:p>
        </w:tc>
      </w:tr>
      <w:tr w:rsidR="002F409D" w:rsidRPr="005F0D6C" w14:paraId="1BADBC8D" w14:textId="77777777" w:rsidTr="00F67D78">
        <w:trPr>
          <w:cantSplit/>
        </w:trPr>
        <w:tc>
          <w:tcPr>
            <w:tcW w:w="5387" w:type="dxa"/>
            <w:shd w:val="clear" w:color="auto" w:fill="FFFFFF"/>
            <w:vAlign w:val="center"/>
          </w:tcPr>
          <w:p w14:paraId="4BEF5A3F" w14:textId="56911D46"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a43 Valsts robežsardzei</w:t>
            </w:r>
          </w:p>
        </w:tc>
        <w:tc>
          <w:tcPr>
            <w:tcW w:w="1701" w:type="dxa"/>
            <w:shd w:val="clear" w:color="auto" w:fill="4F81BD" w:themeFill="accent1"/>
            <w:vAlign w:val="center"/>
          </w:tcPr>
          <w:p w14:paraId="386612E8" w14:textId="77777777" w:rsidR="002F409D" w:rsidRPr="005F0D6C" w:rsidRDefault="002F409D" w:rsidP="00A90355">
            <w:pPr>
              <w:spacing w:line="240" w:lineRule="auto"/>
              <w:jc w:val="both"/>
              <w:rPr>
                <w:rFonts w:ascii="Times New Roman" w:hAnsi="Times New Roman" w:cs="Times New Roman"/>
                <w:b/>
                <w:bCs/>
                <w:lang w:val="lv-LV"/>
              </w:rPr>
            </w:pPr>
            <w:r w:rsidRPr="005F0D6C">
              <w:rPr>
                <w:rFonts w:ascii="Times New Roman" w:hAnsi="Times New Roman" w:cs="Times New Roman"/>
                <w:b/>
                <w:bCs/>
                <w:lang w:val="lv-LV"/>
              </w:rPr>
              <w:t>,869</w:t>
            </w:r>
          </w:p>
        </w:tc>
        <w:tc>
          <w:tcPr>
            <w:tcW w:w="1701" w:type="dxa"/>
            <w:shd w:val="clear" w:color="auto" w:fill="FFFFFF"/>
            <w:vAlign w:val="center"/>
          </w:tcPr>
          <w:p w14:paraId="3EF016F6" w14:textId="77777777" w:rsidR="002F409D" w:rsidRPr="005F0D6C" w:rsidRDefault="002F409D" w:rsidP="00A90355">
            <w:pPr>
              <w:spacing w:line="240" w:lineRule="auto"/>
              <w:jc w:val="both"/>
              <w:rPr>
                <w:rFonts w:ascii="Times New Roman" w:hAnsi="Times New Roman" w:cs="Times New Roman"/>
                <w:color w:val="BFBFBF" w:themeColor="background1" w:themeShade="BF"/>
                <w:lang w:val="lv-LV"/>
              </w:rPr>
            </w:pPr>
            <w:r w:rsidRPr="005F0D6C">
              <w:rPr>
                <w:rFonts w:ascii="Times New Roman" w:hAnsi="Times New Roman" w:cs="Times New Roman"/>
                <w:color w:val="BFBFBF" w:themeColor="background1" w:themeShade="BF"/>
                <w:lang w:val="lv-LV"/>
              </w:rPr>
              <w:t>,222</w:t>
            </w:r>
          </w:p>
        </w:tc>
      </w:tr>
      <w:tr w:rsidR="002F409D" w:rsidRPr="005F0D6C" w14:paraId="5FC2E3FF" w14:textId="77777777" w:rsidTr="00F67D78">
        <w:trPr>
          <w:cantSplit/>
        </w:trPr>
        <w:tc>
          <w:tcPr>
            <w:tcW w:w="5387" w:type="dxa"/>
            <w:shd w:val="clear" w:color="auto" w:fill="FFFFFF"/>
            <w:vAlign w:val="center"/>
          </w:tcPr>
          <w:p w14:paraId="73273740" w14:textId="77777777"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a40 Nacionālajiem bruņotajiem spēkiem</w:t>
            </w:r>
          </w:p>
        </w:tc>
        <w:tc>
          <w:tcPr>
            <w:tcW w:w="1701" w:type="dxa"/>
            <w:shd w:val="clear" w:color="auto" w:fill="4F81BD" w:themeFill="accent1"/>
            <w:vAlign w:val="center"/>
          </w:tcPr>
          <w:p w14:paraId="427F7DC6" w14:textId="77777777" w:rsidR="002F409D" w:rsidRPr="005F0D6C" w:rsidRDefault="002F409D" w:rsidP="00A90355">
            <w:pPr>
              <w:spacing w:line="240" w:lineRule="auto"/>
              <w:jc w:val="both"/>
              <w:rPr>
                <w:rFonts w:ascii="Times New Roman" w:hAnsi="Times New Roman" w:cs="Times New Roman"/>
                <w:b/>
                <w:bCs/>
                <w:lang w:val="lv-LV"/>
              </w:rPr>
            </w:pPr>
            <w:r w:rsidRPr="005F0D6C">
              <w:rPr>
                <w:rFonts w:ascii="Times New Roman" w:hAnsi="Times New Roman" w:cs="Times New Roman"/>
                <w:b/>
                <w:bCs/>
                <w:lang w:val="lv-LV"/>
              </w:rPr>
              <w:t>,865</w:t>
            </w:r>
          </w:p>
        </w:tc>
        <w:tc>
          <w:tcPr>
            <w:tcW w:w="1701" w:type="dxa"/>
            <w:shd w:val="clear" w:color="auto" w:fill="FFFFFF"/>
            <w:vAlign w:val="center"/>
          </w:tcPr>
          <w:p w14:paraId="3008E195" w14:textId="77777777" w:rsidR="002F409D" w:rsidRPr="005F0D6C" w:rsidRDefault="002F409D" w:rsidP="00A90355">
            <w:pPr>
              <w:spacing w:line="240" w:lineRule="auto"/>
              <w:jc w:val="both"/>
              <w:rPr>
                <w:rFonts w:ascii="Times New Roman" w:hAnsi="Times New Roman" w:cs="Times New Roman"/>
                <w:color w:val="BFBFBF" w:themeColor="background1" w:themeShade="BF"/>
                <w:lang w:val="lv-LV"/>
              </w:rPr>
            </w:pPr>
            <w:r w:rsidRPr="005F0D6C">
              <w:rPr>
                <w:rFonts w:ascii="Times New Roman" w:hAnsi="Times New Roman" w:cs="Times New Roman"/>
                <w:color w:val="BFBFBF" w:themeColor="background1" w:themeShade="BF"/>
                <w:lang w:val="lv-LV"/>
              </w:rPr>
              <w:t>,289</w:t>
            </w:r>
          </w:p>
        </w:tc>
      </w:tr>
      <w:tr w:rsidR="002F409D" w:rsidRPr="005F0D6C" w14:paraId="6D91ADD9" w14:textId="77777777" w:rsidTr="00F67D78">
        <w:trPr>
          <w:cantSplit/>
        </w:trPr>
        <w:tc>
          <w:tcPr>
            <w:tcW w:w="5387" w:type="dxa"/>
            <w:shd w:val="clear" w:color="auto" w:fill="FFFFFF"/>
            <w:vAlign w:val="center"/>
          </w:tcPr>
          <w:p w14:paraId="52B1A9CB" w14:textId="77777777"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a42 Valsts drošības dienestam</w:t>
            </w:r>
          </w:p>
        </w:tc>
        <w:tc>
          <w:tcPr>
            <w:tcW w:w="1701" w:type="dxa"/>
            <w:shd w:val="clear" w:color="auto" w:fill="4F81BD" w:themeFill="accent1"/>
            <w:vAlign w:val="center"/>
          </w:tcPr>
          <w:p w14:paraId="04CBA9C4" w14:textId="77777777" w:rsidR="002F409D" w:rsidRPr="005F0D6C" w:rsidRDefault="002F409D" w:rsidP="00A90355">
            <w:pPr>
              <w:spacing w:line="240" w:lineRule="auto"/>
              <w:jc w:val="both"/>
              <w:rPr>
                <w:rFonts w:ascii="Times New Roman" w:hAnsi="Times New Roman" w:cs="Times New Roman"/>
                <w:b/>
                <w:bCs/>
                <w:lang w:val="lv-LV"/>
              </w:rPr>
            </w:pPr>
            <w:r w:rsidRPr="005F0D6C">
              <w:rPr>
                <w:rFonts w:ascii="Times New Roman" w:hAnsi="Times New Roman" w:cs="Times New Roman"/>
                <w:b/>
                <w:bCs/>
                <w:lang w:val="lv-LV"/>
              </w:rPr>
              <w:t>,829</w:t>
            </w:r>
          </w:p>
        </w:tc>
        <w:tc>
          <w:tcPr>
            <w:tcW w:w="1701" w:type="dxa"/>
            <w:shd w:val="clear" w:color="auto" w:fill="FFFFFF"/>
            <w:vAlign w:val="center"/>
          </w:tcPr>
          <w:p w14:paraId="143C6F97" w14:textId="77777777" w:rsidR="002F409D" w:rsidRPr="005F0D6C" w:rsidRDefault="002F409D" w:rsidP="00A90355">
            <w:pPr>
              <w:spacing w:line="240" w:lineRule="auto"/>
              <w:jc w:val="both"/>
              <w:rPr>
                <w:rFonts w:ascii="Times New Roman" w:hAnsi="Times New Roman" w:cs="Times New Roman"/>
                <w:color w:val="BFBFBF" w:themeColor="background1" w:themeShade="BF"/>
                <w:lang w:val="lv-LV"/>
              </w:rPr>
            </w:pPr>
            <w:r w:rsidRPr="005F0D6C">
              <w:rPr>
                <w:rFonts w:ascii="Times New Roman" w:hAnsi="Times New Roman" w:cs="Times New Roman"/>
                <w:color w:val="BFBFBF" w:themeColor="background1" w:themeShade="BF"/>
                <w:lang w:val="lv-LV"/>
              </w:rPr>
              <w:t>,345</w:t>
            </w:r>
          </w:p>
        </w:tc>
      </w:tr>
      <w:tr w:rsidR="002F409D" w:rsidRPr="005F0D6C" w14:paraId="6AA0B915" w14:textId="77777777" w:rsidTr="00F67D78">
        <w:trPr>
          <w:cantSplit/>
        </w:trPr>
        <w:tc>
          <w:tcPr>
            <w:tcW w:w="5387" w:type="dxa"/>
            <w:shd w:val="clear" w:color="auto" w:fill="FFFFFF"/>
            <w:vAlign w:val="center"/>
          </w:tcPr>
          <w:p w14:paraId="08C74E4E" w14:textId="77777777"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a44 NATO (Ziemeļatlantijas Līguma organizācijai)</w:t>
            </w:r>
          </w:p>
        </w:tc>
        <w:tc>
          <w:tcPr>
            <w:tcW w:w="1701" w:type="dxa"/>
            <w:shd w:val="clear" w:color="auto" w:fill="4F81BD" w:themeFill="accent1"/>
            <w:vAlign w:val="center"/>
          </w:tcPr>
          <w:p w14:paraId="6113AC2C" w14:textId="77777777" w:rsidR="002F409D" w:rsidRPr="005F0D6C" w:rsidRDefault="002F409D" w:rsidP="00A90355">
            <w:pPr>
              <w:spacing w:line="240" w:lineRule="auto"/>
              <w:jc w:val="both"/>
              <w:rPr>
                <w:rFonts w:ascii="Times New Roman" w:hAnsi="Times New Roman" w:cs="Times New Roman"/>
                <w:b/>
                <w:bCs/>
                <w:lang w:val="lv-LV"/>
              </w:rPr>
            </w:pPr>
            <w:r w:rsidRPr="005F0D6C">
              <w:rPr>
                <w:rFonts w:ascii="Times New Roman" w:hAnsi="Times New Roman" w:cs="Times New Roman"/>
                <w:b/>
                <w:bCs/>
                <w:lang w:val="lv-LV"/>
              </w:rPr>
              <w:t>,793</w:t>
            </w:r>
          </w:p>
        </w:tc>
        <w:tc>
          <w:tcPr>
            <w:tcW w:w="1701" w:type="dxa"/>
            <w:shd w:val="clear" w:color="auto" w:fill="FFFFFF"/>
            <w:vAlign w:val="center"/>
          </w:tcPr>
          <w:p w14:paraId="4AC109C5" w14:textId="77777777" w:rsidR="002F409D" w:rsidRPr="005F0D6C" w:rsidRDefault="002F409D" w:rsidP="00A90355">
            <w:pPr>
              <w:spacing w:line="240" w:lineRule="auto"/>
              <w:jc w:val="both"/>
              <w:rPr>
                <w:rFonts w:ascii="Times New Roman" w:hAnsi="Times New Roman" w:cs="Times New Roman"/>
                <w:color w:val="BFBFBF" w:themeColor="background1" w:themeShade="BF"/>
                <w:lang w:val="lv-LV"/>
              </w:rPr>
            </w:pPr>
            <w:r w:rsidRPr="005F0D6C">
              <w:rPr>
                <w:rFonts w:ascii="Times New Roman" w:hAnsi="Times New Roman" w:cs="Times New Roman"/>
                <w:color w:val="BFBFBF" w:themeColor="background1" w:themeShade="BF"/>
                <w:lang w:val="lv-LV"/>
              </w:rPr>
              <w:t>,268</w:t>
            </w:r>
          </w:p>
        </w:tc>
      </w:tr>
      <w:tr w:rsidR="002F409D" w:rsidRPr="005F0D6C" w14:paraId="76089172" w14:textId="77777777" w:rsidTr="00F67D78">
        <w:trPr>
          <w:cantSplit/>
        </w:trPr>
        <w:tc>
          <w:tcPr>
            <w:tcW w:w="5387" w:type="dxa"/>
            <w:shd w:val="clear" w:color="auto" w:fill="FFFFFF"/>
            <w:vAlign w:val="center"/>
          </w:tcPr>
          <w:p w14:paraId="32E957C3" w14:textId="77777777"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a41 Policijai</w:t>
            </w:r>
          </w:p>
        </w:tc>
        <w:tc>
          <w:tcPr>
            <w:tcW w:w="1701" w:type="dxa"/>
            <w:shd w:val="clear" w:color="auto" w:fill="4F81BD" w:themeFill="accent1"/>
            <w:vAlign w:val="center"/>
          </w:tcPr>
          <w:p w14:paraId="3CD8945B" w14:textId="77777777" w:rsidR="002F409D" w:rsidRPr="005F0D6C" w:rsidRDefault="002F409D" w:rsidP="00A90355">
            <w:pPr>
              <w:spacing w:line="240" w:lineRule="auto"/>
              <w:jc w:val="both"/>
              <w:rPr>
                <w:rFonts w:ascii="Times New Roman" w:hAnsi="Times New Roman" w:cs="Times New Roman"/>
                <w:b/>
                <w:bCs/>
                <w:lang w:val="lv-LV"/>
              </w:rPr>
            </w:pPr>
            <w:r w:rsidRPr="005F0D6C">
              <w:rPr>
                <w:rFonts w:ascii="Times New Roman" w:hAnsi="Times New Roman" w:cs="Times New Roman"/>
                <w:b/>
                <w:bCs/>
                <w:lang w:val="lv-LV"/>
              </w:rPr>
              <w:t>,753</w:t>
            </w:r>
          </w:p>
        </w:tc>
        <w:tc>
          <w:tcPr>
            <w:tcW w:w="1701" w:type="dxa"/>
            <w:shd w:val="clear" w:color="auto" w:fill="FFFFFF"/>
            <w:vAlign w:val="center"/>
          </w:tcPr>
          <w:p w14:paraId="5BC02998" w14:textId="77777777" w:rsidR="002F409D" w:rsidRPr="005F0D6C" w:rsidRDefault="002F409D" w:rsidP="00A90355">
            <w:pPr>
              <w:spacing w:line="240" w:lineRule="auto"/>
              <w:jc w:val="both"/>
              <w:rPr>
                <w:rFonts w:ascii="Times New Roman" w:hAnsi="Times New Roman" w:cs="Times New Roman"/>
                <w:color w:val="BFBFBF" w:themeColor="background1" w:themeShade="BF"/>
                <w:lang w:val="lv-LV"/>
              </w:rPr>
            </w:pPr>
            <w:r w:rsidRPr="005F0D6C">
              <w:rPr>
                <w:rFonts w:ascii="Times New Roman" w:hAnsi="Times New Roman" w:cs="Times New Roman"/>
                <w:color w:val="BFBFBF" w:themeColor="background1" w:themeShade="BF"/>
                <w:lang w:val="lv-LV"/>
              </w:rPr>
              <w:t>,329</w:t>
            </w:r>
          </w:p>
        </w:tc>
      </w:tr>
      <w:tr w:rsidR="002F409D" w:rsidRPr="005F0D6C" w14:paraId="68A67DCF" w14:textId="77777777" w:rsidTr="00F67D78">
        <w:trPr>
          <w:cantSplit/>
        </w:trPr>
        <w:tc>
          <w:tcPr>
            <w:tcW w:w="5387" w:type="dxa"/>
            <w:shd w:val="clear" w:color="auto" w:fill="FFFFFF"/>
            <w:vAlign w:val="center"/>
          </w:tcPr>
          <w:p w14:paraId="41C0AB77" w14:textId="77777777"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a39 Eiropas Savienībai</w:t>
            </w:r>
          </w:p>
        </w:tc>
        <w:tc>
          <w:tcPr>
            <w:tcW w:w="1701" w:type="dxa"/>
            <w:shd w:val="clear" w:color="auto" w:fill="4F81BD" w:themeFill="accent1"/>
            <w:vAlign w:val="center"/>
          </w:tcPr>
          <w:p w14:paraId="177EC12F" w14:textId="77777777" w:rsidR="002F409D" w:rsidRPr="005F0D6C" w:rsidRDefault="002F409D" w:rsidP="00A90355">
            <w:pPr>
              <w:spacing w:line="240" w:lineRule="auto"/>
              <w:jc w:val="both"/>
              <w:rPr>
                <w:rFonts w:ascii="Times New Roman" w:hAnsi="Times New Roman" w:cs="Times New Roman"/>
                <w:b/>
                <w:bCs/>
                <w:lang w:val="lv-LV"/>
              </w:rPr>
            </w:pPr>
            <w:r w:rsidRPr="005F0D6C">
              <w:rPr>
                <w:rFonts w:ascii="Times New Roman" w:hAnsi="Times New Roman" w:cs="Times New Roman"/>
                <w:b/>
                <w:bCs/>
                <w:lang w:val="lv-LV"/>
              </w:rPr>
              <w:t>,723</w:t>
            </w:r>
          </w:p>
        </w:tc>
        <w:tc>
          <w:tcPr>
            <w:tcW w:w="1701" w:type="dxa"/>
            <w:shd w:val="clear" w:color="auto" w:fill="FFFFFF"/>
            <w:vAlign w:val="center"/>
          </w:tcPr>
          <w:p w14:paraId="74C5F074" w14:textId="77777777"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,431</w:t>
            </w:r>
          </w:p>
        </w:tc>
      </w:tr>
      <w:tr w:rsidR="002F409D" w:rsidRPr="005F0D6C" w14:paraId="3758FDA4" w14:textId="77777777" w:rsidTr="00F67D78">
        <w:trPr>
          <w:cantSplit/>
        </w:trPr>
        <w:tc>
          <w:tcPr>
            <w:tcW w:w="5387" w:type="dxa"/>
            <w:shd w:val="clear" w:color="auto" w:fill="FFFFFF"/>
            <w:vAlign w:val="center"/>
          </w:tcPr>
          <w:p w14:paraId="56356F26" w14:textId="77777777"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a38 Jūsu pašvaldības domei</w:t>
            </w:r>
          </w:p>
        </w:tc>
        <w:tc>
          <w:tcPr>
            <w:tcW w:w="1701" w:type="dxa"/>
            <w:shd w:val="clear" w:color="auto" w:fill="4F81BD" w:themeFill="accent1"/>
            <w:vAlign w:val="center"/>
          </w:tcPr>
          <w:p w14:paraId="5AF5F5CC" w14:textId="77777777" w:rsidR="002F409D" w:rsidRPr="005F0D6C" w:rsidRDefault="002F409D" w:rsidP="00A90355">
            <w:pPr>
              <w:spacing w:line="240" w:lineRule="auto"/>
              <w:jc w:val="both"/>
              <w:rPr>
                <w:rFonts w:ascii="Times New Roman" w:hAnsi="Times New Roman" w:cs="Times New Roman"/>
                <w:b/>
                <w:bCs/>
                <w:lang w:val="lv-LV"/>
              </w:rPr>
            </w:pPr>
            <w:r w:rsidRPr="005F0D6C">
              <w:rPr>
                <w:rFonts w:ascii="Times New Roman" w:hAnsi="Times New Roman" w:cs="Times New Roman"/>
                <w:b/>
                <w:bCs/>
                <w:lang w:val="lv-LV"/>
              </w:rPr>
              <w:t>,616</w:t>
            </w:r>
          </w:p>
        </w:tc>
        <w:tc>
          <w:tcPr>
            <w:tcW w:w="1701" w:type="dxa"/>
            <w:shd w:val="clear" w:color="auto" w:fill="FFFFFF"/>
            <w:vAlign w:val="center"/>
          </w:tcPr>
          <w:p w14:paraId="28E369A7" w14:textId="77777777"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,428</w:t>
            </w:r>
          </w:p>
        </w:tc>
      </w:tr>
      <w:tr w:rsidR="002F409D" w:rsidRPr="005F0D6C" w14:paraId="0A80C62A" w14:textId="77777777" w:rsidTr="00F67D78">
        <w:trPr>
          <w:cantSplit/>
        </w:trPr>
        <w:tc>
          <w:tcPr>
            <w:tcW w:w="5387" w:type="dxa"/>
            <w:shd w:val="clear" w:color="auto" w:fill="FFFFFF"/>
            <w:vAlign w:val="center"/>
          </w:tcPr>
          <w:p w14:paraId="6C074B7A" w14:textId="77777777"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a34 Saeimai</w:t>
            </w:r>
          </w:p>
        </w:tc>
        <w:tc>
          <w:tcPr>
            <w:tcW w:w="1701" w:type="dxa"/>
            <w:shd w:val="clear" w:color="auto" w:fill="FFFFFF"/>
            <w:vAlign w:val="center"/>
          </w:tcPr>
          <w:p w14:paraId="6EE76B6C" w14:textId="77777777" w:rsidR="002F409D" w:rsidRPr="005F0D6C" w:rsidRDefault="002F409D" w:rsidP="00A90355">
            <w:pPr>
              <w:spacing w:line="240" w:lineRule="auto"/>
              <w:jc w:val="both"/>
              <w:rPr>
                <w:rFonts w:ascii="Times New Roman" w:hAnsi="Times New Roman" w:cs="Times New Roman"/>
                <w:color w:val="BFBFBF" w:themeColor="background1" w:themeShade="BF"/>
                <w:lang w:val="lv-LV"/>
              </w:rPr>
            </w:pPr>
            <w:r w:rsidRPr="005F0D6C">
              <w:rPr>
                <w:rFonts w:ascii="Times New Roman" w:hAnsi="Times New Roman" w:cs="Times New Roman"/>
                <w:color w:val="BFBFBF" w:themeColor="background1" w:themeShade="BF"/>
                <w:lang w:val="lv-LV"/>
              </w:rPr>
              <w:t>,253</w:t>
            </w:r>
          </w:p>
        </w:tc>
        <w:tc>
          <w:tcPr>
            <w:tcW w:w="1701" w:type="dxa"/>
            <w:shd w:val="clear" w:color="auto" w:fill="8064A2" w:themeFill="accent4"/>
            <w:vAlign w:val="center"/>
          </w:tcPr>
          <w:p w14:paraId="3F1101D9" w14:textId="77777777" w:rsidR="002F409D" w:rsidRPr="005F0D6C" w:rsidRDefault="002F409D" w:rsidP="00A90355">
            <w:pPr>
              <w:spacing w:line="240" w:lineRule="auto"/>
              <w:jc w:val="both"/>
              <w:rPr>
                <w:rFonts w:ascii="Times New Roman" w:hAnsi="Times New Roman" w:cs="Times New Roman"/>
                <w:b/>
                <w:bCs/>
                <w:lang w:val="lv-LV"/>
              </w:rPr>
            </w:pPr>
            <w:r w:rsidRPr="005F0D6C">
              <w:rPr>
                <w:rFonts w:ascii="Times New Roman" w:hAnsi="Times New Roman" w:cs="Times New Roman"/>
                <w:b/>
                <w:bCs/>
                <w:lang w:val="lv-LV"/>
              </w:rPr>
              <w:t>,916</w:t>
            </w:r>
          </w:p>
        </w:tc>
      </w:tr>
      <w:tr w:rsidR="002F409D" w:rsidRPr="005F0D6C" w14:paraId="0A6581C8" w14:textId="77777777" w:rsidTr="00F67D78">
        <w:trPr>
          <w:cantSplit/>
        </w:trPr>
        <w:tc>
          <w:tcPr>
            <w:tcW w:w="5387" w:type="dxa"/>
            <w:shd w:val="clear" w:color="auto" w:fill="FFFFFF"/>
            <w:vAlign w:val="center"/>
          </w:tcPr>
          <w:p w14:paraId="093EF50E" w14:textId="77777777"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a35 Ministru kabinetam</w:t>
            </w:r>
          </w:p>
        </w:tc>
        <w:tc>
          <w:tcPr>
            <w:tcW w:w="1701" w:type="dxa"/>
            <w:shd w:val="clear" w:color="auto" w:fill="FFFFFF"/>
            <w:vAlign w:val="center"/>
          </w:tcPr>
          <w:p w14:paraId="4F4BCB9D" w14:textId="77777777" w:rsidR="002F409D" w:rsidRPr="005F0D6C" w:rsidRDefault="002F409D" w:rsidP="00A90355">
            <w:pPr>
              <w:spacing w:line="240" w:lineRule="auto"/>
              <w:jc w:val="both"/>
              <w:rPr>
                <w:rFonts w:ascii="Times New Roman" w:hAnsi="Times New Roman" w:cs="Times New Roman"/>
                <w:color w:val="BFBFBF" w:themeColor="background1" w:themeShade="BF"/>
                <w:lang w:val="lv-LV"/>
              </w:rPr>
            </w:pPr>
            <w:r w:rsidRPr="005F0D6C">
              <w:rPr>
                <w:rFonts w:ascii="Times New Roman" w:hAnsi="Times New Roman" w:cs="Times New Roman"/>
                <w:color w:val="BFBFBF" w:themeColor="background1" w:themeShade="BF"/>
                <w:lang w:val="lv-LV"/>
              </w:rPr>
              <w:t>,292</w:t>
            </w:r>
          </w:p>
        </w:tc>
        <w:tc>
          <w:tcPr>
            <w:tcW w:w="1701" w:type="dxa"/>
            <w:shd w:val="clear" w:color="auto" w:fill="8064A2" w:themeFill="accent4"/>
            <w:vAlign w:val="center"/>
          </w:tcPr>
          <w:p w14:paraId="29CF2259" w14:textId="77777777" w:rsidR="002F409D" w:rsidRPr="005F0D6C" w:rsidRDefault="002F409D" w:rsidP="00A90355">
            <w:pPr>
              <w:spacing w:line="240" w:lineRule="auto"/>
              <w:jc w:val="both"/>
              <w:rPr>
                <w:rFonts w:ascii="Times New Roman" w:hAnsi="Times New Roman" w:cs="Times New Roman"/>
                <w:b/>
                <w:bCs/>
                <w:lang w:val="lv-LV"/>
              </w:rPr>
            </w:pPr>
            <w:r w:rsidRPr="005F0D6C">
              <w:rPr>
                <w:rFonts w:ascii="Times New Roman" w:hAnsi="Times New Roman" w:cs="Times New Roman"/>
                <w:b/>
                <w:bCs/>
                <w:lang w:val="lv-LV"/>
              </w:rPr>
              <w:t>,914</w:t>
            </w:r>
          </w:p>
        </w:tc>
      </w:tr>
      <w:tr w:rsidR="002F409D" w:rsidRPr="005F0D6C" w14:paraId="0CF6772B" w14:textId="77777777" w:rsidTr="00F67D78">
        <w:trPr>
          <w:cantSplit/>
        </w:trPr>
        <w:tc>
          <w:tcPr>
            <w:tcW w:w="5387" w:type="dxa"/>
            <w:shd w:val="clear" w:color="auto" w:fill="FFFFFF"/>
            <w:vAlign w:val="center"/>
          </w:tcPr>
          <w:p w14:paraId="73309A23" w14:textId="77777777"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a37 Valsts prezidentam</w:t>
            </w:r>
          </w:p>
        </w:tc>
        <w:tc>
          <w:tcPr>
            <w:tcW w:w="1701" w:type="dxa"/>
            <w:shd w:val="clear" w:color="auto" w:fill="FFFFFF"/>
            <w:vAlign w:val="center"/>
          </w:tcPr>
          <w:p w14:paraId="2A9631AB" w14:textId="77777777" w:rsidR="002F409D" w:rsidRPr="005F0D6C" w:rsidRDefault="002F409D" w:rsidP="00A90355">
            <w:pPr>
              <w:spacing w:line="240" w:lineRule="auto"/>
              <w:jc w:val="both"/>
              <w:rPr>
                <w:rFonts w:ascii="Times New Roman" w:hAnsi="Times New Roman" w:cs="Times New Roman"/>
                <w:color w:val="BFBFBF" w:themeColor="background1" w:themeShade="BF"/>
                <w:lang w:val="lv-LV"/>
              </w:rPr>
            </w:pPr>
            <w:r w:rsidRPr="005F0D6C">
              <w:rPr>
                <w:rFonts w:ascii="Times New Roman" w:hAnsi="Times New Roman" w:cs="Times New Roman"/>
                <w:color w:val="BFBFBF" w:themeColor="background1" w:themeShade="BF"/>
                <w:lang w:val="lv-LV"/>
              </w:rPr>
              <w:t>,366</w:t>
            </w:r>
          </w:p>
        </w:tc>
        <w:tc>
          <w:tcPr>
            <w:tcW w:w="1701" w:type="dxa"/>
            <w:shd w:val="clear" w:color="auto" w:fill="8064A2" w:themeFill="accent4"/>
            <w:vAlign w:val="center"/>
          </w:tcPr>
          <w:p w14:paraId="5EFC37D3" w14:textId="77777777" w:rsidR="002F409D" w:rsidRPr="005F0D6C" w:rsidRDefault="002F409D" w:rsidP="00A90355">
            <w:pPr>
              <w:spacing w:line="240" w:lineRule="auto"/>
              <w:jc w:val="both"/>
              <w:rPr>
                <w:rFonts w:ascii="Times New Roman" w:hAnsi="Times New Roman" w:cs="Times New Roman"/>
                <w:b/>
                <w:bCs/>
                <w:lang w:val="lv-LV"/>
              </w:rPr>
            </w:pPr>
            <w:r w:rsidRPr="005F0D6C">
              <w:rPr>
                <w:rFonts w:ascii="Times New Roman" w:hAnsi="Times New Roman" w:cs="Times New Roman"/>
                <w:b/>
                <w:bCs/>
                <w:lang w:val="lv-LV"/>
              </w:rPr>
              <w:t>,809</w:t>
            </w:r>
          </w:p>
        </w:tc>
      </w:tr>
      <w:tr w:rsidR="002F409D" w:rsidRPr="005F0D6C" w14:paraId="218983A6" w14:textId="77777777" w:rsidTr="00F67D78">
        <w:trPr>
          <w:cantSplit/>
        </w:trPr>
        <w:tc>
          <w:tcPr>
            <w:tcW w:w="5387" w:type="dxa"/>
            <w:shd w:val="clear" w:color="auto" w:fill="FFFFFF"/>
            <w:vAlign w:val="center"/>
          </w:tcPr>
          <w:p w14:paraId="6646541B" w14:textId="77777777"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a36 Latvijas tiesām</w:t>
            </w:r>
          </w:p>
        </w:tc>
        <w:tc>
          <w:tcPr>
            <w:tcW w:w="1701" w:type="dxa"/>
            <w:shd w:val="clear" w:color="auto" w:fill="4F81BD" w:themeFill="accent1"/>
            <w:vAlign w:val="center"/>
          </w:tcPr>
          <w:p w14:paraId="33158572" w14:textId="77777777" w:rsidR="002F409D" w:rsidRPr="005F0D6C" w:rsidRDefault="002F409D" w:rsidP="00A90355">
            <w:pPr>
              <w:spacing w:line="240" w:lineRule="auto"/>
              <w:jc w:val="both"/>
              <w:rPr>
                <w:rFonts w:ascii="Times New Roman" w:hAnsi="Times New Roman" w:cs="Times New Roman"/>
                <w:b/>
                <w:bCs/>
                <w:lang w:val="lv-LV"/>
              </w:rPr>
            </w:pPr>
            <w:r w:rsidRPr="005F0D6C">
              <w:rPr>
                <w:rFonts w:ascii="Times New Roman" w:hAnsi="Times New Roman" w:cs="Times New Roman"/>
                <w:b/>
                <w:bCs/>
                <w:lang w:val="lv-LV"/>
              </w:rPr>
              <w:t>,503</w:t>
            </w:r>
          </w:p>
        </w:tc>
        <w:tc>
          <w:tcPr>
            <w:tcW w:w="1701" w:type="dxa"/>
            <w:shd w:val="clear" w:color="auto" w:fill="FFFFFF"/>
            <w:vAlign w:val="center"/>
          </w:tcPr>
          <w:p w14:paraId="5BAD46FF" w14:textId="77777777" w:rsidR="002F409D" w:rsidRPr="005F0D6C" w:rsidRDefault="002F409D" w:rsidP="00A90355">
            <w:pPr>
              <w:spacing w:line="240" w:lineRule="auto"/>
              <w:jc w:val="both"/>
              <w:rPr>
                <w:rFonts w:ascii="Times New Roman" w:hAnsi="Times New Roman" w:cs="Times New Roman"/>
                <w:b/>
                <w:bCs/>
                <w:lang w:val="lv-LV"/>
              </w:rPr>
            </w:pPr>
            <w:r w:rsidRPr="005F0D6C">
              <w:rPr>
                <w:rFonts w:ascii="Times New Roman" w:hAnsi="Times New Roman" w:cs="Times New Roman"/>
                <w:b/>
                <w:bCs/>
                <w:lang w:val="lv-LV"/>
              </w:rPr>
              <w:t>,634</w:t>
            </w:r>
          </w:p>
        </w:tc>
      </w:tr>
      <w:tr w:rsidR="002F409D" w:rsidRPr="005F0D6C" w14:paraId="1911B2C3" w14:textId="77777777" w:rsidTr="00F67D78">
        <w:trPr>
          <w:cantSplit/>
        </w:trPr>
        <w:tc>
          <w:tcPr>
            <w:tcW w:w="5387" w:type="dxa"/>
            <w:shd w:val="clear" w:color="auto" w:fill="FFFFFF"/>
            <w:vAlign w:val="center"/>
          </w:tcPr>
          <w:p w14:paraId="338C3712" w14:textId="77777777"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Īpašvērtības (</w:t>
            </w:r>
            <w:r w:rsidRPr="005F0D6C">
              <w:rPr>
                <w:rFonts w:ascii="Times New Roman" w:hAnsi="Times New Roman" w:cs="Times New Roman"/>
                <w:i/>
                <w:lang w:val="lv-LV"/>
              </w:rPr>
              <w:t>eigenvalue</w:t>
            </w:r>
            <w:r w:rsidRPr="005F0D6C">
              <w:rPr>
                <w:rFonts w:ascii="Times New Roman" w:hAnsi="Times New Roman" w:cs="Times New Roman"/>
                <w:lang w:val="lv-LV"/>
              </w:rPr>
              <w:t>)</w:t>
            </w:r>
          </w:p>
        </w:tc>
        <w:tc>
          <w:tcPr>
            <w:tcW w:w="1701" w:type="dxa"/>
            <w:shd w:val="clear" w:color="auto" w:fill="FFFFFF"/>
            <w:vAlign w:val="center"/>
          </w:tcPr>
          <w:p w14:paraId="2529771F" w14:textId="77777777"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7,13</w:t>
            </w:r>
          </w:p>
        </w:tc>
        <w:tc>
          <w:tcPr>
            <w:tcW w:w="1701" w:type="dxa"/>
            <w:shd w:val="clear" w:color="auto" w:fill="FFFFFF"/>
            <w:vAlign w:val="center"/>
          </w:tcPr>
          <w:p w14:paraId="42CBA1F9" w14:textId="77777777"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1,23</w:t>
            </w:r>
          </w:p>
        </w:tc>
      </w:tr>
      <w:tr w:rsidR="002F409D" w:rsidRPr="005F0D6C" w14:paraId="57AE2F33" w14:textId="77777777" w:rsidTr="00F67D78">
        <w:trPr>
          <w:cantSplit/>
        </w:trPr>
        <w:tc>
          <w:tcPr>
            <w:tcW w:w="5387" w:type="dxa"/>
            <w:shd w:val="clear" w:color="auto" w:fill="FFFFFF"/>
            <w:vAlign w:val="center"/>
          </w:tcPr>
          <w:p w14:paraId="5703AC7E" w14:textId="77777777"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 no dispersijas (pirms rotācijas)</w:t>
            </w:r>
          </w:p>
        </w:tc>
        <w:tc>
          <w:tcPr>
            <w:tcW w:w="1701" w:type="dxa"/>
            <w:shd w:val="clear" w:color="auto" w:fill="FFFFFF"/>
            <w:vAlign w:val="center"/>
          </w:tcPr>
          <w:p w14:paraId="42FD4CD1" w14:textId="77777777"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65%</w:t>
            </w:r>
          </w:p>
        </w:tc>
        <w:tc>
          <w:tcPr>
            <w:tcW w:w="1701" w:type="dxa"/>
            <w:shd w:val="clear" w:color="auto" w:fill="FFFFFF"/>
            <w:vAlign w:val="center"/>
          </w:tcPr>
          <w:p w14:paraId="0A78CF1D" w14:textId="77777777"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11%</w:t>
            </w:r>
          </w:p>
        </w:tc>
      </w:tr>
      <w:tr w:rsidR="002F409D" w:rsidRPr="005F0D6C" w14:paraId="043E724B" w14:textId="77777777" w:rsidTr="00F67D78">
        <w:trPr>
          <w:cantSplit/>
        </w:trPr>
        <w:tc>
          <w:tcPr>
            <w:tcW w:w="5387" w:type="dxa"/>
            <w:shd w:val="clear" w:color="auto" w:fill="FFFFFF"/>
            <w:vAlign w:val="center"/>
          </w:tcPr>
          <w:p w14:paraId="5055A30C" w14:textId="77777777"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Skalas noturīguma tests (iekrāsotajiem mainīgajiem) - Cronbach's Alpha koeficients</w:t>
            </w:r>
          </w:p>
        </w:tc>
        <w:tc>
          <w:tcPr>
            <w:tcW w:w="1701" w:type="dxa"/>
            <w:shd w:val="clear" w:color="auto" w:fill="FFFFFF"/>
            <w:vAlign w:val="center"/>
          </w:tcPr>
          <w:p w14:paraId="005CF64E" w14:textId="77777777"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0,94</w:t>
            </w:r>
          </w:p>
        </w:tc>
        <w:tc>
          <w:tcPr>
            <w:tcW w:w="1701" w:type="dxa"/>
            <w:shd w:val="clear" w:color="auto" w:fill="FFFFFF"/>
            <w:vAlign w:val="center"/>
          </w:tcPr>
          <w:p w14:paraId="0961B3E1" w14:textId="77777777" w:rsidR="002F409D" w:rsidRPr="005F0D6C" w:rsidRDefault="002F409D" w:rsidP="00A90355">
            <w:pPr>
              <w:spacing w:line="240" w:lineRule="auto"/>
              <w:jc w:val="both"/>
              <w:rPr>
                <w:rFonts w:ascii="Times New Roman" w:hAnsi="Times New Roman" w:cs="Times New Roman"/>
                <w:lang w:val="lv-LV"/>
              </w:rPr>
            </w:pPr>
            <w:r w:rsidRPr="005F0D6C">
              <w:rPr>
                <w:rFonts w:ascii="Times New Roman" w:hAnsi="Times New Roman" w:cs="Times New Roman"/>
                <w:lang w:val="lv-LV"/>
              </w:rPr>
              <w:t>0,92</w:t>
            </w:r>
          </w:p>
        </w:tc>
      </w:tr>
    </w:tbl>
    <w:p w14:paraId="6AB367E6" w14:textId="77777777" w:rsidR="002F409D" w:rsidRPr="005F0D6C" w:rsidRDefault="002F409D" w:rsidP="00A90355">
      <w:pPr>
        <w:spacing w:line="240" w:lineRule="auto"/>
        <w:jc w:val="both"/>
        <w:rPr>
          <w:rFonts w:ascii="Times New Roman" w:hAnsi="Times New Roman" w:cs="Times New Roman"/>
          <w:sz w:val="24"/>
          <w:szCs w:val="24"/>
          <w:lang w:val="lv-LV"/>
        </w:rPr>
      </w:pPr>
    </w:p>
    <w:p w14:paraId="7FA5CA21" w14:textId="2ABD0602" w:rsidR="002F409D" w:rsidRPr="005F0D6C" w:rsidRDefault="00CC7AF0" w:rsidP="00A90355">
      <w:pPr>
        <w:spacing w:before="120" w:after="120" w:line="360" w:lineRule="auto"/>
        <w:jc w:val="both"/>
        <w:rPr>
          <w:rFonts w:ascii="Times New Roman" w:hAnsi="Times New Roman" w:cs="Times New Roman"/>
          <w:sz w:val="24"/>
          <w:szCs w:val="24"/>
          <w:lang w:val="lv-LV"/>
        </w:rPr>
      </w:pPr>
      <w:r w:rsidRPr="005F0D6C">
        <w:rPr>
          <w:rFonts w:ascii="Times New Roman" w:hAnsi="Times New Roman" w:cs="Times New Roman"/>
          <w:sz w:val="24"/>
          <w:szCs w:val="24"/>
          <w:lang w:val="lv-LV"/>
        </w:rPr>
        <w:t>Taču, ņemot vērā to, ka</w:t>
      </w:r>
      <w:r w:rsidR="002F409D" w:rsidRPr="005F0D6C">
        <w:rPr>
          <w:rFonts w:ascii="Times New Roman" w:hAnsi="Times New Roman" w:cs="Times New Roman"/>
          <w:sz w:val="24"/>
          <w:szCs w:val="24"/>
          <w:lang w:val="lv-LV"/>
        </w:rPr>
        <w:t xml:space="preserve"> vidējie radītāji un atbilžu sadalījums </w:t>
      </w:r>
      <w:r w:rsidR="002F409D" w:rsidRPr="005F0D6C">
        <w:rPr>
          <w:rFonts w:ascii="Times New Roman" w:hAnsi="Times New Roman" w:cs="Times New Roman"/>
          <w:b/>
          <w:bCs/>
          <w:sz w:val="24"/>
          <w:szCs w:val="24"/>
          <w:shd w:val="clear" w:color="auto" w:fill="8064A2" w:themeFill="accent4"/>
          <w:lang w:val="lv-LV"/>
        </w:rPr>
        <w:t xml:space="preserve">Uzticēšanās politiskās varas institūcijām </w:t>
      </w:r>
      <w:r w:rsidR="002F409D" w:rsidRPr="005F0D6C">
        <w:rPr>
          <w:rFonts w:ascii="Times New Roman" w:hAnsi="Times New Roman" w:cs="Times New Roman"/>
          <w:sz w:val="24"/>
          <w:szCs w:val="24"/>
          <w:lang w:val="lv-LV"/>
        </w:rPr>
        <w:t xml:space="preserve">gadījumā izteikti atšķiras no </w:t>
      </w:r>
      <w:r w:rsidR="002F409D" w:rsidRPr="005F0D6C">
        <w:rPr>
          <w:rFonts w:ascii="Times New Roman" w:hAnsi="Times New Roman" w:cs="Times New Roman"/>
          <w:b/>
          <w:bCs/>
          <w:sz w:val="24"/>
          <w:szCs w:val="24"/>
          <w:shd w:val="clear" w:color="auto" w:fill="4F81BD" w:themeFill="accent1"/>
          <w:lang w:val="lv-LV"/>
        </w:rPr>
        <w:t>Uzticēšanās citām institūcijām</w:t>
      </w:r>
      <w:r w:rsidR="002F409D" w:rsidRPr="005F0D6C">
        <w:rPr>
          <w:rFonts w:ascii="Times New Roman" w:hAnsi="Times New Roman" w:cs="Times New Roman"/>
          <w:sz w:val="24"/>
          <w:szCs w:val="24"/>
          <w:lang w:val="lv-LV"/>
        </w:rPr>
        <w:t>, tad analīzes nolūkiem tālāk tiks izmantoti trīs uzticēšanās apvienotie rādītāji (aprēķināti kā vidējais aritmētiskais starp attiecīgajiem mainīgajiem):</w:t>
      </w:r>
    </w:p>
    <w:p w14:paraId="16485CA9" w14:textId="77777777" w:rsidR="002F409D" w:rsidRPr="005F0D6C" w:rsidRDefault="002F409D" w:rsidP="00E50D63">
      <w:pPr>
        <w:pStyle w:val="Sarakstarindkopa"/>
        <w:numPr>
          <w:ilvl w:val="0"/>
          <w:numId w:val="3"/>
        </w:numPr>
        <w:spacing w:before="120" w:after="120" w:line="360" w:lineRule="auto"/>
        <w:jc w:val="both"/>
        <w:rPr>
          <w:rFonts w:ascii="Times New Roman" w:hAnsi="Times New Roman" w:cs="Times New Roman"/>
          <w:sz w:val="24"/>
          <w:szCs w:val="24"/>
          <w:lang w:val="lv-LV"/>
        </w:rPr>
      </w:pPr>
      <w:bookmarkStart w:id="0" w:name="_Hlk132640304"/>
      <w:r w:rsidRPr="005F0D6C">
        <w:rPr>
          <w:rFonts w:ascii="Times New Roman" w:hAnsi="Times New Roman" w:cs="Times New Roman"/>
          <w:b/>
          <w:bCs/>
          <w:sz w:val="24"/>
          <w:szCs w:val="24"/>
          <w:lang w:val="lv-LV"/>
        </w:rPr>
        <w:t>Kopējā uzticēšanās institūcijām</w:t>
      </w:r>
      <w:r w:rsidRPr="005F0D6C">
        <w:rPr>
          <w:rFonts w:ascii="Times New Roman" w:hAnsi="Times New Roman" w:cs="Times New Roman"/>
          <w:sz w:val="24"/>
          <w:szCs w:val="24"/>
          <w:lang w:val="lv-LV"/>
        </w:rPr>
        <w:t xml:space="preserve"> </w:t>
      </w:r>
      <w:bookmarkEnd w:id="0"/>
      <w:r w:rsidRPr="005F0D6C">
        <w:rPr>
          <w:rFonts w:ascii="Times New Roman" w:hAnsi="Times New Roman" w:cs="Times New Roman"/>
          <w:sz w:val="24"/>
          <w:szCs w:val="24"/>
          <w:lang w:val="lv-LV"/>
        </w:rPr>
        <w:t>(vidējais rādītājs starp 11 uzticēšanās mainīgajiem skalā no 0 – nemaz neuzticos līdz 10 – uzticos pilnībā);</w:t>
      </w:r>
    </w:p>
    <w:p w14:paraId="71177EDB" w14:textId="77777777" w:rsidR="002F409D" w:rsidRPr="005F0D6C" w:rsidRDefault="002F409D" w:rsidP="00E50D63">
      <w:pPr>
        <w:pStyle w:val="Sarakstarindkopa"/>
        <w:numPr>
          <w:ilvl w:val="0"/>
          <w:numId w:val="3"/>
        </w:numPr>
        <w:spacing w:before="120" w:after="120" w:line="360" w:lineRule="auto"/>
        <w:jc w:val="both"/>
        <w:rPr>
          <w:rFonts w:ascii="Times New Roman" w:hAnsi="Times New Roman" w:cs="Times New Roman"/>
          <w:sz w:val="24"/>
          <w:szCs w:val="24"/>
          <w:lang w:val="lv-LV"/>
        </w:rPr>
      </w:pPr>
      <w:r w:rsidRPr="005F0D6C">
        <w:rPr>
          <w:rFonts w:ascii="Times New Roman" w:hAnsi="Times New Roman" w:cs="Times New Roman"/>
          <w:b/>
          <w:bCs/>
          <w:sz w:val="24"/>
          <w:szCs w:val="24"/>
          <w:lang w:val="lv-LV"/>
        </w:rPr>
        <w:t>Uzticēšanās politiskās varas institūcijām</w:t>
      </w:r>
      <w:r w:rsidRPr="005F0D6C">
        <w:rPr>
          <w:rFonts w:ascii="Times New Roman" w:hAnsi="Times New Roman" w:cs="Times New Roman"/>
          <w:sz w:val="24"/>
          <w:szCs w:val="24"/>
          <w:lang w:val="lv-LV"/>
        </w:rPr>
        <w:t xml:space="preserve"> (vidējais rādītājs starp 3 uzticēšanās mainīgajiem skalā no 0 – nemaz neuzticos līdz 10 – uzticos pilnībā)</w:t>
      </w:r>
    </w:p>
    <w:p w14:paraId="2D6A91FE" w14:textId="77777777" w:rsidR="002F409D" w:rsidRPr="005F0D6C" w:rsidRDefault="002F409D" w:rsidP="00E50D63">
      <w:pPr>
        <w:pStyle w:val="Sarakstarindkopa"/>
        <w:numPr>
          <w:ilvl w:val="0"/>
          <w:numId w:val="3"/>
        </w:numPr>
        <w:spacing w:before="120" w:after="120" w:line="360" w:lineRule="auto"/>
        <w:jc w:val="both"/>
        <w:rPr>
          <w:rFonts w:ascii="Times New Roman" w:hAnsi="Times New Roman" w:cs="Times New Roman"/>
          <w:sz w:val="24"/>
          <w:szCs w:val="24"/>
          <w:lang w:val="lv-LV"/>
        </w:rPr>
      </w:pPr>
      <w:r w:rsidRPr="005F0D6C">
        <w:rPr>
          <w:rFonts w:ascii="Times New Roman" w:hAnsi="Times New Roman" w:cs="Times New Roman"/>
          <w:b/>
          <w:bCs/>
          <w:sz w:val="24"/>
          <w:szCs w:val="24"/>
          <w:lang w:val="lv-LV"/>
        </w:rPr>
        <w:t>Uzticēšanās citām institūcijām</w:t>
      </w:r>
      <w:r w:rsidRPr="005F0D6C">
        <w:rPr>
          <w:rFonts w:ascii="Times New Roman" w:hAnsi="Times New Roman" w:cs="Times New Roman"/>
          <w:sz w:val="24"/>
          <w:szCs w:val="24"/>
          <w:lang w:val="lv-LV"/>
        </w:rPr>
        <w:t xml:space="preserve"> (vidējais rādītājs starp 8 uzticēšanās mainīgajiem skalā no 0 – nemaz neuzticos līdz 10 – uzticos pilnībā).</w:t>
      </w:r>
    </w:p>
    <w:p w14:paraId="0EE59225" w14:textId="1C9B3D52" w:rsidR="00AE535C" w:rsidRPr="005F0D6C" w:rsidRDefault="002F409D" w:rsidP="00E50D63">
      <w:pPr>
        <w:spacing w:before="120" w:after="120" w:line="360" w:lineRule="auto"/>
        <w:jc w:val="both"/>
        <w:rPr>
          <w:rFonts w:ascii="Times New Roman" w:hAnsi="Times New Roman" w:cs="Times New Roman"/>
          <w:sz w:val="24"/>
          <w:szCs w:val="24"/>
          <w:lang w:val="lv-LV"/>
        </w:rPr>
      </w:pPr>
      <w:r w:rsidRPr="005F0D6C">
        <w:rPr>
          <w:rFonts w:ascii="Times New Roman" w:hAnsi="Times New Roman" w:cs="Times New Roman"/>
          <w:sz w:val="24"/>
          <w:szCs w:val="24"/>
          <w:lang w:val="lv-LV"/>
        </w:rPr>
        <w:t xml:space="preserve">Ņemot vērā uzticēšanās dimensiju savstarpējo ciešo korelāciju, par pamatu var ņemt </w:t>
      </w:r>
      <w:r w:rsidRPr="005F0D6C">
        <w:rPr>
          <w:rFonts w:ascii="Times New Roman" w:hAnsi="Times New Roman" w:cs="Times New Roman"/>
          <w:b/>
          <w:bCs/>
          <w:sz w:val="24"/>
          <w:szCs w:val="24"/>
          <w:lang w:val="lv-LV"/>
        </w:rPr>
        <w:t>kopējo uzticēšanos institūcijām</w:t>
      </w:r>
      <w:r w:rsidRPr="005F0D6C">
        <w:rPr>
          <w:rFonts w:ascii="Times New Roman" w:hAnsi="Times New Roman" w:cs="Times New Roman"/>
          <w:sz w:val="24"/>
          <w:szCs w:val="24"/>
          <w:lang w:val="lv-LV"/>
        </w:rPr>
        <w:t>, taču detalizācija, piemēram, uzticēšanās politiskās varas institūcijām gadījumā ļauj niansētāk analizēt relatīvi zemākās uzticēšanās saistību ar citiem jautājumiem.</w:t>
      </w:r>
    </w:p>
    <w:p w14:paraId="0A8C357B" w14:textId="3BA4227C" w:rsidR="0042407C" w:rsidRPr="005F0D6C" w:rsidRDefault="0042407C" w:rsidP="00E50D63">
      <w:pPr>
        <w:spacing w:before="120" w:after="120" w:line="360" w:lineRule="auto"/>
        <w:jc w:val="both"/>
        <w:rPr>
          <w:rFonts w:ascii="Times New Roman" w:hAnsi="Times New Roman" w:cs="Times New Roman"/>
          <w:sz w:val="24"/>
          <w:szCs w:val="24"/>
          <w:lang w:val="lv-LV"/>
        </w:rPr>
      </w:pPr>
      <w:r w:rsidRPr="005F0D6C">
        <w:rPr>
          <w:rFonts w:ascii="Times New Roman" w:hAnsi="Times New Roman" w:cs="Times New Roman"/>
          <w:sz w:val="24"/>
          <w:szCs w:val="24"/>
          <w:lang w:val="lv-LV"/>
        </w:rPr>
        <w:t>Nākamajā tabulā ir atspoguļota korelācija starp kopējo uzticēšanos un abām uzticēšanās dimensijām, kas tika izveidotas pēc PCA iznākuma.</w:t>
      </w:r>
    </w:p>
    <w:p w14:paraId="7ECB535C" w14:textId="77777777" w:rsidR="00B74391" w:rsidRPr="005F0D6C" w:rsidRDefault="00B74391">
      <w:pPr>
        <w:rPr>
          <w:rFonts w:ascii="Times New Roman" w:hAnsi="Times New Roman" w:cs="Times New Roman"/>
          <w:i/>
          <w:sz w:val="24"/>
          <w:szCs w:val="24"/>
          <w:lang w:val="lv-LV"/>
        </w:rPr>
      </w:pPr>
      <w:r w:rsidRPr="005F0D6C">
        <w:rPr>
          <w:rFonts w:ascii="Times New Roman" w:hAnsi="Times New Roman" w:cs="Times New Roman"/>
          <w:i/>
          <w:sz w:val="24"/>
          <w:szCs w:val="24"/>
          <w:lang w:val="lv-LV"/>
        </w:rPr>
        <w:br w:type="page"/>
      </w:r>
    </w:p>
    <w:p w14:paraId="18243EBB" w14:textId="349E4B0C" w:rsidR="002F409D" w:rsidRPr="005F0D6C" w:rsidRDefault="00856DE5" w:rsidP="001E6312">
      <w:pPr>
        <w:jc w:val="center"/>
        <w:rPr>
          <w:rFonts w:ascii="Times New Roman" w:hAnsi="Times New Roman" w:cs="Times New Roman"/>
          <w:i/>
          <w:sz w:val="24"/>
          <w:szCs w:val="24"/>
          <w:lang w:val="lv-LV"/>
        </w:rPr>
      </w:pPr>
      <w:r w:rsidRPr="005F0D6C">
        <w:rPr>
          <w:rFonts w:ascii="Times New Roman" w:hAnsi="Times New Roman" w:cs="Times New Roman"/>
          <w:i/>
          <w:sz w:val="24"/>
          <w:szCs w:val="24"/>
          <w:lang w:val="lv-LV"/>
        </w:rPr>
        <w:lastRenderedPageBreak/>
        <w:t>3.</w:t>
      </w:r>
      <w:r w:rsidR="00FC3582" w:rsidRPr="005F0D6C">
        <w:rPr>
          <w:rFonts w:ascii="Times New Roman" w:hAnsi="Times New Roman" w:cs="Times New Roman"/>
          <w:i/>
          <w:sz w:val="24"/>
          <w:szCs w:val="24"/>
          <w:lang w:val="lv-LV"/>
        </w:rPr>
        <w:t xml:space="preserve">tabula. Korelācijas starp kopējo uzticēšanos </w:t>
      </w:r>
      <w:r w:rsidR="001E6312" w:rsidRPr="005F0D6C">
        <w:rPr>
          <w:rFonts w:ascii="Times New Roman" w:hAnsi="Times New Roman" w:cs="Times New Roman"/>
          <w:i/>
          <w:sz w:val="24"/>
          <w:szCs w:val="24"/>
          <w:lang w:val="lv-LV"/>
        </w:rPr>
        <w:t>u</w:t>
      </w:r>
      <w:r w:rsidR="00FC3582" w:rsidRPr="005F0D6C">
        <w:rPr>
          <w:rFonts w:ascii="Times New Roman" w:hAnsi="Times New Roman" w:cs="Times New Roman"/>
          <w:i/>
          <w:sz w:val="24"/>
          <w:szCs w:val="24"/>
          <w:lang w:val="lv-LV"/>
        </w:rPr>
        <w:t>n tās dimensijām</w:t>
      </w:r>
    </w:p>
    <w:tbl>
      <w:tblPr>
        <w:tblW w:w="8885"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37"/>
        <w:gridCol w:w="2323"/>
        <w:gridCol w:w="1475"/>
        <w:gridCol w:w="1475"/>
        <w:gridCol w:w="1475"/>
      </w:tblGrid>
      <w:tr w:rsidR="002F409D" w:rsidRPr="005F0D6C" w14:paraId="3F96D024" w14:textId="77777777" w:rsidTr="00FC3582">
        <w:trPr>
          <w:cantSplit/>
        </w:trPr>
        <w:tc>
          <w:tcPr>
            <w:tcW w:w="4460" w:type="dxa"/>
            <w:gridSpan w:val="2"/>
            <w:tcBorders>
              <w:top w:val="single" w:sz="8" w:space="0" w:color="000000"/>
              <w:left w:val="single" w:sz="8" w:space="0" w:color="000000"/>
              <w:bottom w:val="single" w:sz="8" w:space="0" w:color="000000"/>
              <w:right w:val="single" w:sz="8" w:space="0" w:color="000000"/>
            </w:tcBorders>
            <w:shd w:val="clear" w:color="auto" w:fill="FFFFFF"/>
            <w:vAlign w:val="bottom"/>
          </w:tcPr>
          <w:p w14:paraId="0500A49E" w14:textId="77777777" w:rsidR="002F409D" w:rsidRPr="005F0D6C" w:rsidRDefault="002F409D" w:rsidP="00E50D63">
            <w:pPr>
              <w:autoSpaceDE w:val="0"/>
              <w:autoSpaceDN w:val="0"/>
              <w:adjustRightInd w:val="0"/>
              <w:spacing w:line="240" w:lineRule="auto"/>
              <w:jc w:val="both"/>
              <w:rPr>
                <w:rFonts w:ascii="Times New Roman" w:hAnsi="Times New Roman" w:cs="Times New Roman"/>
                <w:lang w:val="lv-LV"/>
              </w:rPr>
            </w:pPr>
          </w:p>
        </w:tc>
        <w:tc>
          <w:tcPr>
            <w:tcW w:w="1475" w:type="dxa"/>
            <w:tcBorders>
              <w:top w:val="single" w:sz="8" w:space="0" w:color="000000"/>
              <w:left w:val="single" w:sz="8" w:space="0" w:color="000000"/>
              <w:bottom w:val="single" w:sz="8" w:space="0" w:color="000000"/>
              <w:right w:val="single" w:sz="8" w:space="0" w:color="000000"/>
            </w:tcBorders>
            <w:shd w:val="clear" w:color="auto" w:fill="FFFFFF"/>
            <w:vAlign w:val="bottom"/>
          </w:tcPr>
          <w:p w14:paraId="04B7F960" w14:textId="77777777" w:rsidR="002F409D" w:rsidRPr="005F0D6C" w:rsidRDefault="002F409D"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Kopējā uzticēšanās</w:t>
            </w:r>
          </w:p>
        </w:tc>
        <w:tc>
          <w:tcPr>
            <w:tcW w:w="1475" w:type="dxa"/>
            <w:tcBorders>
              <w:top w:val="single" w:sz="8" w:space="0" w:color="000000"/>
              <w:left w:val="single" w:sz="8" w:space="0" w:color="000000"/>
              <w:bottom w:val="single" w:sz="8" w:space="0" w:color="000000"/>
              <w:right w:val="single" w:sz="8" w:space="0" w:color="000000"/>
            </w:tcBorders>
            <w:shd w:val="clear" w:color="auto" w:fill="FFFFFF"/>
            <w:vAlign w:val="bottom"/>
          </w:tcPr>
          <w:p w14:paraId="20E67F4A" w14:textId="77777777" w:rsidR="002F409D" w:rsidRPr="005F0D6C" w:rsidRDefault="002F409D"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Uzticēšanās politiskās varas institūcijām</w:t>
            </w:r>
          </w:p>
        </w:tc>
        <w:tc>
          <w:tcPr>
            <w:tcW w:w="1475" w:type="dxa"/>
            <w:tcBorders>
              <w:top w:val="single" w:sz="8" w:space="0" w:color="000000"/>
              <w:left w:val="single" w:sz="8" w:space="0" w:color="000000"/>
              <w:bottom w:val="single" w:sz="8" w:space="0" w:color="000000"/>
              <w:right w:val="single" w:sz="8" w:space="0" w:color="000000"/>
            </w:tcBorders>
            <w:shd w:val="clear" w:color="auto" w:fill="FFFFFF"/>
            <w:vAlign w:val="bottom"/>
          </w:tcPr>
          <w:p w14:paraId="45AE0230" w14:textId="77777777" w:rsidR="002F409D" w:rsidRPr="005F0D6C" w:rsidRDefault="002F409D"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Uzticēšanās citām institūcijām</w:t>
            </w:r>
          </w:p>
        </w:tc>
      </w:tr>
      <w:tr w:rsidR="00866D94" w:rsidRPr="005F0D6C" w14:paraId="2A79D294" w14:textId="77777777" w:rsidTr="00866D94">
        <w:trPr>
          <w:cantSplit/>
        </w:trPr>
        <w:tc>
          <w:tcPr>
            <w:tcW w:w="2137" w:type="dxa"/>
            <w:vMerge w:val="restart"/>
            <w:tcBorders>
              <w:top w:val="single" w:sz="8" w:space="0" w:color="000000"/>
              <w:left w:val="single" w:sz="8" w:space="0" w:color="000000"/>
              <w:bottom w:val="single" w:sz="8" w:space="0" w:color="000000"/>
              <w:right w:val="single" w:sz="8" w:space="0" w:color="000000"/>
            </w:tcBorders>
            <w:shd w:val="clear" w:color="auto" w:fill="FFFFFF"/>
          </w:tcPr>
          <w:p w14:paraId="17BBD3B7"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Kopējā uzticēšanās</w:t>
            </w:r>
          </w:p>
        </w:tc>
        <w:tc>
          <w:tcPr>
            <w:tcW w:w="2323" w:type="dxa"/>
            <w:tcBorders>
              <w:top w:val="single" w:sz="8" w:space="0" w:color="000000"/>
              <w:left w:val="single" w:sz="8" w:space="0" w:color="000000"/>
              <w:bottom w:val="single" w:sz="8" w:space="0" w:color="000000"/>
              <w:right w:val="single" w:sz="8" w:space="0" w:color="000000"/>
            </w:tcBorders>
            <w:shd w:val="clear" w:color="auto" w:fill="FFFFFF"/>
          </w:tcPr>
          <w:p w14:paraId="1BB5D6C5" w14:textId="71C65291"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Pirsona korelācijas koef.</w:t>
            </w:r>
          </w:p>
        </w:tc>
        <w:tc>
          <w:tcPr>
            <w:tcW w:w="14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FCFB64"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1</w:t>
            </w:r>
          </w:p>
        </w:tc>
        <w:tc>
          <w:tcPr>
            <w:tcW w:w="14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944EB2A"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,844</w:t>
            </w:r>
            <w:r w:rsidRPr="005F0D6C">
              <w:rPr>
                <w:rFonts w:ascii="Times New Roman" w:hAnsi="Times New Roman" w:cs="Times New Roman"/>
                <w:color w:val="000000"/>
                <w:vertAlign w:val="superscript"/>
                <w:lang w:val="lv-LV"/>
              </w:rPr>
              <w:t>**</w:t>
            </w:r>
          </w:p>
        </w:tc>
        <w:tc>
          <w:tcPr>
            <w:tcW w:w="14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FEA12C"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,967</w:t>
            </w:r>
            <w:r w:rsidRPr="005F0D6C">
              <w:rPr>
                <w:rFonts w:ascii="Times New Roman" w:hAnsi="Times New Roman" w:cs="Times New Roman"/>
                <w:color w:val="000000"/>
                <w:vertAlign w:val="superscript"/>
                <w:lang w:val="lv-LV"/>
              </w:rPr>
              <w:t>**</w:t>
            </w:r>
          </w:p>
        </w:tc>
      </w:tr>
      <w:tr w:rsidR="00866D94" w:rsidRPr="005F0D6C" w14:paraId="59D6D09F" w14:textId="77777777" w:rsidTr="00866D94">
        <w:trPr>
          <w:cantSplit/>
        </w:trPr>
        <w:tc>
          <w:tcPr>
            <w:tcW w:w="2137" w:type="dxa"/>
            <w:vMerge/>
            <w:tcBorders>
              <w:top w:val="single" w:sz="8" w:space="0" w:color="000000"/>
              <w:left w:val="single" w:sz="8" w:space="0" w:color="000000"/>
              <w:bottom w:val="single" w:sz="8" w:space="0" w:color="000000"/>
              <w:right w:val="single" w:sz="8" w:space="0" w:color="000000"/>
            </w:tcBorders>
            <w:shd w:val="clear" w:color="auto" w:fill="FFFFFF"/>
          </w:tcPr>
          <w:p w14:paraId="1E903715" w14:textId="77777777" w:rsidR="00866D94" w:rsidRPr="005F0D6C" w:rsidRDefault="00866D94" w:rsidP="00E50D63">
            <w:pPr>
              <w:autoSpaceDE w:val="0"/>
              <w:autoSpaceDN w:val="0"/>
              <w:adjustRightInd w:val="0"/>
              <w:spacing w:line="240" w:lineRule="auto"/>
              <w:jc w:val="both"/>
              <w:rPr>
                <w:rFonts w:ascii="Times New Roman" w:hAnsi="Times New Roman" w:cs="Times New Roman"/>
                <w:color w:val="000000"/>
                <w:lang w:val="lv-LV"/>
              </w:rPr>
            </w:pPr>
          </w:p>
        </w:tc>
        <w:tc>
          <w:tcPr>
            <w:tcW w:w="2323" w:type="dxa"/>
            <w:tcBorders>
              <w:top w:val="single" w:sz="8" w:space="0" w:color="000000"/>
              <w:left w:val="single" w:sz="8" w:space="0" w:color="000000"/>
              <w:bottom w:val="single" w:sz="8" w:space="0" w:color="000000"/>
              <w:right w:val="single" w:sz="8" w:space="0" w:color="000000"/>
            </w:tcBorders>
            <w:shd w:val="clear" w:color="auto" w:fill="FFFFFF"/>
          </w:tcPr>
          <w:p w14:paraId="1D9DE6C4" w14:textId="0A890A6C"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Stat. noz.</w:t>
            </w:r>
          </w:p>
        </w:tc>
        <w:tc>
          <w:tcPr>
            <w:tcW w:w="14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AAA147" w14:textId="77777777" w:rsidR="00866D94" w:rsidRPr="005F0D6C" w:rsidRDefault="00866D94" w:rsidP="00E50D63">
            <w:pPr>
              <w:autoSpaceDE w:val="0"/>
              <w:autoSpaceDN w:val="0"/>
              <w:adjustRightInd w:val="0"/>
              <w:spacing w:line="240" w:lineRule="auto"/>
              <w:jc w:val="both"/>
              <w:rPr>
                <w:rFonts w:ascii="Times New Roman" w:hAnsi="Times New Roman" w:cs="Times New Roman"/>
                <w:lang w:val="lv-LV"/>
              </w:rPr>
            </w:pPr>
          </w:p>
        </w:tc>
        <w:tc>
          <w:tcPr>
            <w:tcW w:w="14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FA03DA"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,000</w:t>
            </w:r>
          </w:p>
        </w:tc>
        <w:tc>
          <w:tcPr>
            <w:tcW w:w="14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727A9F"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,000</w:t>
            </w:r>
          </w:p>
        </w:tc>
      </w:tr>
      <w:tr w:rsidR="00866D94" w:rsidRPr="005F0D6C" w14:paraId="30AE7D84" w14:textId="77777777" w:rsidTr="00866D94">
        <w:trPr>
          <w:cantSplit/>
        </w:trPr>
        <w:tc>
          <w:tcPr>
            <w:tcW w:w="2137" w:type="dxa"/>
            <w:vMerge/>
            <w:tcBorders>
              <w:top w:val="single" w:sz="8" w:space="0" w:color="000000"/>
              <w:left w:val="single" w:sz="8" w:space="0" w:color="000000"/>
              <w:right w:val="single" w:sz="8" w:space="0" w:color="000000"/>
            </w:tcBorders>
            <w:shd w:val="clear" w:color="auto" w:fill="FFFFFF"/>
          </w:tcPr>
          <w:p w14:paraId="210E39B5" w14:textId="77777777" w:rsidR="00866D94" w:rsidRPr="005F0D6C" w:rsidRDefault="00866D94" w:rsidP="00E50D63">
            <w:pPr>
              <w:autoSpaceDE w:val="0"/>
              <w:autoSpaceDN w:val="0"/>
              <w:adjustRightInd w:val="0"/>
              <w:spacing w:line="240" w:lineRule="auto"/>
              <w:jc w:val="both"/>
              <w:rPr>
                <w:rFonts w:ascii="Times New Roman" w:hAnsi="Times New Roman" w:cs="Times New Roman"/>
                <w:color w:val="000000"/>
                <w:lang w:val="lv-LV"/>
              </w:rPr>
            </w:pPr>
          </w:p>
        </w:tc>
        <w:tc>
          <w:tcPr>
            <w:tcW w:w="2323" w:type="dxa"/>
            <w:tcBorders>
              <w:top w:val="single" w:sz="8" w:space="0" w:color="000000"/>
              <w:left w:val="single" w:sz="8" w:space="0" w:color="000000"/>
              <w:right w:val="single" w:sz="8" w:space="0" w:color="000000"/>
            </w:tcBorders>
            <w:shd w:val="clear" w:color="auto" w:fill="FFFFFF"/>
          </w:tcPr>
          <w:p w14:paraId="39C89558" w14:textId="25ABB19C"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N</w:t>
            </w:r>
          </w:p>
        </w:tc>
        <w:tc>
          <w:tcPr>
            <w:tcW w:w="1475" w:type="dxa"/>
            <w:tcBorders>
              <w:top w:val="single" w:sz="8" w:space="0" w:color="000000"/>
              <w:left w:val="single" w:sz="8" w:space="0" w:color="000000"/>
              <w:right w:val="single" w:sz="8" w:space="0" w:color="000000"/>
            </w:tcBorders>
            <w:shd w:val="clear" w:color="auto" w:fill="FFFFFF"/>
            <w:vAlign w:val="center"/>
          </w:tcPr>
          <w:p w14:paraId="5F161A79"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1005</w:t>
            </w:r>
          </w:p>
        </w:tc>
        <w:tc>
          <w:tcPr>
            <w:tcW w:w="1475" w:type="dxa"/>
            <w:tcBorders>
              <w:top w:val="single" w:sz="8" w:space="0" w:color="000000"/>
              <w:left w:val="single" w:sz="8" w:space="0" w:color="000000"/>
              <w:right w:val="single" w:sz="8" w:space="0" w:color="000000"/>
            </w:tcBorders>
            <w:shd w:val="clear" w:color="auto" w:fill="FFFFFF"/>
            <w:vAlign w:val="center"/>
          </w:tcPr>
          <w:p w14:paraId="6E027510"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998</w:t>
            </w:r>
          </w:p>
        </w:tc>
        <w:tc>
          <w:tcPr>
            <w:tcW w:w="1475" w:type="dxa"/>
            <w:tcBorders>
              <w:top w:val="single" w:sz="8" w:space="0" w:color="000000"/>
              <w:left w:val="single" w:sz="8" w:space="0" w:color="000000"/>
              <w:right w:val="single" w:sz="8" w:space="0" w:color="000000"/>
            </w:tcBorders>
            <w:shd w:val="clear" w:color="auto" w:fill="FFFFFF"/>
            <w:vAlign w:val="center"/>
          </w:tcPr>
          <w:p w14:paraId="6F51D03C"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1003</w:t>
            </w:r>
          </w:p>
        </w:tc>
      </w:tr>
      <w:tr w:rsidR="00866D94" w:rsidRPr="005F0D6C" w14:paraId="08D0072D" w14:textId="77777777" w:rsidTr="00866D94">
        <w:trPr>
          <w:cantSplit/>
        </w:trPr>
        <w:tc>
          <w:tcPr>
            <w:tcW w:w="2137" w:type="dxa"/>
            <w:vMerge w:val="restart"/>
            <w:tcBorders>
              <w:top w:val="single" w:sz="8" w:space="0" w:color="000000"/>
              <w:left w:val="single" w:sz="8" w:space="0" w:color="000000"/>
              <w:bottom w:val="single" w:sz="8" w:space="0" w:color="000000"/>
              <w:right w:val="single" w:sz="8" w:space="0" w:color="000000"/>
            </w:tcBorders>
            <w:shd w:val="clear" w:color="auto" w:fill="FFFFFF"/>
          </w:tcPr>
          <w:p w14:paraId="31120433"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Uzticēšanās politiskās varas institūcijām</w:t>
            </w:r>
          </w:p>
        </w:tc>
        <w:tc>
          <w:tcPr>
            <w:tcW w:w="2323" w:type="dxa"/>
            <w:tcBorders>
              <w:top w:val="single" w:sz="8" w:space="0" w:color="000000"/>
              <w:left w:val="single" w:sz="8" w:space="0" w:color="000000"/>
              <w:bottom w:val="single" w:sz="8" w:space="0" w:color="000000"/>
              <w:right w:val="single" w:sz="8" w:space="0" w:color="000000"/>
            </w:tcBorders>
            <w:shd w:val="clear" w:color="auto" w:fill="FFFFFF"/>
          </w:tcPr>
          <w:p w14:paraId="1B37EACD" w14:textId="3B5AEA08"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Pirsona korelācijas koef.</w:t>
            </w:r>
          </w:p>
        </w:tc>
        <w:tc>
          <w:tcPr>
            <w:tcW w:w="14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377EE2"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,844</w:t>
            </w:r>
            <w:r w:rsidRPr="005F0D6C">
              <w:rPr>
                <w:rFonts w:ascii="Times New Roman" w:hAnsi="Times New Roman" w:cs="Times New Roman"/>
                <w:color w:val="000000"/>
                <w:vertAlign w:val="superscript"/>
                <w:lang w:val="lv-LV"/>
              </w:rPr>
              <w:t>**</w:t>
            </w:r>
          </w:p>
        </w:tc>
        <w:tc>
          <w:tcPr>
            <w:tcW w:w="14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0B77B9"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1</w:t>
            </w:r>
          </w:p>
        </w:tc>
        <w:tc>
          <w:tcPr>
            <w:tcW w:w="14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1FCC2F4"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,686</w:t>
            </w:r>
            <w:r w:rsidRPr="005F0D6C">
              <w:rPr>
                <w:rFonts w:ascii="Times New Roman" w:hAnsi="Times New Roman" w:cs="Times New Roman"/>
                <w:color w:val="000000"/>
                <w:vertAlign w:val="superscript"/>
                <w:lang w:val="lv-LV"/>
              </w:rPr>
              <w:t>**</w:t>
            </w:r>
          </w:p>
        </w:tc>
      </w:tr>
      <w:tr w:rsidR="00866D94" w:rsidRPr="005F0D6C" w14:paraId="54FF5595" w14:textId="77777777" w:rsidTr="00866D94">
        <w:trPr>
          <w:cantSplit/>
        </w:trPr>
        <w:tc>
          <w:tcPr>
            <w:tcW w:w="2137" w:type="dxa"/>
            <w:vMerge/>
            <w:tcBorders>
              <w:top w:val="single" w:sz="8" w:space="0" w:color="000000"/>
              <w:left w:val="single" w:sz="8" w:space="0" w:color="000000"/>
              <w:bottom w:val="single" w:sz="8" w:space="0" w:color="000000"/>
              <w:right w:val="single" w:sz="8" w:space="0" w:color="000000"/>
            </w:tcBorders>
            <w:shd w:val="clear" w:color="auto" w:fill="FFFFFF"/>
          </w:tcPr>
          <w:p w14:paraId="2FAFF8A1" w14:textId="77777777" w:rsidR="00866D94" w:rsidRPr="005F0D6C" w:rsidRDefault="00866D94" w:rsidP="00E50D63">
            <w:pPr>
              <w:autoSpaceDE w:val="0"/>
              <w:autoSpaceDN w:val="0"/>
              <w:adjustRightInd w:val="0"/>
              <w:spacing w:line="240" w:lineRule="auto"/>
              <w:jc w:val="both"/>
              <w:rPr>
                <w:rFonts w:ascii="Times New Roman" w:hAnsi="Times New Roman" w:cs="Times New Roman"/>
                <w:color w:val="000000"/>
                <w:lang w:val="lv-LV"/>
              </w:rPr>
            </w:pPr>
          </w:p>
        </w:tc>
        <w:tc>
          <w:tcPr>
            <w:tcW w:w="2323" w:type="dxa"/>
            <w:tcBorders>
              <w:top w:val="single" w:sz="8" w:space="0" w:color="000000"/>
              <w:left w:val="single" w:sz="8" w:space="0" w:color="000000"/>
              <w:bottom w:val="single" w:sz="8" w:space="0" w:color="000000"/>
              <w:right w:val="single" w:sz="8" w:space="0" w:color="000000"/>
            </w:tcBorders>
            <w:shd w:val="clear" w:color="auto" w:fill="FFFFFF"/>
          </w:tcPr>
          <w:p w14:paraId="0CE20392" w14:textId="52D3B6B5"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Stat. noz.</w:t>
            </w:r>
          </w:p>
        </w:tc>
        <w:tc>
          <w:tcPr>
            <w:tcW w:w="14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AFABAA"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,000</w:t>
            </w:r>
          </w:p>
        </w:tc>
        <w:tc>
          <w:tcPr>
            <w:tcW w:w="14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F59785E" w14:textId="77777777" w:rsidR="00866D94" w:rsidRPr="005F0D6C" w:rsidRDefault="00866D94" w:rsidP="00E50D63">
            <w:pPr>
              <w:autoSpaceDE w:val="0"/>
              <w:autoSpaceDN w:val="0"/>
              <w:adjustRightInd w:val="0"/>
              <w:spacing w:line="240" w:lineRule="auto"/>
              <w:jc w:val="both"/>
              <w:rPr>
                <w:rFonts w:ascii="Times New Roman" w:hAnsi="Times New Roman" w:cs="Times New Roman"/>
                <w:lang w:val="lv-LV"/>
              </w:rPr>
            </w:pPr>
          </w:p>
        </w:tc>
        <w:tc>
          <w:tcPr>
            <w:tcW w:w="14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66B7F4C"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,000</w:t>
            </w:r>
          </w:p>
        </w:tc>
      </w:tr>
      <w:tr w:rsidR="00866D94" w:rsidRPr="005F0D6C" w14:paraId="001F0D15" w14:textId="77777777" w:rsidTr="00866D94">
        <w:trPr>
          <w:cantSplit/>
        </w:trPr>
        <w:tc>
          <w:tcPr>
            <w:tcW w:w="2137" w:type="dxa"/>
            <w:vMerge/>
            <w:tcBorders>
              <w:top w:val="single" w:sz="8" w:space="0" w:color="000000"/>
              <w:left w:val="single" w:sz="8" w:space="0" w:color="000000"/>
              <w:right w:val="single" w:sz="8" w:space="0" w:color="000000"/>
            </w:tcBorders>
            <w:shd w:val="clear" w:color="auto" w:fill="FFFFFF"/>
          </w:tcPr>
          <w:p w14:paraId="62832033" w14:textId="77777777" w:rsidR="00866D94" w:rsidRPr="005F0D6C" w:rsidRDefault="00866D94" w:rsidP="00E50D63">
            <w:pPr>
              <w:autoSpaceDE w:val="0"/>
              <w:autoSpaceDN w:val="0"/>
              <w:adjustRightInd w:val="0"/>
              <w:spacing w:line="240" w:lineRule="auto"/>
              <w:jc w:val="both"/>
              <w:rPr>
                <w:rFonts w:ascii="Times New Roman" w:hAnsi="Times New Roman" w:cs="Times New Roman"/>
                <w:color w:val="000000"/>
                <w:lang w:val="lv-LV"/>
              </w:rPr>
            </w:pPr>
          </w:p>
        </w:tc>
        <w:tc>
          <w:tcPr>
            <w:tcW w:w="2323" w:type="dxa"/>
            <w:tcBorders>
              <w:top w:val="single" w:sz="8" w:space="0" w:color="000000"/>
              <w:left w:val="single" w:sz="8" w:space="0" w:color="000000"/>
              <w:right w:val="single" w:sz="8" w:space="0" w:color="000000"/>
            </w:tcBorders>
            <w:shd w:val="clear" w:color="auto" w:fill="FFFFFF"/>
          </w:tcPr>
          <w:p w14:paraId="5B773405" w14:textId="0722D4CD"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N</w:t>
            </w:r>
          </w:p>
        </w:tc>
        <w:tc>
          <w:tcPr>
            <w:tcW w:w="1475" w:type="dxa"/>
            <w:tcBorders>
              <w:top w:val="single" w:sz="8" w:space="0" w:color="000000"/>
              <w:left w:val="single" w:sz="8" w:space="0" w:color="000000"/>
              <w:right w:val="single" w:sz="8" w:space="0" w:color="000000"/>
            </w:tcBorders>
            <w:shd w:val="clear" w:color="auto" w:fill="FFFFFF"/>
            <w:vAlign w:val="center"/>
          </w:tcPr>
          <w:p w14:paraId="07138873"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998</w:t>
            </w:r>
          </w:p>
        </w:tc>
        <w:tc>
          <w:tcPr>
            <w:tcW w:w="1475" w:type="dxa"/>
            <w:tcBorders>
              <w:top w:val="single" w:sz="8" w:space="0" w:color="000000"/>
              <w:left w:val="single" w:sz="8" w:space="0" w:color="000000"/>
              <w:right w:val="single" w:sz="8" w:space="0" w:color="000000"/>
            </w:tcBorders>
            <w:shd w:val="clear" w:color="auto" w:fill="FFFFFF"/>
            <w:vAlign w:val="center"/>
          </w:tcPr>
          <w:p w14:paraId="13665515"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998</w:t>
            </w:r>
          </w:p>
        </w:tc>
        <w:tc>
          <w:tcPr>
            <w:tcW w:w="1475" w:type="dxa"/>
            <w:tcBorders>
              <w:top w:val="single" w:sz="8" w:space="0" w:color="000000"/>
              <w:left w:val="single" w:sz="8" w:space="0" w:color="000000"/>
              <w:right w:val="single" w:sz="8" w:space="0" w:color="000000"/>
            </w:tcBorders>
            <w:shd w:val="clear" w:color="auto" w:fill="FFFFFF"/>
            <w:vAlign w:val="center"/>
          </w:tcPr>
          <w:p w14:paraId="57DACE09"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996</w:t>
            </w:r>
          </w:p>
        </w:tc>
      </w:tr>
      <w:tr w:rsidR="00866D94" w:rsidRPr="005F0D6C" w14:paraId="66559B18" w14:textId="77777777" w:rsidTr="00866D94">
        <w:trPr>
          <w:cantSplit/>
        </w:trPr>
        <w:tc>
          <w:tcPr>
            <w:tcW w:w="2137" w:type="dxa"/>
            <w:vMerge w:val="restart"/>
            <w:tcBorders>
              <w:top w:val="single" w:sz="8" w:space="0" w:color="000000"/>
              <w:left w:val="single" w:sz="8" w:space="0" w:color="000000"/>
              <w:bottom w:val="single" w:sz="8" w:space="0" w:color="000000"/>
              <w:right w:val="single" w:sz="8" w:space="0" w:color="000000"/>
            </w:tcBorders>
            <w:shd w:val="clear" w:color="auto" w:fill="FFFFFF"/>
          </w:tcPr>
          <w:p w14:paraId="4245A1FD"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Uzticēšanās citām institūcijām</w:t>
            </w:r>
          </w:p>
        </w:tc>
        <w:tc>
          <w:tcPr>
            <w:tcW w:w="2323" w:type="dxa"/>
            <w:tcBorders>
              <w:top w:val="single" w:sz="8" w:space="0" w:color="000000"/>
              <w:left w:val="single" w:sz="8" w:space="0" w:color="000000"/>
              <w:bottom w:val="single" w:sz="8" w:space="0" w:color="000000"/>
              <w:right w:val="single" w:sz="8" w:space="0" w:color="000000"/>
            </w:tcBorders>
            <w:shd w:val="clear" w:color="auto" w:fill="FFFFFF"/>
          </w:tcPr>
          <w:p w14:paraId="04644C12" w14:textId="67374026"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Pirsona korelācijas koef.</w:t>
            </w:r>
          </w:p>
        </w:tc>
        <w:tc>
          <w:tcPr>
            <w:tcW w:w="14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C6F248"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,967</w:t>
            </w:r>
            <w:r w:rsidRPr="005F0D6C">
              <w:rPr>
                <w:rFonts w:ascii="Times New Roman" w:hAnsi="Times New Roman" w:cs="Times New Roman"/>
                <w:color w:val="000000"/>
                <w:vertAlign w:val="superscript"/>
                <w:lang w:val="lv-LV"/>
              </w:rPr>
              <w:t>**</w:t>
            </w:r>
          </w:p>
        </w:tc>
        <w:tc>
          <w:tcPr>
            <w:tcW w:w="14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9498048"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,686</w:t>
            </w:r>
            <w:r w:rsidRPr="005F0D6C">
              <w:rPr>
                <w:rFonts w:ascii="Times New Roman" w:hAnsi="Times New Roman" w:cs="Times New Roman"/>
                <w:color w:val="000000"/>
                <w:vertAlign w:val="superscript"/>
                <w:lang w:val="lv-LV"/>
              </w:rPr>
              <w:t>**</w:t>
            </w:r>
          </w:p>
        </w:tc>
        <w:tc>
          <w:tcPr>
            <w:tcW w:w="14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3CB38FA"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1</w:t>
            </w:r>
          </w:p>
        </w:tc>
      </w:tr>
      <w:tr w:rsidR="00866D94" w:rsidRPr="005F0D6C" w14:paraId="095AF4CC" w14:textId="77777777" w:rsidTr="00866D94">
        <w:trPr>
          <w:cantSplit/>
        </w:trPr>
        <w:tc>
          <w:tcPr>
            <w:tcW w:w="2137" w:type="dxa"/>
            <w:vMerge/>
            <w:tcBorders>
              <w:top w:val="single" w:sz="8" w:space="0" w:color="000000"/>
              <w:left w:val="single" w:sz="8" w:space="0" w:color="000000"/>
              <w:bottom w:val="single" w:sz="8" w:space="0" w:color="000000"/>
              <w:right w:val="single" w:sz="8" w:space="0" w:color="000000"/>
            </w:tcBorders>
            <w:shd w:val="clear" w:color="auto" w:fill="FFFFFF"/>
          </w:tcPr>
          <w:p w14:paraId="7D2BE479" w14:textId="77777777" w:rsidR="00866D94" w:rsidRPr="005F0D6C" w:rsidRDefault="00866D94" w:rsidP="00E50D63">
            <w:pPr>
              <w:autoSpaceDE w:val="0"/>
              <w:autoSpaceDN w:val="0"/>
              <w:adjustRightInd w:val="0"/>
              <w:spacing w:line="240" w:lineRule="auto"/>
              <w:jc w:val="both"/>
              <w:rPr>
                <w:rFonts w:ascii="Times New Roman" w:hAnsi="Times New Roman" w:cs="Times New Roman"/>
                <w:color w:val="000000"/>
                <w:lang w:val="lv-LV"/>
              </w:rPr>
            </w:pPr>
          </w:p>
        </w:tc>
        <w:tc>
          <w:tcPr>
            <w:tcW w:w="2323" w:type="dxa"/>
            <w:tcBorders>
              <w:top w:val="single" w:sz="8" w:space="0" w:color="000000"/>
              <w:left w:val="single" w:sz="8" w:space="0" w:color="000000"/>
              <w:bottom w:val="single" w:sz="8" w:space="0" w:color="000000"/>
              <w:right w:val="single" w:sz="8" w:space="0" w:color="000000"/>
            </w:tcBorders>
            <w:shd w:val="clear" w:color="auto" w:fill="FFFFFF"/>
          </w:tcPr>
          <w:p w14:paraId="17E8E05C" w14:textId="47BA9861"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Stat. noz.</w:t>
            </w:r>
          </w:p>
        </w:tc>
        <w:tc>
          <w:tcPr>
            <w:tcW w:w="14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BF3DA33"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,000</w:t>
            </w:r>
          </w:p>
        </w:tc>
        <w:tc>
          <w:tcPr>
            <w:tcW w:w="14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506B9E2"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,000</w:t>
            </w:r>
          </w:p>
        </w:tc>
        <w:tc>
          <w:tcPr>
            <w:tcW w:w="14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15E765" w14:textId="77777777" w:rsidR="00866D94" w:rsidRPr="005F0D6C" w:rsidRDefault="00866D94" w:rsidP="00E50D63">
            <w:pPr>
              <w:autoSpaceDE w:val="0"/>
              <w:autoSpaceDN w:val="0"/>
              <w:adjustRightInd w:val="0"/>
              <w:spacing w:line="240" w:lineRule="auto"/>
              <w:jc w:val="both"/>
              <w:rPr>
                <w:rFonts w:ascii="Times New Roman" w:hAnsi="Times New Roman" w:cs="Times New Roman"/>
                <w:lang w:val="lv-LV"/>
              </w:rPr>
            </w:pPr>
          </w:p>
        </w:tc>
      </w:tr>
      <w:tr w:rsidR="00866D94" w:rsidRPr="005F0D6C" w14:paraId="79751CEA" w14:textId="77777777" w:rsidTr="00866D94">
        <w:trPr>
          <w:cantSplit/>
        </w:trPr>
        <w:tc>
          <w:tcPr>
            <w:tcW w:w="2137" w:type="dxa"/>
            <w:vMerge/>
            <w:tcBorders>
              <w:top w:val="single" w:sz="8" w:space="0" w:color="000000"/>
              <w:left w:val="single" w:sz="8" w:space="0" w:color="000000"/>
              <w:bottom w:val="single" w:sz="8" w:space="0" w:color="000000"/>
              <w:right w:val="single" w:sz="8" w:space="0" w:color="000000"/>
            </w:tcBorders>
            <w:shd w:val="clear" w:color="auto" w:fill="FFFFFF"/>
          </w:tcPr>
          <w:p w14:paraId="016DE731" w14:textId="77777777" w:rsidR="00866D94" w:rsidRPr="005F0D6C" w:rsidRDefault="00866D94" w:rsidP="00E50D63">
            <w:pPr>
              <w:autoSpaceDE w:val="0"/>
              <w:autoSpaceDN w:val="0"/>
              <w:adjustRightInd w:val="0"/>
              <w:spacing w:line="240" w:lineRule="auto"/>
              <w:jc w:val="both"/>
              <w:rPr>
                <w:rFonts w:ascii="Times New Roman" w:hAnsi="Times New Roman" w:cs="Times New Roman"/>
                <w:lang w:val="lv-LV"/>
              </w:rPr>
            </w:pPr>
          </w:p>
        </w:tc>
        <w:tc>
          <w:tcPr>
            <w:tcW w:w="2323" w:type="dxa"/>
            <w:tcBorders>
              <w:top w:val="single" w:sz="8" w:space="0" w:color="000000"/>
              <w:left w:val="single" w:sz="8" w:space="0" w:color="000000"/>
              <w:bottom w:val="single" w:sz="8" w:space="0" w:color="000000"/>
              <w:right w:val="single" w:sz="8" w:space="0" w:color="000000"/>
            </w:tcBorders>
            <w:shd w:val="clear" w:color="auto" w:fill="FFFFFF"/>
          </w:tcPr>
          <w:p w14:paraId="704AF54D" w14:textId="7F854A69"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N</w:t>
            </w:r>
          </w:p>
        </w:tc>
        <w:tc>
          <w:tcPr>
            <w:tcW w:w="14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6B17527"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1003</w:t>
            </w:r>
          </w:p>
        </w:tc>
        <w:tc>
          <w:tcPr>
            <w:tcW w:w="14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0E800A7"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996</w:t>
            </w:r>
          </w:p>
        </w:tc>
        <w:tc>
          <w:tcPr>
            <w:tcW w:w="14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F6DFC4E" w14:textId="77777777" w:rsidR="00866D94" w:rsidRPr="005F0D6C" w:rsidRDefault="00866D94"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1003</w:t>
            </w:r>
          </w:p>
        </w:tc>
      </w:tr>
      <w:tr w:rsidR="002F409D" w:rsidRPr="005F0D6C" w14:paraId="5576695D" w14:textId="77777777" w:rsidTr="00FC3582">
        <w:trPr>
          <w:cantSplit/>
        </w:trPr>
        <w:tc>
          <w:tcPr>
            <w:tcW w:w="8885" w:type="dxa"/>
            <w:gridSpan w:val="5"/>
            <w:tcBorders>
              <w:top w:val="single" w:sz="8" w:space="0" w:color="000000"/>
              <w:left w:val="nil"/>
              <w:bottom w:val="nil"/>
              <w:right w:val="nil"/>
            </w:tcBorders>
            <w:shd w:val="clear" w:color="auto" w:fill="FFFFFF"/>
          </w:tcPr>
          <w:p w14:paraId="1CE34262" w14:textId="063737F2" w:rsidR="002F409D" w:rsidRPr="005F0D6C" w:rsidRDefault="002F409D" w:rsidP="00E50D63">
            <w:pPr>
              <w:autoSpaceDE w:val="0"/>
              <w:autoSpaceDN w:val="0"/>
              <w:adjustRightInd w:val="0"/>
              <w:spacing w:line="240" w:lineRule="auto"/>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 xml:space="preserve">**. </w:t>
            </w:r>
            <w:r w:rsidR="00FC3582" w:rsidRPr="005F0D6C">
              <w:rPr>
                <w:rFonts w:ascii="Times New Roman" w:hAnsi="Times New Roman" w:cs="Times New Roman"/>
                <w:color w:val="000000"/>
                <w:lang w:val="lv-LV"/>
              </w:rPr>
              <w:t>Korelācija ir statistiski nozīmīga 0,01 līmenī</w:t>
            </w:r>
            <w:r w:rsidRPr="005F0D6C">
              <w:rPr>
                <w:rFonts w:ascii="Times New Roman" w:hAnsi="Times New Roman" w:cs="Times New Roman"/>
                <w:color w:val="000000"/>
                <w:lang w:val="lv-LV"/>
              </w:rPr>
              <w:t>.</w:t>
            </w:r>
          </w:p>
        </w:tc>
      </w:tr>
    </w:tbl>
    <w:p w14:paraId="3AB504BB" w14:textId="77777777" w:rsidR="002F409D" w:rsidRPr="005F0D6C" w:rsidRDefault="002F409D" w:rsidP="00E50D63">
      <w:pPr>
        <w:spacing w:line="240" w:lineRule="auto"/>
        <w:jc w:val="both"/>
        <w:rPr>
          <w:rFonts w:ascii="Times New Roman" w:hAnsi="Times New Roman" w:cs="Times New Roman"/>
          <w:sz w:val="24"/>
          <w:szCs w:val="24"/>
          <w:lang w:val="lv-LV"/>
        </w:rPr>
      </w:pPr>
    </w:p>
    <w:p w14:paraId="4D833BA5" w14:textId="77777777" w:rsidR="002F409D" w:rsidRPr="005F0D6C" w:rsidRDefault="002F409D" w:rsidP="00856DE5">
      <w:pPr>
        <w:spacing w:before="120" w:after="120" w:line="360" w:lineRule="auto"/>
        <w:jc w:val="both"/>
        <w:rPr>
          <w:rFonts w:ascii="Times New Roman" w:hAnsi="Times New Roman" w:cs="Times New Roman"/>
          <w:sz w:val="24"/>
          <w:szCs w:val="24"/>
          <w:lang w:val="lv-LV"/>
        </w:rPr>
      </w:pPr>
      <w:r w:rsidRPr="005F0D6C">
        <w:rPr>
          <w:rFonts w:ascii="Times New Roman" w:hAnsi="Times New Roman" w:cs="Times New Roman"/>
          <w:sz w:val="24"/>
          <w:szCs w:val="24"/>
          <w:lang w:val="lv-LV"/>
        </w:rPr>
        <w:t>Uzticēšanās rādītāju atbilžu biežumsadalījumi neatbilst normālsadalījumam (pēc Kolmogorova-Smirnova testa) un tajos redzama proporcionāli lielāka “</w:t>
      </w:r>
      <w:r w:rsidRPr="005F0D6C">
        <w:rPr>
          <w:rFonts w:ascii="Times New Roman" w:hAnsi="Times New Roman" w:cs="Times New Roman"/>
          <w:b/>
          <w:bCs/>
          <w:sz w:val="24"/>
          <w:szCs w:val="24"/>
          <w:lang w:val="lv-LV"/>
        </w:rPr>
        <w:t>nemaz neuzticās</w:t>
      </w:r>
      <w:r w:rsidRPr="005F0D6C">
        <w:rPr>
          <w:rFonts w:ascii="Times New Roman" w:hAnsi="Times New Roman" w:cs="Times New Roman"/>
          <w:sz w:val="24"/>
          <w:szCs w:val="24"/>
          <w:lang w:val="lv-LV"/>
        </w:rPr>
        <w:t>” grupa, it sevišķi - uzticēšanās politiskās varas institūcijām ziņā.</w:t>
      </w:r>
    </w:p>
    <w:p w14:paraId="3E940E3F" w14:textId="77777777" w:rsidR="002F409D" w:rsidRPr="005F0D6C" w:rsidRDefault="002F409D" w:rsidP="00E50D63">
      <w:pPr>
        <w:spacing w:line="240" w:lineRule="auto"/>
        <w:jc w:val="both"/>
        <w:rPr>
          <w:rFonts w:ascii="Times New Roman" w:hAnsi="Times New Roman" w:cs="Times New Roman"/>
          <w:sz w:val="24"/>
          <w:szCs w:val="24"/>
          <w:lang w:val="lv-LV"/>
        </w:rPr>
        <w:sectPr w:rsidR="002F409D" w:rsidRPr="005F0D6C">
          <w:pgSz w:w="11906" w:h="16838"/>
          <w:pgMar w:top="1440" w:right="1440" w:bottom="1440" w:left="1440" w:header="708" w:footer="708" w:gutter="0"/>
          <w:cols w:space="708"/>
          <w:docGrid w:linePitch="360"/>
        </w:sectPr>
      </w:pPr>
      <w:r w:rsidRPr="005F0D6C">
        <w:rPr>
          <w:rFonts w:ascii="Times New Roman" w:hAnsi="Times New Roman" w:cs="Times New Roman"/>
          <w:sz w:val="24"/>
          <w:szCs w:val="24"/>
          <w:lang w:val="lv-LV"/>
        </w:rPr>
        <w:t xml:space="preserve"> </w:t>
      </w:r>
    </w:p>
    <w:p w14:paraId="50F3508A" w14:textId="77777777" w:rsidR="002F409D" w:rsidRPr="005F0D6C" w:rsidRDefault="002F409D" w:rsidP="00E50D63">
      <w:pPr>
        <w:autoSpaceDE w:val="0"/>
        <w:autoSpaceDN w:val="0"/>
        <w:adjustRightInd w:val="0"/>
        <w:spacing w:line="240" w:lineRule="auto"/>
        <w:jc w:val="both"/>
        <w:rPr>
          <w:rFonts w:ascii="Times New Roman" w:hAnsi="Times New Roman" w:cs="Times New Roman"/>
          <w:sz w:val="24"/>
          <w:szCs w:val="24"/>
          <w:lang w:val="lv-LV"/>
        </w:rPr>
      </w:pPr>
      <w:r w:rsidRPr="005F0D6C">
        <w:rPr>
          <w:rFonts w:ascii="Times New Roman" w:hAnsi="Times New Roman" w:cs="Times New Roman"/>
          <w:noProof/>
          <w:sz w:val="24"/>
          <w:szCs w:val="24"/>
        </w:rPr>
        <w:lastRenderedPageBreak/>
        <w:drawing>
          <wp:inline distT="0" distB="0" distL="0" distR="0" wp14:anchorId="3A63DF7F" wp14:editId="5CE95EB0">
            <wp:extent cx="2899446" cy="2318657"/>
            <wp:effectExtent l="0" t="0" r="6350" b="0"/>
            <wp:docPr id="3" name="Picture 3"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histogram&#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99446" cy="2318657"/>
                    </a:xfrm>
                    <a:prstGeom prst="rect">
                      <a:avLst/>
                    </a:prstGeom>
                    <a:noFill/>
                    <a:ln>
                      <a:noFill/>
                    </a:ln>
                  </pic:spPr>
                </pic:pic>
              </a:graphicData>
            </a:graphic>
          </wp:inline>
        </w:drawing>
      </w:r>
    </w:p>
    <w:p w14:paraId="2165AD2E" w14:textId="77777777" w:rsidR="002F409D" w:rsidRPr="005F0D6C" w:rsidRDefault="002F409D" w:rsidP="00E50D63">
      <w:pPr>
        <w:autoSpaceDE w:val="0"/>
        <w:autoSpaceDN w:val="0"/>
        <w:adjustRightInd w:val="0"/>
        <w:spacing w:line="240" w:lineRule="auto"/>
        <w:jc w:val="both"/>
        <w:rPr>
          <w:rFonts w:ascii="Times New Roman" w:hAnsi="Times New Roman" w:cs="Times New Roman"/>
          <w:sz w:val="24"/>
          <w:szCs w:val="24"/>
          <w:lang w:val="lv-LV"/>
        </w:rPr>
      </w:pPr>
    </w:p>
    <w:p w14:paraId="54B17887" w14:textId="77777777" w:rsidR="002F409D" w:rsidRPr="005F0D6C" w:rsidRDefault="002F409D" w:rsidP="00E50D63">
      <w:pPr>
        <w:autoSpaceDE w:val="0"/>
        <w:autoSpaceDN w:val="0"/>
        <w:adjustRightInd w:val="0"/>
        <w:spacing w:line="240" w:lineRule="auto"/>
        <w:jc w:val="both"/>
        <w:rPr>
          <w:rFonts w:ascii="Times New Roman" w:hAnsi="Times New Roman" w:cs="Times New Roman"/>
          <w:sz w:val="24"/>
          <w:szCs w:val="24"/>
          <w:lang w:val="lv-LV"/>
        </w:rPr>
      </w:pPr>
    </w:p>
    <w:p w14:paraId="3769C370" w14:textId="77777777" w:rsidR="002F409D" w:rsidRPr="005F0D6C" w:rsidRDefault="002F409D" w:rsidP="00E50D63">
      <w:pPr>
        <w:autoSpaceDE w:val="0"/>
        <w:autoSpaceDN w:val="0"/>
        <w:adjustRightInd w:val="0"/>
        <w:spacing w:line="240" w:lineRule="auto"/>
        <w:jc w:val="both"/>
        <w:rPr>
          <w:rFonts w:ascii="Times New Roman" w:hAnsi="Times New Roman" w:cs="Times New Roman"/>
          <w:sz w:val="24"/>
          <w:szCs w:val="24"/>
          <w:lang w:val="lv-LV"/>
        </w:rPr>
      </w:pPr>
      <w:r w:rsidRPr="005F0D6C">
        <w:rPr>
          <w:rFonts w:ascii="Times New Roman" w:hAnsi="Times New Roman" w:cs="Times New Roman"/>
          <w:noProof/>
          <w:sz w:val="24"/>
          <w:szCs w:val="24"/>
        </w:rPr>
        <w:lastRenderedPageBreak/>
        <w:drawing>
          <wp:inline distT="0" distB="0" distL="0" distR="0" wp14:anchorId="2531A864" wp14:editId="7D15D938">
            <wp:extent cx="2940283" cy="2351314"/>
            <wp:effectExtent l="0" t="0" r="0" b="0"/>
            <wp:docPr id="2" name="Picture 2"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histogram&#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48386" cy="2357793"/>
                    </a:xfrm>
                    <a:prstGeom prst="rect">
                      <a:avLst/>
                    </a:prstGeom>
                    <a:noFill/>
                    <a:ln>
                      <a:noFill/>
                    </a:ln>
                  </pic:spPr>
                </pic:pic>
              </a:graphicData>
            </a:graphic>
          </wp:inline>
        </w:drawing>
      </w:r>
    </w:p>
    <w:p w14:paraId="6F7B64D8" w14:textId="77777777" w:rsidR="002F409D" w:rsidRPr="005F0D6C" w:rsidRDefault="002F409D" w:rsidP="00E50D63">
      <w:pPr>
        <w:autoSpaceDE w:val="0"/>
        <w:autoSpaceDN w:val="0"/>
        <w:adjustRightInd w:val="0"/>
        <w:spacing w:line="240" w:lineRule="auto"/>
        <w:jc w:val="both"/>
        <w:rPr>
          <w:rFonts w:ascii="Times New Roman" w:hAnsi="Times New Roman" w:cs="Times New Roman"/>
          <w:sz w:val="24"/>
          <w:szCs w:val="24"/>
          <w:lang w:val="lv-LV"/>
        </w:rPr>
      </w:pPr>
    </w:p>
    <w:p w14:paraId="6BD8A568" w14:textId="1ACDF5FC" w:rsidR="002F409D" w:rsidRPr="005F0D6C" w:rsidRDefault="002F409D" w:rsidP="00856DE5">
      <w:pPr>
        <w:autoSpaceDE w:val="0"/>
        <w:autoSpaceDN w:val="0"/>
        <w:adjustRightInd w:val="0"/>
        <w:spacing w:line="240" w:lineRule="auto"/>
        <w:jc w:val="center"/>
        <w:rPr>
          <w:rFonts w:ascii="Times New Roman" w:hAnsi="Times New Roman" w:cs="Times New Roman"/>
          <w:sz w:val="24"/>
          <w:szCs w:val="24"/>
          <w:lang w:val="lv-LV"/>
        </w:rPr>
      </w:pPr>
    </w:p>
    <w:p w14:paraId="714E7932" w14:textId="76FA821C" w:rsidR="002F409D" w:rsidRPr="005F0D6C" w:rsidRDefault="00856DE5" w:rsidP="00E50D63">
      <w:pPr>
        <w:spacing w:line="240" w:lineRule="auto"/>
        <w:jc w:val="both"/>
        <w:rPr>
          <w:rFonts w:ascii="Times New Roman" w:hAnsi="Times New Roman" w:cs="Times New Roman"/>
          <w:sz w:val="24"/>
          <w:szCs w:val="24"/>
          <w:lang w:val="en-US"/>
        </w:rPr>
        <w:sectPr w:rsidR="002F409D" w:rsidRPr="005F0D6C" w:rsidSect="00C5020F">
          <w:type w:val="continuous"/>
          <w:pgSz w:w="11906" w:h="16838"/>
          <w:pgMar w:top="1440" w:right="1440" w:bottom="1440" w:left="1440" w:header="708" w:footer="708" w:gutter="0"/>
          <w:cols w:num="2" w:space="708"/>
          <w:docGrid w:linePitch="360"/>
        </w:sectPr>
      </w:pPr>
      <w:r w:rsidRPr="005F0D6C">
        <w:rPr>
          <w:rFonts w:ascii="Times New Roman" w:hAnsi="Times New Roman" w:cs="Times New Roman"/>
          <w:noProof/>
          <w:sz w:val="24"/>
          <w:szCs w:val="24"/>
        </w:rPr>
        <w:drawing>
          <wp:anchor distT="0" distB="0" distL="114300" distR="114300" simplePos="0" relativeHeight="251658240" behindDoc="1" locked="0" layoutInCell="1" allowOverlap="1" wp14:anchorId="7053D321" wp14:editId="34641A1C">
            <wp:simplePos x="0" y="0"/>
            <wp:positionH relativeFrom="margin">
              <wp:align>center</wp:align>
            </wp:positionH>
            <wp:positionV relativeFrom="paragraph">
              <wp:posOffset>15875</wp:posOffset>
            </wp:positionV>
            <wp:extent cx="2640965" cy="2111375"/>
            <wp:effectExtent l="0" t="0" r="6985" b="3175"/>
            <wp:wrapTopAndBottom/>
            <wp:docPr id="1" name="Picture 1"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histogram&#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40965" cy="2111375"/>
                    </a:xfrm>
                    <a:prstGeom prst="rect">
                      <a:avLst/>
                    </a:prstGeom>
                    <a:noFill/>
                    <a:ln>
                      <a:noFill/>
                    </a:ln>
                  </pic:spPr>
                </pic:pic>
              </a:graphicData>
            </a:graphic>
          </wp:anchor>
        </w:drawing>
      </w:r>
    </w:p>
    <w:p w14:paraId="6A8C5B16" w14:textId="77777777" w:rsidR="002F409D" w:rsidRPr="005F0D6C" w:rsidRDefault="002F409D" w:rsidP="00E50D63">
      <w:pPr>
        <w:spacing w:line="240" w:lineRule="auto"/>
        <w:jc w:val="both"/>
        <w:rPr>
          <w:rFonts w:ascii="Times New Roman" w:hAnsi="Times New Roman" w:cs="Times New Roman"/>
          <w:sz w:val="24"/>
          <w:szCs w:val="24"/>
          <w:lang w:val="en-US"/>
        </w:rPr>
      </w:pPr>
    </w:p>
    <w:p w14:paraId="3004420A" w14:textId="464525AB" w:rsidR="008F201A" w:rsidRPr="005F0D6C" w:rsidRDefault="00856DE5" w:rsidP="00856DE5">
      <w:pPr>
        <w:spacing w:line="240" w:lineRule="auto"/>
        <w:jc w:val="center"/>
        <w:rPr>
          <w:rFonts w:ascii="Times New Roman" w:hAnsi="Times New Roman" w:cs="Times New Roman"/>
          <w:bCs/>
          <w:i/>
          <w:sz w:val="24"/>
          <w:szCs w:val="24"/>
          <w:lang w:val="lv-LV"/>
        </w:rPr>
      </w:pPr>
      <w:r w:rsidRPr="005F0D6C">
        <w:rPr>
          <w:rFonts w:ascii="Times New Roman" w:hAnsi="Times New Roman" w:cs="Times New Roman"/>
          <w:bCs/>
          <w:i/>
          <w:sz w:val="24"/>
          <w:szCs w:val="24"/>
          <w:lang w:val="lv-LV"/>
        </w:rPr>
        <w:t>1.attēls. Uzticēšanās līmeņu sadalījums histogrammā.</w:t>
      </w:r>
    </w:p>
    <w:p w14:paraId="030A220B" w14:textId="77777777" w:rsidR="00856DE5" w:rsidRPr="005F0D6C" w:rsidRDefault="00856DE5" w:rsidP="00E50D63">
      <w:pPr>
        <w:spacing w:before="120" w:after="120" w:line="360" w:lineRule="auto"/>
        <w:jc w:val="both"/>
        <w:rPr>
          <w:rFonts w:ascii="Times New Roman" w:hAnsi="Times New Roman" w:cs="Times New Roman"/>
          <w:b/>
          <w:bCs/>
          <w:i/>
          <w:sz w:val="24"/>
          <w:szCs w:val="24"/>
          <w:lang w:val="lv-LV"/>
        </w:rPr>
      </w:pPr>
    </w:p>
    <w:p w14:paraId="258F58CC" w14:textId="65C2F3A6" w:rsidR="002F409D" w:rsidRPr="005F0D6C" w:rsidRDefault="002F409D" w:rsidP="00E50D63">
      <w:pPr>
        <w:spacing w:before="120" w:after="120" w:line="360" w:lineRule="auto"/>
        <w:jc w:val="both"/>
        <w:rPr>
          <w:rFonts w:ascii="Times New Roman" w:hAnsi="Times New Roman" w:cs="Times New Roman"/>
          <w:b/>
          <w:bCs/>
          <w:i/>
          <w:sz w:val="24"/>
          <w:szCs w:val="24"/>
          <w:lang w:val="lv-LV"/>
        </w:rPr>
      </w:pPr>
      <w:r w:rsidRPr="005F0D6C">
        <w:rPr>
          <w:rFonts w:ascii="Times New Roman" w:hAnsi="Times New Roman" w:cs="Times New Roman"/>
          <w:b/>
          <w:bCs/>
          <w:i/>
          <w:sz w:val="24"/>
          <w:szCs w:val="24"/>
          <w:lang w:val="lv-LV"/>
        </w:rPr>
        <w:t>Situācijas vērtējums jomās</w:t>
      </w:r>
    </w:p>
    <w:p w14:paraId="017764FF" w14:textId="151DA52E" w:rsidR="002F409D" w:rsidRPr="005F0D6C" w:rsidRDefault="002F409D" w:rsidP="00E50D63">
      <w:pPr>
        <w:spacing w:before="120" w:after="120" w:line="360" w:lineRule="auto"/>
        <w:jc w:val="both"/>
        <w:rPr>
          <w:rFonts w:ascii="Times New Roman" w:hAnsi="Times New Roman" w:cs="Times New Roman"/>
          <w:bCs/>
          <w:sz w:val="24"/>
          <w:szCs w:val="24"/>
          <w:lang w:val="lv-LV"/>
        </w:rPr>
      </w:pPr>
      <w:r w:rsidRPr="005F0D6C">
        <w:rPr>
          <w:rFonts w:ascii="Times New Roman" w:hAnsi="Times New Roman" w:cs="Times New Roman"/>
          <w:sz w:val="24"/>
          <w:szCs w:val="24"/>
          <w:lang w:val="lv-LV"/>
        </w:rPr>
        <w:t xml:space="preserve">Aptaujā tika uzdoti jautājumi arī par </w:t>
      </w:r>
      <w:r w:rsidRPr="005F0D6C">
        <w:rPr>
          <w:rFonts w:ascii="Times New Roman" w:hAnsi="Times New Roman" w:cs="Times New Roman"/>
          <w:b/>
          <w:bCs/>
          <w:sz w:val="24"/>
          <w:szCs w:val="24"/>
          <w:lang w:val="lv-LV"/>
        </w:rPr>
        <w:t>situācijas vērtējumu noteiktās jomās</w:t>
      </w:r>
      <w:r w:rsidR="008F201A" w:rsidRPr="005F0D6C">
        <w:rPr>
          <w:rFonts w:ascii="Times New Roman" w:hAnsi="Times New Roman" w:cs="Times New Roman"/>
          <w:bCs/>
          <w:sz w:val="24"/>
          <w:szCs w:val="24"/>
          <w:lang w:val="lv-LV"/>
        </w:rPr>
        <w:t>, izmantojot septiņu rangu skalu no -3 līdz +3.</w:t>
      </w:r>
      <w:r w:rsidRPr="005F0D6C">
        <w:rPr>
          <w:rFonts w:ascii="Times New Roman" w:hAnsi="Times New Roman" w:cs="Times New Roman"/>
          <w:sz w:val="24"/>
          <w:szCs w:val="24"/>
          <w:lang w:val="lv-LV"/>
        </w:rPr>
        <w:t xml:space="preserve"> Ņemot vērā krīžu saplūšanas konceptu</w:t>
      </w:r>
      <w:r w:rsidR="00A90355" w:rsidRPr="005F0D6C">
        <w:rPr>
          <w:rFonts w:ascii="Times New Roman" w:hAnsi="Times New Roman" w:cs="Times New Roman"/>
          <w:sz w:val="24"/>
          <w:szCs w:val="24"/>
          <w:lang w:val="lv-LV"/>
        </w:rPr>
        <w:t xml:space="preserve"> (Felcis &amp; Zobena, 2022)</w:t>
      </w:r>
      <w:r w:rsidRPr="005F0D6C">
        <w:rPr>
          <w:rFonts w:ascii="Times New Roman" w:hAnsi="Times New Roman" w:cs="Times New Roman"/>
          <w:sz w:val="24"/>
          <w:szCs w:val="24"/>
          <w:lang w:val="lv-LV"/>
        </w:rPr>
        <w:t>, mēs varē</w:t>
      </w:r>
      <w:r w:rsidR="008F201A" w:rsidRPr="005F0D6C">
        <w:rPr>
          <w:rFonts w:ascii="Times New Roman" w:hAnsi="Times New Roman" w:cs="Times New Roman"/>
          <w:sz w:val="24"/>
          <w:szCs w:val="24"/>
          <w:lang w:val="lv-LV"/>
        </w:rPr>
        <w:t xml:space="preserve">tu pieņemt, ka jomu vērtējums (vai </w:t>
      </w:r>
      <w:r w:rsidRPr="005F0D6C">
        <w:rPr>
          <w:rFonts w:ascii="Times New Roman" w:hAnsi="Times New Roman" w:cs="Times New Roman"/>
          <w:sz w:val="24"/>
          <w:szCs w:val="24"/>
          <w:lang w:val="lv-LV"/>
        </w:rPr>
        <w:t xml:space="preserve">situācija </w:t>
      </w:r>
      <w:r w:rsidR="008F201A" w:rsidRPr="005F0D6C">
        <w:rPr>
          <w:rFonts w:ascii="Times New Roman" w:hAnsi="Times New Roman" w:cs="Times New Roman"/>
          <w:sz w:val="24"/>
          <w:szCs w:val="24"/>
          <w:lang w:val="lv-LV"/>
        </w:rPr>
        <w:t xml:space="preserve">kļuvusi sliktāka, palikusi nemainīga vai kļuvusi </w:t>
      </w:r>
      <w:r w:rsidRPr="005F0D6C">
        <w:rPr>
          <w:rFonts w:ascii="Times New Roman" w:hAnsi="Times New Roman" w:cs="Times New Roman"/>
          <w:sz w:val="24"/>
          <w:szCs w:val="24"/>
          <w:lang w:val="lv-LV"/>
        </w:rPr>
        <w:t>labāka</w:t>
      </w:r>
      <w:r w:rsidR="008F201A" w:rsidRPr="005F0D6C">
        <w:rPr>
          <w:rFonts w:ascii="Times New Roman" w:hAnsi="Times New Roman" w:cs="Times New Roman"/>
          <w:sz w:val="24"/>
          <w:szCs w:val="24"/>
          <w:lang w:val="lv-LV"/>
        </w:rPr>
        <w:t xml:space="preserve">) </w:t>
      </w:r>
      <w:r w:rsidRPr="005F0D6C">
        <w:rPr>
          <w:rFonts w:ascii="Times New Roman" w:hAnsi="Times New Roman" w:cs="Times New Roman"/>
          <w:sz w:val="24"/>
          <w:szCs w:val="24"/>
          <w:lang w:val="lv-LV"/>
        </w:rPr>
        <w:t>varētu būt savstarpēji saistīts.</w:t>
      </w:r>
      <w:r w:rsidR="008F201A" w:rsidRPr="005F0D6C">
        <w:rPr>
          <w:rFonts w:ascii="Times New Roman" w:hAnsi="Times New Roman" w:cs="Times New Roman"/>
          <w:sz w:val="24"/>
          <w:szCs w:val="24"/>
          <w:lang w:val="lv-LV"/>
        </w:rPr>
        <w:t xml:space="preserve"> </w:t>
      </w:r>
      <w:r w:rsidR="00A90355" w:rsidRPr="005F0D6C">
        <w:rPr>
          <w:rFonts w:ascii="Times New Roman" w:hAnsi="Times New Roman" w:cs="Times New Roman"/>
          <w:bCs/>
          <w:sz w:val="24"/>
          <w:szCs w:val="24"/>
          <w:lang w:val="lv-LV"/>
        </w:rPr>
        <w:t>4</w:t>
      </w:r>
      <w:r w:rsidR="008F201A" w:rsidRPr="005F0D6C">
        <w:rPr>
          <w:rFonts w:ascii="Times New Roman" w:hAnsi="Times New Roman" w:cs="Times New Roman"/>
          <w:bCs/>
          <w:sz w:val="24"/>
          <w:szCs w:val="24"/>
          <w:lang w:val="lv-LV"/>
        </w:rPr>
        <w:t>. tabulā ir atspoguļota aprakstošā statistika katram uzticēšanās objektam.</w:t>
      </w:r>
    </w:p>
    <w:p w14:paraId="1F88DEA5" w14:textId="1869E89F" w:rsidR="00C5020F" w:rsidRPr="005F0D6C" w:rsidRDefault="00856DE5" w:rsidP="00856DE5">
      <w:pPr>
        <w:spacing w:before="120" w:after="120" w:line="360" w:lineRule="auto"/>
        <w:jc w:val="center"/>
        <w:rPr>
          <w:rFonts w:ascii="Times New Roman" w:hAnsi="Times New Roman" w:cs="Times New Roman"/>
          <w:bCs/>
          <w:i/>
          <w:sz w:val="24"/>
          <w:szCs w:val="24"/>
          <w:lang w:val="lv-LV"/>
        </w:rPr>
      </w:pPr>
      <w:r w:rsidRPr="005F0D6C">
        <w:rPr>
          <w:rFonts w:ascii="Times New Roman" w:hAnsi="Times New Roman" w:cs="Times New Roman"/>
          <w:bCs/>
          <w:i/>
          <w:sz w:val="24"/>
          <w:szCs w:val="24"/>
          <w:lang w:val="lv-LV"/>
        </w:rPr>
        <w:t>4.</w:t>
      </w:r>
      <w:r w:rsidR="00C5020F" w:rsidRPr="005F0D6C">
        <w:rPr>
          <w:rFonts w:ascii="Times New Roman" w:hAnsi="Times New Roman" w:cs="Times New Roman"/>
          <w:bCs/>
          <w:i/>
          <w:sz w:val="24"/>
          <w:szCs w:val="24"/>
          <w:lang w:val="lv-LV"/>
        </w:rPr>
        <w:t>tabula. Situācijas vērtējums dažādās jomās</w:t>
      </w:r>
    </w:p>
    <w:tbl>
      <w:tblPr>
        <w:tblW w:w="8931" w:type="dxa"/>
        <w:tblInd w:w="-5" w:type="dxa"/>
        <w:tblLook w:val="04A0" w:firstRow="1" w:lastRow="0" w:firstColumn="1" w:lastColumn="0" w:noHBand="0" w:noVBand="1"/>
      </w:tblPr>
      <w:tblGrid>
        <w:gridCol w:w="2552"/>
        <w:gridCol w:w="1275"/>
        <w:gridCol w:w="1276"/>
        <w:gridCol w:w="1276"/>
        <w:gridCol w:w="1276"/>
        <w:gridCol w:w="1276"/>
      </w:tblGrid>
      <w:tr w:rsidR="00C5020F" w:rsidRPr="005F0D6C" w14:paraId="0F73666E" w14:textId="77777777" w:rsidTr="00C5020F">
        <w:trPr>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196A5"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57ECF322"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N</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8384C39"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Vidējais</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2D0FD9F"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Mediāna</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69EB194"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Moda</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10F3510"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St.nov.</w:t>
            </w:r>
          </w:p>
        </w:tc>
      </w:tr>
      <w:tr w:rsidR="00C5020F" w:rsidRPr="005F0D6C" w14:paraId="362ED905" w14:textId="77777777" w:rsidTr="00C5020F">
        <w:trPr>
          <w:trHeight w:val="33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592D459A"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Nodokļu iekasēšana</w:t>
            </w:r>
          </w:p>
        </w:tc>
        <w:tc>
          <w:tcPr>
            <w:tcW w:w="1275" w:type="dxa"/>
            <w:tcBorders>
              <w:top w:val="nil"/>
              <w:left w:val="nil"/>
              <w:bottom w:val="single" w:sz="4" w:space="0" w:color="auto"/>
              <w:right w:val="single" w:sz="4" w:space="0" w:color="auto"/>
            </w:tcBorders>
            <w:shd w:val="clear" w:color="auto" w:fill="auto"/>
            <w:noWrap/>
            <w:vAlign w:val="center"/>
            <w:hideMark/>
          </w:tcPr>
          <w:p w14:paraId="38D41543"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867</w:t>
            </w:r>
          </w:p>
        </w:tc>
        <w:tc>
          <w:tcPr>
            <w:tcW w:w="1276" w:type="dxa"/>
            <w:tcBorders>
              <w:top w:val="nil"/>
              <w:left w:val="nil"/>
              <w:bottom w:val="single" w:sz="4" w:space="0" w:color="auto"/>
              <w:right w:val="single" w:sz="4" w:space="0" w:color="auto"/>
            </w:tcBorders>
            <w:shd w:val="clear" w:color="auto" w:fill="auto"/>
            <w:noWrap/>
            <w:vAlign w:val="center"/>
            <w:hideMark/>
          </w:tcPr>
          <w:p w14:paraId="3B408FE5"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-.53</w:t>
            </w:r>
          </w:p>
        </w:tc>
        <w:tc>
          <w:tcPr>
            <w:tcW w:w="1276" w:type="dxa"/>
            <w:tcBorders>
              <w:top w:val="nil"/>
              <w:left w:val="nil"/>
              <w:bottom w:val="single" w:sz="4" w:space="0" w:color="auto"/>
              <w:right w:val="single" w:sz="4" w:space="0" w:color="auto"/>
            </w:tcBorders>
            <w:shd w:val="clear" w:color="auto" w:fill="auto"/>
            <w:noWrap/>
            <w:vAlign w:val="center"/>
            <w:hideMark/>
          </w:tcPr>
          <w:p w14:paraId="36DD14E4"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5A773A5B"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0</w:t>
            </w:r>
          </w:p>
        </w:tc>
        <w:tc>
          <w:tcPr>
            <w:tcW w:w="1276" w:type="dxa"/>
            <w:tcBorders>
              <w:top w:val="nil"/>
              <w:left w:val="nil"/>
              <w:bottom w:val="single" w:sz="4" w:space="0" w:color="auto"/>
              <w:right w:val="single" w:sz="4" w:space="0" w:color="auto"/>
            </w:tcBorders>
            <w:shd w:val="clear" w:color="auto" w:fill="auto"/>
            <w:noWrap/>
            <w:vAlign w:val="center"/>
            <w:hideMark/>
          </w:tcPr>
          <w:p w14:paraId="2B06927F"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1.554</w:t>
            </w:r>
          </w:p>
        </w:tc>
      </w:tr>
      <w:tr w:rsidR="00C5020F" w:rsidRPr="005F0D6C" w14:paraId="25DC91DF" w14:textId="77777777" w:rsidTr="00C5020F">
        <w:trPr>
          <w:trHeight w:val="33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3E486836"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Bezdarbs</w:t>
            </w:r>
          </w:p>
        </w:tc>
        <w:tc>
          <w:tcPr>
            <w:tcW w:w="1275" w:type="dxa"/>
            <w:tcBorders>
              <w:top w:val="nil"/>
              <w:left w:val="nil"/>
              <w:bottom w:val="single" w:sz="4" w:space="0" w:color="auto"/>
              <w:right w:val="single" w:sz="4" w:space="0" w:color="auto"/>
            </w:tcBorders>
            <w:shd w:val="clear" w:color="auto" w:fill="auto"/>
            <w:noWrap/>
            <w:vAlign w:val="center"/>
            <w:hideMark/>
          </w:tcPr>
          <w:p w14:paraId="7AD2BFD2"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923</w:t>
            </w:r>
          </w:p>
        </w:tc>
        <w:tc>
          <w:tcPr>
            <w:tcW w:w="1276" w:type="dxa"/>
            <w:tcBorders>
              <w:top w:val="nil"/>
              <w:left w:val="nil"/>
              <w:bottom w:val="single" w:sz="4" w:space="0" w:color="auto"/>
              <w:right w:val="single" w:sz="4" w:space="0" w:color="auto"/>
            </w:tcBorders>
            <w:shd w:val="clear" w:color="auto" w:fill="auto"/>
            <w:noWrap/>
            <w:vAlign w:val="center"/>
            <w:hideMark/>
          </w:tcPr>
          <w:p w14:paraId="0215E430"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-.83</w:t>
            </w:r>
          </w:p>
        </w:tc>
        <w:tc>
          <w:tcPr>
            <w:tcW w:w="1276" w:type="dxa"/>
            <w:tcBorders>
              <w:top w:val="nil"/>
              <w:left w:val="nil"/>
              <w:bottom w:val="single" w:sz="4" w:space="0" w:color="auto"/>
              <w:right w:val="single" w:sz="4" w:space="0" w:color="auto"/>
            </w:tcBorders>
            <w:shd w:val="clear" w:color="auto" w:fill="auto"/>
            <w:noWrap/>
            <w:vAlign w:val="center"/>
            <w:hideMark/>
          </w:tcPr>
          <w:p w14:paraId="1CDFB385"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-1.00</w:t>
            </w:r>
          </w:p>
        </w:tc>
        <w:tc>
          <w:tcPr>
            <w:tcW w:w="1276" w:type="dxa"/>
            <w:tcBorders>
              <w:top w:val="nil"/>
              <w:left w:val="nil"/>
              <w:bottom w:val="single" w:sz="4" w:space="0" w:color="auto"/>
              <w:right w:val="single" w:sz="4" w:space="0" w:color="auto"/>
            </w:tcBorders>
            <w:shd w:val="clear" w:color="auto" w:fill="auto"/>
            <w:noWrap/>
            <w:vAlign w:val="center"/>
            <w:hideMark/>
          </w:tcPr>
          <w:p w14:paraId="4CF6C3FE"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0</w:t>
            </w:r>
          </w:p>
        </w:tc>
        <w:tc>
          <w:tcPr>
            <w:tcW w:w="1276" w:type="dxa"/>
            <w:tcBorders>
              <w:top w:val="nil"/>
              <w:left w:val="nil"/>
              <w:bottom w:val="single" w:sz="4" w:space="0" w:color="auto"/>
              <w:right w:val="single" w:sz="4" w:space="0" w:color="auto"/>
            </w:tcBorders>
            <w:shd w:val="clear" w:color="auto" w:fill="auto"/>
            <w:noWrap/>
            <w:vAlign w:val="center"/>
            <w:hideMark/>
          </w:tcPr>
          <w:p w14:paraId="31C9CD7A"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1.465</w:t>
            </w:r>
          </w:p>
        </w:tc>
      </w:tr>
      <w:tr w:rsidR="00C5020F" w:rsidRPr="005F0D6C" w14:paraId="52D2CC4E" w14:textId="77777777" w:rsidTr="00C5020F">
        <w:trPr>
          <w:trHeight w:val="33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19D4D59B"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Sociālie pabalsti un pakalpojumi</w:t>
            </w:r>
          </w:p>
        </w:tc>
        <w:tc>
          <w:tcPr>
            <w:tcW w:w="1275" w:type="dxa"/>
            <w:tcBorders>
              <w:top w:val="nil"/>
              <w:left w:val="nil"/>
              <w:bottom w:val="single" w:sz="4" w:space="0" w:color="auto"/>
              <w:right w:val="single" w:sz="4" w:space="0" w:color="auto"/>
            </w:tcBorders>
            <w:shd w:val="clear" w:color="auto" w:fill="auto"/>
            <w:noWrap/>
            <w:vAlign w:val="center"/>
            <w:hideMark/>
          </w:tcPr>
          <w:p w14:paraId="15135AA0"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914</w:t>
            </w:r>
          </w:p>
        </w:tc>
        <w:tc>
          <w:tcPr>
            <w:tcW w:w="1276" w:type="dxa"/>
            <w:tcBorders>
              <w:top w:val="nil"/>
              <w:left w:val="nil"/>
              <w:bottom w:val="single" w:sz="4" w:space="0" w:color="auto"/>
              <w:right w:val="single" w:sz="4" w:space="0" w:color="auto"/>
            </w:tcBorders>
            <w:shd w:val="clear" w:color="auto" w:fill="auto"/>
            <w:noWrap/>
            <w:vAlign w:val="center"/>
            <w:hideMark/>
          </w:tcPr>
          <w:p w14:paraId="22887243"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-.31</w:t>
            </w:r>
          </w:p>
        </w:tc>
        <w:tc>
          <w:tcPr>
            <w:tcW w:w="1276" w:type="dxa"/>
            <w:tcBorders>
              <w:top w:val="nil"/>
              <w:left w:val="nil"/>
              <w:bottom w:val="single" w:sz="4" w:space="0" w:color="auto"/>
              <w:right w:val="single" w:sz="4" w:space="0" w:color="auto"/>
            </w:tcBorders>
            <w:shd w:val="clear" w:color="auto" w:fill="auto"/>
            <w:noWrap/>
            <w:vAlign w:val="center"/>
            <w:hideMark/>
          </w:tcPr>
          <w:p w14:paraId="6794286A"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39DF4D90"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0</w:t>
            </w:r>
          </w:p>
        </w:tc>
        <w:tc>
          <w:tcPr>
            <w:tcW w:w="1276" w:type="dxa"/>
            <w:tcBorders>
              <w:top w:val="nil"/>
              <w:left w:val="nil"/>
              <w:bottom w:val="single" w:sz="4" w:space="0" w:color="auto"/>
              <w:right w:val="single" w:sz="4" w:space="0" w:color="auto"/>
            </w:tcBorders>
            <w:shd w:val="clear" w:color="auto" w:fill="auto"/>
            <w:noWrap/>
            <w:vAlign w:val="center"/>
            <w:hideMark/>
          </w:tcPr>
          <w:p w14:paraId="46AF6C19"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1.524</w:t>
            </w:r>
          </w:p>
        </w:tc>
      </w:tr>
      <w:tr w:rsidR="00C5020F" w:rsidRPr="005F0D6C" w14:paraId="4F73C98C" w14:textId="77777777" w:rsidTr="00C5020F">
        <w:trPr>
          <w:trHeight w:val="33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7BF4A246"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Lauksaimniecība un lopkopība</w:t>
            </w:r>
          </w:p>
        </w:tc>
        <w:tc>
          <w:tcPr>
            <w:tcW w:w="1275" w:type="dxa"/>
            <w:tcBorders>
              <w:top w:val="nil"/>
              <w:left w:val="nil"/>
              <w:bottom w:val="single" w:sz="4" w:space="0" w:color="auto"/>
              <w:right w:val="single" w:sz="4" w:space="0" w:color="auto"/>
            </w:tcBorders>
            <w:shd w:val="clear" w:color="auto" w:fill="auto"/>
            <w:noWrap/>
            <w:vAlign w:val="center"/>
            <w:hideMark/>
          </w:tcPr>
          <w:p w14:paraId="730264BE"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924</w:t>
            </w:r>
          </w:p>
        </w:tc>
        <w:tc>
          <w:tcPr>
            <w:tcW w:w="1276" w:type="dxa"/>
            <w:tcBorders>
              <w:top w:val="nil"/>
              <w:left w:val="nil"/>
              <w:bottom w:val="single" w:sz="4" w:space="0" w:color="auto"/>
              <w:right w:val="single" w:sz="4" w:space="0" w:color="auto"/>
            </w:tcBorders>
            <w:shd w:val="clear" w:color="auto" w:fill="auto"/>
            <w:noWrap/>
            <w:vAlign w:val="center"/>
            <w:hideMark/>
          </w:tcPr>
          <w:p w14:paraId="3DDFBD0B"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-1.59</w:t>
            </w:r>
          </w:p>
        </w:tc>
        <w:tc>
          <w:tcPr>
            <w:tcW w:w="1276" w:type="dxa"/>
            <w:tcBorders>
              <w:top w:val="nil"/>
              <w:left w:val="nil"/>
              <w:bottom w:val="single" w:sz="4" w:space="0" w:color="auto"/>
              <w:right w:val="single" w:sz="4" w:space="0" w:color="auto"/>
            </w:tcBorders>
            <w:shd w:val="clear" w:color="auto" w:fill="auto"/>
            <w:noWrap/>
            <w:vAlign w:val="center"/>
            <w:hideMark/>
          </w:tcPr>
          <w:p w14:paraId="4B6417C0"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-2.00</w:t>
            </w:r>
          </w:p>
        </w:tc>
        <w:tc>
          <w:tcPr>
            <w:tcW w:w="1276" w:type="dxa"/>
            <w:tcBorders>
              <w:top w:val="nil"/>
              <w:left w:val="nil"/>
              <w:bottom w:val="single" w:sz="4" w:space="0" w:color="auto"/>
              <w:right w:val="single" w:sz="4" w:space="0" w:color="auto"/>
            </w:tcBorders>
            <w:shd w:val="clear" w:color="auto" w:fill="auto"/>
            <w:noWrap/>
            <w:vAlign w:val="center"/>
            <w:hideMark/>
          </w:tcPr>
          <w:p w14:paraId="59F008E6"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-3</w:t>
            </w:r>
          </w:p>
        </w:tc>
        <w:tc>
          <w:tcPr>
            <w:tcW w:w="1276" w:type="dxa"/>
            <w:tcBorders>
              <w:top w:val="nil"/>
              <w:left w:val="nil"/>
              <w:bottom w:val="single" w:sz="4" w:space="0" w:color="auto"/>
              <w:right w:val="single" w:sz="4" w:space="0" w:color="auto"/>
            </w:tcBorders>
            <w:shd w:val="clear" w:color="auto" w:fill="auto"/>
            <w:noWrap/>
            <w:vAlign w:val="center"/>
            <w:hideMark/>
          </w:tcPr>
          <w:p w14:paraId="68924BD3"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1.339</w:t>
            </w:r>
          </w:p>
        </w:tc>
      </w:tr>
      <w:tr w:rsidR="00C5020F" w:rsidRPr="005F0D6C" w14:paraId="2ACFE736" w14:textId="77777777" w:rsidTr="00C5020F">
        <w:trPr>
          <w:trHeight w:val="33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2807EF48"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Veselības aprūpe</w:t>
            </w:r>
          </w:p>
        </w:tc>
        <w:tc>
          <w:tcPr>
            <w:tcW w:w="1275" w:type="dxa"/>
            <w:tcBorders>
              <w:top w:val="nil"/>
              <w:left w:val="nil"/>
              <w:bottom w:val="single" w:sz="4" w:space="0" w:color="auto"/>
              <w:right w:val="single" w:sz="4" w:space="0" w:color="auto"/>
            </w:tcBorders>
            <w:shd w:val="clear" w:color="auto" w:fill="auto"/>
            <w:noWrap/>
            <w:vAlign w:val="center"/>
            <w:hideMark/>
          </w:tcPr>
          <w:p w14:paraId="53735474"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976</w:t>
            </w:r>
          </w:p>
        </w:tc>
        <w:tc>
          <w:tcPr>
            <w:tcW w:w="1276" w:type="dxa"/>
            <w:tcBorders>
              <w:top w:val="nil"/>
              <w:left w:val="nil"/>
              <w:bottom w:val="single" w:sz="4" w:space="0" w:color="auto"/>
              <w:right w:val="single" w:sz="4" w:space="0" w:color="auto"/>
            </w:tcBorders>
            <w:shd w:val="clear" w:color="auto" w:fill="auto"/>
            <w:noWrap/>
            <w:vAlign w:val="center"/>
            <w:hideMark/>
          </w:tcPr>
          <w:p w14:paraId="0A7BC1EE"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-1.68</w:t>
            </w:r>
          </w:p>
        </w:tc>
        <w:tc>
          <w:tcPr>
            <w:tcW w:w="1276" w:type="dxa"/>
            <w:tcBorders>
              <w:top w:val="nil"/>
              <w:left w:val="nil"/>
              <w:bottom w:val="single" w:sz="4" w:space="0" w:color="auto"/>
              <w:right w:val="single" w:sz="4" w:space="0" w:color="auto"/>
            </w:tcBorders>
            <w:shd w:val="clear" w:color="auto" w:fill="auto"/>
            <w:noWrap/>
            <w:vAlign w:val="center"/>
            <w:hideMark/>
          </w:tcPr>
          <w:p w14:paraId="48CB8E7E"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-2.00</w:t>
            </w:r>
          </w:p>
        </w:tc>
        <w:tc>
          <w:tcPr>
            <w:tcW w:w="1276" w:type="dxa"/>
            <w:tcBorders>
              <w:top w:val="nil"/>
              <w:left w:val="nil"/>
              <w:bottom w:val="single" w:sz="4" w:space="0" w:color="auto"/>
              <w:right w:val="single" w:sz="4" w:space="0" w:color="auto"/>
            </w:tcBorders>
            <w:shd w:val="clear" w:color="auto" w:fill="auto"/>
            <w:noWrap/>
            <w:vAlign w:val="center"/>
            <w:hideMark/>
          </w:tcPr>
          <w:p w14:paraId="4426591B"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-3</w:t>
            </w:r>
          </w:p>
        </w:tc>
        <w:tc>
          <w:tcPr>
            <w:tcW w:w="1276" w:type="dxa"/>
            <w:tcBorders>
              <w:top w:val="nil"/>
              <w:left w:val="nil"/>
              <w:bottom w:val="single" w:sz="4" w:space="0" w:color="auto"/>
              <w:right w:val="single" w:sz="4" w:space="0" w:color="auto"/>
            </w:tcBorders>
            <w:shd w:val="clear" w:color="auto" w:fill="auto"/>
            <w:noWrap/>
            <w:vAlign w:val="center"/>
            <w:hideMark/>
          </w:tcPr>
          <w:p w14:paraId="0E3538C7"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1.381</w:t>
            </w:r>
          </w:p>
        </w:tc>
      </w:tr>
      <w:tr w:rsidR="00C5020F" w:rsidRPr="005F0D6C" w14:paraId="6A3CE648" w14:textId="77777777" w:rsidTr="00C5020F">
        <w:trPr>
          <w:trHeight w:val="33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04E5CFF2"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Izglītība</w:t>
            </w:r>
          </w:p>
        </w:tc>
        <w:tc>
          <w:tcPr>
            <w:tcW w:w="1275" w:type="dxa"/>
            <w:tcBorders>
              <w:top w:val="nil"/>
              <w:left w:val="nil"/>
              <w:bottom w:val="single" w:sz="4" w:space="0" w:color="auto"/>
              <w:right w:val="single" w:sz="4" w:space="0" w:color="auto"/>
            </w:tcBorders>
            <w:shd w:val="clear" w:color="auto" w:fill="auto"/>
            <w:noWrap/>
            <w:vAlign w:val="center"/>
            <w:hideMark/>
          </w:tcPr>
          <w:p w14:paraId="7F673BC5"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951</w:t>
            </w:r>
          </w:p>
        </w:tc>
        <w:tc>
          <w:tcPr>
            <w:tcW w:w="1276" w:type="dxa"/>
            <w:tcBorders>
              <w:top w:val="nil"/>
              <w:left w:val="nil"/>
              <w:bottom w:val="single" w:sz="4" w:space="0" w:color="auto"/>
              <w:right w:val="single" w:sz="4" w:space="0" w:color="auto"/>
            </w:tcBorders>
            <w:shd w:val="clear" w:color="auto" w:fill="auto"/>
            <w:noWrap/>
            <w:vAlign w:val="center"/>
            <w:hideMark/>
          </w:tcPr>
          <w:p w14:paraId="366CF1FF"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-1.03</w:t>
            </w:r>
          </w:p>
        </w:tc>
        <w:tc>
          <w:tcPr>
            <w:tcW w:w="1276" w:type="dxa"/>
            <w:tcBorders>
              <w:top w:val="nil"/>
              <w:left w:val="nil"/>
              <w:bottom w:val="single" w:sz="4" w:space="0" w:color="auto"/>
              <w:right w:val="single" w:sz="4" w:space="0" w:color="auto"/>
            </w:tcBorders>
            <w:shd w:val="clear" w:color="auto" w:fill="auto"/>
            <w:noWrap/>
            <w:vAlign w:val="center"/>
            <w:hideMark/>
          </w:tcPr>
          <w:p w14:paraId="0C8CA02D"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-1.00</w:t>
            </w:r>
          </w:p>
        </w:tc>
        <w:tc>
          <w:tcPr>
            <w:tcW w:w="1276" w:type="dxa"/>
            <w:tcBorders>
              <w:top w:val="nil"/>
              <w:left w:val="nil"/>
              <w:bottom w:val="single" w:sz="4" w:space="0" w:color="auto"/>
              <w:right w:val="single" w:sz="4" w:space="0" w:color="auto"/>
            </w:tcBorders>
            <w:shd w:val="clear" w:color="auto" w:fill="auto"/>
            <w:noWrap/>
            <w:vAlign w:val="center"/>
            <w:hideMark/>
          </w:tcPr>
          <w:p w14:paraId="09E99E57"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0</w:t>
            </w:r>
          </w:p>
        </w:tc>
        <w:tc>
          <w:tcPr>
            <w:tcW w:w="1276" w:type="dxa"/>
            <w:tcBorders>
              <w:top w:val="nil"/>
              <w:left w:val="nil"/>
              <w:bottom w:val="single" w:sz="4" w:space="0" w:color="auto"/>
              <w:right w:val="single" w:sz="4" w:space="0" w:color="auto"/>
            </w:tcBorders>
            <w:shd w:val="clear" w:color="auto" w:fill="auto"/>
            <w:noWrap/>
            <w:vAlign w:val="center"/>
            <w:hideMark/>
          </w:tcPr>
          <w:p w14:paraId="626C27BA"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1.446</w:t>
            </w:r>
          </w:p>
        </w:tc>
      </w:tr>
      <w:tr w:rsidR="00C5020F" w:rsidRPr="005F0D6C" w14:paraId="2705EE31" w14:textId="77777777" w:rsidTr="00C5020F">
        <w:trPr>
          <w:trHeight w:val="33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3D5B3E95"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Korupcija</w:t>
            </w:r>
          </w:p>
        </w:tc>
        <w:tc>
          <w:tcPr>
            <w:tcW w:w="1275" w:type="dxa"/>
            <w:tcBorders>
              <w:top w:val="nil"/>
              <w:left w:val="nil"/>
              <w:bottom w:val="single" w:sz="4" w:space="0" w:color="auto"/>
              <w:right w:val="single" w:sz="4" w:space="0" w:color="auto"/>
            </w:tcBorders>
            <w:shd w:val="clear" w:color="auto" w:fill="auto"/>
            <w:noWrap/>
            <w:vAlign w:val="center"/>
            <w:hideMark/>
          </w:tcPr>
          <w:p w14:paraId="707CBF94"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928</w:t>
            </w:r>
          </w:p>
        </w:tc>
        <w:tc>
          <w:tcPr>
            <w:tcW w:w="1276" w:type="dxa"/>
            <w:tcBorders>
              <w:top w:val="nil"/>
              <w:left w:val="nil"/>
              <w:bottom w:val="single" w:sz="4" w:space="0" w:color="auto"/>
              <w:right w:val="single" w:sz="4" w:space="0" w:color="auto"/>
            </w:tcBorders>
            <w:shd w:val="clear" w:color="auto" w:fill="auto"/>
            <w:noWrap/>
            <w:vAlign w:val="center"/>
            <w:hideMark/>
          </w:tcPr>
          <w:p w14:paraId="7CCE8EB7"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-1.14</w:t>
            </w:r>
          </w:p>
        </w:tc>
        <w:tc>
          <w:tcPr>
            <w:tcW w:w="1276" w:type="dxa"/>
            <w:tcBorders>
              <w:top w:val="nil"/>
              <w:left w:val="nil"/>
              <w:bottom w:val="single" w:sz="4" w:space="0" w:color="auto"/>
              <w:right w:val="single" w:sz="4" w:space="0" w:color="auto"/>
            </w:tcBorders>
            <w:shd w:val="clear" w:color="auto" w:fill="auto"/>
            <w:noWrap/>
            <w:vAlign w:val="center"/>
            <w:hideMark/>
          </w:tcPr>
          <w:p w14:paraId="1B460FB9"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-1.00</w:t>
            </w:r>
          </w:p>
        </w:tc>
        <w:tc>
          <w:tcPr>
            <w:tcW w:w="1276" w:type="dxa"/>
            <w:tcBorders>
              <w:top w:val="nil"/>
              <w:left w:val="nil"/>
              <w:bottom w:val="single" w:sz="4" w:space="0" w:color="auto"/>
              <w:right w:val="single" w:sz="4" w:space="0" w:color="auto"/>
            </w:tcBorders>
            <w:shd w:val="clear" w:color="auto" w:fill="auto"/>
            <w:noWrap/>
            <w:vAlign w:val="center"/>
            <w:hideMark/>
          </w:tcPr>
          <w:p w14:paraId="69D5EED1"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-3</w:t>
            </w:r>
          </w:p>
        </w:tc>
        <w:tc>
          <w:tcPr>
            <w:tcW w:w="1276" w:type="dxa"/>
            <w:tcBorders>
              <w:top w:val="nil"/>
              <w:left w:val="nil"/>
              <w:bottom w:val="single" w:sz="4" w:space="0" w:color="auto"/>
              <w:right w:val="single" w:sz="4" w:space="0" w:color="auto"/>
            </w:tcBorders>
            <w:shd w:val="clear" w:color="auto" w:fill="auto"/>
            <w:noWrap/>
            <w:vAlign w:val="center"/>
            <w:hideMark/>
          </w:tcPr>
          <w:p w14:paraId="4F37B41F"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1.554</w:t>
            </w:r>
          </w:p>
        </w:tc>
      </w:tr>
      <w:tr w:rsidR="00C5020F" w:rsidRPr="005F0D6C" w14:paraId="7C4A094E" w14:textId="77777777" w:rsidTr="00C5020F">
        <w:trPr>
          <w:trHeight w:val="33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298F9AFB"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Valsts ārējā drošība</w:t>
            </w:r>
          </w:p>
        </w:tc>
        <w:tc>
          <w:tcPr>
            <w:tcW w:w="1275" w:type="dxa"/>
            <w:tcBorders>
              <w:top w:val="nil"/>
              <w:left w:val="nil"/>
              <w:bottom w:val="single" w:sz="4" w:space="0" w:color="auto"/>
              <w:right w:val="single" w:sz="4" w:space="0" w:color="auto"/>
            </w:tcBorders>
            <w:shd w:val="clear" w:color="auto" w:fill="auto"/>
            <w:noWrap/>
            <w:vAlign w:val="center"/>
            <w:hideMark/>
          </w:tcPr>
          <w:p w14:paraId="0539461C"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912</w:t>
            </w:r>
          </w:p>
        </w:tc>
        <w:tc>
          <w:tcPr>
            <w:tcW w:w="1276" w:type="dxa"/>
            <w:tcBorders>
              <w:top w:val="nil"/>
              <w:left w:val="nil"/>
              <w:bottom w:val="single" w:sz="4" w:space="0" w:color="auto"/>
              <w:right w:val="single" w:sz="4" w:space="0" w:color="auto"/>
            </w:tcBorders>
            <w:shd w:val="clear" w:color="auto" w:fill="auto"/>
            <w:noWrap/>
            <w:vAlign w:val="center"/>
            <w:hideMark/>
          </w:tcPr>
          <w:p w14:paraId="0143591F"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-.19</w:t>
            </w:r>
          </w:p>
        </w:tc>
        <w:tc>
          <w:tcPr>
            <w:tcW w:w="1276" w:type="dxa"/>
            <w:tcBorders>
              <w:top w:val="nil"/>
              <w:left w:val="nil"/>
              <w:bottom w:val="single" w:sz="4" w:space="0" w:color="auto"/>
              <w:right w:val="single" w:sz="4" w:space="0" w:color="auto"/>
            </w:tcBorders>
            <w:shd w:val="clear" w:color="auto" w:fill="auto"/>
            <w:noWrap/>
            <w:vAlign w:val="center"/>
            <w:hideMark/>
          </w:tcPr>
          <w:p w14:paraId="0FBEAF8A"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2160FA3B"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0</w:t>
            </w:r>
          </w:p>
        </w:tc>
        <w:tc>
          <w:tcPr>
            <w:tcW w:w="1276" w:type="dxa"/>
            <w:tcBorders>
              <w:top w:val="nil"/>
              <w:left w:val="nil"/>
              <w:bottom w:val="single" w:sz="4" w:space="0" w:color="auto"/>
              <w:right w:val="single" w:sz="4" w:space="0" w:color="auto"/>
            </w:tcBorders>
            <w:shd w:val="clear" w:color="auto" w:fill="auto"/>
            <w:noWrap/>
            <w:vAlign w:val="center"/>
            <w:hideMark/>
          </w:tcPr>
          <w:p w14:paraId="206C7826"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1.678</w:t>
            </w:r>
          </w:p>
        </w:tc>
      </w:tr>
      <w:tr w:rsidR="00C5020F" w:rsidRPr="005F0D6C" w14:paraId="49187AD4" w14:textId="77777777" w:rsidTr="00C5020F">
        <w:trPr>
          <w:trHeight w:val="33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3F53E012"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Valsts iekšējā drošība</w:t>
            </w:r>
          </w:p>
        </w:tc>
        <w:tc>
          <w:tcPr>
            <w:tcW w:w="1275" w:type="dxa"/>
            <w:tcBorders>
              <w:top w:val="nil"/>
              <w:left w:val="nil"/>
              <w:bottom w:val="single" w:sz="4" w:space="0" w:color="auto"/>
              <w:right w:val="single" w:sz="4" w:space="0" w:color="auto"/>
            </w:tcBorders>
            <w:shd w:val="clear" w:color="auto" w:fill="auto"/>
            <w:noWrap/>
            <w:vAlign w:val="center"/>
            <w:hideMark/>
          </w:tcPr>
          <w:p w14:paraId="0FC7F5F9"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918</w:t>
            </w:r>
          </w:p>
        </w:tc>
        <w:tc>
          <w:tcPr>
            <w:tcW w:w="1276" w:type="dxa"/>
            <w:tcBorders>
              <w:top w:val="nil"/>
              <w:left w:val="nil"/>
              <w:bottom w:val="single" w:sz="4" w:space="0" w:color="auto"/>
              <w:right w:val="single" w:sz="4" w:space="0" w:color="auto"/>
            </w:tcBorders>
            <w:shd w:val="clear" w:color="auto" w:fill="auto"/>
            <w:noWrap/>
            <w:vAlign w:val="center"/>
            <w:hideMark/>
          </w:tcPr>
          <w:p w14:paraId="0534065C"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.05</w:t>
            </w:r>
          </w:p>
        </w:tc>
        <w:tc>
          <w:tcPr>
            <w:tcW w:w="1276" w:type="dxa"/>
            <w:tcBorders>
              <w:top w:val="nil"/>
              <w:left w:val="nil"/>
              <w:bottom w:val="single" w:sz="4" w:space="0" w:color="auto"/>
              <w:right w:val="single" w:sz="4" w:space="0" w:color="auto"/>
            </w:tcBorders>
            <w:shd w:val="clear" w:color="auto" w:fill="auto"/>
            <w:noWrap/>
            <w:vAlign w:val="center"/>
            <w:hideMark/>
          </w:tcPr>
          <w:p w14:paraId="37E4B40A"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5BDBBB73"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0</w:t>
            </w:r>
          </w:p>
        </w:tc>
        <w:tc>
          <w:tcPr>
            <w:tcW w:w="1276" w:type="dxa"/>
            <w:tcBorders>
              <w:top w:val="nil"/>
              <w:left w:val="nil"/>
              <w:bottom w:val="single" w:sz="4" w:space="0" w:color="auto"/>
              <w:right w:val="single" w:sz="4" w:space="0" w:color="auto"/>
            </w:tcBorders>
            <w:shd w:val="clear" w:color="auto" w:fill="auto"/>
            <w:noWrap/>
            <w:vAlign w:val="center"/>
            <w:hideMark/>
          </w:tcPr>
          <w:p w14:paraId="17B30020"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1.407</w:t>
            </w:r>
          </w:p>
        </w:tc>
      </w:tr>
      <w:tr w:rsidR="00C5020F" w:rsidRPr="005F0D6C" w14:paraId="68AE1FEB" w14:textId="77777777" w:rsidTr="00C5020F">
        <w:trPr>
          <w:trHeight w:val="33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4B2D017D"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Vides jautājumi</w:t>
            </w:r>
          </w:p>
        </w:tc>
        <w:tc>
          <w:tcPr>
            <w:tcW w:w="1275" w:type="dxa"/>
            <w:tcBorders>
              <w:top w:val="nil"/>
              <w:left w:val="nil"/>
              <w:bottom w:val="single" w:sz="4" w:space="0" w:color="auto"/>
              <w:right w:val="single" w:sz="4" w:space="0" w:color="auto"/>
            </w:tcBorders>
            <w:shd w:val="clear" w:color="auto" w:fill="auto"/>
            <w:noWrap/>
            <w:vAlign w:val="center"/>
            <w:hideMark/>
          </w:tcPr>
          <w:p w14:paraId="189EF686"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906</w:t>
            </w:r>
          </w:p>
        </w:tc>
        <w:tc>
          <w:tcPr>
            <w:tcW w:w="1276" w:type="dxa"/>
            <w:tcBorders>
              <w:top w:val="nil"/>
              <w:left w:val="nil"/>
              <w:bottom w:val="single" w:sz="4" w:space="0" w:color="auto"/>
              <w:right w:val="single" w:sz="4" w:space="0" w:color="auto"/>
            </w:tcBorders>
            <w:shd w:val="clear" w:color="auto" w:fill="auto"/>
            <w:noWrap/>
            <w:vAlign w:val="center"/>
            <w:hideMark/>
          </w:tcPr>
          <w:p w14:paraId="25642B8D"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-.09</w:t>
            </w:r>
          </w:p>
        </w:tc>
        <w:tc>
          <w:tcPr>
            <w:tcW w:w="1276" w:type="dxa"/>
            <w:tcBorders>
              <w:top w:val="nil"/>
              <w:left w:val="nil"/>
              <w:bottom w:val="single" w:sz="4" w:space="0" w:color="auto"/>
              <w:right w:val="single" w:sz="4" w:space="0" w:color="auto"/>
            </w:tcBorders>
            <w:shd w:val="clear" w:color="auto" w:fill="auto"/>
            <w:noWrap/>
            <w:vAlign w:val="center"/>
            <w:hideMark/>
          </w:tcPr>
          <w:p w14:paraId="0EE794E5"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0.00</w:t>
            </w:r>
          </w:p>
        </w:tc>
        <w:tc>
          <w:tcPr>
            <w:tcW w:w="1276" w:type="dxa"/>
            <w:tcBorders>
              <w:top w:val="nil"/>
              <w:left w:val="nil"/>
              <w:bottom w:val="single" w:sz="4" w:space="0" w:color="auto"/>
              <w:right w:val="single" w:sz="4" w:space="0" w:color="auto"/>
            </w:tcBorders>
            <w:shd w:val="clear" w:color="auto" w:fill="auto"/>
            <w:noWrap/>
            <w:vAlign w:val="center"/>
            <w:hideMark/>
          </w:tcPr>
          <w:p w14:paraId="6547D268"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0</w:t>
            </w:r>
          </w:p>
        </w:tc>
        <w:tc>
          <w:tcPr>
            <w:tcW w:w="1276" w:type="dxa"/>
            <w:tcBorders>
              <w:top w:val="nil"/>
              <w:left w:val="nil"/>
              <w:bottom w:val="single" w:sz="4" w:space="0" w:color="auto"/>
              <w:right w:val="single" w:sz="4" w:space="0" w:color="auto"/>
            </w:tcBorders>
            <w:shd w:val="clear" w:color="auto" w:fill="auto"/>
            <w:noWrap/>
            <w:vAlign w:val="center"/>
            <w:hideMark/>
          </w:tcPr>
          <w:p w14:paraId="0F5FC8FC"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1.306</w:t>
            </w:r>
          </w:p>
        </w:tc>
      </w:tr>
      <w:tr w:rsidR="00C5020F" w:rsidRPr="005F0D6C" w14:paraId="5CDFEBAB" w14:textId="77777777" w:rsidTr="00C5020F">
        <w:trPr>
          <w:trHeight w:val="33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7B0B794C"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Enerģētika</w:t>
            </w:r>
          </w:p>
        </w:tc>
        <w:tc>
          <w:tcPr>
            <w:tcW w:w="1275" w:type="dxa"/>
            <w:tcBorders>
              <w:top w:val="nil"/>
              <w:left w:val="nil"/>
              <w:bottom w:val="single" w:sz="4" w:space="0" w:color="auto"/>
              <w:right w:val="single" w:sz="4" w:space="0" w:color="auto"/>
            </w:tcBorders>
            <w:shd w:val="clear" w:color="auto" w:fill="auto"/>
            <w:noWrap/>
            <w:vAlign w:val="center"/>
            <w:hideMark/>
          </w:tcPr>
          <w:p w14:paraId="02394D47"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953</w:t>
            </w:r>
          </w:p>
        </w:tc>
        <w:tc>
          <w:tcPr>
            <w:tcW w:w="1276" w:type="dxa"/>
            <w:tcBorders>
              <w:top w:val="nil"/>
              <w:left w:val="nil"/>
              <w:bottom w:val="single" w:sz="4" w:space="0" w:color="auto"/>
              <w:right w:val="single" w:sz="4" w:space="0" w:color="auto"/>
            </w:tcBorders>
            <w:shd w:val="clear" w:color="auto" w:fill="auto"/>
            <w:noWrap/>
            <w:vAlign w:val="center"/>
            <w:hideMark/>
          </w:tcPr>
          <w:p w14:paraId="6B564939"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-1.55</w:t>
            </w:r>
          </w:p>
        </w:tc>
        <w:tc>
          <w:tcPr>
            <w:tcW w:w="1276" w:type="dxa"/>
            <w:tcBorders>
              <w:top w:val="nil"/>
              <w:left w:val="nil"/>
              <w:bottom w:val="single" w:sz="4" w:space="0" w:color="auto"/>
              <w:right w:val="single" w:sz="4" w:space="0" w:color="auto"/>
            </w:tcBorders>
            <w:shd w:val="clear" w:color="auto" w:fill="auto"/>
            <w:noWrap/>
            <w:vAlign w:val="center"/>
            <w:hideMark/>
          </w:tcPr>
          <w:p w14:paraId="684404E5"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-2.00</w:t>
            </w:r>
          </w:p>
        </w:tc>
        <w:tc>
          <w:tcPr>
            <w:tcW w:w="1276" w:type="dxa"/>
            <w:tcBorders>
              <w:top w:val="nil"/>
              <w:left w:val="nil"/>
              <w:bottom w:val="single" w:sz="4" w:space="0" w:color="auto"/>
              <w:right w:val="single" w:sz="4" w:space="0" w:color="auto"/>
            </w:tcBorders>
            <w:shd w:val="clear" w:color="auto" w:fill="auto"/>
            <w:noWrap/>
            <w:vAlign w:val="center"/>
            <w:hideMark/>
          </w:tcPr>
          <w:p w14:paraId="147CB968"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-3</w:t>
            </w:r>
          </w:p>
        </w:tc>
        <w:tc>
          <w:tcPr>
            <w:tcW w:w="1276" w:type="dxa"/>
            <w:tcBorders>
              <w:top w:val="nil"/>
              <w:left w:val="nil"/>
              <w:bottom w:val="single" w:sz="4" w:space="0" w:color="auto"/>
              <w:right w:val="single" w:sz="4" w:space="0" w:color="auto"/>
            </w:tcBorders>
            <w:shd w:val="clear" w:color="auto" w:fill="auto"/>
            <w:noWrap/>
            <w:vAlign w:val="center"/>
            <w:hideMark/>
          </w:tcPr>
          <w:p w14:paraId="0FE19A0F" w14:textId="77777777" w:rsidR="00C5020F" w:rsidRPr="005F0D6C" w:rsidRDefault="00C5020F" w:rsidP="00E50D63">
            <w:pPr>
              <w:spacing w:line="240" w:lineRule="auto"/>
              <w:jc w:val="both"/>
              <w:rPr>
                <w:rFonts w:ascii="Times New Roman" w:eastAsia="Times New Roman" w:hAnsi="Times New Roman" w:cs="Times New Roman"/>
                <w:color w:val="000000"/>
              </w:rPr>
            </w:pPr>
            <w:r w:rsidRPr="005F0D6C">
              <w:rPr>
                <w:rFonts w:ascii="Times New Roman" w:eastAsia="Times New Roman" w:hAnsi="Times New Roman" w:cs="Times New Roman"/>
                <w:color w:val="000000"/>
              </w:rPr>
              <w:t>1.370</w:t>
            </w:r>
          </w:p>
        </w:tc>
      </w:tr>
    </w:tbl>
    <w:p w14:paraId="69710852" w14:textId="46C91626" w:rsidR="008F201A" w:rsidRPr="005F0D6C" w:rsidRDefault="00C5020F" w:rsidP="00E50D63">
      <w:pPr>
        <w:spacing w:before="120" w:after="120" w:line="360" w:lineRule="auto"/>
        <w:jc w:val="both"/>
        <w:rPr>
          <w:rFonts w:ascii="Times New Roman" w:hAnsi="Times New Roman" w:cs="Times New Roman"/>
          <w:sz w:val="24"/>
          <w:szCs w:val="24"/>
          <w:lang w:val="en-US"/>
        </w:rPr>
      </w:pPr>
      <w:r w:rsidRPr="005F0D6C">
        <w:rPr>
          <w:rFonts w:ascii="Times New Roman" w:hAnsi="Times New Roman" w:cs="Times New Roman"/>
          <w:sz w:val="24"/>
          <w:szCs w:val="24"/>
          <w:lang w:val="lv-LV"/>
        </w:rPr>
        <w:t xml:space="preserve">Vissliktākā situācija respondentu skatījumā ir veselības aprūpē (-1,68), kurai tuvu ir stāvoklis lauksaimniecībā un lopkopībā (-1,59) un enerģētikā (-1,55). Mazāk kritiski, toties negatīvi tiek vērtēta situācija izglītībā (-1,03) un korupcija (-1,14). Valsts iekšējā drošība ir vienīgā joma, kurā nesaskata situācijas pasliktināšanos </w:t>
      </w:r>
      <w:r w:rsidRPr="005F0D6C">
        <w:rPr>
          <w:rFonts w:ascii="Times New Roman" w:hAnsi="Times New Roman" w:cs="Times New Roman"/>
          <w:sz w:val="24"/>
          <w:szCs w:val="24"/>
          <w:lang w:val="ru-RU"/>
        </w:rPr>
        <w:t>(0</w:t>
      </w:r>
      <w:r w:rsidRPr="005F0D6C">
        <w:rPr>
          <w:rFonts w:ascii="Times New Roman" w:hAnsi="Times New Roman" w:cs="Times New Roman"/>
          <w:sz w:val="24"/>
          <w:szCs w:val="24"/>
          <w:lang w:val="en-US"/>
        </w:rPr>
        <w:t>,05). Mēreni negatīvs ir situācijas vērtējums ar bezdarbu, nodokļu iekasēšanā, kā arī sociālo pabalstu un pakalpojumu jomā.</w:t>
      </w:r>
    </w:p>
    <w:p w14:paraId="5C6A47C7" w14:textId="7B95575A" w:rsidR="002F409D" w:rsidRPr="005F0D6C" w:rsidRDefault="002F409D" w:rsidP="00E50D63">
      <w:pPr>
        <w:spacing w:before="120" w:after="120" w:line="360" w:lineRule="auto"/>
        <w:jc w:val="both"/>
        <w:rPr>
          <w:rFonts w:ascii="Times New Roman" w:hAnsi="Times New Roman" w:cs="Times New Roman"/>
          <w:sz w:val="24"/>
          <w:szCs w:val="24"/>
          <w:lang w:val="lv-LV"/>
        </w:rPr>
      </w:pPr>
      <w:r w:rsidRPr="005F0D6C">
        <w:rPr>
          <w:rFonts w:ascii="Times New Roman" w:hAnsi="Times New Roman" w:cs="Times New Roman"/>
          <w:sz w:val="24"/>
          <w:szCs w:val="24"/>
          <w:lang w:val="lv-LV"/>
        </w:rPr>
        <w:t xml:space="preserve">Piemērojot dažādas galveno komponenšu analīzi </w:t>
      </w:r>
      <w:r w:rsidR="00C5020F" w:rsidRPr="005F0D6C">
        <w:rPr>
          <w:rFonts w:ascii="Times New Roman" w:hAnsi="Times New Roman" w:cs="Times New Roman"/>
          <w:sz w:val="24"/>
          <w:szCs w:val="24"/>
          <w:lang w:val="lv-LV"/>
        </w:rPr>
        <w:t>minētajām</w:t>
      </w:r>
      <w:r w:rsidRPr="005F0D6C">
        <w:rPr>
          <w:rFonts w:ascii="Times New Roman" w:hAnsi="Times New Roman" w:cs="Times New Roman"/>
          <w:sz w:val="24"/>
          <w:szCs w:val="24"/>
          <w:lang w:val="lv-LV"/>
        </w:rPr>
        <w:t xml:space="preserve"> 11 jomām ar rotācijas paņēmieniem, kas konceptuāli pieļauj noteiktu korelāciju starp komponentēm, kas izveidojas kā optimāla saistība starp attiecīgajiem mainīgajiem (t.i. </w:t>
      </w:r>
      <w:r w:rsidRPr="005F0D6C">
        <w:rPr>
          <w:rFonts w:ascii="Times New Roman" w:hAnsi="Times New Roman" w:cs="Times New Roman"/>
          <w:i/>
          <w:sz w:val="24"/>
          <w:szCs w:val="24"/>
          <w:lang w:val="lv-LV"/>
        </w:rPr>
        <w:t>Oblique rotation</w:t>
      </w:r>
      <w:r w:rsidRPr="005F0D6C">
        <w:rPr>
          <w:rFonts w:ascii="Times New Roman" w:hAnsi="Times New Roman" w:cs="Times New Roman"/>
          <w:i/>
          <w:sz w:val="24"/>
          <w:szCs w:val="24"/>
          <w:lang w:val="en-US"/>
        </w:rPr>
        <w:t xml:space="preserve"> ar d</w:t>
      </w:r>
      <w:r w:rsidRPr="005F0D6C">
        <w:rPr>
          <w:rFonts w:ascii="Times New Roman" w:hAnsi="Times New Roman" w:cs="Times New Roman"/>
          <w:i/>
          <w:sz w:val="24"/>
          <w:szCs w:val="24"/>
          <w:lang w:val="lv-LV"/>
        </w:rPr>
        <w:t>irect oblimin</w:t>
      </w:r>
      <w:r w:rsidRPr="005F0D6C">
        <w:rPr>
          <w:rFonts w:ascii="Times New Roman" w:hAnsi="Times New Roman" w:cs="Times New Roman"/>
          <w:sz w:val="24"/>
          <w:szCs w:val="24"/>
          <w:lang w:val="lv-LV"/>
        </w:rPr>
        <w:t xml:space="preserve">) mēs potenciāli varam redzēt, ka </w:t>
      </w:r>
      <w:r w:rsidRPr="005F0D6C">
        <w:rPr>
          <w:rFonts w:ascii="Times New Roman" w:hAnsi="Times New Roman" w:cs="Times New Roman"/>
          <w:b/>
          <w:bCs/>
          <w:sz w:val="24"/>
          <w:szCs w:val="24"/>
          <w:lang w:val="lv-LV"/>
        </w:rPr>
        <w:t>vides un drošības riski</w:t>
      </w:r>
      <w:r w:rsidRPr="005F0D6C">
        <w:rPr>
          <w:rFonts w:ascii="Times New Roman" w:hAnsi="Times New Roman" w:cs="Times New Roman"/>
          <w:sz w:val="24"/>
          <w:szCs w:val="24"/>
          <w:lang w:val="lv-LV"/>
        </w:rPr>
        <w:t xml:space="preserve"> veido</w:t>
      </w:r>
      <w:r w:rsidR="00866D94" w:rsidRPr="005F0D6C">
        <w:rPr>
          <w:rFonts w:ascii="Times New Roman" w:hAnsi="Times New Roman" w:cs="Times New Roman"/>
          <w:sz w:val="24"/>
          <w:szCs w:val="24"/>
          <w:lang w:val="lv-LV"/>
        </w:rPr>
        <w:t xml:space="preserve"> atsevišķu kompon</w:t>
      </w:r>
      <w:r w:rsidRPr="005F0D6C">
        <w:rPr>
          <w:rFonts w:ascii="Times New Roman" w:hAnsi="Times New Roman" w:cs="Times New Roman"/>
          <w:sz w:val="24"/>
          <w:szCs w:val="24"/>
          <w:lang w:val="lv-LV"/>
        </w:rPr>
        <w:t xml:space="preserve">enti, kur ietilptu valsts ārējā drošības, valsts iekšējās drošības, vides jautājumu un enerģētikas vērtējumi, </w:t>
      </w:r>
      <w:r w:rsidRPr="005F0D6C">
        <w:rPr>
          <w:rFonts w:ascii="Times New Roman" w:hAnsi="Times New Roman" w:cs="Times New Roman"/>
          <w:sz w:val="24"/>
          <w:szCs w:val="24"/>
          <w:lang w:val="lv-LV"/>
        </w:rPr>
        <w:lastRenderedPageBreak/>
        <w:t xml:space="preserve">tomēr atsevišķi rādītāji </w:t>
      </w:r>
      <w:r w:rsidR="00866D94" w:rsidRPr="005F0D6C">
        <w:rPr>
          <w:rFonts w:ascii="Times New Roman" w:hAnsi="Times New Roman" w:cs="Times New Roman"/>
          <w:sz w:val="24"/>
          <w:szCs w:val="24"/>
          <w:lang w:val="lv-LV"/>
        </w:rPr>
        <w:t>(atlikumi ar vērtībām virs 0,05)</w:t>
      </w:r>
      <w:r w:rsidRPr="005F0D6C">
        <w:rPr>
          <w:rFonts w:ascii="Times New Roman" w:hAnsi="Times New Roman" w:cs="Times New Roman"/>
          <w:sz w:val="24"/>
          <w:szCs w:val="24"/>
          <w:lang w:val="lv-LV"/>
        </w:rPr>
        <w:t xml:space="preserve"> ir 60%, kas virs ieteicamā (50%) līmeņa) neļauj drošticami reducēt jomu vērtējumus.</w:t>
      </w:r>
    </w:p>
    <w:p w14:paraId="4F392201" w14:textId="4490163C" w:rsidR="002F409D" w:rsidRPr="005F0D6C" w:rsidRDefault="00866D94" w:rsidP="00E50D63">
      <w:pPr>
        <w:spacing w:before="120" w:after="120" w:line="360" w:lineRule="auto"/>
        <w:jc w:val="both"/>
        <w:rPr>
          <w:rFonts w:ascii="Times New Roman" w:hAnsi="Times New Roman" w:cs="Times New Roman"/>
          <w:sz w:val="24"/>
          <w:szCs w:val="24"/>
          <w:lang w:val="en-US"/>
        </w:rPr>
      </w:pPr>
      <w:r w:rsidRPr="005F0D6C">
        <w:rPr>
          <w:rFonts w:ascii="Times New Roman" w:hAnsi="Times New Roman" w:cs="Times New Roman"/>
          <w:sz w:val="24"/>
          <w:szCs w:val="24"/>
          <w:lang w:val="lv-LV"/>
        </w:rPr>
        <w:t>Turklāt</w:t>
      </w:r>
      <w:r w:rsidR="002F409D" w:rsidRPr="005F0D6C">
        <w:rPr>
          <w:rFonts w:ascii="Times New Roman" w:hAnsi="Times New Roman" w:cs="Times New Roman"/>
          <w:sz w:val="24"/>
          <w:szCs w:val="24"/>
          <w:lang w:val="lv-LV"/>
        </w:rPr>
        <w:t xml:space="preserve"> tieši visiem 11 jomu vērtējumiem Cronbach's Alpha koeficients ir pat 0,85 un nevienā gadījumā, ja kāds no 11 mainīgajiem tiktu izslēgts, koeficients nepieaugtu (jeb </w:t>
      </w:r>
      <w:r w:rsidRPr="005F0D6C">
        <w:rPr>
          <w:rFonts w:ascii="Times New Roman" w:hAnsi="Times New Roman" w:cs="Times New Roman"/>
          <w:sz w:val="24"/>
          <w:szCs w:val="24"/>
          <w:lang w:val="lv-LV"/>
        </w:rPr>
        <w:t xml:space="preserve">rādītājs </w:t>
      </w:r>
      <w:r w:rsidR="002F409D" w:rsidRPr="005F0D6C">
        <w:rPr>
          <w:rFonts w:ascii="Times New Roman" w:hAnsi="Times New Roman" w:cs="Times New Roman"/>
          <w:i/>
          <w:sz w:val="24"/>
          <w:szCs w:val="24"/>
          <w:lang w:val="lv-LV"/>
        </w:rPr>
        <w:t>Cronbach's Alpha if Item Deleted</w:t>
      </w:r>
      <w:r w:rsidR="002F409D" w:rsidRPr="005F0D6C">
        <w:rPr>
          <w:rFonts w:ascii="Times New Roman" w:hAnsi="Times New Roman" w:cs="Times New Roman"/>
          <w:sz w:val="24"/>
          <w:szCs w:val="24"/>
          <w:lang w:val="lv-LV"/>
        </w:rPr>
        <w:t xml:space="preserve"> nebūtu &gt;0,85), kam</w:t>
      </w:r>
      <w:r w:rsidRPr="005F0D6C">
        <w:rPr>
          <w:rFonts w:ascii="Times New Roman" w:hAnsi="Times New Roman" w:cs="Times New Roman"/>
          <w:sz w:val="24"/>
          <w:szCs w:val="24"/>
          <w:lang w:val="lv-LV"/>
        </w:rPr>
        <w:t>ēr potenciāli atšķirīgās kompon</w:t>
      </w:r>
      <w:r w:rsidR="002F409D" w:rsidRPr="005F0D6C">
        <w:rPr>
          <w:rFonts w:ascii="Times New Roman" w:hAnsi="Times New Roman" w:cs="Times New Roman"/>
          <w:sz w:val="24"/>
          <w:szCs w:val="24"/>
          <w:lang w:val="lv-LV"/>
        </w:rPr>
        <w:t>en</w:t>
      </w:r>
      <w:r w:rsidRPr="005F0D6C">
        <w:rPr>
          <w:rFonts w:ascii="Times New Roman" w:hAnsi="Times New Roman" w:cs="Times New Roman"/>
          <w:sz w:val="24"/>
          <w:szCs w:val="24"/>
          <w:lang w:val="lv-LV"/>
        </w:rPr>
        <w:t xml:space="preserve">tēs šie koeficienti ir zemāki, t.i., </w:t>
      </w:r>
      <w:r w:rsidR="002F409D" w:rsidRPr="005F0D6C">
        <w:rPr>
          <w:rFonts w:ascii="Times New Roman" w:hAnsi="Times New Roman" w:cs="Times New Roman"/>
          <w:sz w:val="24"/>
          <w:szCs w:val="24"/>
          <w:lang w:val="en-US"/>
        </w:rPr>
        <w:t xml:space="preserve">0,82 </w:t>
      </w:r>
      <w:r w:rsidR="002F409D" w:rsidRPr="005F0D6C">
        <w:rPr>
          <w:rFonts w:ascii="Times New Roman" w:hAnsi="Times New Roman" w:cs="Times New Roman"/>
          <w:sz w:val="24"/>
          <w:szCs w:val="24"/>
          <w:lang w:val="lv-LV"/>
        </w:rPr>
        <w:t>1.-7. jomu vērtējumos un 0</w:t>
      </w:r>
      <w:r w:rsidRPr="005F0D6C">
        <w:rPr>
          <w:rFonts w:ascii="Times New Roman" w:hAnsi="Times New Roman" w:cs="Times New Roman"/>
          <w:sz w:val="24"/>
          <w:szCs w:val="24"/>
          <w:lang w:val="lv-LV"/>
        </w:rPr>
        <w:t xml:space="preserve">,78 </w:t>
      </w:r>
      <w:r w:rsidR="002F409D" w:rsidRPr="005F0D6C">
        <w:rPr>
          <w:rFonts w:ascii="Times New Roman" w:hAnsi="Times New Roman" w:cs="Times New Roman"/>
          <w:sz w:val="24"/>
          <w:szCs w:val="24"/>
          <w:lang w:val="lv-LV"/>
        </w:rPr>
        <w:t>8.-11. jomu vērtējumos (pie tam bez “enerģētikas” jomas pat 0,79</w:t>
      </w:r>
      <w:r w:rsidRPr="005F0D6C">
        <w:rPr>
          <w:rFonts w:ascii="Times New Roman" w:hAnsi="Times New Roman" w:cs="Times New Roman"/>
          <w:sz w:val="24"/>
          <w:szCs w:val="24"/>
          <w:lang w:val="en-US"/>
        </w:rPr>
        <w:t xml:space="preserve">). </w:t>
      </w:r>
      <w:r w:rsidR="002F409D" w:rsidRPr="005F0D6C">
        <w:rPr>
          <w:rFonts w:ascii="Times New Roman" w:hAnsi="Times New Roman" w:cs="Times New Roman"/>
          <w:sz w:val="24"/>
          <w:szCs w:val="24"/>
          <w:lang w:val="en-US"/>
        </w:rPr>
        <w:t>L</w:t>
      </w:r>
      <w:r w:rsidR="002F409D" w:rsidRPr="005F0D6C">
        <w:rPr>
          <w:rFonts w:ascii="Times New Roman" w:hAnsi="Times New Roman" w:cs="Times New Roman"/>
          <w:sz w:val="24"/>
          <w:szCs w:val="24"/>
          <w:lang w:val="lv-LV"/>
        </w:rPr>
        <w:t xml:space="preserve">īdz ar to pēc vidējā aritmētiskā vērtējuma visām 11 jomām var veidot kopēju mainīgo - </w:t>
      </w:r>
      <w:r w:rsidR="002F409D" w:rsidRPr="005F0D6C">
        <w:rPr>
          <w:rFonts w:ascii="Times New Roman" w:hAnsi="Times New Roman" w:cs="Times New Roman"/>
          <w:b/>
          <w:bCs/>
          <w:sz w:val="24"/>
          <w:szCs w:val="24"/>
          <w:lang w:val="lv-LV"/>
        </w:rPr>
        <w:t>kopējais situācijas vērtējums jomās</w:t>
      </w:r>
      <w:r w:rsidR="002F409D" w:rsidRPr="005F0D6C">
        <w:rPr>
          <w:rFonts w:ascii="Times New Roman" w:hAnsi="Times New Roman" w:cs="Times New Roman"/>
          <w:sz w:val="24"/>
          <w:szCs w:val="24"/>
          <w:lang w:val="lv-LV"/>
        </w:rPr>
        <w:t>.</w:t>
      </w:r>
    </w:p>
    <w:p w14:paraId="1B535F1E" w14:textId="77777777" w:rsidR="002F409D" w:rsidRPr="005F0D6C" w:rsidRDefault="002F409D" w:rsidP="00E50D63">
      <w:pPr>
        <w:spacing w:before="120" w:after="120" w:line="360" w:lineRule="auto"/>
        <w:jc w:val="both"/>
        <w:rPr>
          <w:rFonts w:ascii="Times New Roman" w:hAnsi="Times New Roman" w:cs="Times New Roman"/>
          <w:sz w:val="24"/>
          <w:szCs w:val="24"/>
          <w:lang w:val="lv-LV"/>
        </w:rPr>
      </w:pPr>
      <w:r w:rsidRPr="005F0D6C">
        <w:rPr>
          <w:rFonts w:ascii="Times New Roman" w:hAnsi="Times New Roman" w:cs="Times New Roman"/>
          <w:b/>
          <w:bCs/>
          <w:sz w:val="24"/>
          <w:szCs w:val="24"/>
          <w:lang w:val="lv-LV"/>
        </w:rPr>
        <w:t>Kopējais situācijas vērtējuma jomās</w:t>
      </w:r>
      <w:r w:rsidRPr="005F0D6C">
        <w:rPr>
          <w:rFonts w:ascii="Times New Roman" w:hAnsi="Times New Roman" w:cs="Times New Roman"/>
          <w:sz w:val="24"/>
          <w:szCs w:val="24"/>
          <w:lang w:val="lv-LV"/>
        </w:rPr>
        <w:t xml:space="preserve"> atbilžu biežumsadalījums neatbilst normālsadalījumam un arī redzams izteikti lielāks “situācija ir būtiski pasliktinājusies” vērtētāju īpatsvars (-3 skalā no -3 līdz +3).</w:t>
      </w:r>
    </w:p>
    <w:p w14:paraId="6874D1B2" w14:textId="77777777" w:rsidR="002F409D" w:rsidRPr="005F0D6C" w:rsidRDefault="002F409D" w:rsidP="001E6312">
      <w:pPr>
        <w:autoSpaceDE w:val="0"/>
        <w:autoSpaceDN w:val="0"/>
        <w:adjustRightInd w:val="0"/>
        <w:spacing w:line="240" w:lineRule="auto"/>
        <w:jc w:val="center"/>
        <w:rPr>
          <w:rFonts w:ascii="Times New Roman" w:hAnsi="Times New Roman" w:cs="Times New Roman"/>
          <w:sz w:val="24"/>
          <w:szCs w:val="24"/>
          <w:lang w:val="lv-LV"/>
        </w:rPr>
      </w:pPr>
      <w:r w:rsidRPr="005F0D6C">
        <w:rPr>
          <w:rFonts w:ascii="Times New Roman" w:hAnsi="Times New Roman" w:cs="Times New Roman"/>
          <w:noProof/>
          <w:sz w:val="24"/>
          <w:szCs w:val="24"/>
        </w:rPr>
        <w:drawing>
          <wp:inline distT="0" distB="0" distL="0" distR="0" wp14:anchorId="24F07D0F" wp14:editId="2CBECCF6">
            <wp:extent cx="4000500" cy="3199158"/>
            <wp:effectExtent l="0" t="0" r="0" b="1270"/>
            <wp:docPr id="4" name="Picture 4"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histogram&#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38808" cy="3229792"/>
                    </a:xfrm>
                    <a:prstGeom prst="rect">
                      <a:avLst/>
                    </a:prstGeom>
                    <a:noFill/>
                    <a:ln>
                      <a:noFill/>
                    </a:ln>
                  </pic:spPr>
                </pic:pic>
              </a:graphicData>
            </a:graphic>
          </wp:inline>
        </w:drawing>
      </w:r>
    </w:p>
    <w:p w14:paraId="649D84A9" w14:textId="77777777" w:rsidR="002F409D" w:rsidRPr="005F0D6C" w:rsidRDefault="002F409D" w:rsidP="00E50D63">
      <w:pPr>
        <w:autoSpaceDE w:val="0"/>
        <w:autoSpaceDN w:val="0"/>
        <w:adjustRightInd w:val="0"/>
        <w:spacing w:line="240" w:lineRule="auto"/>
        <w:jc w:val="both"/>
        <w:rPr>
          <w:rFonts w:ascii="Times New Roman" w:hAnsi="Times New Roman" w:cs="Times New Roman"/>
          <w:sz w:val="24"/>
          <w:szCs w:val="24"/>
          <w:lang w:val="lv-LV"/>
        </w:rPr>
      </w:pPr>
    </w:p>
    <w:p w14:paraId="09F72FEC" w14:textId="78A5E319" w:rsidR="002F409D" w:rsidRPr="005F0D6C" w:rsidRDefault="00856DE5" w:rsidP="001E6312">
      <w:pPr>
        <w:spacing w:line="240" w:lineRule="auto"/>
        <w:jc w:val="center"/>
        <w:rPr>
          <w:rFonts w:ascii="Times New Roman" w:hAnsi="Times New Roman" w:cs="Times New Roman"/>
          <w:i/>
          <w:sz w:val="24"/>
          <w:szCs w:val="24"/>
          <w:lang w:val="lv-LV"/>
        </w:rPr>
      </w:pPr>
      <w:r w:rsidRPr="005F0D6C">
        <w:rPr>
          <w:rFonts w:ascii="Times New Roman" w:hAnsi="Times New Roman" w:cs="Times New Roman"/>
          <w:i/>
          <w:sz w:val="24"/>
          <w:szCs w:val="24"/>
          <w:lang w:val="lv-LV"/>
        </w:rPr>
        <w:t>2.</w:t>
      </w:r>
      <w:r w:rsidR="001E6312" w:rsidRPr="005F0D6C">
        <w:rPr>
          <w:rFonts w:ascii="Times New Roman" w:hAnsi="Times New Roman" w:cs="Times New Roman"/>
          <w:i/>
          <w:sz w:val="24"/>
          <w:szCs w:val="24"/>
          <w:lang w:val="lv-LV"/>
        </w:rPr>
        <w:t>attēls. Histogramma kopējam situācijas vērtējumam dažādās jomās</w:t>
      </w:r>
    </w:p>
    <w:p w14:paraId="0214038F" w14:textId="29110C1E" w:rsidR="002F409D" w:rsidRPr="005F0D6C" w:rsidRDefault="002F409D" w:rsidP="00E50D63">
      <w:pPr>
        <w:spacing w:before="120" w:after="120" w:line="360" w:lineRule="auto"/>
        <w:jc w:val="both"/>
        <w:rPr>
          <w:rFonts w:ascii="Times New Roman" w:hAnsi="Times New Roman" w:cs="Times New Roman"/>
          <w:sz w:val="24"/>
          <w:szCs w:val="24"/>
          <w:lang w:val="ru-RU"/>
        </w:rPr>
      </w:pPr>
      <w:r w:rsidRPr="005F0D6C">
        <w:rPr>
          <w:rFonts w:ascii="Times New Roman" w:hAnsi="Times New Roman" w:cs="Times New Roman"/>
          <w:sz w:val="24"/>
          <w:szCs w:val="24"/>
          <w:lang w:val="lv-LV"/>
        </w:rPr>
        <w:t xml:space="preserve">Ņemot vērā, ka </w:t>
      </w:r>
      <w:r w:rsidRPr="005F0D6C">
        <w:rPr>
          <w:rFonts w:ascii="Times New Roman" w:hAnsi="Times New Roman" w:cs="Times New Roman"/>
          <w:b/>
          <w:bCs/>
          <w:sz w:val="24"/>
          <w:szCs w:val="24"/>
          <w:lang w:val="lv-LV"/>
        </w:rPr>
        <w:t>kopējā uzticēšanās institūcijām</w:t>
      </w:r>
      <w:r w:rsidRPr="005F0D6C">
        <w:rPr>
          <w:rFonts w:ascii="Times New Roman" w:hAnsi="Times New Roman" w:cs="Times New Roman"/>
          <w:sz w:val="24"/>
          <w:szCs w:val="24"/>
          <w:lang w:val="lv-LV"/>
        </w:rPr>
        <w:t xml:space="preserve"> un </w:t>
      </w:r>
      <w:r w:rsidRPr="005F0D6C">
        <w:rPr>
          <w:rFonts w:ascii="Times New Roman" w:hAnsi="Times New Roman" w:cs="Times New Roman"/>
          <w:b/>
          <w:bCs/>
          <w:sz w:val="24"/>
          <w:szCs w:val="24"/>
          <w:lang w:val="lv-LV"/>
        </w:rPr>
        <w:t>kopējais situācijas vērtējums jomās</w:t>
      </w:r>
      <w:r w:rsidRPr="005F0D6C">
        <w:rPr>
          <w:rFonts w:ascii="Times New Roman" w:hAnsi="Times New Roman" w:cs="Times New Roman"/>
          <w:sz w:val="24"/>
          <w:szCs w:val="24"/>
          <w:lang w:val="lv-LV"/>
        </w:rPr>
        <w:t xml:space="preserve"> vienlaikus cieši korelē (0,45, p&lt;0,05), bet ir ar no normālsadalījuma izteiktāk atšķirīgu negatīvo vērtējumu īpatsvaru, iespējams grupēt respondentus grupās pēc sniegto atbilžu šajos jautājumos “dabiskajām robežām”. </w:t>
      </w:r>
    </w:p>
    <w:p w14:paraId="2DD44201" w14:textId="77777777" w:rsidR="00A90355" w:rsidRPr="005F0D6C" w:rsidRDefault="00A90355">
      <w:pPr>
        <w:rPr>
          <w:rFonts w:ascii="Times New Roman" w:hAnsi="Times New Roman" w:cs="Times New Roman"/>
          <w:i/>
          <w:sz w:val="24"/>
          <w:szCs w:val="24"/>
          <w:lang w:val="lv-LV"/>
        </w:rPr>
      </w:pPr>
      <w:r w:rsidRPr="005F0D6C">
        <w:rPr>
          <w:rFonts w:ascii="Times New Roman" w:hAnsi="Times New Roman" w:cs="Times New Roman"/>
          <w:i/>
          <w:sz w:val="24"/>
          <w:szCs w:val="24"/>
          <w:lang w:val="lv-LV"/>
        </w:rPr>
        <w:br w:type="page"/>
      </w:r>
    </w:p>
    <w:p w14:paraId="54D92997" w14:textId="4625A914" w:rsidR="002F409D" w:rsidRPr="005F0D6C" w:rsidRDefault="00856DE5" w:rsidP="00856DE5">
      <w:pPr>
        <w:spacing w:line="240" w:lineRule="auto"/>
        <w:jc w:val="center"/>
        <w:rPr>
          <w:rFonts w:ascii="Times New Roman" w:hAnsi="Times New Roman" w:cs="Times New Roman"/>
          <w:i/>
          <w:sz w:val="24"/>
          <w:szCs w:val="24"/>
          <w:lang w:val="lv-LV"/>
        </w:rPr>
      </w:pPr>
      <w:r w:rsidRPr="005F0D6C">
        <w:rPr>
          <w:rFonts w:ascii="Times New Roman" w:hAnsi="Times New Roman" w:cs="Times New Roman"/>
          <w:i/>
          <w:sz w:val="24"/>
          <w:szCs w:val="24"/>
          <w:lang w:val="lv-LV"/>
        </w:rPr>
        <w:lastRenderedPageBreak/>
        <w:t>5.tabula. Uzticēšanās korelācija ar kopējo situācijas vērtējumu jomās</w:t>
      </w:r>
    </w:p>
    <w:p w14:paraId="7BDC0628" w14:textId="77777777" w:rsidR="00856DE5" w:rsidRPr="005F0D6C" w:rsidRDefault="00856DE5" w:rsidP="00E50D63">
      <w:pPr>
        <w:spacing w:line="240" w:lineRule="auto"/>
        <w:jc w:val="both"/>
        <w:rPr>
          <w:rFonts w:ascii="Times New Roman" w:hAnsi="Times New Roman" w:cs="Times New Roman"/>
          <w:sz w:val="24"/>
          <w:szCs w:val="24"/>
          <w:lang w:val="lv-LV"/>
        </w:rPr>
      </w:pPr>
    </w:p>
    <w:tbl>
      <w:tblPr>
        <w:tblW w:w="850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17"/>
        <w:gridCol w:w="2646"/>
        <w:gridCol w:w="1475"/>
        <w:gridCol w:w="2268"/>
      </w:tblGrid>
      <w:tr w:rsidR="002F409D" w:rsidRPr="005F0D6C" w14:paraId="6058C296" w14:textId="77777777" w:rsidTr="00866D94">
        <w:trPr>
          <w:cantSplit/>
          <w:jc w:val="center"/>
        </w:trPr>
        <w:tc>
          <w:tcPr>
            <w:tcW w:w="4763" w:type="dxa"/>
            <w:gridSpan w:val="2"/>
            <w:shd w:val="clear" w:color="auto" w:fill="FFFFFF"/>
            <w:vAlign w:val="bottom"/>
          </w:tcPr>
          <w:p w14:paraId="46C3EDE1" w14:textId="77777777" w:rsidR="002F409D" w:rsidRPr="005F0D6C" w:rsidRDefault="002F409D" w:rsidP="00E50D63">
            <w:pPr>
              <w:autoSpaceDE w:val="0"/>
              <w:autoSpaceDN w:val="0"/>
              <w:adjustRightInd w:val="0"/>
              <w:spacing w:line="240" w:lineRule="auto"/>
              <w:jc w:val="both"/>
              <w:rPr>
                <w:rFonts w:ascii="Times New Roman" w:hAnsi="Times New Roman" w:cs="Times New Roman"/>
                <w:lang w:val="lv-LV"/>
              </w:rPr>
            </w:pPr>
          </w:p>
        </w:tc>
        <w:tc>
          <w:tcPr>
            <w:tcW w:w="1475" w:type="dxa"/>
            <w:shd w:val="clear" w:color="auto" w:fill="FFFFFF"/>
            <w:vAlign w:val="bottom"/>
          </w:tcPr>
          <w:p w14:paraId="6589A40E" w14:textId="72623FB6" w:rsidR="002F409D" w:rsidRPr="005F0D6C" w:rsidRDefault="002F409D" w:rsidP="00E50D63">
            <w:pPr>
              <w:autoSpaceDE w:val="0"/>
              <w:autoSpaceDN w:val="0"/>
              <w:adjustRightInd w:val="0"/>
              <w:spacing w:line="320" w:lineRule="atLeast"/>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Kopējā uzticēšanās</w:t>
            </w:r>
          </w:p>
        </w:tc>
        <w:tc>
          <w:tcPr>
            <w:tcW w:w="2268" w:type="dxa"/>
            <w:shd w:val="clear" w:color="auto" w:fill="FFFFFF"/>
            <w:vAlign w:val="bottom"/>
          </w:tcPr>
          <w:p w14:paraId="6C67ACB0" w14:textId="3E3330BD" w:rsidR="002F409D" w:rsidRPr="005F0D6C" w:rsidRDefault="002F409D" w:rsidP="00E50D63">
            <w:pPr>
              <w:autoSpaceDE w:val="0"/>
              <w:autoSpaceDN w:val="0"/>
              <w:adjustRightInd w:val="0"/>
              <w:spacing w:line="320" w:lineRule="atLeast"/>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Kopējais situācijas vērtējums jomās</w:t>
            </w:r>
          </w:p>
        </w:tc>
      </w:tr>
      <w:tr w:rsidR="002F409D" w:rsidRPr="005F0D6C" w14:paraId="32CCC1FA" w14:textId="77777777" w:rsidTr="00866D94">
        <w:trPr>
          <w:cantSplit/>
          <w:jc w:val="center"/>
        </w:trPr>
        <w:tc>
          <w:tcPr>
            <w:tcW w:w="2117" w:type="dxa"/>
            <w:vMerge w:val="restart"/>
            <w:shd w:val="clear" w:color="auto" w:fill="FFFFFF"/>
          </w:tcPr>
          <w:p w14:paraId="482DEF00" w14:textId="4CE193CF" w:rsidR="002F409D" w:rsidRPr="005F0D6C" w:rsidRDefault="002F409D" w:rsidP="00E50D63">
            <w:pPr>
              <w:autoSpaceDE w:val="0"/>
              <w:autoSpaceDN w:val="0"/>
              <w:adjustRightInd w:val="0"/>
              <w:spacing w:line="320" w:lineRule="atLeast"/>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Kopējā uzticēšanās</w:t>
            </w:r>
          </w:p>
        </w:tc>
        <w:tc>
          <w:tcPr>
            <w:tcW w:w="2646" w:type="dxa"/>
            <w:shd w:val="clear" w:color="auto" w:fill="FFFFFF"/>
          </w:tcPr>
          <w:p w14:paraId="2536AC2B" w14:textId="0B9DB102" w:rsidR="002F409D" w:rsidRPr="005F0D6C" w:rsidRDefault="00866D94" w:rsidP="00E50D63">
            <w:pPr>
              <w:autoSpaceDE w:val="0"/>
              <w:autoSpaceDN w:val="0"/>
              <w:adjustRightInd w:val="0"/>
              <w:spacing w:line="320" w:lineRule="atLeast"/>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Pirsona korelācijas koef.</w:t>
            </w:r>
          </w:p>
        </w:tc>
        <w:tc>
          <w:tcPr>
            <w:tcW w:w="1475" w:type="dxa"/>
            <w:shd w:val="clear" w:color="auto" w:fill="FFFFFF"/>
            <w:vAlign w:val="center"/>
          </w:tcPr>
          <w:p w14:paraId="3D77A6F1" w14:textId="77777777" w:rsidR="002F409D" w:rsidRPr="005F0D6C" w:rsidRDefault="002F409D" w:rsidP="00E50D63">
            <w:pPr>
              <w:autoSpaceDE w:val="0"/>
              <w:autoSpaceDN w:val="0"/>
              <w:adjustRightInd w:val="0"/>
              <w:spacing w:line="320" w:lineRule="atLeast"/>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1</w:t>
            </w:r>
          </w:p>
        </w:tc>
        <w:tc>
          <w:tcPr>
            <w:tcW w:w="2268" w:type="dxa"/>
            <w:shd w:val="clear" w:color="auto" w:fill="FFFFFF"/>
            <w:vAlign w:val="center"/>
          </w:tcPr>
          <w:p w14:paraId="324C43AB" w14:textId="77777777" w:rsidR="002F409D" w:rsidRPr="005F0D6C" w:rsidRDefault="002F409D" w:rsidP="00E50D63">
            <w:pPr>
              <w:autoSpaceDE w:val="0"/>
              <w:autoSpaceDN w:val="0"/>
              <w:adjustRightInd w:val="0"/>
              <w:spacing w:line="320" w:lineRule="atLeast"/>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,447</w:t>
            </w:r>
            <w:r w:rsidRPr="005F0D6C">
              <w:rPr>
                <w:rFonts w:ascii="Times New Roman" w:hAnsi="Times New Roman" w:cs="Times New Roman"/>
                <w:color w:val="000000"/>
                <w:vertAlign w:val="superscript"/>
                <w:lang w:val="lv-LV"/>
              </w:rPr>
              <w:t>**</w:t>
            </w:r>
          </w:p>
        </w:tc>
      </w:tr>
      <w:tr w:rsidR="002F409D" w:rsidRPr="005F0D6C" w14:paraId="2A071539" w14:textId="77777777" w:rsidTr="00866D94">
        <w:trPr>
          <w:cantSplit/>
          <w:jc w:val="center"/>
        </w:trPr>
        <w:tc>
          <w:tcPr>
            <w:tcW w:w="2117" w:type="dxa"/>
            <w:vMerge/>
            <w:shd w:val="clear" w:color="auto" w:fill="FFFFFF"/>
          </w:tcPr>
          <w:p w14:paraId="743A58E7" w14:textId="77777777" w:rsidR="002F409D" w:rsidRPr="005F0D6C" w:rsidRDefault="002F409D" w:rsidP="00E50D63">
            <w:pPr>
              <w:autoSpaceDE w:val="0"/>
              <w:autoSpaceDN w:val="0"/>
              <w:adjustRightInd w:val="0"/>
              <w:spacing w:line="240" w:lineRule="auto"/>
              <w:jc w:val="both"/>
              <w:rPr>
                <w:rFonts w:ascii="Times New Roman" w:hAnsi="Times New Roman" w:cs="Times New Roman"/>
                <w:color w:val="000000"/>
                <w:lang w:val="lv-LV"/>
              </w:rPr>
            </w:pPr>
          </w:p>
        </w:tc>
        <w:tc>
          <w:tcPr>
            <w:tcW w:w="2646" w:type="dxa"/>
            <w:shd w:val="clear" w:color="auto" w:fill="FFFFFF"/>
          </w:tcPr>
          <w:p w14:paraId="7D7181E3" w14:textId="21F61F88" w:rsidR="002F409D" w:rsidRPr="005F0D6C" w:rsidRDefault="00866D94" w:rsidP="00E50D63">
            <w:pPr>
              <w:autoSpaceDE w:val="0"/>
              <w:autoSpaceDN w:val="0"/>
              <w:adjustRightInd w:val="0"/>
              <w:spacing w:line="320" w:lineRule="atLeast"/>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Stat. noz.</w:t>
            </w:r>
          </w:p>
        </w:tc>
        <w:tc>
          <w:tcPr>
            <w:tcW w:w="1475" w:type="dxa"/>
            <w:shd w:val="clear" w:color="auto" w:fill="FFFFFF"/>
            <w:vAlign w:val="center"/>
          </w:tcPr>
          <w:p w14:paraId="0690D7EE" w14:textId="77777777" w:rsidR="002F409D" w:rsidRPr="005F0D6C" w:rsidRDefault="002F409D" w:rsidP="00E50D63">
            <w:pPr>
              <w:autoSpaceDE w:val="0"/>
              <w:autoSpaceDN w:val="0"/>
              <w:adjustRightInd w:val="0"/>
              <w:spacing w:line="240" w:lineRule="auto"/>
              <w:jc w:val="both"/>
              <w:rPr>
                <w:rFonts w:ascii="Times New Roman" w:hAnsi="Times New Roman" w:cs="Times New Roman"/>
                <w:lang w:val="lv-LV"/>
              </w:rPr>
            </w:pPr>
          </w:p>
        </w:tc>
        <w:tc>
          <w:tcPr>
            <w:tcW w:w="2268" w:type="dxa"/>
            <w:shd w:val="clear" w:color="auto" w:fill="FFFFFF"/>
            <w:vAlign w:val="center"/>
          </w:tcPr>
          <w:p w14:paraId="7DB87FAD" w14:textId="77777777" w:rsidR="002F409D" w:rsidRPr="005F0D6C" w:rsidRDefault="002F409D" w:rsidP="00E50D63">
            <w:pPr>
              <w:autoSpaceDE w:val="0"/>
              <w:autoSpaceDN w:val="0"/>
              <w:adjustRightInd w:val="0"/>
              <w:spacing w:line="320" w:lineRule="atLeast"/>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,000</w:t>
            </w:r>
          </w:p>
        </w:tc>
      </w:tr>
      <w:tr w:rsidR="002F409D" w:rsidRPr="005F0D6C" w14:paraId="0BA5193D" w14:textId="77777777" w:rsidTr="00866D94">
        <w:trPr>
          <w:cantSplit/>
          <w:jc w:val="center"/>
        </w:trPr>
        <w:tc>
          <w:tcPr>
            <w:tcW w:w="2117" w:type="dxa"/>
            <w:vMerge/>
            <w:shd w:val="clear" w:color="auto" w:fill="FFFFFF"/>
          </w:tcPr>
          <w:p w14:paraId="6CC5EB78" w14:textId="77777777" w:rsidR="002F409D" w:rsidRPr="005F0D6C" w:rsidRDefault="002F409D" w:rsidP="00E50D63">
            <w:pPr>
              <w:autoSpaceDE w:val="0"/>
              <w:autoSpaceDN w:val="0"/>
              <w:adjustRightInd w:val="0"/>
              <w:spacing w:line="240" w:lineRule="auto"/>
              <w:jc w:val="both"/>
              <w:rPr>
                <w:rFonts w:ascii="Times New Roman" w:hAnsi="Times New Roman" w:cs="Times New Roman"/>
                <w:color w:val="000000"/>
                <w:lang w:val="lv-LV"/>
              </w:rPr>
            </w:pPr>
          </w:p>
        </w:tc>
        <w:tc>
          <w:tcPr>
            <w:tcW w:w="2646" w:type="dxa"/>
            <w:shd w:val="clear" w:color="auto" w:fill="FFFFFF"/>
          </w:tcPr>
          <w:p w14:paraId="7FE74A88" w14:textId="77777777" w:rsidR="002F409D" w:rsidRPr="005F0D6C" w:rsidRDefault="002F409D" w:rsidP="00E50D63">
            <w:pPr>
              <w:autoSpaceDE w:val="0"/>
              <w:autoSpaceDN w:val="0"/>
              <w:adjustRightInd w:val="0"/>
              <w:spacing w:line="320" w:lineRule="atLeast"/>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N</w:t>
            </w:r>
          </w:p>
        </w:tc>
        <w:tc>
          <w:tcPr>
            <w:tcW w:w="1475" w:type="dxa"/>
            <w:shd w:val="clear" w:color="auto" w:fill="FFFFFF"/>
            <w:vAlign w:val="center"/>
          </w:tcPr>
          <w:p w14:paraId="672351FE" w14:textId="77777777" w:rsidR="002F409D" w:rsidRPr="005F0D6C" w:rsidRDefault="002F409D" w:rsidP="00E50D63">
            <w:pPr>
              <w:autoSpaceDE w:val="0"/>
              <w:autoSpaceDN w:val="0"/>
              <w:adjustRightInd w:val="0"/>
              <w:spacing w:line="320" w:lineRule="atLeast"/>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1005</w:t>
            </w:r>
          </w:p>
        </w:tc>
        <w:tc>
          <w:tcPr>
            <w:tcW w:w="2268" w:type="dxa"/>
            <w:shd w:val="clear" w:color="auto" w:fill="FFFFFF"/>
            <w:vAlign w:val="center"/>
          </w:tcPr>
          <w:p w14:paraId="510D7096" w14:textId="77777777" w:rsidR="002F409D" w:rsidRPr="005F0D6C" w:rsidRDefault="002F409D" w:rsidP="00E50D63">
            <w:pPr>
              <w:autoSpaceDE w:val="0"/>
              <w:autoSpaceDN w:val="0"/>
              <w:adjustRightInd w:val="0"/>
              <w:spacing w:line="320" w:lineRule="atLeast"/>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993</w:t>
            </w:r>
          </w:p>
        </w:tc>
      </w:tr>
      <w:tr w:rsidR="00866D94" w:rsidRPr="005F0D6C" w14:paraId="42884E98" w14:textId="77777777" w:rsidTr="00866D94">
        <w:trPr>
          <w:cantSplit/>
          <w:jc w:val="center"/>
        </w:trPr>
        <w:tc>
          <w:tcPr>
            <w:tcW w:w="2117" w:type="dxa"/>
            <w:vMerge w:val="restart"/>
            <w:shd w:val="clear" w:color="auto" w:fill="FFFFFF"/>
          </w:tcPr>
          <w:p w14:paraId="57C5FE78" w14:textId="04F03B2D" w:rsidR="00866D94" w:rsidRPr="005F0D6C" w:rsidRDefault="00866D94" w:rsidP="00E50D63">
            <w:pPr>
              <w:autoSpaceDE w:val="0"/>
              <w:autoSpaceDN w:val="0"/>
              <w:adjustRightInd w:val="0"/>
              <w:spacing w:line="320" w:lineRule="atLeast"/>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Kopējais situācijas vērtējums jomās</w:t>
            </w:r>
          </w:p>
        </w:tc>
        <w:tc>
          <w:tcPr>
            <w:tcW w:w="2646" w:type="dxa"/>
            <w:shd w:val="clear" w:color="auto" w:fill="FFFFFF"/>
          </w:tcPr>
          <w:p w14:paraId="61C01C1B" w14:textId="165FDA43" w:rsidR="00866D94" w:rsidRPr="005F0D6C" w:rsidRDefault="00866D94" w:rsidP="00E50D63">
            <w:pPr>
              <w:autoSpaceDE w:val="0"/>
              <w:autoSpaceDN w:val="0"/>
              <w:adjustRightInd w:val="0"/>
              <w:spacing w:line="320" w:lineRule="atLeast"/>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Pirsona korelācijas koef.</w:t>
            </w:r>
          </w:p>
        </w:tc>
        <w:tc>
          <w:tcPr>
            <w:tcW w:w="1475" w:type="dxa"/>
            <w:shd w:val="clear" w:color="auto" w:fill="FFFFFF"/>
            <w:vAlign w:val="center"/>
          </w:tcPr>
          <w:p w14:paraId="220321D6" w14:textId="77777777" w:rsidR="00866D94" w:rsidRPr="005F0D6C" w:rsidRDefault="00866D94" w:rsidP="00E50D63">
            <w:pPr>
              <w:autoSpaceDE w:val="0"/>
              <w:autoSpaceDN w:val="0"/>
              <w:adjustRightInd w:val="0"/>
              <w:spacing w:line="320" w:lineRule="atLeast"/>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,447</w:t>
            </w:r>
            <w:r w:rsidRPr="005F0D6C">
              <w:rPr>
                <w:rFonts w:ascii="Times New Roman" w:hAnsi="Times New Roman" w:cs="Times New Roman"/>
                <w:color w:val="000000"/>
                <w:vertAlign w:val="superscript"/>
                <w:lang w:val="lv-LV"/>
              </w:rPr>
              <w:t>**</w:t>
            </w:r>
          </w:p>
        </w:tc>
        <w:tc>
          <w:tcPr>
            <w:tcW w:w="2268" w:type="dxa"/>
            <w:shd w:val="clear" w:color="auto" w:fill="FFFFFF"/>
            <w:vAlign w:val="center"/>
          </w:tcPr>
          <w:p w14:paraId="6D35C30A" w14:textId="77777777" w:rsidR="00866D94" w:rsidRPr="005F0D6C" w:rsidRDefault="00866D94" w:rsidP="00E50D63">
            <w:pPr>
              <w:autoSpaceDE w:val="0"/>
              <w:autoSpaceDN w:val="0"/>
              <w:adjustRightInd w:val="0"/>
              <w:spacing w:line="320" w:lineRule="atLeast"/>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1</w:t>
            </w:r>
          </w:p>
        </w:tc>
      </w:tr>
      <w:tr w:rsidR="00866D94" w:rsidRPr="005F0D6C" w14:paraId="5EF01114" w14:textId="77777777" w:rsidTr="00866D94">
        <w:trPr>
          <w:cantSplit/>
          <w:jc w:val="center"/>
        </w:trPr>
        <w:tc>
          <w:tcPr>
            <w:tcW w:w="2117" w:type="dxa"/>
            <w:vMerge/>
            <w:shd w:val="clear" w:color="auto" w:fill="FFFFFF"/>
          </w:tcPr>
          <w:p w14:paraId="023BEFB8" w14:textId="77777777" w:rsidR="00866D94" w:rsidRPr="005F0D6C" w:rsidRDefault="00866D94" w:rsidP="00E50D63">
            <w:pPr>
              <w:autoSpaceDE w:val="0"/>
              <w:autoSpaceDN w:val="0"/>
              <w:adjustRightInd w:val="0"/>
              <w:spacing w:line="240" w:lineRule="auto"/>
              <w:jc w:val="both"/>
              <w:rPr>
                <w:rFonts w:ascii="Times New Roman" w:hAnsi="Times New Roman" w:cs="Times New Roman"/>
                <w:color w:val="000000"/>
                <w:lang w:val="lv-LV"/>
              </w:rPr>
            </w:pPr>
          </w:p>
        </w:tc>
        <w:tc>
          <w:tcPr>
            <w:tcW w:w="2646" w:type="dxa"/>
            <w:shd w:val="clear" w:color="auto" w:fill="FFFFFF"/>
          </w:tcPr>
          <w:p w14:paraId="506818CB" w14:textId="194C21C8" w:rsidR="00866D94" w:rsidRPr="005F0D6C" w:rsidRDefault="00866D94" w:rsidP="00E50D63">
            <w:pPr>
              <w:autoSpaceDE w:val="0"/>
              <w:autoSpaceDN w:val="0"/>
              <w:adjustRightInd w:val="0"/>
              <w:spacing w:line="320" w:lineRule="atLeast"/>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Stat. noz.</w:t>
            </w:r>
          </w:p>
        </w:tc>
        <w:tc>
          <w:tcPr>
            <w:tcW w:w="1475" w:type="dxa"/>
            <w:shd w:val="clear" w:color="auto" w:fill="FFFFFF"/>
            <w:vAlign w:val="center"/>
          </w:tcPr>
          <w:p w14:paraId="448C115E" w14:textId="77777777" w:rsidR="00866D94" w:rsidRPr="005F0D6C" w:rsidRDefault="00866D94" w:rsidP="00E50D63">
            <w:pPr>
              <w:autoSpaceDE w:val="0"/>
              <w:autoSpaceDN w:val="0"/>
              <w:adjustRightInd w:val="0"/>
              <w:spacing w:line="320" w:lineRule="atLeast"/>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,000</w:t>
            </w:r>
          </w:p>
        </w:tc>
        <w:tc>
          <w:tcPr>
            <w:tcW w:w="2268" w:type="dxa"/>
            <w:shd w:val="clear" w:color="auto" w:fill="FFFFFF"/>
            <w:vAlign w:val="center"/>
          </w:tcPr>
          <w:p w14:paraId="4C832A06" w14:textId="77777777" w:rsidR="00866D94" w:rsidRPr="005F0D6C" w:rsidRDefault="00866D94" w:rsidP="00E50D63">
            <w:pPr>
              <w:autoSpaceDE w:val="0"/>
              <w:autoSpaceDN w:val="0"/>
              <w:adjustRightInd w:val="0"/>
              <w:spacing w:line="240" w:lineRule="auto"/>
              <w:jc w:val="both"/>
              <w:rPr>
                <w:rFonts w:ascii="Times New Roman" w:hAnsi="Times New Roman" w:cs="Times New Roman"/>
                <w:lang w:val="lv-LV"/>
              </w:rPr>
            </w:pPr>
          </w:p>
        </w:tc>
      </w:tr>
      <w:tr w:rsidR="002F409D" w:rsidRPr="005F0D6C" w14:paraId="7FBA07D3" w14:textId="77777777" w:rsidTr="00866D94">
        <w:trPr>
          <w:cantSplit/>
          <w:jc w:val="center"/>
        </w:trPr>
        <w:tc>
          <w:tcPr>
            <w:tcW w:w="2117" w:type="dxa"/>
            <w:vMerge/>
            <w:shd w:val="clear" w:color="auto" w:fill="FFFFFF"/>
          </w:tcPr>
          <w:p w14:paraId="3ACC117F" w14:textId="77777777" w:rsidR="002F409D" w:rsidRPr="005F0D6C" w:rsidRDefault="002F409D" w:rsidP="00E50D63">
            <w:pPr>
              <w:autoSpaceDE w:val="0"/>
              <w:autoSpaceDN w:val="0"/>
              <w:adjustRightInd w:val="0"/>
              <w:spacing w:line="240" w:lineRule="auto"/>
              <w:jc w:val="both"/>
              <w:rPr>
                <w:rFonts w:ascii="Times New Roman" w:hAnsi="Times New Roman" w:cs="Times New Roman"/>
                <w:lang w:val="lv-LV"/>
              </w:rPr>
            </w:pPr>
          </w:p>
        </w:tc>
        <w:tc>
          <w:tcPr>
            <w:tcW w:w="2646" w:type="dxa"/>
            <w:shd w:val="clear" w:color="auto" w:fill="FFFFFF"/>
          </w:tcPr>
          <w:p w14:paraId="41C7F7D3" w14:textId="77777777" w:rsidR="002F409D" w:rsidRPr="005F0D6C" w:rsidRDefault="002F409D" w:rsidP="00E50D63">
            <w:pPr>
              <w:autoSpaceDE w:val="0"/>
              <w:autoSpaceDN w:val="0"/>
              <w:adjustRightInd w:val="0"/>
              <w:spacing w:line="320" w:lineRule="atLeast"/>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N</w:t>
            </w:r>
          </w:p>
        </w:tc>
        <w:tc>
          <w:tcPr>
            <w:tcW w:w="1475" w:type="dxa"/>
            <w:shd w:val="clear" w:color="auto" w:fill="FFFFFF"/>
            <w:vAlign w:val="center"/>
          </w:tcPr>
          <w:p w14:paraId="2F7B2675" w14:textId="77777777" w:rsidR="002F409D" w:rsidRPr="005F0D6C" w:rsidRDefault="002F409D" w:rsidP="00E50D63">
            <w:pPr>
              <w:autoSpaceDE w:val="0"/>
              <w:autoSpaceDN w:val="0"/>
              <w:adjustRightInd w:val="0"/>
              <w:spacing w:line="320" w:lineRule="atLeast"/>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993</w:t>
            </w:r>
          </w:p>
        </w:tc>
        <w:tc>
          <w:tcPr>
            <w:tcW w:w="2268" w:type="dxa"/>
            <w:shd w:val="clear" w:color="auto" w:fill="FFFFFF"/>
            <w:vAlign w:val="center"/>
          </w:tcPr>
          <w:p w14:paraId="227F10F3" w14:textId="77777777" w:rsidR="002F409D" w:rsidRPr="005F0D6C" w:rsidRDefault="002F409D" w:rsidP="00E50D63">
            <w:pPr>
              <w:autoSpaceDE w:val="0"/>
              <w:autoSpaceDN w:val="0"/>
              <w:adjustRightInd w:val="0"/>
              <w:spacing w:line="320" w:lineRule="atLeast"/>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1000</w:t>
            </w:r>
          </w:p>
        </w:tc>
      </w:tr>
      <w:tr w:rsidR="00866D94" w:rsidRPr="005F0D6C" w14:paraId="730EA882" w14:textId="77777777" w:rsidTr="00866D94">
        <w:trPr>
          <w:cantSplit/>
          <w:jc w:val="center"/>
        </w:trPr>
        <w:tc>
          <w:tcPr>
            <w:tcW w:w="8506" w:type="dxa"/>
            <w:gridSpan w:val="4"/>
            <w:shd w:val="clear" w:color="auto" w:fill="FFFFFF"/>
          </w:tcPr>
          <w:p w14:paraId="1ECB29C8" w14:textId="5FD9ABC3" w:rsidR="00866D94" w:rsidRPr="005F0D6C" w:rsidRDefault="00866D94" w:rsidP="00E50D63">
            <w:pPr>
              <w:autoSpaceDE w:val="0"/>
              <w:autoSpaceDN w:val="0"/>
              <w:adjustRightInd w:val="0"/>
              <w:spacing w:line="320" w:lineRule="atLeast"/>
              <w:ind w:left="60" w:right="60"/>
              <w:jc w:val="both"/>
              <w:rPr>
                <w:rFonts w:ascii="Times New Roman" w:hAnsi="Times New Roman" w:cs="Times New Roman"/>
                <w:color w:val="000000"/>
                <w:lang w:val="lv-LV"/>
              </w:rPr>
            </w:pPr>
            <w:r w:rsidRPr="005F0D6C">
              <w:rPr>
                <w:rFonts w:ascii="Times New Roman" w:hAnsi="Times New Roman" w:cs="Times New Roman"/>
                <w:color w:val="000000"/>
                <w:lang w:val="lv-LV"/>
              </w:rPr>
              <w:t>**. Korelācija ir statistiski nozīmīga 0,01 līmenī.</w:t>
            </w:r>
          </w:p>
        </w:tc>
      </w:tr>
    </w:tbl>
    <w:p w14:paraId="14636EAD" w14:textId="77777777" w:rsidR="002F409D" w:rsidRPr="005F0D6C" w:rsidRDefault="002F409D" w:rsidP="00E50D63">
      <w:pPr>
        <w:autoSpaceDE w:val="0"/>
        <w:autoSpaceDN w:val="0"/>
        <w:adjustRightInd w:val="0"/>
        <w:spacing w:line="400" w:lineRule="atLeast"/>
        <w:jc w:val="both"/>
        <w:rPr>
          <w:rFonts w:ascii="Times New Roman" w:hAnsi="Times New Roman" w:cs="Times New Roman"/>
          <w:sz w:val="24"/>
          <w:szCs w:val="24"/>
          <w:lang w:val="lv-LV"/>
        </w:rPr>
      </w:pPr>
    </w:p>
    <w:p w14:paraId="032A004E" w14:textId="749DE25E" w:rsidR="00EE1E15" w:rsidRPr="005F0D6C" w:rsidRDefault="001E6312" w:rsidP="00E50D63">
      <w:pPr>
        <w:spacing w:before="120" w:after="120" w:line="360" w:lineRule="auto"/>
        <w:jc w:val="both"/>
        <w:rPr>
          <w:rFonts w:ascii="Times New Roman" w:hAnsi="Times New Roman" w:cs="Times New Roman"/>
          <w:sz w:val="24"/>
          <w:szCs w:val="24"/>
          <w:lang w:val="lv-LV"/>
        </w:rPr>
      </w:pPr>
      <w:r w:rsidRPr="005F0D6C">
        <w:rPr>
          <w:rFonts w:ascii="Times New Roman" w:hAnsi="Times New Roman" w:cs="Times New Roman"/>
          <w:sz w:val="24"/>
          <w:szCs w:val="24"/>
          <w:lang w:val="lv-LV"/>
        </w:rPr>
        <w:t xml:space="preserve">Visbeidzot, ir jāaplūko korelācija starp </w:t>
      </w:r>
      <w:r w:rsidR="00523E70" w:rsidRPr="005F0D6C">
        <w:rPr>
          <w:rFonts w:ascii="Times New Roman" w:hAnsi="Times New Roman" w:cs="Times New Roman"/>
          <w:sz w:val="24"/>
          <w:szCs w:val="24"/>
          <w:lang w:val="lv-LV"/>
        </w:rPr>
        <w:t>politisko uzticēšanos (kā arī tās dimensijām) un prioritāšu izvēlēm cīņā ar Covid-19 pandēmiju. Ņemot vērā, ka visi korelācijās iesaistāmie mainīgie ir intervāla līmenī, ir lietojams Pirsona korelācijas koeficients.</w:t>
      </w:r>
    </w:p>
    <w:p w14:paraId="68021DC4" w14:textId="3A7EA3A0" w:rsidR="00523E70" w:rsidRPr="005F0D6C" w:rsidRDefault="00856DE5" w:rsidP="00523E70">
      <w:pPr>
        <w:spacing w:before="120" w:after="120" w:line="360" w:lineRule="auto"/>
        <w:jc w:val="center"/>
        <w:rPr>
          <w:rFonts w:ascii="Times New Roman" w:hAnsi="Times New Roman" w:cs="Times New Roman"/>
          <w:i/>
          <w:sz w:val="24"/>
          <w:szCs w:val="24"/>
          <w:lang w:val="lv-LV"/>
        </w:rPr>
      </w:pPr>
      <w:r w:rsidRPr="005F0D6C">
        <w:rPr>
          <w:rFonts w:ascii="Times New Roman" w:hAnsi="Times New Roman" w:cs="Times New Roman"/>
          <w:i/>
          <w:sz w:val="24"/>
          <w:szCs w:val="24"/>
          <w:lang w:val="lv-LV"/>
        </w:rPr>
        <w:t>6.tabula.</w:t>
      </w:r>
      <w:r w:rsidR="00523E70" w:rsidRPr="005F0D6C">
        <w:rPr>
          <w:rFonts w:ascii="Times New Roman" w:hAnsi="Times New Roman" w:cs="Times New Roman"/>
          <w:i/>
          <w:sz w:val="24"/>
          <w:szCs w:val="24"/>
          <w:lang w:val="lv-LV"/>
        </w:rPr>
        <w:t xml:space="preserve"> Korelācija starp uzticēšanās veidiem un </w:t>
      </w:r>
      <w:r w:rsidR="00523E70" w:rsidRPr="005F0D6C">
        <w:rPr>
          <w:rFonts w:ascii="Times New Roman" w:hAnsi="Times New Roman" w:cs="Times New Roman"/>
          <w:i/>
          <w:sz w:val="24"/>
          <w:szCs w:val="24"/>
          <w:lang w:val="lv-LV"/>
        </w:rPr>
        <w:t>prioritāšu izvēlēm cīņā ar Covid-19</w:t>
      </w:r>
    </w:p>
    <w:tbl>
      <w:tblPr>
        <w:tblStyle w:val="Reatabula"/>
        <w:tblW w:w="0" w:type="auto"/>
        <w:jc w:val="center"/>
        <w:tblLook w:val="04A0" w:firstRow="1" w:lastRow="0" w:firstColumn="1" w:lastColumn="0" w:noHBand="0" w:noVBand="1"/>
      </w:tblPr>
      <w:tblGrid>
        <w:gridCol w:w="1273"/>
        <w:gridCol w:w="1218"/>
        <w:gridCol w:w="2120"/>
        <w:gridCol w:w="2120"/>
        <w:gridCol w:w="2120"/>
      </w:tblGrid>
      <w:tr w:rsidR="00523E70" w:rsidRPr="005F0D6C" w14:paraId="32D95161" w14:textId="77777777" w:rsidTr="00523E70">
        <w:trPr>
          <w:trHeight w:val="1906"/>
          <w:jc w:val="center"/>
        </w:trPr>
        <w:tc>
          <w:tcPr>
            <w:tcW w:w="1273" w:type="dxa"/>
            <w:vAlign w:val="center"/>
            <w:hideMark/>
          </w:tcPr>
          <w:p w14:paraId="53F63D16" w14:textId="77777777" w:rsidR="00523E70" w:rsidRPr="005F0D6C" w:rsidRDefault="00523E70" w:rsidP="00523E70">
            <w:pPr>
              <w:jc w:val="both"/>
              <w:rPr>
                <w:rFonts w:ascii="Times New Roman" w:hAnsi="Times New Roman" w:cs="Times New Roman"/>
              </w:rPr>
            </w:pPr>
          </w:p>
        </w:tc>
        <w:tc>
          <w:tcPr>
            <w:tcW w:w="1218" w:type="dxa"/>
            <w:vAlign w:val="center"/>
            <w:hideMark/>
          </w:tcPr>
          <w:p w14:paraId="28924E62" w14:textId="77777777" w:rsidR="00523E70" w:rsidRPr="005F0D6C" w:rsidRDefault="00523E70" w:rsidP="00523E70">
            <w:pPr>
              <w:jc w:val="both"/>
              <w:rPr>
                <w:rFonts w:ascii="Times New Roman" w:hAnsi="Times New Roman" w:cs="Times New Roman"/>
              </w:rPr>
            </w:pPr>
          </w:p>
        </w:tc>
        <w:tc>
          <w:tcPr>
            <w:tcW w:w="2120" w:type="dxa"/>
            <w:vAlign w:val="center"/>
            <w:hideMark/>
          </w:tcPr>
          <w:p w14:paraId="0FD5D3D4" w14:textId="77777777" w:rsidR="00523E70" w:rsidRPr="005F0D6C" w:rsidRDefault="00523E70" w:rsidP="00523E70">
            <w:pPr>
              <w:jc w:val="both"/>
              <w:rPr>
                <w:rFonts w:ascii="Times New Roman" w:hAnsi="Times New Roman" w:cs="Times New Roman"/>
              </w:rPr>
            </w:pPr>
            <w:r w:rsidRPr="005F0D6C">
              <w:rPr>
                <w:rFonts w:ascii="Times New Roman" w:hAnsi="Times New Roman" w:cs="Times New Roman"/>
              </w:rPr>
              <w:t>Vai cīņā pret pandēmiju ir svarīgāk par prioritāti izvirzīt sabiedrības veselību vai saimniecisko darbību?</w:t>
            </w:r>
          </w:p>
        </w:tc>
        <w:tc>
          <w:tcPr>
            <w:tcW w:w="2120" w:type="dxa"/>
            <w:vAlign w:val="center"/>
            <w:hideMark/>
          </w:tcPr>
          <w:p w14:paraId="192C37C5" w14:textId="77777777" w:rsidR="00523E70" w:rsidRPr="005F0D6C" w:rsidRDefault="00523E70" w:rsidP="00523E70">
            <w:pPr>
              <w:jc w:val="both"/>
              <w:rPr>
                <w:rFonts w:ascii="Times New Roman" w:hAnsi="Times New Roman" w:cs="Times New Roman"/>
              </w:rPr>
            </w:pPr>
            <w:r w:rsidRPr="005F0D6C">
              <w:rPr>
                <w:rFonts w:ascii="Times New Roman" w:hAnsi="Times New Roman" w:cs="Times New Roman"/>
              </w:rPr>
              <w:t>Vai cīņā ar pandēmiju valdībām ir svarīgāk uzraudzīt un izsekot sabiedrību vai nodrošināt sabiedrības privātumu?</w:t>
            </w:r>
          </w:p>
        </w:tc>
        <w:tc>
          <w:tcPr>
            <w:tcW w:w="2120" w:type="dxa"/>
            <w:vAlign w:val="center"/>
            <w:hideMark/>
          </w:tcPr>
          <w:p w14:paraId="50644C8B" w14:textId="77777777" w:rsidR="00523E70" w:rsidRPr="005F0D6C" w:rsidRDefault="00523E70" w:rsidP="00523E70">
            <w:pPr>
              <w:jc w:val="both"/>
              <w:rPr>
                <w:rFonts w:ascii="Times New Roman" w:hAnsi="Times New Roman" w:cs="Times New Roman"/>
              </w:rPr>
            </w:pPr>
            <w:r w:rsidRPr="005F0D6C">
              <w:rPr>
                <w:rFonts w:ascii="Times New Roman" w:hAnsi="Times New Roman" w:cs="Times New Roman"/>
              </w:rPr>
              <w:t>Vai Jums personīgi ir svarīgāk ievērot valdības noteikumus vai pieņemt savus lēmumus cīņā ar pandēmiju?</w:t>
            </w:r>
          </w:p>
        </w:tc>
      </w:tr>
      <w:tr w:rsidR="00523E70" w:rsidRPr="005F0D6C" w14:paraId="07BDB92B" w14:textId="77777777" w:rsidTr="00523E70">
        <w:trPr>
          <w:trHeight w:val="300"/>
          <w:jc w:val="center"/>
        </w:trPr>
        <w:tc>
          <w:tcPr>
            <w:tcW w:w="1273" w:type="dxa"/>
            <w:vMerge w:val="restart"/>
            <w:noWrap/>
            <w:vAlign w:val="center"/>
            <w:hideMark/>
          </w:tcPr>
          <w:p w14:paraId="5613CAC2" w14:textId="77777777" w:rsidR="00523E70" w:rsidRPr="005F0D6C" w:rsidRDefault="00523E70" w:rsidP="00523E70">
            <w:pPr>
              <w:jc w:val="both"/>
              <w:rPr>
                <w:rFonts w:ascii="Times New Roman" w:hAnsi="Times New Roman" w:cs="Times New Roman"/>
              </w:rPr>
            </w:pPr>
            <w:r w:rsidRPr="005F0D6C">
              <w:rPr>
                <w:rFonts w:ascii="Times New Roman" w:hAnsi="Times New Roman" w:cs="Times New Roman"/>
              </w:rPr>
              <w:t>Uzticēšanās politiskās varas institūcijām</w:t>
            </w:r>
          </w:p>
        </w:tc>
        <w:tc>
          <w:tcPr>
            <w:tcW w:w="1218" w:type="dxa"/>
            <w:noWrap/>
            <w:vAlign w:val="center"/>
            <w:hideMark/>
          </w:tcPr>
          <w:p w14:paraId="50564A1E" w14:textId="77777777" w:rsidR="00523E70" w:rsidRPr="005F0D6C" w:rsidRDefault="00523E70" w:rsidP="00523E70">
            <w:pPr>
              <w:jc w:val="both"/>
              <w:rPr>
                <w:rFonts w:ascii="Times New Roman" w:hAnsi="Times New Roman" w:cs="Times New Roman"/>
              </w:rPr>
            </w:pPr>
            <w:r w:rsidRPr="005F0D6C">
              <w:rPr>
                <w:rFonts w:ascii="Times New Roman" w:hAnsi="Times New Roman" w:cs="Times New Roman"/>
              </w:rPr>
              <w:t>Pearson Correlation</w:t>
            </w:r>
          </w:p>
        </w:tc>
        <w:tc>
          <w:tcPr>
            <w:tcW w:w="2120" w:type="dxa"/>
            <w:noWrap/>
            <w:vAlign w:val="center"/>
            <w:hideMark/>
          </w:tcPr>
          <w:p w14:paraId="19665258" w14:textId="77777777" w:rsidR="00523E70" w:rsidRPr="005F0D6C" w:rsidRDefault="00523E70" w:rsidP="00523E70">
            <w:pPr>
              <w:jc w:val="right"/>
              <w:rPr>
                <w:rFonts w:ascii="Times New Roman" w:hAnsi="Times New Roman" w:cs="Times New Roman"/>
              </w:rPr>
            </w:pPr>
            <w:r w:rsidRPr="005F0D6C">
              <w:rPr>
                <w:rFonts w:ascii="Times New Roman" w:hAnsi="Times New Roman" w:cs="Times New Roman"/>
              </w:rPr>
              <w:t>-0.029</w:t>
            </w:r>
          </w:p>
        </w:tc>
        <w:tc>
          <w:tcPr>
            <w:tcW w:w="2120" w:type="dxa"/>
            <w:noWrap/>
            <w:vAlign w:val="center"/>
            <w:hideMark/>
          </w:tcPr>
          <w:p w14:paraId="0571AD99" w14:textId="77777777" w:rsidR="00523E70" w:rsidRPr="005F0D6C" w:rsidRDefault="00523E70" w:rsidP="00523E70">
            <w:pPr>
              <w:jc w:val="right"/>
              <w:rPr>
                <w:rFonts w:ascii="Times New Roman" w:hAnsi="Times New Roman" w:cs="Times New Roman"/>
                <w:b/>
              </w:rPr>
            </w:pPr>
            <w:r w:rsidRPr="005F0D6C">
              <w:rPr>
                <w:rFonts w:ascii="Times New Roman" w:hAnsi="Times New Roman" w:cs="Times New Roman"/>
                <w:b/>
              </w:rPr>
              <w:t>-,146**</w:t>
            </w:r>
          </w:p>
        </w:tc>
        <w:tc>
          <w:tcPr>
            <w:tcW w:w="2120" w:type="dxa"/>
            <w:noWrap/>
            <w:vAlign w:val="center"/>
            <w:hideMark/>
          </w:tcPr>
          <w:p w14:paraId="751D7FD3" w14:textId="77777777" w:rsidR="00523E70" w:rsidRPr="005F0D6C" w:rsidRDefault="00523E70" w:rsidP="00523E70">
            <w:pPr>
              <w:jc w:val="right"/>
              <w:rPr>
                <w:rFonts w:ascii="Times New Roman" w:hAnsi="Times New Roman" w:cs="Times New Roman"/>
                <w:b/>
              </w:rPr>
            </w:pPr>
            <w:r w:rsidRPr="005F0D6C">
              <w:rPr>
                <w:rFonts w:ascii="Times New Roman" w:hAnsi="Times New Roman" w:cs="Times New Roman"/>
                <w:b/>
              </w:rPr>
              <w:t>-,251**</w:t>
            </w:r>
          </w:p>
        </w:tc>
      </w:tr>
      <w:tr w:rsidR="00523E70" w:rsidRPr="005F0D6C" w14:paraId="46E98183" w14:textId="77777777" w:rsidTr="00523E70">
        <w:trPr>
          <w:trHeight w:val="300"/>
          <w:jc w:val="center"/>
        </w:trPr>
        <w:tc>
          <w:tcPr>
            <w:tcW w:w="1273" w:type="dxa"/>
            <w:vMerge/>
            <w:noWrap/>
            <w:vAlign w:val="center"/>
            <w:hideMark/>
          </w:tcPr>
          <w:p w14:paraId="14754F4F" w14:textId="77777777" w:rsidR="00523E70" w:rsidRPr="005F0D6C" w:rsidRDefault="00523E70" w:rsidP="00523E70">
            <w:pPr>
              <w:jc w:val="both"/>
              <w:rPr>
                <w:rFonts w:ascii="Times New Roman" w:hAnsi="Times New Roman" w:cs="Times New Roman"/>
              </w:rPr>
            </w:pPr>
          </w:p>
        </w:tc>
        <w:tc>
          <w:tcPr>
            <w:tcW w:w="1218" w:type="dxa"/>
            <w:noWrap/>
            <w:vAlign w:val="center"/>
            <w:hideMark/>
          </w:tcPr>
          <w:p w14:paraId="73705560" w14:textId="77777777" w:rsidR="00523E70" w:rsidRPr="005F0D6C" w:rsidRDefault="00523E70" w:rsidP="00523E70">
            <w:pPr>
              <w:jc w:val="both"/>
              <w:rPr>
                <w:rFonts w:ascii="Times New Roman" w:hAnsi="Times New Roman" w:cs="Times New Roman"/>
              </w:rPr>
            </w:pPr>
            <w:r w:rsidRPr="005F0D6C">
              <w:rPr>
                <w:rFonts w:ascii="Times New Roman" w:hAnsi="Times New Roman" w:cs="Times New Roman"/>
              </w:rPr>
              <w:t>Sig. (2-tailed)</w:t>
            </w:r>
          </w:p>
        </w:tc>
        <w:tc>
          <w:tcPr>
            <w:tcW w:w="2120" w:type="dxa"/>
            <w:noWrap/>
            <w:vAlign w:val="center"/>
            <w:hideMark/>
          </w:tcPr>
          <w:p w14:paraId="37882F40" w14:textId="77777777" w:rsidR="00523E70" w:rsidRPr="005F0D6C" w:rsidRDefault="00523E70" w:rsidP="00523E70">
            <w:pPr>
              <w:jc w:val="right"/>
              <w:rPr>
                <w:rFonts w:ascii="Times New Roman" w:hAnsi="Times New Roman" w:cs="Times New Roman"/>
              </w:rPr>
            </w:pPr>
            <w:r w:rsidRPr="005F0D6C">
              <w:rPr>
                <w:rFonts w:ascii="Times New Roman" w:hAnsi="Times New Roman" w:cs="Times New Roman"/>
              </w:rPr>
              <w:t>0.363</w:t>
            </w:r>
          </w:p>
        </w:tc>
        <w:tc>
          <w:tcPr>
            <w:tcW w:w="2120" w:type="dxa"/>
            <w:noWrap/>
            <w:vAlign w:val="center"/>
            <w:hideMark/>
          </w:tcPr>
          <w:p w14:paraId="7E8968F6" w14:textId="77777777" w:rsidR="00523E70" w:rsidRPr="005F0D6C" w:rsidRDefault="00523E70" w:rsidP="00523E70">
            <w:pPr>
              <w:jc w:val="right"/>
              <w:rPr>
                <w:rFonts w:ascii="Times New Roman" w:hAnsi="Times New Roman" w:cs="Times New Roman"/>
              </w:rPr>
            </w:pPr>
            <w:r w:rsidRPr="005F0D6C">
              <w:rPr>
                <w:rFonts w:ascii="Times New Roman" w:hAnsi="Times New Roman" w:cs="Times New Roman"/>
              </w:rPr>
              <w:t>0</w:t>
            </w:r>
          </w:p>
        </w:tc>
        <w:tc>
          <w:tcPr>
            <w:tcW w:w="2120" w:type="dxa"/>
            <w:noWrap/>
            <w:vAlign w:val="center"/>
            <w:hideMark/>
          </w:tcPr>
          <w:p w14:paraId="788CA6D7" w14:textId="77777777" w:rsidR="00523E70" w:rsidRPr="005F0D6C" w:rsidRDefault="00523E70" w:rsidP="00523E70">
            <w:pPr>
              <w:jc w:val="right"/>
              <w:rPr>
                <w:rFonts w:ascii="Times New Roman" w:hAnsi="Times New Roman" w:cs="Times New Roman"/>
              </w:rPr>
            </w:pPr>
            <w:r w:rsidRPr="005F0D6C">
              <w:rPr>
                <w:rFonts w:ascii="Times New Roman" w:hAnsi="Times New Roman" w:cs="Times New Roman"/>
              </w:rPr>
              <w:t>0</w:t>
            </w:r>
          </w:p>
        </w:tc>
      </w:tr>
      <w:tr w:rsidR="00523E70" w:rsidRPr="005F0D6C" w14:paraId="14028EFC" w14:textId="77777777" w:rsidTr="00523E70">
        <w:trPr>
          <w:trHeight w:val="300"/>
          <w:jc w:val="center"/>
        </w:trPr>
        <w:tc>
          <w:tcPr>
            <w:tcW w:w="1273" w:type="dxa"/>
            <w:vMerge/>
            <w:noWrap/>
            <w:vAlign w:val="center"/>
            <w:hideMark/>
          </w:tcPr>
          <w:p w14:paraId="071A5EBA" w14:textId="77777777" w:rsidR="00523E70" w:rsidRPr="005F0D6C" w:rsidRDefault="00523E70" w:rsidP="00523E70">
            <w:pPr>
              <w:jc w:val="both"/>
              <w:rPr>
                <w:rFonts w:ascii="Times New Roman" w:hAnsi="Times New Roman" w:cs="Times New Roman"/>
              </w:rPr>
            </w:pPr>
          </w:p>
        </w:tc>
        <w:tc>
          <w:tcPr>
            <w:tcW w:w="1218" w:type="dxa"/>
            <w:noWrap/>
            <w:vAlign w:val="center"/>
            <w:hideMark/>
          </w:tcPr>
          <w:p w14:paraId="19B0BAC6" w14:textId="77777777" w:rsidR="00523E70" w:rsidRPr="005F0D6C" w:rsidRDefault="00523E70" w:rsidP="00523E70">
            <w:pPr>
              <w:jc w:val="both"/>
              <w:rPr>
                <w:rFonts w:ascii="Times New Roman" w:hAnsi="Times New Roman" w:cs="Times New Roman"/>
              </w:rPr>
            </w:pPr>
            <w:r w:rsidRPr="005F0D6C">
              <w:rPr>
                <w:rFonts w:ascii="Times New Roman" w:hAnsi="Times New Roman" w:cs="Times New Roman"/>
              </w:rPr>
              <w:t>N</w:t>
            </w:r>
          </w:p>
        </w:tc>
        <w:tc>
          <w:tcPr>
            <w:tcW w:w="2120" w:type="dxa"/>
            <w:noWrap/>
            <w:vAlign w:val="center"/>
            <w:hideMark/>
          </w:tcPr>
          <w:p w14:paraId="2BF9F00F" w14:textId="77777777" w:rsidR="00523E70" w:rsidRPr="005F0D6C" w:rsidRDefault="00523E70" w:rsidP="00523E70">
            <w:pPr>
              <w:jc w:val="right"/>
              <w:rPr>
                <w:rFonts w:ascii="Times New Roman" w:hAnsi="Times New Roman" w:cs="Times New Roman"/>
              </w:rPr>
            </w:pPr>
            <w:r w:rsidRPr="005F0D6C">
              <w:rPr>
                <w:rFonts w:ascii="Times New Roman" w:hAnsi="Times New Roman" w:cs="Times New Roman"/>
              </w:rPr>
              <w:t>957</w:t>
            </w:r>
          </w:p>
        </w:tc>
        <w:tc>
          <w:tcPr>
            <w:tcW w:w="2120" w:type="dxa"/>
            <w:noWrap/>
            <w:vAlign w:val="center"/>
            <w:hideMark/>
          </w:tcPr>
          <w:p w14:paraId="2E7B36C8" w14:textId="77777777" w:rsidR="00523E70" w:rsidRPr="005F0D6C" w:rsidRDefault="00523E70" w:rsidP="00523E70">
            <w:pPr>
              <w:jc w:val="right"/>
              <w:rPr>
                <w:rFonts w:ascii="Times New Roman" w:hAnsi="Times New Roman" w:cs="Times New Roman"/>
              </w:rPr>
            </w:pPr>
            <w:r w:rsidRPr="005F0D6C">
              <w:rPr>
                <w:rFonts w:ascii="Times New Roman" w:hAnsi="Times New Roman" w:cs="Times New Roman"/>
              </w:rPr>
              <w:t>942</w:t>
            </w:r>
          </w:p>
        </w:tc>
        <w:tc>
          <w:tcPr>
            <w:tcW w:w="2120" w:type="dxa"/>
            <w:noWrap/>
            <w:vAlign w:val="center"/>
            <w:hideMark/>
          </w:tcPr>
          <w:p w14:paraId="47F16D7F" w14:textId="77777777" w:rsidR="00523E70" w:rsidRPr="005F0D6C" w:rsidRDefault="00523E70" w:rsidP="00523E70">
            <w:pPr>
              <w:jc w:val="right"/>
              <w:rPr>
                <w:rFonts w:ascii="Times New Roman" w:hAnsi="Times New Roman" w:cs="Times New Roman"/>
              </w:rPr>
            </w:pPr>
            <w:r w:rsidRPr="005F0D6C">
              <w:rPr>
                <w:rFonts w:ascii="Times New Roman" w:hAnsi="Times New Roman" w:cs="Times New Roman"/>
              </w:rPr>
              <w:t>959</w:t>
            </w:r>
          </w:p>
        </w:tc>
      </w:tr>
      <w:tr w:rsidR="00523E70" w:rsidRPr="005F0D6C" w14:paraId="1E8293E7" w14:textId="77777777" w:rsidTr="00523E70">
        <w:trPr>
          <w:trHeight w:val="300"/>
          <w:jc w:val="center"/>
        </w:trPr>
        <w:tc>
          <w:tcPr>
            <w:tcW w:w="1273" w:type="dxa"/>
            <w:vMerge w:val="restart"/>
            <w:noWrap/>
            <w:vAlign w:val="center"/>
            <w:hideMark/>
          </w:tcPr>
          <w:p w14:paraId="413417F6" w14:textId="77777777" w:rsidR="00523E70" w:rsidRPr="005F0D6C" w:rsidRDefault="00523E70" w:rsidP="00523E70">
            <w:pPr>
              <w:jc w:val="both"/>
              <w:rPr>
                <w:rFonts w:ascii="Times New Roman" w:hAnsi="Times New Roman" w:cs="Times New Roman"/>
              </w:rPr>
            </w:pPr>
            <w:r w:rsidRPr="005F0D6C">
              <w:rPr>
                <w:rFonts w:ascii="Times New Roman" w:hAnsi="Times New Roman" w:cs="Times New Roman"/>
              </w:rPr>
              <w:t>Uzticēšanās citām institūcijām</w:t>
            </w:r>
          </w:p>
        </w:tc>
        <w:tc>
          <w:tcPr>
            <w:tcW w:w="1218" w:type="dxa"/>
            <w:noWrap/>
            <w:vAlign w:val="center"/>
            <w:hideMark/>
          </w:tcPr>
          <w:p w14:paraId="06881DF9" w14:textId="77777777" w:rsidR="00523E70" w:rsidRPr="005F0D6C" w:rsidRDefault="00523E70" w:rsidP="00523E70">
            <w:pPr>
              <w:jc w:val="both"/>
              <w:rPr>
                <w:rFonts w:ascii="Times New Roman" w:hAnsi="Times New Roman" w:cs="Times New Roman"/>
              </w:rPr>
            </w:pPr>
            <w:r w:rsidRPr="005F0D6C">
              <w:rPr>
                <w:rFonts w:ascii="Times New Roman" w:hAnsi="Times New Roman" w:cs="Times New Roman"/>
              </w:rPr>
              <w:t>Pearson Correlation</w:t>
            </w:r>
          </w:p>
        </w:tc>
        <w:tc>
          <w:tcPr>
            <w:tcW w:w="2120" w:type="dxa"/>
            <w:noWrap/>
            <w:vAlign w:val="center"/>
            <w:hideMark/>
          </w:tcPr>
          <w:p w14:paraId="2EF2989F" w14:textId="77777777" w:rsidR="00523E70" w:rsidRPr="005F0D6C" w:rsidRDefault="00523E70" w:rsidP="00523E70">
            <w:pPr>
              <w:jc w:val="right"/>
              <w:rPr>
                <w:rFonts w:ascii="Times New Roman" w:hAnsi="Times New Roman" w:cs="Times New Roman"/>
              </w:rPr>
            </w:pPr>
            <w:r w:rsidRPr="005F0D6C">
              <w:rPr>
                <w:rFonts w:ascii="Times New Roman" w:hAnsi="Times New Roman" w:cs="Times New Roman"/>
              </w:rPr>
              <w:t>0.002</w:t>
            </w:r>
          </w:p>
        </w:tc>
        <w:tc>
          <w:tcPr>
            <w:tcW w:w="2120" w:type="dxa"/>
            <w:noWrap/>
            <w:vAlign w:val="center"/>
            <w:hideMark/>
          </w:tcPr>
          <w:p w14:paraId="2BD5EA53" w14:textId="77777777" w:rsidR="00523E70" w:rsidRPr="005F0D6C" w:rsidRDefault="00523E70" w:rsidP="00523E70">
            <w:pPr>
              <w:jc w:val="right"/>
              <w:rPr>
                <w:rFonts w:ascii="Times New Roman" w:hAnsi="Times New Roman" w:cs="Times New Roman"/>
              </w:rPr>
            </w:pPr>
            <w:r w:rsidRPr="005F0D6C">
              <w:rPr>
                <w:rFonts w:ascii="Times New Roman" w:hAnsi="Times New Roman" w:cs="Times New Roman"/>
              </w:rPr>
              <w:t>-0.028</w:t>
            </w:r>
          </w:p>
        </w:tc>
        <w:tc>
          <w:tcPr>
            <w:tcW w:w="2120" w:type="dxa"/>
            <w:noWrap/>
            <w:vAlign w:val="center"/>
            <w:hideMark/>
          </w:tcPr>
          <w:p w14:paraId="488B2E78" w14:textId="77777777" w:rsidR="00523E70" w:rsidRPr="005F0D6C" w:rsidRDefault="00523E70" w:rsidP="00523E70">
            <w:pPr>
              <w:jc w:val="right"/>
              <w:rPr>
                <w:rFonts w:ascii="Times New Roman" w:hAnsi="Times New Roman" w:cs="Times New Roman"/>
                <w:b/>
              </w:rPr>
            </w:pPr>
            <w:r w:rsidRPr="005F0D6C">
              <w:rPr>
                <w:rFonts w:ascii="Times New Roman" w:hAnsi="Times New Roman" w:cs="Times New Roman"/>
                <w:b/>
              </w:rPr>
              <w:t>-,155**</w:t>
            </w:r>
          </w:p>
        </w:tc>
      </w:tr>
      <w:tr w:rsidR="00523E70" w:rsidRPr="005F0D6C" w14:paraId="70B0B30A" w14:textId="77777777" w:rsidTr="00523E70">
        <w:trPr>
          <w:trHeight w:val="300"/>
          <w:jc w:val="center"/>
        </w:trPr>
        <w:tc>
          <w:tcPr>
            <w:tcW w:w="1273" w:type="dxa"/>
            <w:vMerge/>
            <w:noWrap/>
            <w:vAlign w:val="center"/>
            <w:hideMark/>
          </w:tcPr>
          <w:p w14:paraId="1270C463" w14:textId="77777777" w:rsidR="00523E70" w:rsidRPr="005F0D6C" w:rsidRDefault="00523E70" w:rsidP="00523E70">
            <w:pPr>
              <w:jc w:val="both"/>
              <w:rPr>
                <w:rFonts w:ascii="Times New Roman" w:hAnsi="Times New Roman" w:cs="Times New Roman"/>
              </w:rPr>
            </w:pPr>
          </w:p>
        </w:tc>
        <w:tc>
          <w:tcPr>
            <w:tcW w:w="1218" w:type="dxa"/>
            <w:noWrap/>
            <w:vAlign w:val="center"/>
            <w:hideMark/>
          </w:tcPr>
          <w:p w14:paraId="0B2AB7AD" w14:textId="77777777" w:rsidR="00523E70" w:rsidRPr="005F0D6C" w:rsidRDefault="00523E70" w:rsidP="00523E70">
            <w:pPr>
              <w:jc w:val="both"/>
              <w:rPr>
                <w:rFonts w:ascii="Times New Roman" w:hAnsi="Times New Roman" w:cs="Times New Roman"/>
              </w:rPr>
            </w:pPr>
            <w:r w:rsidRPr="005F0D6C">
              <w:rPr>
                <w:rFonts w:ascii="Times New Roman" w:hAnsi="Times New Roman" w:cs="Times New Roman"/>
              </w:rPr>
              <w:t>Sig. (2-tailed)</w:t>
            </w:r>
          </w:p>
        </w:tc>
        <w:tc>
          <w:tcPr>
            <w:tcW w:w="2120" w:type="dxa"/>
            <w:noWrap/>
            <w:vAlign w:val="center"/>
            <w:hideMark/>
          </w:tcPr>
          <w:p w14:paraId="00D513AF" w14:textId="77777777" w:rsidR="00523E70" w:rsidRPr="005F0D6C" w:rsidRDefault="00523E70" w:rsidP="00523E70">
            <w:pPr>
              <w:jc w:val="right"/>
              <w:rPr>
                <w:rFonts w:ascii="Times New Roman" w:hAnsi="Times New Roman" w:cs="Times New Roman"/>
              </w:rPr>
            </w:pPr>
            <w:r w:rsidRPr="005F0D6C">
              <w:rPr>
                <w:rFonts w:ascii="Times New Roman" w:hAnsi="Times New Roman" w:cs="Times New Roman"/>
              </w:rPr>
              <w:t>0.953</w:t>
            </w:r>
          </w:p>
        </w:tc>
        <w:tc>
          <w:tcPr>
            <w:tcW w:w="2120" w:type="dxa"/>
            <w:noWrap/>
            <w:vAlign w:val="center"/>
            <w:hideMark/>
          </w:tcPr>
          <w:p w14:paraId="0960DE05" w14:textId="77777777" w:rsidR="00523E70" w:rsidRPr="005F0D6C" w:rsidRDefault="00523E70" w:rsidP="00523E70">
            <w:pPr>
              <w:jc w:val="right"/>
              <w:rPr>
                <w:rFonts w:ascii="Times New Roman" w:hAnsi="Times New Roman" w:cs="Times New Roman"/>
              </w:rPr>
            </w:pPr>
            <w:r w:rsidRPr="005F0D6C">
              <w:rPr>
                <w:rFonts w:ascii="Times New Roman" w:hAnsi="Times New Roman" w:cs="Times New Roman"/>
              </w:rPr>
              <w:t>0.39</w:t>
            </w:r>
          </w:p>
        </w:tc>
        <w:tc>
          <w:tcPr>
            <w:tcW w:w="2120" w:type="dxa"/>
            <w:noWrap/>
            <w:vAlign w:val="center"/>
            <w:hideMark/>
          </w:tcPr>
          <w:p w14:paraId="64321732" w14:textId="77777777" w:rsidR="00523E70" w:rsidRPr="005F0D6C" w:rsidRDefault="00523E70" w:rsidP="00523E70">
            <w:pPr>
              <w:jc w:val="right"/>
              <w:rPr>
                <w:rFonts w:ascii="Times New Roman" w:hAnsi="Times New Roman" w:cs="Times New Roman"/>
              </w:rPr>
            </w:pPr>
            <w:r w:rsidRPr="005F0D6C">
              <w:rPr>
                <w:rFonts w:ascii="Times New Roman" w:hAnsi="Times New Roman" w:cs="Times New Roman"/>
              </w:rPr>
              <w:t>0</w:t>
            </w:r>
          </w:p>
        </w:tc>
      </w:tr>
      <w:tr w:rsidR="00523E70" w:rsidRPr="005F0D6C" w14:paraId="236191F8" w14:textId="77777777" w:rsidTr="00523E70">
        <w:trPr>
          <w:trHeight w:val="300"/>
          <w:jc w:val="center"/>
        </w:trPr>
        <w:tc>
          <w:tcPr>
            <w:tcW w:w="1273" w:type="dxa"/>
            <w:vMerge/>
            <w:noWrap/>
            <w:vAlign w:val="center"/>
            <w:hideMark/>
          </w:tcPr>
          <w:p w14:paraId="45D16EEF" w14:textId="77777777" w:rsidR="00523E70" w:rsidRPr="005F0D6C" w:rsidRDefault="00523E70" w:rsidP="00523E70">
            <w:pPr>
              <w:jc w:val="both"/>
              <w:rPr>
                <w:rFonts w:ascii="Times New Roman" w:hAnsi="Times New Roman" w:cs="Times New Roman"/>
              </w:rPr>
            </w:pPr>
          </w:p>
        </w:tc>
        <w:tc>
          <w:tcPr>
            <w:tcW w:w="1218" w:type="dxa"/>
            <w:noWrap/>
            <w:vAlign w:val="center"/>
            <w:hideMark/>
          </w:tcPr>
          <w:p w14:paraId="0E999AAC" w14:textId="77777777" w:rsidR="00523E70" w:rsidRPr="005F0D6C" w:rsidRDefault="00523E70" w:rsidP="00523E70">
            <w:pPr>
              <w:jc w:val="both"/>
              <w:rPr>
                <w:rFonts w:ascii="Times New Roman" w:hAnsi="Times New Roman" w:cs="Times New Roman"/>
              </w:rPr>
            </w:pPr>
            <w:r w:rsidRPr="005F0D6C">
              <w:rPr>
                <w:rFonts w:ascii="Times New Roman" w:hAnsi="Times New Roman" w:cs="Times New Roman"/>
              </w:rPr>
              <w:t>N</w:t>
            </w:r>
          </w:p>
        </w:tc>
        <w:tc>
          <w:tcPr>
            <w:tcW w:w="2120" w:type="dxa"/>
            <w:noWrap/>
            <w:vAlign w:val="center"/>
            <w:hideMark/>
          </w:tcPr>
          <w:p w14:paraId="35CF75C7" w14:textId="77777777" w:rsidR="00523E70" w:rsidRPr="005F0D6C" w:rsidRDefault="00523E70" w:rsidP="00523E70">
            <w:pPr>
              <w:jc w:val="right"/>
              <w:rPr>
                <w:rFonts w:ascii="Times New Roman" w:hAnsi="Times New Roman" w:cs="Times New Roman"/>
              </w:rPr>
            </w:pPr>
            <w:r w:rsidRPr="005F0D6C">
              <w:rPr>
                <w:rFonts w:ascii="Times New Roman" w:hAnsi="Times New Roman" w:cs="Times New Roman"/>
              </w:rPr>
              <w:t>960</w:t>
            </w:r>
          </w:p>
        </w:tc>
        <w:tc>
          <w:tcPr>
            <w:tcW w:w="2120" w:type="dxa"/>
            <w:noWrap/>
            <w:vAlign w:val="center"/>
            <w:hideMark/>
          </w:tcPr>
          <w:p w14:paraId="72E61D18" w14:textId="77777777" w:rsidR="00523E70" w:rsidRPr="005F0D6C" w:rsidRDefault="00523E70" w:rsidP="00523E70">
            <w:pPr>
              <w:jc w:val="right"/>
              <w:rPr>
                <w:rFonts w:ascii="Times New Roman" w:hAnsi="Times New Roman" w:cs="Times New Roman"/>
              </w:rPr>
            </w:pPr>
            <w:r w:rsidRPr="005F0D6C">
              <w:rPr>
                <w:rFonts w:ascii="Times New Roman" w:hAnsi="Times New Roman" w:cs="Times New Roman"/>
              </w:rPr>
              <w:t>948</w:t>
            </w:r>
          </w:p>
        </w:tc>
        <w:tc>
          <w:tcPr>
            <w:tcW w:w="2120" w:type="dxa"/>
            <w:noWrap/>
            <w:vAlign w:val="center"/>
            <w:hideMark/>
          </w:tcPr>
          <w:p w14:paraId="00F71EB4" w14:textId="77777777" w:rsidR="00523E70" w:rsidRPr="005F0D6C" w:rsidRDefault="00523E70" w:rsidP="00523E70">
            <w:pPr>
              <w:jc w:val="right"/>
              <w:rPr>
                <w:rFonts w:ascii="Times New Roman" w:hAnsi="Times New Roman" w:cs="Times New Roman"/>
              </w:rPr>
            </w:pPr>
            <w:r w:rsidRPr="005F0D6C">
              <w:rPr>
                <w:rFonts w:ascii="Times New Roman" w:hAnsi="Times New Roman" w:cs="Times New Roman"/>
              </w:rPr>
              <w:t>966</w:t>
            </w:r>
          </w:p>
        </w:tc>
      </w:tr>
      <w:tr w:rsidR="00523E70" w:rsidRPr="005F0D6C" w14:paraId="166F5985" w14:textId="77777777" w:rsidTr="00523E70">
        <w:trPr>
          <w:trHeight w:val="300"/>
          <w:jc w:val="center"/>
        </w:trPr>
        <w:tc>
          <w:tcPr>
            <w:tcW w:w="1273" w:type="dxa"/>
            <w:vMerge w:val="restart"/>
            <w:noWrap/>
            <w:vAlign w:val="center"/>
            <w:hideMark/>
          </w:tcPr>
          <w:p w14:paraId="7129A1DF" w14:textId="77777777" w:rsidR="00523E70" w:rsidRPr="005F0D6C" w:rsidRDefault="00523E70" w:rsidP="00523E70">
            <w:pPr>
              <w:jc w:val="both"/>
              <w:rPr>
                <w:rFonts w:ascii="Times New Roman" w:hAnsi="Times New Roman" w:cs="Times New Roman"/>
              </w:rPr>
            </w:pPr>
            <w:r w:rsidRPr="005F0D6C">
              <w:rPr>
                <w:rFonts w:ascii="Times New Roman" w:hAnsi="Times New Roman" w:cs="Times New Roman"/>
              </w:rPr>
              <w:t>Kopējā uzticēšanās, noapaļots</w:t>
            </w:r>
          </w:p>
        </w:tc>
        <w:tc>
          <w:tcPr>
            <w:tcW w:w="1218" w:type="dxa"/>
            <w:noWrap/>
            <w:vAlign w:val="center"/>
            <w:hideMark/>
          </w:tcPr>
          <w:p w14:paraId="6533D7FD" w14:textId="77777777" w:rsidR="00523E70" w:rsidRPr="005F0D6C" w:rsidRDefault="00523E70" w:rsidP="00523E70">
            <w:pPr>
              <w:jc w:val="both"/>
              <w:rPr>
                <w:rFonts w:ascii="Times New Roman" w:hAnsi="Times New Roman" w:cs="Times New Roman"/>
              </w:rPr>
            </w:pPr>
            <w:r w:rsidRPr="005F0D6C">
              <w:rPr>
                <w:rFonts w:ascii="Times New Roman" w:hAnsi="Times New Roman" w:cs="Times New Roman"/>
              </w:rPr>
              <w:t>Pearson Correlation</w:t>
            </w:r>
          </w:p>
        </w:tc>
        <w:tc>
          <w:tcPr>
            <w:tcW w:w="2120" w:type="dxa"/>
            <w:noWrap/>
            <w:vAlign w:val="center"/>
            <w:hideMark/>
          </w:tcPr>
          <w:p w14:paraId="10F203C4" w14:textId="77777777" w:rsidR="00523E70" w:rsidRPr="005F0D6C" w:rsidRDefault="00523E70" w:rsidP="00523E70">
            <w:pPr>
              <w:jc w:val="right"/>
              <w:rPr>
                <w:rFonts w:ascii="Times New Roman" w:hAnsi="Times New Roman" w:cs="Times New Roman"/>
              </w:rPr>
            </w:pPr>
            <w:r w:rsidRPr="005F0D6C">
              <w:rPr>
                <w:rFonts w:ascii="Times New Roman" w:hAnsi="Times New Roman" w:cs="Times New Roman"/>
              </w:rPr>
              <w:t>-0.004</w:t>
            </w:r>
          </w:p>
        </w:tc>
        <w:tc>
          <w:tcPr>
            <w:tcW w:w="2120" w:type="dxa"/>
            <w:noWrap/>
            <w:vAlign w:val="center"/>
            <w:hideMark/>
          </w:tcPr>
          <w:p w14:paraId="2F873D89" w14:textId="77777777" w:rsidR="00523E70" w:rsidRPr="005F0D6C" w:rsidRDefault="00523E70" w:rsidP="00523E70">
            <w:pPr>
              <w:jc w:val="right"/>
              <w:rPr>
                <w:rFonts w:ascii="Times New Roman" w:hAnsi="Times New Roman" w:cs="Times New Roman"/>
                <w:b/>
              </w:rPr>
            </w:pPr>
            <w:r w:rsidRPr="005F0D6C">
              <w:rPr>
                <w:rFonts w:ascii="Times New Roman" w:hAnsi="Times New Roman" w:cs="Times New Roman"/>
                <w:b/>
              </w:rPr>
              <w:t>-,064*</w:t>
            </w:r>
          </w:p>
        </w:tc>
        <w:tc>
          <w:tcPr>
            <w:tcW w:w="2120" w:type="dxa"/>
            <w:noWrap/>
            <w:vAlign w:val="center"/>
            <w:hideMark/>
          </w:tcPr>
          <w:p w14:paraId="7250879C" w14:textId="77777777" w:rsidR="00523E70" w:rsidRPr="005F0D6C" w:rsidRDefault="00523E70" w:rsidP="00523E70">
            <w:pPr>
              <w:jc w:val="right"/>
              <w:rPr>
                <w:rFonts w:ascii="Times New Roman" w:hAnsi="Times New Roman" w:cs="Times New Roman"/>
                <w:b/>
              </w:rPr>
            </w:pPr>
            <w:r w:rsidRPr="005F0D6C">
              <w:rPr>
                <w:rFonts w:ascii="Times New Roman" w:hAnsi="Times New Roman" w:cs="Times New Roman"/>
                <w:b/>
              </w:rPr>
              <w:t>-,198**</w:t>
            </w:r>
          </w:p>
        </w:tc>
      </w:tr>
      <w:tr w:rsidR="00523E70" w:rsidRPr="005F0D6C" w14:paraId="35AB3118" w14:textId="77777777" w:rsidTr="00523E70">
        <w:trPr>
          <w:trHeight w:val="300"/>
          <w:jc w:val="center"/>
        </w:trPr>
        <w:tc>
          <w:tcPr>
            <w:tcW w:w="1273" w:type="dxa"/>
            <w:vMerge/>
            <w:noWrap/>
            <w:vAlign w:val="center"/>
            <w:hideMark/>
          </w:tcPr>
          <w:p w14:paraId="48CA01E2" w14:textId="77777777" w:rsidR="00523E70" w:rsidRPr="005F0D6C" w:rsidRDefault="00523E70" w:rsidP="00523E70">
            <w:pPr>
              <w:jc w:val="both"/>
              <w:rPr>
                <w:rFonts w:ascii="Times New Roman" w:hAnsi="Times New Roman" w:cs="Times New Roman"/>
              </w:rPr>
            </w:pPr>
          </w:p>
        </w:tc>
        <w:tc>
          <w:tcPr>
            <w:tcW w:w="1218" w:type="dxa"/>
            <w:noWrap/>
            <w:vAlign w:val="center"/>
            <w:hideMark/>
          </w:tcPr>
          <w:p w14:paraId="08B70848" w14:textId="77777777" w:rsidR="00523E70" w:rsidRPr="005F0D6C" w:rsidRDefault="00523E70" w:rsidP="00523E70">
            <w:pPr>
              <w:jc w:val="both"/>
              <w:rPr>
                <w:rFonts w:ascii="Times New Roman" w:hAnsi="Times New Roman" w:cs="Times New Roman"/>
              </w:rPr>
            </w:pPr>
            <w:r w:rsidRPr="005F0D6C">
              <w:rPr>
                <w:rFonts w:ascii="Times New Roman" w:hAnsi="Times New Roman" w:cs="Times New Roman"/>
              </w:rPr>
              <w:t>Sig. (2-tailed)</w:t>
            </w:r>
          </w:p>
        </w:tc>
        <w:tc>
          <w:tcPr>
            <w:tcW w:w="2120" w:type="dxa"/>
            <w:noWrap/>
            <w:vAlign w:val="center"/>
            <w:hideMark/>
          </w:tcPr>
          <w:p w14:paraId="70C56913" w14:textId="77777777" w:rsidR="00523E70" w:rsidRPr="005F0D6C" w:rsidRDefault="00523E70" w:rsidP="00523E70">
            <w:pPr>
              <w:jc w:val="right"/>
              <w:rPr>
                <w:rFonts w:ascii="Times New Roman" w:hAnsi="Times New Roman" w:cs="Times New Roman"/>
              </w:rPr>
            </w:pPr>
            <w:r w:rsidRPr="005F0D6C">
              <w:rPr>
                <w:rFonts w:ascii="Times New Roman" w:hAnsi="Times New Roman" w:cs="Times New Roman"/>
              </w:rPr>
              <w:t>0.897</w:t>
            </w:r>
          </w:p>
        </w:tc>
        <w:tc>
          <w:tcPr>
            <w:tcW w:w="2120" w:type="dxa"/>
            <w:noWrap/>
            <w:vAlign w:val="center"/>
            <w:hideMark/>
          </w:tcPr>
          <w:p w14:paraId="605D0393" w14:textId="77777777" w:rsidR="00523E70" w:rsidRPr="005F0D6C" w:rsidRDefault="00523E70" w:rsidP="00523E70">
            <w:pPr>
              <w:jc w:val="right"/>
              <w:rPr>
                <w:rFonts w:ascii="Times New Roman" w:hAnsi="Times New Roman" w:cs="Times New Roman"/>
              </w:rPr>
            </w:pPr>
            <w:r w:rsidRPr="005F0D6C">
              <w:rPr>
                <w:rFonts w:ascii="Times New Roman" w:hAnsi="Times New Roman" w:cs="Times New Roman"/>
              </w:rPr>
              <w:t>0.049</w:t>
            </w:r>
          </w:p>
        </w:tc>
        <w:tc>
          <w:tcPr>
            <w:tcW w:w="2120" w:type="dxa"/>
            <w:noWrap/>
            <w:vAlign w:val="center"/>
            <w:hideMark/>
          </w:tcPr>
          <w:p w14:paraId="6B5EFA0A" w14:textId="77777777" w:rsidR="00523E70" w:rsidRPr="005F0D6C" w:rsidRDefault="00523E70" w:rsidP="00523E70">
            <w:pPr>
              <w:jc w:val="right"/>
              <w:rPr>
                <w:rFonts w:ascii="Times New Roman" w:hAnsi="Times New Roman" w:cs="Times New Roman"/>
              </w:rPr>
            </w:pPr>
            <w:r w:rsidRPr="005F0D6C">
              <w:rPr>
                <w:rFonts w:ascii="Times New Roman" w:hAnsi="Times New Roman" w:cs="Times New Roman"/>
              </w:rPr>
              <w:t>0</w:t>
            </w:r>
          </w:p>
        </w:tc>
      </w:tr>
      <w:tr w:rsidR="00523E70" w:rsidRPr="005F0D6C" w14:paraId="0CE3B239" w14:textId="77777777" w:rsidTr="00523E70">
        <w:trPr>
          <w:trHeight w:val="300"/>
          <w:jc w:val="center"/>
        </w:trPr>
        <w:tc>
          <w:tcPr>
            <w:tcW w:w="1273" w:type="dxa"/>
            <w:vMerge/>
            <w:noWrap/>
            <w:vAlign w:val="center"/>
            <w:hideMark/>
          </w:tcPr>
          <w:p w14:paraId="03872915" w14:textId="77777777" w:rsidR="00523E70" w:rsidRPr="005F0D6C" w:rsidRDefault="00523E70" w:rsidP="00523E70">
            <w:pPr>
              <w:jc w:val="both"/>
              <w:rPr>
                <w:rFonts w:ascii="Times New Roman" w:hAnsi="Times New Roman" w:cs="Times New Roman"/>
              </w:rPr>
            </w:pPr>
          </w:p>
        </w:tc>
        <w:tc>
          <w:tcPr>
            <w:tcW w:w="1218" w:type="dxa"/>
            <w:noWrap/>
            <w:vAlign w:val="center"/>
            <w:hideMark/>
          </w:tcPr>
          <w:p w14:paraId="733FC96B" w14:textId="77777777" w:rsidR="00523E70" w:rsidRPr="005F0D6C" w:rsidRDefault="00523E70" w:rsidP="00523E70">
            <w:pPr>
              <w:jc w:val="both"/>
              <w:rPr>
                <w:rFonts w:ascii="Times New Roman" w:hAnsi="Times New Roman" w:cs="Times New Roman"/>
              </w:rPr>
            </w:pPr>
            <w:r w:rsidRPr="005F0D6C">
              <w:rPr>
                <w:rFonts w:ascii="Times New Roman" w:hAnsi="Times New Roman" w:cs="Times New Roman"/>
              </w:rPr>
              <w:t>N</w:t>
            </w:r>
          </w:p>
        </w:tc>
        <w:tc>
          <w:tcPr>
            <w:tcW w:w="2120" w:type="dxa"/>
            <w:noWrap/>
            <w:vAlign w:val="center"/>
            <w:hideMark/>
          </w:tcPr>
          <w:p w14:paraId="711EEFF3" w14:textId="77777777" w:rsidR="00523E70" w:rsidRPr="005F0D6C" w:rsidRDefault="00523E70" w:rsidP="00523E70">
            <w:pPr>
              <w:jc w:val="right"/>
              <w:rPr>
                <w:rFonts w:ascii="Times New Roman" w:hAnsi="Times New Roman" w:cs="Times New Roman"/>
              </w:rPr>
            </w:pPr>
            <w:r w:rsidRPr="005F0D6C">
              <w:rPr>
                <w:rFonts w:ascii="Times New Roman" w:hAnsi="Times New Roman" w:cs="Times New Roman"/>
              </w:rPr>
              <w:t>961</w:t>
            </w:r>
          </w:p>
        </w:tc>
        <w:tc>
          <w:tcPr>
            <w:tcW w:w="2120" w:type="dxa"/>
            <w:noWrap/>
            <w:vAlign w:val="center"/>
            <w:hideMark/>
          </w:tcPr>
          <w:p w14:paraId="4AE834A3" w14:textId="77777777" w:rsidR="00523E70" w:rsidRPr="005F0D6C" w:rsidRDefault="00523E70" w:rsidP="00523E70">
            <w:pPr>
              <w:jc w:val="right"/>
              <w:rPr>
                <w:rFonts w:ascii="Times New Roman" w:hAnsi="Times New Roman" w:cs="Times New Roman"/>
              </w:rPr>
            </w:pPr>
            <w:r w:rsidRPr="005F0D6C">
              <w:rPr>
                <w:rFonts w:ascii="Times New Roman" w:hAnsi="Times New Roman" w:cs="Times New Roman"/>
              </w:rPr>
              <w:t>948</w:t>
            </w:r>
          </w:p>
        </w:tc>
        <w:tc>
          <w:tcPr>
            <w:tcW w:w="2120" w:type="dxa"/>
            <w:noWrap/>
            <w:vAlign w:val="center"/>
            <w:hideMark/>
          </w:tcPr>
          <w:p w14:paraId="493838B1" w14:textId="77777777" w:rsidR="00523E70" w:rsidRPr="005F0D6C" w:rsidRDefault="00523E70" w:rsidP="00523E70">
            <w:pPr>
              <w:jc w:val="right"/>
              <w:rPr>
                <w:rFonts w:ascii="Times New Roman" w:hAnsi="Times New Roman" w:cs="Times New Roman"/>
              </w:rPr>
            </w:pPr>
            <w:r w:rsidRPr="005F0D6C">
              <w:rPr>
                <w:rFonts w:ascii="Times New Roman" w:hAnsi="Times New Roman" w:cs="Times New Roman"/>
              </w:rPr>
              <w:t>966</w:t>
            </w:r>
          </w:p>
        </w:tc>
      </w:tr>
    </w:tbl>
    <w:p w14:paraId="644CCE99" w14:textId="77777777" w:rsidR="00523E70" w:rsidRPr="005F0D6C" w:rsidRDefault="00523E70" w:rsidP="00523E70">
      <w:pPr>
        <w:spacing w:line="240" w:lineRule="auto"/>
        <w:jc w:val="both"/>
        <w:rPr>
          <w:rFonts w:ascii="Times New Roman" w:hAnsi="Times New Roman" w:cs="Times New Roman"/>
          <w:lang w:val="lv-LV"/>
        </w:rPr>
      </w:pPr>
    </w:p>
    <w:p w14:paraId="57D2D904" w14:textId="55582FB7" w:rsidR="002F409D" w:rsidRPr="005F0D6C" w:rsidRDefault="00657F14" w:rsidP="00DD7A42">
      <w:pPr>
        <w:spacing w:before="120" w:after="120" w:line="360" w:lineRule="auto"/>
        <w:jc w:val="both"/>
        <w:rPr>
          <w:rFonts w:ascii="Times New Roman" w:hAnsi="Times New Roman" w:cs="Times New Roman"/>
          <w:sz w:val="24"/>
          <w:szCs w:val="24"/>
          <w:lang w:val="lv-LV"/>
        </w:rPr>
      </w:pPr>
      <w:r w:rsidRPr="005F0D6C">
        <w:rPr>
          <w:rFonts w:ascii="Times New Roman" w:hAnsi="Times New Roman" w:cs="Times New Roman"/>
          <w:sz w:val="24"/>
          <w:szCs w:val="24"/>
          <w:lang w:val="lv-LV"/>
        </w:rPr>
        <w:t xml:space="preserve">Korelāciju analīze atklāja piecus statistiski nozīmīgus korelācijas koeficientus, un tie visi ir negatīvi. </w:t>
      </w:r>
      <w:r w:rsidR="00B74391" w:rsidRPr="005F0D6C">
        <w:rPr>
          <w:rFonts w:ascii="Times New Roman" w:hAnsi="Times New Roman" w:cs="Times New Roman"/>
          <w:sz w:val="24"/>
          <w:szCs w:val="24"/>
          <w:lang w:val="lv-LV"/>
        </w:rPr>
        <w:t xml:space="preserve">Jo augstāka uzticēšanās politiskās varas institūcijām, jo mazāks atbalsts sabiedrības privātumam un, respektīvi, jo lielāks ir atbalsts sabiedrības uzraudzīšanai un izsekošanai (r = -0,146, p &lt; 0,001) un jo mazāks atbalsts autonomijai lēmumu pieņemšanā cīņā ar pandēmiju (r </w:t>
      </w:r>
      <w:r w:rsidR="00B74391" w:rsidRPr="005F0D6C">
        <w:rPr>
          <w:rFonts w:ascii="Times New Roman" w:hAnsi="Times New Roman" w:cs="Times New Roman"/>
          <w:sz w:val="24"/>
          <w:szCs w:val="24"/>
          <w:lang w:val="lv-LV"/>
        </w:rPr>
        <w:lastRenderedPageBreak/>
        <w:t>= 0,251, p &lt; 0,001). Līdzīgi secinājumi izdarāmi, aplūkojot uzticēšanos citām institūcijām un tā korelāciju ar prioritāšu jautājumiem, kā arī kopējam uzticēšanās indeksam.</w:t>
      </w:r>
    </w:p>
    <w:p w14:paraId="46C5C163" w14:textId="77777777" w:rsidR="00A90355" w:rsidRPr="005F0D6C" w:rsidRDefault="00A90355" w:rsidP="00DD7A42">
      <w:pPr>
        <w:spacing w:before="120" w:after="120" w:line="360" w:lineRule="auto"/>
        <w:jc w:val="both"/>
        <w:rPr>
          <w:rFonts w:ascii="Times New Roman" w:hAnsi="Times New Roman" w:cs="Times New Roman"/>
          <w:b/>
          <w:sz w:val="24"/>
          <w:szCs w:val="24"/>
          <w:lang w:val="lv-LV"/>
        </w:rPr>
      </w:pPr>
    </w:p>
    <w:p w14:paraId="0EFF090E" w14:textId="42F4DCC1" w:rsidR="00DD7A42" w:rsidRPr="005F0D6C" w:rsidRDefault="00DD7A42" w:rsidP="00DD7A42">
      <w:pPr>
        <w:spacing w:before="120" w:after="120" w:line="360" w:lineRule="auto"/>
        <w:jc w:val="both"/>
        <w:rPr>
          <w:rFonts w:ascii="Times New Roman" w:hAnsi="Times New Roman" w:cs="Times New Roman"/>
          <w:b/>
          <w:sz w:val="24"/>
          <w:szCs w:val="24"/>
          <w:lang w:val="lv-LV"/>
        </w:rPr>
      </w:pPr>
      <w:r w:rsidRPr="005F0D6C">
        <w:rPr>
          <w:rFonts w:ascii="Times New Roman" w:hAnsi="Times New Roman" w:cs="Times New Roman"/>
          <w:b/>
          <w:sz w:val="24"/>
          <w:szCs w:val="24"/>
          <w:lang w:val="lv-LV"/>
        </w:rPr>
        <w:t>Secinājumi un diskusija</w:t>
      </w:r>
    </w:p>
    <w:p w14:paraId="006E42C8" w14:textId="62E83438" w:rsidR="00A25029" w:rsidRPr="005F0D6C" w:rsidRDefault="00A25029" w:rsidP="00DD7A42">
      <w:pPr>
        <w:spacing w:before="120" w:after="120" w:line="360" w:lineRule="auto"/>
        <w:jc w:val="both"/>
        <w:rPr>
          <w:rFonts w:ascii="Times New Roman" w:hAnsi="Times New Roman" w:cs="Times New Roman"/>
          <w:b/>
          <w:sz w:val="24"/>
          <w:szCs w:val="24"/>
          <w:lang w:val="lv-LV"/>
        </w:rPr>
        <w:sectPr w:rsidR="00A25029" w:rsidRPr="005F0D6C" w:rsidSect="00A25029">
          <w:type w:val="continuous"/>
          <w:pgSz w:w="11906" w:h="16838"/>
          <w:pgMar w:top="1440" w:right="1440" w:bottom="1440" w:left="1440" w:header="708" w:footer="708" w:gutter="0"/>
          <w:cols w:space="708"/>
          <w:docGrid w:linePitch="360"/>
        </w:sectPr>
      </w:pPr>
    </w:p>
    <w:p w14:paraId="18FF8DBA" w14:textId="236A36BB" w:rsidR="00A25029" w:rsidRPr="005F0D6C" w:rsidRDefault="00A25029" w:rsidP="00A25029">
      <w:pPr>
        <w:jc w:val="both"/>
        <w:rPr>
          <w:rFonts w:ascii="Times New Roman" w:hAnsi="Times New Roman" w:cs="Times New Roman"/>
          <w:sz w:val="24"/>
          <w:szCs w:val="24"/>
          <w:lang w:val="lv-LV"/>
        </w:rPr>
        <w:sectPr w:rsidR="00A25029" w:rsidRPr="005F0D6C" w:rsidSect="00A25029">
          <w:type w:val="continuous"/>
          <w:pgSz w:w="11906" w:h="16838"/>
          <w:pgMar w:top="1440" w:right="1440" w:bottom="1440" w:left="1440" w:header="708" w:footer="708" w:gutter="0"/>
          <w:cols w:space="708"/>
          <w:docGrid w:linePitch="360"/>
        </w:sectPr>
      </w:pPr>
    </w:p>
    <w:p w14:paraId="41578436" w14:textId="34CB8EC2" w:rsidR="00A25029" w:rsidRPr="005F0D6C" w:rsidRDefault="00A25029" w:rsidP="00F27E1F">
      <w:pPr>
        <w:spacing w:before="120" w:after="120" w:line="360" w:lineRule="auto"/>
        <w:jc w:val="both"/>
        <w:rPr>
          <w:rFonts w:ascii="Times New Roman" w:hAnsi="Times New Roman" w:cs="Times New Roman"/>
          <w:sz w:val="24"/>
          <w:szCs w:val="24"/>
          <w:lang w:val="lv-LV"/>
        </w:rPr>
      </w:pPr>
      <w:r w:rsidRPr="005F0D6C">
        <w:rPr>
          <w:rFonts w:ascii="Times New Roman" w:hAnsi="Times New Roman" w:cs="Times New Roman"/>
          <w:sz w:val="24"/>
          <w:szCs w:val="24"/>
          <w:lang w:val="lv-LV"/>
        </w:rPr>
        <w:lastRenderedPageBreak/>
        <w:t>Šajā pētījumā politiskās uzticēšanās mērīšanai tika izzināti respondentu viedokļi par plašāku institūciju vai amatpersonu klāstu, nekā ir ierasts starptautiskajos salīdzinošajos pētījumos. Lai gan šis klāsts bija plašs un daudzveidīgs, kopumā uzticēšanās attieksmei tika empīriski identificētas divas dimensijas – uzticēšanās centrālās politiskās varas institūcijām un uzticēšanās citām institūcijām,</w:t>
      </w:r>
      <w:r w:rsidR="00F27E1F" w:rsidRPr="005F0D6C">
        <w:rPr>
          <w:rFonts w:ascii="Times New Roman" w:hAnsi="Times New Roman" w:cs="Times New Roman"/>
          <w:sz w:val="24"/>
          <w:szCs w:val="24"/>
          <w:lang w:val="lv-LV"/>
        </w:rPr>
        <w:t xml:space="preserve"> kuru vidū atrodama gan pašvaldības dome, gan ES un NATO. No teorētiskā viedokļa raugoties, šī shēma vēl nepiedāvā pietiekamu izskaidrojumu dažādu uzticēšanās veidu vērtību sadalījumam. Tāpat nākotnē būtu vērtīgi aplūkot atsevišķu uzticēšanās veidu sakarību ar situācijas novērtējumu atsevišķās jomās (piem., uzticēšanos NATO vai NBS – uz militārās vai politiskās drošības uztveri). To būtu</w:t>
      </w:r>
      <w:r w:rsidR="005C6153" w:rsidRPr="005F0D6C">
        <w:rPr>
          <w:rFonts w:ascii="Times New Roman" w:hAnsi="Times New Roman" w:cs="Times New Roman"/>
          <w:sz w:val="24"/>
          <w:szCs w:val="24"/>
          <w:lang w:val="lv-LV"/>
        </w:rPr>
        <w:t xml:space="preserve"> īpaši svarīgi</w:t>
      </w:r>
      <w:r w:rsidR="00F27E1F" w:rsidRPr="005F0D6C">
        <w:rPr>
          <w:rFonts w:ascii="Times New Roman" w:hAnsi="Times New Roman" w:cs="Times New Roman"/>
          <w:sz w:val="24"/>
          <w:szCs w:val="24"/>
          <w:lang w:val="lv-LV"/>
        </w:rPr>
        <w:t xml:space="preserve"> aplūkot, ņemot vērā samērā lielu dažādību uzticēšanās līmeņos starp institūcijām (viszemākais</w:t>
      </w:r>
      <w:r w:rsidRPr="005F0D6C">
        <w:rPr>
          <w:rFonts w:ascii="Times New Roman" w:hAnsi="Times New Roman" w:cs="Times New Roman"/>
          <w:sz w:val="24"/>
          <w:szCs w:val="24"/>
          <w:lang w:val="lv-LV"/>
        </w:rPr>
        <w:t xml:space="preserve"> vērojam</w:t>
      </w:r>
      <w:r w:rsidR="00F27E1F" w:rsidRPr="005F0D6C">
        <w:rPr>
          <w:rFonts w:ascii="Times New Roman" w:hAnsi="Times New Roman" w:cs="Times New Roman"/>
          <w:sz w:val="24"/>
          <w:szCs w:val="24"/>
          <w:lang w:val="lv-LV"/>
        </w:rPr>
        <w:t>s</w:t>
      </w:r>
      <w:r w:rsidRPr="005F0D6C">
        <w:rPr>
          <w:rFonts w:ascii="Times New Roman" w:hAnsi="Times New Roman" w:cs="Times New Roman"/>
          <w:sz w:val="24"/>
          <w:szCs w:val="24"/>
          <w:lang w:val="lv-LV"/>
        </w:rPr>
        <w:t xml:space="preserve"> politiskās varas nacionālajām institūcijām</w:t>
      </w:r>
      <w:r w:rsidR="00F27E1F" w:rsidRPr="005F0D6C">
        <w:rPr>
          <w:rFonts w:ascii="Times New Roman" w:hAnsi="Times New Roman" w:cs="Times New Roman"/>
          <w:sz w:val="24"/>
          <w:szCs w:val="24"/>
          <w:lang w:val="lv-LV"/>
        </w:rPr>
        <w:t>,</w:t>
      </w:r>
      <w:r w:rsidRPr="005F0D6C">
        <w:rPr>
          <w:rFonts w:ascii="Times New Roman" w:hAnsi="Times New Roman" w:cs="Times New Roman"/>
          <w:sz w:val="24"/>
          <w:szCs w:val="24"/>
          <w:lang w:val="lv-LV"/>
        </w:rPr>
        <w:t xml:space="preserve"> visaugstākā – drošības un aizsardzības institūcijām</w:t>
      </w:r>
      <w:r w:rsidR="00F27E1F" w:rsidRPr="005F0D6C">
        <w:rPr>
          <w:rFonts w:ascii="Times New Roman" w:hAnsi="Times New Roman" w:cs="Times New Roman"/>
          <w:sz w:val="24"/>
          <w:szCs w:val="24"/>
          <w:lang w:val="lv-LV"/>
        </w:rPr>
        <w:t>).</w:t>
      </w:r>
    </w:p>
    <w:p w14:paraId="74850158" w14:textId="7E0F65A8" w:rsidR="00A25029" w:rsidRPr="005F0D6C" w:rsidRDefault="00F27E1F" w:rsidP="00F27E1F">
      <w:pPr>
        <w:spacing w:before="120" w:after="120" w:line="360" w:lineRule="auto"/>
        <w:jc w:val="both"/>
        <w:rPr>
          <w:rFonts w:ascii="Times New Roman" w:hAnsi="Times New Roman" w:cs="Times New Roman"/>
          <w:sz w:val="24"/>
          <w:szCs w:val="24"/>
          <w:lang w:val="lv-LV"/>
        </w:rPr>
      </w:pPr>
      <w:r w:rsidRPr="005F0D6C">
        <w:rPr>
          <w:rFonts w:ascii="Times New Roman" w:hAnsi="Times New Roman" w:cs="Times New Roman"/>
          <w:sz w:val="24"/>
          <w:szCs w:val="24"/>
          <w:lang w:val="lv-LV"/>
        </w:rPr>
        <w:t>Retrospektīvs s</w:t>
      </w:r>
      <w:r w:rsidR="00A25029" w:rsidRPr="005F0D6C">
        <w:rPr>
          <w:rFonts w:ascii="Times New Roman" w:hAnsi="Times New Roman" w:cs="Times New Roman"/>
          <w:sz w:val="24"/>
          <w:szCs w:val="24"/>
          <w:lang w:val="lv-LV"/>
        </w:rPr>
        <w:t>ituācijas vērtēj</w:t>
      </w:r>
      <w:r w:rsidRPr="005F0D6C">
        <w:rPr>
          <w:rFonts w:ascii="Times New Roman" w:hAnsi="Times New Roman" w:cs="Times New Roman"/>
          <w:sz w:val="24"/>
          <w:szCs w:val="24"/>
          <w:lang w:val="lv-LV"/>
        </w:rPr>
        <w:t>ums 11 noteiktās jomās kopumā ir negatīvs: par lielāko daļu jomu respondenti lielākoties uzskata, ka situācija ir pasliktinājusies.</w:t>
      </w:r>
      <w:r w:rsidR="00A25029" w:rsidRPr="005F0D6C">
        <w:rPr>
          <w:rFonts w:ascii="Times New Roman" w:hAnsi="Times New Roman" w:cs="Times New Roman"/>
          <w:sz w:val="24"/>
          <w:szCs w:val="24"/>
          <w:lang w:val="lv-LV"/>
        </w:rPr>
        <w:t xml:space="preserve"> </w:t>
      </w:r>
      <w:r w:rsidRPr="005F0D6C">
        <w:rPr>
          <w:rFonts w:ascii="Times New Roman" w:hAnsi="Times New Roman" w:cs="Times New Roman"/>
          <w:sz w:val="24"/>
          <w:szCs w:val="24"/>
          <w:lang w:val="lv-LV"/>
        </w:rPr>
        <w:t xml:space="preserve">“Antilīderos” ir tādas jomas, kā veselības aprūpe, lauksaimniecība un enerģētika. Jāuzsver </w:t>
      </w:r>
      <w:r w:rsidR="005C6153" w:rsidRPr="005F0D6C">
        <w:rPr>
          <w:rFonts w:ascii="Times New Roman" w:hAnsi="Times New Roman" w:cs="Times New Roman"/>
          <w:sz w:val="24"/>
          <w:szCs w:val="24"/>
          <w:lang w:val="lv-LV"/>
        </w:rPr>
        <w:t>gan, ka šis ir sabiedrības,</w:t>
      </w:r>
      <w:r w:rsidRPr="005F0D6C">
        <w:rPr>
          <w:rFonts w:ascii="Times New Roman" w:hAnsi="Times New Roman" w:cs="Times New Roman"/>
          <w:sz w:val="24"/>
          <w:szCs w:val="24"/>
          <w:lang w:val="lv-LV"/>
        </w:rPr>
        <w:t xml:space="preserve"> nevis nozaru ekspertu vērtējums, taču tieši sabiedrības viedoklim ir izšķiroša nozīmē brīžos, kad stāvokļa uztvere konvertējas politiskajā līdzdalībā un konkrētu partiju programmu izvēlē. Jo augstāks uzticēšanās līmenis respondentiem, jo pozitīvāks ir situācijas vērtējums kopumā (r = 0,447, p &lt; 0,01).</w:t>
      </w:r>
    </w:p>
    <w:p w14:paraId="775C267B" w14:textId="5115D02B" w:rsidR="00C669D1" w:rsidRPr="005F0D6C" w:rsidRDefault="00C669D1" w:rsidP="00F27E1F">
      <w:pPr>
        <w:spacing w:before="120" w:after="120" w:line="360" w:lineRule="auto"/>
        <w:jc w:val="both"/>
        <w:rPr>
          <w:rFonts w:ascii="Times New Roman" w:hAnsi="Times New Roman" w:cs="Times New Roman"/>
          <w:sz w:val="24"/>
          <w:szCs w:val="24"/>
          <w:lang w:val="lv-LV"/>
        </w:rPr>
      </w:pPr>
      <w:r w:rsidRPr="005F0D6C">
        <w:rPr>
          <w:rFonts w:ascii="Times New Roman" w:hAnsi="Times New Roman" w:cs="Times New Roman"/>
          <w:sz w:val="24"/>
          <w:szCs w:val="24"/>
          <w:lang w:val="lv-LV"/>
        </w:rPr>
        <w:t>Latvijas iedzīvotāju vidū nav vērojama spēcīga izšķiršanās par labi sabiedrības veselībai vai ekonomikas prioritizācijai, kā arī sabiedrības kontrolēšanai vai privātuma aizsargāšanai un paklausībai vai autonomijai lēmumu pieņemšanā. Vidējās vērtības katrā no šiem trīs jautājumiem atrodas tuvu skalas viduspunktam, kas ir 5.</w:t>
      </w:r>
      <w:r w:rsidR="005C6153" w:rsidRPr="005F0D6C">
        <w:rPr>
          <w:rFonts w:ascii="Times New Roman" w:hAnsi="Times New Roman" w:cs="Times New Roman"/>
          <w:sz w:val="24"/>
          <w:szCs w:val="24"/>
          <w:lang w:val="lv-LV"/>
        </w:rPr>
        <w:t xml:space="preserve"> Tai pašā laikā skaidri redzama uzticēšanās negatīvā sakarība ar prioritātēm, kuras izvēlas valdības rīcību pandēmijas laikā atbalstošie respondenti. Šis atklājums arī kalpo par netiešu indikatoru kopējam zemam politiskās uzticēšanās līmenim Latvijā, kas rezonē ar kritiskiem viedokļiem par to, kā tiek pārvaldīta valsts. Papildu atziņas nākamajos pētījumos nāktu no to jautājumu analīzes, kas tiešā </w:t>
      </w:r>
      <w:r w:rsidR="005C6153" w:rsidRPr="005F0D6C">
        <w:rPr>
          <w:rFonts w:ascii="Times New Roman" w:hAnsi="Times New Roman" w:cs="Times New Roman"/>
          <w:sz w:val="24"/>
          <w:szCs w:val="24"/>
          <w:lang w:val="lv-LV"/>
        </w:rPr>
        <w:lastRenderedPageBreak/>
        <w:t>veidā izzina cilvēku viedokļus par to, kā pandēmijas izraisītā ārkārtējā situācija ir ietekmējusi viņu dzīvi, kā arī cik saprotama un pamatota, viņuprāt, bija Latvijas varas institūciju politika un lēmumi pandēmijas laikā.</w:t>
      </w:r>
    </w:p>
    <w:p w14:paraId="258E7140" w14:textId="03BB00B4" w:rsidR="002F409D" w:rsidRPr="005F0D6C" w:rsidRDefault="002F409D" w:rsidP="00E50D63">
      <w:pPr>
        <w:jc w:val="both"/>
        <w:rPr>
          <w:rFonts w:ascii="Times New Roman" w:hAnsi="Times New Roman" w:cs="Times New Roman"/>
          <w:sz w:val="24"/>
          <w:szCs w:val="24"/>
          <w:lang w:val="lv-LV"/>
        </w:rPr>
        <w:sectPr w:rsidR="002F409D" w:rsidRPr="005F0D6C" w:rsidSect="00A25029">
          <w:type w:val="continuous"/>
          <w:pgSz w:w="11906" w:h="16838"/>
          <w:pgMar w:top="1440" w:right="1440" w:bottom="1440" w:left="1440" w:header="708" w:footer="708" w:gutter="0"/>
          <w:cols w:space="708"/>
          <w:docGrid w:linePitch="360"/>
        </w:sectPr>
      </w:pPr>
    </w:p>
    <w:p w14:paraId="649B71A6" w14:textId="77777777" w:rsidR="002F409D" w:rsidRPr="005F0D6C" w:rsidRDefault="002F409D" w:rsidP="00E50D63">
      <w:pPr>
        <w:jc w:val="both"/>
        <w:rPr>
          <w:rFonts w:ascii="Times New Roman" w:hAnsi="Times New Roman" w:cs="Times New Roman"/>
          <w:sz w:val="24"/>
          <w:szCs w:val="24"/>
          <w:lang w:val="lv-LV"/>
        </w:rPr>
      </w:pPr>
    </w:p>
    <w:p w14:paraId="00000012" w14:textId="1F842A62" w:rsidR="000210DF" w:rsidRPr="005F0D6C" w:rsidRDefault="00E50D63" w:rsidP="00E50D63">
      <w:pPr>
        <w:spacing w:before="120" w:after="120" w:line="360" w:lineRule="auto"/>
        <w:jc w:val="both"/>
        <w:rPr>
          <w:rFonts w:ascii="Times New Roman" w:eastAsia="Times New Roman" w:hAnsi="Times New Roman" w:cs="Times New Roman"/>
          <w:b/>
          <w:sz w:val="24"/>
          <w:szCs w:val="24"/>
        </w:rPr>
      </w:pPr>
      <w:r w:rsidRPr="005F0D6C">
        <w:rPr>
          <w:rFonts w:ascii="Times New Roman" w:eastAsia="Times New Roman" w:hAnsi="Times New Roman" w:cs="Times New Roman"/>
          <w:b/>
          <w:sz w:val="24"/>
          <w:szCs w:val="24"/>
        </w:rPr>
        <w:t>Avoti</w:t>
      </w:r>
    </w:p>
    <w:p w14:paraId="6DFEDDD5" w14:textId="77777777" w:rsidR="00300CF5" w:rsidRPr="005F0D6C" w:rsidRDefault="00300CF5" w:rsidP="00300CF5">
      <w:pPr>
        <w:pStyle w:val="Default"/>
        <w:ind w:left="720"/>
      </w:pPr>
    </w:p>
    <w:p w14:paraId="294C748C" w14:textId="56EB52A3" w:rsidR="00300CF5" w:rsidRPr="005F0D6C" w:rsidRDefault="00300CF5" w:rsidP="00300CF5">
      <w:pPr>
        <w:pStyle w:val="Default"/>
        <w:numPr>
          <w:ilvl w:val="0"/>
          <w:numId w:val="4"/>
        </w:numPr>
        <w:jc w:val="both"/>
      </w:pPr>
      <w:r w:rsidRPr="005F0D6C">
        <w:t xml:space="preserve">Ares, M., &amp; Hernández, E. (2017). The corrosive effect of corruption on trust in politicians: Evidence from a natural experiment. Research &amp; Politics, 4(2), 205316801771418. </w:t>
      </w:r>
    </w:p>
    <w:p w14:paraId="093BA8DC" w14:textId="326D61C4" w:rsidR="00E50D63" w:rsidRPr="005F0D6C" w:rsidRDefault="00E50D63" w:rsidP="00E50D63">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Badman, R. P., Wang, A. X., Skrodzki, M., Cho, H.-C., Aguilar-Lleyda, D., Shiono, N., Yoo, S. B., Chiang, Y.-S., &amp; Akaishi, R. (2022). Trust in institutions, not in political leaders, determines compliance in COVID-19 prevention measures within societies across the Globe. Behavioral Sciences, 12(6), 170. https://doi.org/10.3390/bs12060170</w:t>
      </w:r>
    </w:p>
    <w:p w14:paraId="50C9B6B2" w14:textId="3D232F72" w:rsidR="00E50D63" w:rsidRPr="005F0D6C" w:rsidRDefault="00E50D63" w:rsidP="00E50D63">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Bottasso, A., Cerruti, G., &amp; Conti, M. (2022). Institutions matter: The impact of the covid-19 pandemic on the political trust of young Europeans. Journal of Regional Science, 62, 1122– 1148. </w:t>
      </w:r>
      <w:hyperlink r:id="rId9" w:history="1">
        <w:r w:rsidR="00300CF5" w:rsidRPr="005F0D6C">
          <w:rPr>
            <w:rStyle w:val="Hipersaite"/>
            <w:rFonts w:ascii="Times New Roman" w:eastAsia="Times New Roman" w:hAnsi="Times New Roman" w:cs="Times New Roman"/>
            <w:sz w:val="24"/>
            <w:szCs w:val="24"/>
          </w:rPr>
          <w:t>https://doi.org/10.1111/jors.12588</w:t>
        </w:r>
      </w:hyperlink>
    </w:p>
    <w:p w14:paraId="1B991E4E" w14:textId="5A2B47C3" w:rsidR="00300CF5" w:rsidRPr="005F0D6C" w:rsidRDefault="00300CF5" w:rsidP="00300CF5">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Brosius, A., van Elsas, E. J., &amp; de Vreese, C. H. (2019). How media shape political trust: News coverage of immigration and its effects on trust in the European Union. European Union Politics, 20(3), 447–467.</w:t>
      </w:r>
    </w:p>
    <w:p w14:paraId="65729C09" w14:textId="77777777" w:rsidR="00E50D63" w:rsidRPr="005F0D6C" w:rsidRDefault="00E50D63" w:rsidP="00E50D63">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Catterberg, G., Moreno, A. (2005). The Individual Bases of Political Trust: Trends in New and Established Democracies. International Journal of Public Opinion Research Vol. 18, No. 1, 31-48.</w:t>
      </w:r>
    </w:p>
    <w:p w14:paraId="78D8E925" w14:textId="77777777" w:rsidR="00E50D63" w:rsidRPr="005F0D6C" w:rsidRDefault="00E50D63" w:rsidP="00E50D63">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CHARRON, N., LAPUENTE, V. and RODRÍGUEZ-POSE, A. (2023), Uncooperative society, uncooperative politics or both? Trust, polarization, populism and COVID-19 deaths across European regions. European Journal of Political Research. https://doi.org/10.1111/1475-6765.12529</w:t>
      </w:r>
    </w:p>
    <w:p w14:paraId="34753584" w14:textId="77777777" w:rsidR="00E50D63" w:rsidRPr="005F0D6C" w:rsidRDefault="00E50D63" w:rsidP="00E50D63">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Choi, K. W., Jung, J. H., &amp; Kim, H. H. (2023). Political Trust, Mental Health, and the Coronavirus Pandemic: A Cross-National Study. Research on Aging, 45(2), 133–148. https://doi.org/10.1177/01640275221078959</w:t>
      </w:r>
    </w:p>
    <w:p w14:paraId="0F92D336" w14:textId="5BAE27F4" w:rsidR="00E50D63" w:rsidRPr="005F0D6C" w:rsidRDefault="00E50D63" w:rsidP="00E50D63">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Citrin, J., &amp; Muste, C. (1999). Trust in government. In J. P. Robinson, P. R. Shaver, &amp; L. S. Wrightsman (Eds.), Measures of political attitudes (pp. 465–532). Academic Press.</w:t>
      </w:r>
    </w:p>
    <w:p w14:paraId="433FAF2E" w14:textId="75069BC8" w:rsidR="00573F58" w:rsidRPr="005F0D6C" w:rsidRDefault="00573F58" w:rsidP="00573F58">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Davidovic, D., &amp; Harring, N. (2020). Exploring the cross-national variation in public support for climate policies in Europe: The role of quality of government and trust. Energy Research &amp; Social Science, 70, 101785.</w:t>
      </w:r>
    </w:p>
    <w:p w14:paraId="0EBD7252" w14:textId="77777777" w:rsidR="00E50D63" w:rsidRPr="005F0D6C" w:rsidRDefault="00E50D63" w:rsidP="00E50D63">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lastRenderedPageBreak/>
        <w:t>Delhey, Jan, and Kenneth Newton. 2005. “Predicting Cross-National Levels of Social Trust: Global Pattern or Nordic Exceptionalism?” European Sociological Review 21:311–27.</w:t>
      </w:r>
    </w:p>
    <w:p w14:paraId="14D77401" w14:textId="77777777" w:rsidR="00E50D63" w:rsidRPr="005F0D6C" w:rsidRDefault="00E50D63" w:rsidP="00E50D63">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Denemark, D., Harper, T., &amp; Attwell, K. (2022). Vaccine hesitancy and trust in government: A cross-national analysis. Australian Journal of Political Science, 57(2), 145-163. https://doi.org/10.1080/10361146.2022.2037511</w:t>
      </w:r>
    </w:p>
    <w:p w14:paraId="288A1764" w14:textId="3B376A69" w:rsidR="00E50D63" w:rsidRPr="005F0D6C" w:rsidRDefault="00E50D63" w:rsidP="00E50D63">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Earle, T. (2010). Distinguishing Trust from Confidence: Manageable Difficulties, Worth the Effort Reply to: Trust and Confidence: The Difficulties in Distinguishing the Two Concepts in Research. Risk Analysis, 30(7), 1025-1027.</w:t>
      </w:r>
    </w:p>
    <w:p w14:paraId="57FA1BBB" w14:textId="2B073E7C" w:rsidR="00290BF2" w:rsidRPr="005F0D6C" w:rsidRDefault="00290BF2" w:rsidP="00290BF2">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 xml:space="preserve">Felcis, R., Zobena, A. (red.) (2022). </w:t>
      </w:r>
      <w:r w:rsidRPr="005F0D6C">
        <w:rPr>
          <w:rFonts w:ascii="Times New Roman" w:eastAsia="Times New Roman" w:hAnsi="Times New Roman" w:cs="Times New Roman"/>
          <w:sz w:val="24"/>
          <w:szCs w:val="24"/>
        </w:rPr>
        <w:t xml:space="preserve">Kopīgo resursu pārvaldība krīžu saplūšanas laikā. </w:t>
      </w:r>
      <w:r w:rsidRPr="005F0D6C">
        <w:rPr>
          <w:rFonts w:ascii="Times New Roman" w:eastAsia="Times New Roman" w:hAnsi="Times New Roman" w:cs="Times New Roman"/>
          <w:sz w:val="24"/>
          <w:szCs w:val="24"/>
        </w:rPr>
        <w:t>Rīga: LU Akadēmiskais apgāds</w:t>
      </w:r>
      <w:r w:rsidRPr="005F0D6C">
        <w:rPr>
          <w:rFonts w:ascii="Times New Roman" w:eastAsia="Times New Roman" w:hAnsi="Times New Roman" w:cs="Times New Roman"/>
          <w:sz w:val="24"/>
          <w:szCs w:val="24"/>
        </w:rPr>
        <w:t>. 184 lpp.</w:t>
      </w:r>
    </w:p>
    <w:p w14:paraId="54B026AD" w14:textId="77777777" w:rsidR="00E50D63" w:rsidRPr="005F0D6C" w:rsidRDefault="00E50D63" w:rsidP="00E50D63">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Kestilä-Kekkonen, E., Koivula, A., &amp; Tiihonen, A. (2022). When trust is not enough. A longitudinal analysis of political trust and political competence during the first wave of the COVID-19 pandemic in Finland. European Political Science Review, 14(3), 424-440.</w:t>
      </w:r>
    </w:p>
    <w:p w14:paraId="04C8A267" w14:textId="77777777" w:rsidR="00E50D63" w:rsidRPr="005F0D6C" w:rsidRDefault="00E50D63" w:rsidP="00E50D63">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Kołczyńska, M. (2021). The economy and governance as determinants of political trust in Europe: An analysis of the European values study and world values survey, 1990-2019. Czech Sociological Review, 56(6), 791-833. https://doi.org/10.13060/csr.2020.051</w:t>
      </w:r>
    </w:p>
    <w:p w14:paraId="200AFDF2" w14:textId="77777777" w:rsidR="00E50D63" w:rsidRPr="005F0D6C" w:rsidRDefault="00E50D63" w:rsidP="00E50D63">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Lalot, F., Heering, M. S., Rullo, M., Travaglino, G. A., &amp; Abrams, D. (2020). The dangers of distrustful complacency: Low concern and low political trust combine to undermine compliance with governmental restrictions in the emerging COVID-19 pandemic. Group Processes &amp; Intergroup Relations, 25(1), 106-121. https://doi.org/10.1177/1368430220967986</w:t>
      </w:r>
    </w:p>
    <w:p w14:paraId="60BCED0D" w14:textId="77777777" w:rsidR="00E50D63" w:rsidRPr="005F0D6C" w:rsidRDefault="00E50D63" w:rsidP="00E50D63">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Levi, M. and Stoker, L. (2000) Political Trust and Trustworthiness. Annual Review of Political Science, 3, 475-507.</w:t>
      </w:r>
    </w:p>
    <w:p w14:paraId="4ADEF825" w14:textId="77777777" w:rsidR="00E50D63" w:rsidRPr="005F0D6C" w:rsidRDefault="00E50D63" w:rsidP="00E50D63">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Mari, S., Gil de Zúñiga, H., Suerdem, A., Hanke, K., Brown, G., Vilar, R., Boer, D. and Bilewicz, M. (2022), Conspiracy Theories and Institutional Trust: Examining the Role of Uncertainty Avoidance and Active Social Media Use. Political Psychology, 43: 277-296. https://doi.org/10.1111/pops.12754</w:t>
      </w:r>
    </w:p>
    <w:p w14:paraId="66E276E9" w14:textId="77777777" w:rsidR="00E50D63" w:rsidRPr="005F0D6C" w:rsidRDefault="00E50D63" w:rsidP="00E50D63">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Miller, Arthur H. 1974. “Political Issues and Trust in Government: 1964–1970.” American Political Science Review 68:951–72.</w:t>
      </w:r>
    </w:p>
    <w:p w14:paraId="18F8AFD3" w14:textId="77777777" w:rsidR="00E50D63" w:rsidRPr="005F0D6C" w:rsidRDefault="00E50D63" w:rsidP="00E50D63">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lastRenderedPageBreak/>
        <w:t>Mishler, W. &amp; Rose, R. (2001). What Are the Origins of Political Trust? Testing Institutional and Cultural Theories in Post-Communist Societies, Comparative Political Studies 34(1): 30- 62.</w:t>
      </w:r>
    </w:p>
    <w:p w14:paraId="177DE9B4" w14:textId="77777777" w:rsidR="00E50D63" w:rsidRPr="005F0D6C" w:rsidRDefault="00E50D63" w:rsidP="00E50D63">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Newton, K. (2020), Government Communications, Political Trust and Compliant Social Behaviour: The Politics of Covid-19 in Britain. The Political Quarterly, 91: 502-513. https://doi.org/10.1111/1467-923X.12901</w:t>
      </w:r>
    </w:p>
    <w:p w14:paraId="547B4CC5" w14:textId="77777777" w:rsidR="00E50D63" w:rsidRPr="005F0D6C" w:rsidRDefault="00E50D63" w:rsidP="00E50D63">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SCHRAFF, D. (2021), Political trust during the Covid-19 pandemic: Rally around the flag or lockdown effects?. European Journal of Political Research, 60: 1007-1017. https://doi.org/10.1111/1475-6765.12425</w:t>
      </w:r>
    </w:p>
    <w:p w14:paraId="3A39EB37" w14:textId="43628498" w:rsidR="00573F58" w:rsidRPr="005F0D6C" w:rsidRDefault="00573F58" w:rsidP="00573F58">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Thoresen, S., Blix, I., Wentzel-Larsen, T., &amp; Birkeland, M. S. (2021). Trust and social relationships in times of the COVID-19 pandemic. European Journal of Psychotraumatology, 12(sup1), 1866418.</w:t>
      </w:r>
    </w:p>
    <w:p w14:paraId="5606999D" w14:textId="5E5E4D05" w:rsidR="00E50D63" w:rsidRPr="005F0D6C" w:rsidRDefault="00E50D63" w:rsidP="00E50D63">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Torcal, M., Christmann, P. (2021). Responsiveness, performance and corruption: Reasons for the decline of Political Trust. Frontiers in Political Science, 3. https://doi.org/10.3389/fpos.2021.676672</w:t>
      </w:r>
    </w:p>
    <w:p w14:paraId="563FF726" w14:textId="77777777" w:rsidR="00E50D63" w:rsidRPr="005F0D6C" w:rsidRDefault="00E50D63" w:rsidP="00E50D63">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Uslaner, E. (2015). Trust, Political. Editor(s): James D. Wright, International Encyclopedia of the Social &amp; Behavioral Sciences (Second Edition), Elsevier.</w:t>
      </w:r>
    </w:p>
    <w:p w14:paraId="6EF941D9" w14:textId="77777777" w:rsidR="00E50D63" w:rsidRPr="005F0D6C" w:rsidRDefault="00E50D63" w:rsidP="00E50D63">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VASILOPOULOS, P., MCAVAY, H., BROUARD, S. and FOUCAULT, M. (2023), Emotions, governmental trust and support for the restriction of civil liberties during the covid-19 pandemic. European Journal of Political Research, 62: 422-442. https://doi.org/10.1111/1475-6765.12513</w:t>
      </w:r>
    </w:p>
    <w:p w14:paraId="6B6001E3" w14:textId="3C361ED0" w:rsidR="00E50D63" w:rsidRPr="005F0D6C" w:rsidRDefault="00E50D63" w:rsidP="00E50D63">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 xml:space="preserve">Viskupič, F., &amp; Wiltse, D. L. (2023). Political Partisanship and Trust in Government Predict Popular Support for COVID-19 Vaccine Mandates for Various Professions and Demographic Groups: A Research Note. American Politics Research, 51(2), 139–146. </w:t>
      </w:r>
      <w:hyperlink r:id="rId10" w:history="1">
        <w:r w:rsidR="00300CF5" w:rsidRPr="005F0D6C">
          <w:rPr>
            <w:rStyle w:val="Hipersaite"/>
            <w:rFonts w:ascii="Times New Roman" w:eastAsia="Times New Roman" w:hAnsi="Times New Roman" w:cs="Times New Roman"/>
            <w:sz w:val="24"/>
            <w:szCs w:val="24"/>
          </w:rPr>
          <w:t>https://doi.org/10.1177/1532673X221118888</w:t>
        </w:r>
      </w:hyperlink>
    </w:p>
    <w:p w14:paraId="33D5B5D2" w14:textId="254394BB" w:rsidR="00300CF5" w:rsidRPr="005F0D6C" w:rsidRDefault="00300CF5" w:rsidP="00300CF5">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Vyrost, J. (2017). The Question of External Validity of Trust in the ESS R1-7 Data. Individual and Society, 2017, Vol. 20, No. 4, pp. 61-69.</w:t>
      </w:r>
    </w:p>
    <w:p w14:paraId="5D355C92" w14:textId="77777777" w:rsidR="00E50D63" w:rsidRPr="005F0D6C" w:rsidRDefault="00E50D63" w:rsidP="00E50D63">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Weinberg, J. (2022), Trust, Governance, and the Covid-19 Pandemic: an Explainer using Longitudinal Data from the United Kingdom. The Political Quarterly, 93: 316-325. https://doi.org/10.1111/1467-923X.13131</w:t>
      </w:r>
    </w:p>
    <w:p w14:paraId="2C5AACDF" w14:textId="632D37A9" w:rsidR="00E50D63" w:rsidRPr="005F0D6C" w:rsidRDefault="00E50D63" w:rsidP="00E50D63">
      <w:pPr>
        <w:pStyle w:val="Sarakstarindkopa"/>
        <w:numPr>
          <w:ilvl w:val="0"/>
          <w:numId w:val="4"/>
        </w:numPr>
        <w:spacing w:before="120" w:after="120" w:line="360" w:lineRule="auto"/>
        <w:jc w:val="both"/>
        <w:rPr>
          <w:rFonts w:ascii="Times New Roman" w:eastAsia="Times New Roman" w:hAnsi="Times New Roman" w:cs="Times New Roman"/>
          <w:sz w:val="24"/>
          <w:szCs w:val="24"/>
        </w:rPr>
      </w:pPr>
      <w:r w:rsidRPr="005F0D6C">
        <w:rPr>
          <w:rFonts w:ascii="Times New Roman" w:eastAsia="Times New Roman" w:hAnsi="Times New Roman" w:cs="Times New Roman"/>
          <w:sz w:val="24"/>
          <w:szCs w:val="24"/>
        </w:rPr>
        <w:t>Wroe, A. (2014) Political trust and job insecurity in 18 European polities, Journal of Trust Research, 4:2, 90-112, DOI: 10.1080/21515581.2014.957291</w:t>
      </w:r>
      <w:bookmarkStart w:id="1" w:name="_GoBack"/>
      <w:bookmarkEnd w:id="1"/>
    </w:p>
    <w:sectPr w:rsidR="00E50D63" w:rsidRPr="005F0D6C">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21BE7"/>
    <w:multiLevelType w:val="hybridMultilevel"/>
    <w:tmpl w:val="40EC2E6A"/>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1C269A"/>
    <w:multiLevelType w:val="hybridMultilevel"/>
    <w:tmpl w:val="4A1C6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09D14D4"/>
    <w:multiLevelType w:val="hybridMultilevel"/>
    <w:tmpl w:val="8104D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8CD2239"/>
    <w:multiLevelType w:val="hybridMultilevel"/>
    <w:tmpl w:val="154A3E7C"/>
    <w:lvl w:ilvl="0" w:tplc="0426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7E4119E"/>
    <w:multiLevelType w:val="hybridMultilevel"/>
    <w:tmpl w:val="18BC2A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0DF"/>
    <w:rsid w:val="0000287D"/>
    <w:rsid w:val="000210DF"/>
    <w:rsid w:val="00022245"/>
    <w:rsid w:val="00034796"/>
    <w:rsid w:val="000416D9"/>
    <w:rsid w:val="0007677F"/>
    <w:rsid w:val="000A2545"/>
    <w:rsid w:val="0010280E"/>
    <w:rsid w:val="0010509B"/>
    <w:rsid w:val="0014081D"/>
    <w:rsid w:val="0015091B"/>
    <w:rsid w:val="001976EF"/>
    <w:rsid w:val="001A377F"/>
    <w:rsid w:val="001E6312"/>
    <w:rsid w:val="002041AF"/>
    <w:rsid w:val="00212B85"/>
    <w:rsid w:val="00244D77"/>
    <w:rsid w:val="00290BF2"/>
    <w:rsid w:val="002F0E1F"/>
    <w:rsid w:val="002F409D"/>
    <w:rsid w:val="00300CF5"/>
    <w:rsid w:val="00325E04"/>
    <w:rsid w:val="00406251"/>
    <w:rsid w:val="0042407C"/>
    <w:rsid w:val="004C113E"/>
    <w:rsid w:val="004E21E6"/>
    <w:rsid w:val="0050477D"/>
    <w:rsid w:val="00523E70"/>
    <w:rsid w:val="00544899"/>
    <w:rsid w:val="0056600D"/>
    <w:rsid w:val="00573F58"/>
    <w:rsid w:val="005A506B"/>
    <w:rsid w:val="005C22D5"/>
    <w:rsid w:val="005C6153"/>
    <w:rsid w:val="005C7725"/>
    <w:rsid w:val="005D3485"/>
    <w:rsid w:val="005E4CD2"/>
    <w:rsid w:val="005F0D6C"/>
    <w:rsid w:val="0061709C"/>
    <w:rsid w:val="0062657F"/>
    <w:rsid w:val="00635BA2"/>
    <w:rsid w:val="00635C4E"/>
    <w:rsid w:val="00657F14"/>
    <w:rsid w:val="006B33C1"/>
    <w:rsid w:val="006C1303"/>
    <w:rsid w:val="00726F3A"/>
    <w:rsid w:val="007477EA"/>
    <w:rsid w:val="007520FF"/>
    <w:rsid w:val="00796CF8"/>
    <w:rsid w:val="007D54F2"/>
    <w:rsid w:val="007E46CB"/>
    <w:rsid w:val="00810835"/>
    <w:rsid w:val="00850063"/>
    <w:rsid w:val="00855F33"/>
    <w:rsid w:val="00856DE5"/>
    <w:rsid w:val="00866D94"/>
    <w:rsid w:val="008B24F5"/>
    <w:rsid w:val="008C345E"/>
    <w:rsid w:val="008F201A"/>
    <w:rsid w:val="009728C3"/>
    <w:rsid w:val="00A25029"/>
    <w:rsid w:val="00A26654"/>
    <w:rsid w:val="00A90355"/>
    <w:rsid w:val="00AC6C8E"/>
    <w:rsid w:val="00AD687F"/>
    <w:rsid w:val="00AE535C"/>
    <w:rsid w:val="00B14586"/>
    <w:rsid w:val="00B1784E"/>
    <w:rsid w:val="00B2613D"/>
    <w:rsid w:val="00B74391"/>
    <w:rsid w:val="00BF2780"/>
    <w:rsid w:val="00C32029"/>
    <w:rsid w:val="00C5020F"/>
    <w:rsid w:val="00C669D1"/>
    <w:rsid w:val="00CC7AF0"/>
    <w:rsid w:val="00CE32AB"/>
    <w:rsid w:val="00CF64CB"/>
    <w:rsid w:val="00D87E1F"/>
    <w:rsid w:val="00DD7A42"/>
    <w:rsid w:val="00DE6F39"/>
    <w:rsid w:val="00E20C8F"/>
    <w:rsid w:val="00E50D63"/>
    <w:rsid w:val="00EB0239"/>
    <w:rsid w:val="00EB3B6E"/>
    <w:rsid w:val="00ED3A64"/>
    <w:rsid w:val="00EE1E15"/>
    <w:rsid w:val="00F077B9"/>
    <w:rsid w:val="00F27E1F"/>
    <w:rsid w:val="00F50259"/>
    <w:rsid w:val="00F67D78"/>
    <w:rsid w:val="00F96771"/>
    <w:rsid w:val="00FC351B"/>
    <w:rsid w:val="00FC35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9E4D6"/>
  <w15:docId w15:val="{116ABB3B-9A99-4EAC-8764-3517B5964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style>
  <w:style w:type="paragraph" w:styleId="Virsraksts1">
    <w:name w:val="heading 1"/>
    <w:basedOn w:val="Parasts"/>
    <w:next w:val="Parasts"/>
    <w:pPr>
      <w:keepNext/>
      <w:keepLines/>
      <w:spacing w:before="400" w:after="120"/>
      <w:outlineLvl w:val="0"/>
    </w:pPr>
    <w:rPr>
      <w:sz w:val="40"/>
      <w:szCs w:val="40"/>
    </w:rPr>
  </w:style>
  <w:style w:type="paragraph" w:styleId="Virsraksts2">
    <w:name w:val="heading 2"/>
    <w:basedOn w:val="Parasts"/>
    <w:next w:val="Parasts"/>
    <w:pPr>
      <w:keepNext/>
      <w:keepLines/>
      <w:spacing w:before="360" w:after="120"/>
      <w:outlineLvl w:val="1"/>
    </w:pPr>
    <w:rPr>
      <w:sz w:val="32"/>
      <w:szCs w:val="32"/>
    </w:rPr>
  </w:style>
  <w:style w:type="paragraph" w:styleId="Virsraksts3">
    <w:name w:val="heading 3"/>
    <w:basedOn w:val="Parasts"/>
    <w:next w:val="Parasts"/>
    <w:pPr>
      <w:keepNext/>
      <w:keepLines/>
      <w:spacing w:before="320" w:after="80"/>
      <w:outlineLvl w:val="2"/>
    </w:pPr>
    <w:rPr>
      <w:color w:val="434343"/>
      <w:sz w:val="28"/>
      <w:szCs w:val="28"/>
    </w:rPr>
  </w:style>
  <w:style w:type="paragraph" w:styleId="Virsraksts4">
    <w:name w:val="heading 4"/>
    <w:basedOn w:val="Parasts"/>
    <w:next w:val="Parasts"/>
    <w:pPr>
      <w:keepNext/>
      <w:keepLines/>
      <w:spacing w:before="280" w:after="80"/>
      <w:outlineLvl w:val="3"/>
    </w:pPr>
    <w:rPr>
      <w:color w:val="666666"/>
      <w:sz w:val="24"/>
      <w:szCs w:val="24"/>
    </w:rPr>
  </w:style>
  <w:style w:type="paragraph" w:styleId="Virsraksts5">
    <w:name w:val="heading 5"/>
    <w:basedOn w:val="Parasts"/>
    <w:next w:val="Parasts"/>
    <w:pPr>
      <w:keepNext/>
      <w:keepLines/>
      <w:spacing w:before="240" w:after="80"/>
      <w:outlineLvl w:val="4"/>
    </w:pPr>
    <w:rPr>
      <w:color w:val="666666"/>
    </w:rPr>
  </w:style>
  <w:style w:type="paragraph" w:styleId="Virsraksts6">
    <w:name w:val="heading 6"/>
    <w:basedOn w:val="Parasts"/>
    <w:next w:val="Parasts"/>
    <w:pPr>
      <w:keepNext/>
      <w:keepLines/>
      <w:spacing w:before="240" w:after="80"/>
      <w:outlineLvl w:val="5"/>
    </w:pPr>
    <w:rPr>
      <w:i/>
      <w:color w:val="666666"/>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osaukums">
    <w:name w:val="Title"/>
    <w:basedOn w:val="Parasts"/>
    <w:next w:val="Parasts"/>
    <w:pPr>
      <w:keepNext/>
      <w:keepLines/>
      <w:spacing w:after="60"/>
    </w:pPr>
    <w:rPr>
      <w:sz w:val="52"/>
      <w:szCs w:val="52"/>
    </w:rPr>
  </w:style>
  <w:style w:type="paragraph" w:styleId="Apakvirsraksts">
    <w:name w:val="Subtitle"/>
    <w:basedOn w:val="Parasts"/>
    <w:next w:val="Parasts"/>
    <w:pPr>
      <w:keepNext/>
      <w:keepLines/>
      <w:spacing w:after="320"/>
    </w:pPr>
    <w:rPr>
      <w:color w:val="666666"/>
      <w:sz w:val="30"/>
      <w:szCs w:val="30"/>
    </w:rPr>
  </w:style>
  <w:style w:type="character" w:styleId="Komentraatsauce">
    <w:name w:val="annotation reference"/>
    <w:basedOn w:val="Noklusjumarindkopasfonts"/>
    <w:uiPriority w:val="99"/>
    <w:semiHidden/>
    <w:unhideWhenUsed/>
    <w:rsid w:val="000A2545"/>
    <w:rPr>
      <w:sz w:val="16"/>
      <w:szCs w:val="16"/>
    </w:rPr>
  </w:style>
  <w:style w:type="paragraph" w:styleId="Komentrateksts">
    <w:name w:val="annotation text"/>
    <w:basedOn w:val="Parasts"/>
    <w:link w:val="KomentratekstsRakstz"/>
    <w:uiPriority w:val="99"/>
    <w:semiHidden/>
    <w:unhideWhenUsed/>
    <w:rsid w:val="000A2545"/>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0A2545"/>
    <w:rPr>
      <w:sz w:val="20"/>
      <w:szCs w:val="20"/>
    </w:rPr>
  </w:style>
  <w:style w:type="paragraph" w:styleId="Komentratma">
    <w:name w:val="annotation subject"/>
    <w:basedOn w:val="Komentrateksts"/>
    <w:next w:val="Komentrateksts"/>
    <w:link w:val="KomentratmaRakstz"/>
    <w:uiPriority w:val="99"/>
    <w:semiHidden/>
    <w:unhideWhenUsed/>
    <w:rsid w:val="000A2545"/>
    <w:rPr>
      <w:b/>
      <w:bCs/>
    </w:rPr>
  </w:style>
  <w:style w:type="character" w:customStyle="1" w:styleId="KomentratmaRakstz">
    <w:name w:val="Komentāra tēma Rakstz."/>
    <w:basedOn w:val="KomentratekstsRakstz"/>
    <w:link w:val="Komentratma"/>
    <w:uiPriority w:val="99"/>
    <w:semiHidden/>
    <w:rsid w:val="000A2545"/>
    <w:rPr>
      <w:b/>
      <w:bCs/>
      <w:sz w:val="20"/>
      <w:szCs w:val="20"/>
    </w:rPr>
  </w:style>
  <w:style w:type="paragraph" w:styleId="Balonteksts">
    <w:name w:val="Balloon Text"/>
    <w:basedOn w:val="Parasts"/>
    <w:link w:val="BalontekstsRakstz"/>
    <w:uiPriority w:val="99"/>
    <w:semiHidden/>
    <w:unhideWhenUsed/>
    <w:rsid w:val="000A2545"/>
    <w:pPr>
      <w:spacing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0A2545"/>
    <w:rPr>
      <w:rFonts w:ascii="Segoe UI" w:hAnsi="Segoe UI" w:cs="Segoe UI"/>
      <w:sz w:val="18"/>
      <w:szCs w:val="18"/>
    </w:rPr>
  </w:style>
  <w:style w:type="paragraph" w:styleId="Paraststmeklis">
    <w:name w:val="Normal (Web)"/>
    <w:basedOn w:val="Parasts"/>
    <w:uiPriority w:val="99"/>
    <w:semiHidden/>
    <w:unhideWhenUsed/>
    <w:rsid w:val="00BF27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
    <w:name w:val="author"/>
    <w:basedOn w:val="Noklusjumarindkopasfonts"/>
    <w:rsid w:val="00BF2780"/>
  </w:style>
  <w:style w:type="character" w:customStyle="1" w:styleId="pubyear">
    <w:name w:val="pubyear"/>
    <w:basedOn w:val="Noklusjumarindkopasfonts"/>
    <w:rsid w:val="00BF2780"/>
  </w:style>
  <w:style w:type="character" w:customStyle="1" w:styleId="articletitle">
    <w:name w:val="articletitle"/>
    <w:basedOn w:val="Noklusjumarindkopasfonts"/>
    <w:rsid w:val="00BF2780"/>
  </w:style>
  <w:style w:type="character" w:customStyle="1" w:styleId="vol">
    <w:name w:val="vol"/>
    <w:basedOn w:val="Noklusjumarindkopasfonts"/>
    <w:rsid w:val="00BF2780"/>
  </w:style>
  <w:style w:type="character" w:customStyle="1" w:styleId="pagefirst">
    <w:name w:val="pagefirst"/>
    <w:basedOn w:val="Noklusjumarindkopasfonts"/>
    <w:rsid w:val="00BF2780"/>
  </w:style>
  <w:style w:type="character" w:customStyle="1" w:styleId="pagelast">
    <w:name w:val="pagelast"/>
    <w:basedOn w:val="Noklusjumarindkopasfonts"/>
    <w:rsid w:val="00BF2780"/>
  </w:style>
  <w:style w:type="character" w:styleId="Hipersaite">
    <w:name w:val="Hyperlink"/>
    <w:basedOn w:val="Noklusjumarindkopasfonts"/>
    <w:uiPriority w:val="99"/>
    <w:unhideWhenUsed/>
    <w:rsid w:val="00BF2780"/>
    <w:rPr>
      <w:color w:val="0000FF"/>
      <w:u w:val="single"/>
    </w:rPr>
  </w:style>
  <w:style w:type="character" w:styleId="Izclums">
    <w:name w:val="Emphasis"/>
    <w:basedOn w:val="Noklusjumarindkopasfonts"/>
    <w:uiPriority w:val="20"/>
    <w:qFormat/>
    <w:rsid w:val="00635C4E"/>
    <w:rPr>
      <w:i/>
      <w:iCs/>
    </w:rPr>
  </w:style>
  <w:style w:type="character" w:customStyle="1" w:styleId="httpsdoiorg1010801036114620222037511">
    <w:name w:val="https://doi.org/10.1080/10361146.2022.2037511"/>
    <w:basedOn w:val="Noklusjumarindkopasfonts"/>
    <w:rsid w:val="00635C4E"/>
  </w:style>
  <w:style w:type="character" w:customStyle="1" w:styleId="httpsdoiorg1013060csr2020051">
    <w:name w:val="https://doi.org/10.13060/csr.2020.051"/>
    <w:basedOn w:val="Noklusjumarindkopasfonts"/>
    <w:rsid w:val="00EB0239"/>
  </w:style>
  <w:style w:type="character" w:customStyle="1" w:styleId="httpsdoiorg1011771368430220967986">
    <w:name w:val="https://doi.org/10.1177/1368430220967986"/>
    <w:basedOn w:val="Noklusjumarindkopasfonts"/>
    <w:rsid w:val="008C345E"/>
  </w:style>
  <w:style w:type="paragraph" w:styleId="Sarakstarindkopa">
    <w:name w:val="List Paragraph"/>
    <w:basedOn w:val="Parasts"/>
    <w:uiPriority w:val="34"/>
    <w:qFormat/>
    <w:rsid w:val="002F409D"/>
    <w:pPr>
      <w:spacing w:after="160" w:line="259" w:lineRule="auto"/>
      <w:ind w:left="720"/>
      <w:contextualSpacing/>
    </w:pPr>
    <w:rPr>
      <w:rFonts w:asciiTheme="minorHAnsi" w:eastAsiaTheme="minorHAnsi" w:hAnsiTheme="minorHAnsi" w:cstheme="minorBidi"/>
      <w:lang w:eastAsia="en-US"/>
    </w:rPr>
  </w:style>
  <w:style w:type="table" w:styleId="Reatabula">
    <w:name w:val="Table Grid"/>
    <w:basedOn w:val="Parastatabula"/>
    <w:uiPriority w:val="39"/>
    <w:rsid w:val="00523E7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00CF5"/>
    <w:pPr>
      <w:autoSpaceDE w:val="0"/>
      <w:autoSpaceDN w:val="0"/>
      <w:adjustRightInd w:val="0"/>
      <w:spacing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314">
      <w:bodyDiv w:val="1"/>
      <w:marLeft w:val="0"/>
      <w:marRight w:val="0"/>
      <w:marTop w:val="0"/>
      <w:marBottom w:val="0"/>
      <w:divBdr>
        <w:top w:val="none" w:sz="0" w:space="0" w:color="auto"/>
        <w:left w:val="none" w:sz="0" w:space="0" w:color="auto"/>
        <w:bottom w:val="none" w:sz="0" w:space="0" w:color="auto"/>
        <w:right w:val="none" w:sz="0" w:space="0" w:color="auto"/>
      </w:divBdr>
      <w:divsChild>
        <w:div w:id="201551890">
          <w:marLeft w:val="360"/>
          <w:marRight w:val="0"/>
          <w:marTop w:val="120"/>
          <w:marBottom w:val="120"/>
          <w:divBdr>
            <w:top w:val="none" w:sz="0" w:space="0" w:color="auto"/>
            <w:left w:val="none" w:sz="0" w:space="0" w:color="auto"/>
            <w:bottom w:val="none" w:sz="0" w:space="0" w:color="auto"/>
            <w:right w:val="none" w:sz="0" w:space="0" w:color="auto"/>
          </w:divBdr>
        </w:div>
      </w:divsChild>
    </w:div>
    <w:div w:id="69429965">
      <w:bodyDiv w:val="1"/>
      <w:marLeft w:val="0"/>
      <w:marRight w:val="0"/>
      <w:marTop w:val="0"/>
      <w:marBottom w:val="0"/>
      <w:divBdr>
        <w:top w:val="none" w:sz="0" w:space="0" w:color="auto"/>
        <w:left w:val="none" w:sz="0" w:space="0" w:color="auto"/>
        <w:bottom w:val="none" w:sz="0" w:space="0" w:color="auto"/>
        <w:right w:val="none" w:sz="0" w:space="0" w:color="auto"/>
      </w:divBdr>
      <w:divsChild>
        <w:div w:id="542593222">
          <w:marLeft w:val="0"/>
          <w:marRight w:val="0"/>
          <w:marTop w:val="0"/>
          <w:marBottom w:val="0"/>
          <w:divBdr>
            <w:top w:val="single" w:sz="6" w:space="0" w:color="5B616B"/>
            <w:left w:val="single" w:sz="6" w:space="0" w:color="5B616B"/>
            <w:bottom w:val="single" w:sz="6" w:space="0" w:color="5B616B"/>
            <w:right w:val="single" w:sz="6" w:space="0" w:color="5B616B"/>
          </w:divBdr>
        </w:div>
      </w:divsChild>
    </w:div>
    <w:div w:id="130482861">
      <w:bodyDiv w:val="1"/>
      <w:marLeft w:val="0"/>
      <w:marRight w:val="0"/>
      <w:marTop w:val="0"/>
      <w:marBottom w:val="0"/>
      <w:divBdr>
        <w:top w:val="none" w:sz="0" w:space="0" w:color="auto"/>
        <w:left w:val="none" w:sz="0" w:space="0" w:color="auto"/>
        <w:bottom w:val="none" w:sz="0" w:space="0" w:color="auto"/>
        <w:right w:val="none" w:sz="0" w:space="0" w:color="auto"/>
      </w:divBdr>
      <w:divsChild>
        <w:div w:id="57486074">
          <w:marLeft w:val="0"/>
          <w:marRight w:val="0"/>
          <w:marTop w:val="0"/>
          <w:marBottom w:val="0"/>
          <w:divBdr>
            <w:top w:val="none" w:sz="0" w:space="0" w:color="auto"/>
            <w:left w:val="none" w:sz="0" w:space="0" w:color="auto"/>
            <w:bottom w:val="none" w:sz="0" w:space="0" w:color="auto"/>
            <w:right w:val="none" w:sz="0" w:space="0" w:color="auto"/>
          </w:divBdr>
          <w:divsChild>
            <w:div w:id="393427845">
              <w:marLeft w:val="-90"/>
              <w:marRight w:val="-90"/>
              <w:marTop w:val="0"/>
              <w:marBottom w:val="0"/>
              <w:divBdr>
                <w:top w:val="none" w:sz="0" w:space="0" w:color="auto"/>
                <w:left w:val="none" w:sz="0" w:space="0" w:color="auto"/>
                <w:bottom w:val="none" w:sz="0" w:space="0" w:color="auto"/>
                <w:right w:val="none" w:sz="0" w:space="0" w:color="auto"/>
              </w:divBdr>
              <w:divsChild>
                <w:div w:id="1602453040">
                  <w:marLeft w:val="0"/>
                  <w:marRight w:val="0"/>
                  <w:marTop w:val="0"/>
                  <w:marBottom w:val="0"/>
                  <w:divBdr>
                    <w:top w:val="single" w:sz="6" w:space="0" w:color="BBBBBB"/>
                    <w:left w:val="single" w:sz="6" w:space="0" w:color="BBBBBB"/>
                    <w:bottom w:val="single" w:sz="6" w:space="0" w:color="BBBBBB"/>
                    <w:right w:val="single" w:sz="6" w:space="0" w:color="BBBBBB"/>
                  </w:divBdr>
                </w:div>
              </w:divsChild>
            </w:div>
          </w:divsChild>
        </w:div>
      </w:divsChild>
    </w:div>
    <w:div w:id="134765637">
      <w:bodyDiv w:val="1"/>
      <w:marLeft w:val="0"/>
      <w:marRight w:val="0"/>
      <w:marTop w:val="0"/>
      <w:marBottom w:val="0"/>
      <w:divBdr>
        <w:top w:val="none" w:sz="0" w:space="0" w:color="auto"/>
        <w:left w:val="none" w:sz="0" w:space="0" w:color="auto"/>
        <w:bottom w:val="none" w:sz="0" w:space="0" w:color="auto"/>
        <w:right w:val="none" w:sz="0" w:space="0" w:color="auto"/>
      </w:divBdr>
      <w:divsChild>
        <w:div w:id="897518109">
          <w:marLeft w:val="0"/>
          <w:marRight w:val="0"/>
          <w:marTop w:val="0"/>
          <w:marBottom w:val="0"/>
          <w:divBdr>
            <w:top w:val="none" w:sz="0" w:space="0" w:color="auto"/>
            <w:left w:val="none" w:sz="0" w:space="0" w:color="auto"/>
            <w:bottom w:val="none" w:sz="0" w:space="0" w:color="auto"/>
            <w:right w:val="none" w:sz="0" w:space="0" w:color="auto"/>
          </w:divBdr>
          <w:divsChild>
            <w:div w:id="180966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62057">
      <w:bodyDiv w:val="1"/>
      <w:marLeft w:val="0"/>
      <w:marRight w:val="0"/>
      <w:marTop w:val="0"/>
      <w:marBottom w:val="0"/>
      <w:divBdr>
        <w:top w:val="none" w:sz="0" w:space="0" w:color="auto"/>
        <w:left w:val="none" w:sz="0" w:space="0" w:color="auto"/>
        <w:bottom w:val="none" w:sz="0" w:space="0" w:color="auto"/>
        <w:right w:val="none" w:sz="0" w:space="0" w:color="auto"/>
      </w:divBdr>
      <w:divsChild>
        <w:div w:id="641153412">
          <w:marLeft w:val="360"/>
          <w:marRight w:val="0"/>
          <w:marTop w:val="200"/>
          <w:marBottom w:val="0"/>
          <w:divBdr>
            <w:top w:val="none" w:sz="0" w:space="0" w:color="auto"/>
            <w:left w:val="none" w:sz="0" w:space="0" w:color="auto"/>
            <w:bottom w:val="none" w:sz="0" w:space="0" w:color="auto"/>
            <w:right w:val="none" w:sz="0" w:space="0" w:color="auto"/>
          </w:divBdr>
        </w:div>
        <w:div w:id="1758747695">
          <w:marLeft w:val="360"/>
          <w:marRight w:val="0"/>
          <w:marTop w:val="200"/>
          <w:marBottom w:val="0"/>
          <w:divBdr>
            <w:top w:val="none" w:sz="0" w:space="0" w:color="auto"/>
            <w:left w:val="none" w:sz="0" w:space="0" w:color="auto"/>
            <w:bottom w:val="none" w:sz="0" w:space="0" w:color="auto"/>
            <w:right w:val="none" w:sz="0" w:space="0" w:color="auto"/>
          </w:divBdr>
        </w:div>
        <w:div w:id="1898084128">
          <w:marLeft w:val="360"/>
          <w:marRight w:val="0"/>
          <w:marTop w:val="200"/>
          <w:marBottom w:val="0"/>
          <w:divBdr>
            <w:top w:val="none" w:sz="0" w:space="0" w:color="auto"/>
            <w:left w:val="none" w:sz="0" w:space="0" w:color="auto"/>
            <w:bottom w:val="none" w:sz="0" w:space="0" w:color="auto"/>
            <w:right w:val="none" w:sz="0" w:space="0" w:color="auto"/>
          </w:divBdr>
        </w:div>
        <w:div w:id="1515218390">
          <w:marLeft w:val="360"/>
          <w:marRight w:val="0"/>
          <w:marTop w:val="200"/>
          <w:marBottom w:val="0"/>
          <w:divBdr>
            <w:top w:val="none" w:sz="0" w:space="0" w:color="auto"/>
            <w:left w:val="none" w:sz="0" w:space="0" w:color="auto"/>
            <w:bottom w:val="none" w:sz="0" w:space="0" w:color="auto"/>
            <w:right w:val="none" w:sz="0" w:space="0" w:color="auto"/>
          </w:divBdr>
        </w:div>
        <w:div w:id="1202551639">
          <w:marLeft w:val="360"/>
          <w:marRight w:val="0"/>
          <w:marTop w:val="200"/>
          <w:marBottom w:val="0"/>
          <w:divBdr>
            <w:top w:val="none" w:sz="0" w:space="0" w:color="auto"/>
            <w:left w:val="none" w:sz="0" w:space="0" w:color="auto"/>
            <w:bottom w:val="none" w:sz="0" w:space="0" w:color="auto"/>
            <w:right w:val="none" w:sz="0" w:space="0" w:color="auto"/>
          </w:divBdr>
        </w:div>
        <w:div w:id="792789816">
          <w:marLeft w:val="360"/>
          <w:marRight w:val="0"/>
          <w:marTop w:val="200"/>
          <w:marBottom w:val="0"/>
          <w:divBdr>
            <w:top w:val="none" w:sz="0" w:space="0" w:color="auto"/>
            <w:left w:val="none" w:sz="0" w:space="0" w:color="auto"/>
            <w:bottom w:val="none" w:sz="0" w:space="0" w:color="auto"/>
            <w:right w:val="none" w:sz="0" w:space="0" w:color="auto"/>
          </w:divBdr>
        </w:div>
      </w:divsChild>
    </w:div>
    <w:div w:id="309483427">
      <w:bodyDiv w:val="1"/>
      <w:marLeft w:val="0"/>
      <w:marRight w:val="0"/>
      <w:marTop w:val="0"/>
      <w:marBottom w:val="0"/>
      <w:divBdr>
        <w:top w:val="none" w:sz="0" w:space="0" w:color="auto"/>
        <w:left w:val="none" w:sz="0" w:space="0" w:color="auto"/>
        <w:bottom w:val="none" w:sz="0" w:space="0" w:color="auto"/>
        <w:right w:val="none" w:sz="0" w:space="0" w:color="auto"/>
      </w:divBdr>
    </w:div>
    <w:div w:id="391315481">
      <w:bodyDiv w:val="1"/>
      <w:marLeft w:val="0"/>
      <w:marRight w:val="0"/>
      <w:marTop w:val="0"/>
      <w:marBottom w:val="0"/>
      <w:divBdr>
        <w:top w:val="none" w:sz="0" w:space="0" w:color="auto"/>
        <w:left w:val="none" w:sz="0" w:space="0" w:color="auto"/>
        <w:bottom w:val="none" w:sz="0" w:space="0" w:color="auto"/>
        <w:right w:val="none" w:sz="0" w:space="0" w:color="auto"/>
      </w:divBdr>
    </w:div>
    <w:div w:id="461660044">
      <w:bodyDiv w:val="1"/>
      <w:marLeft w:val="0"/>
      <w:marRight w:val="0"/>
      <w:marTop w:val="0"/>
      <w:marBottom w:val="0"/>
      <w:divBdr>
        <w:top w:val="none" w:sz="0" w:space="0" w:color="auto"/>
        <w:left w:val="none" w:sz="0" w:space="0" w:color="auto"/>
        <w:bottom w:val="none" w:sz="0" w:space="0" w:color="auto"/>
        <w:right w:val="none" w:sz="0" w:space="0" w:color="auto"/>
      </w:divBdr>
      <w:divsChild>
        <w:div w:id="1418091927">
          <w:marLeft w:val="0"/>
          <w:marRight w:val="0"/>
          <w:marTop w:val="0"/>
          <w:marBottom w:val="0"/>
          <w:divBdr>
            <w:top w:val="none" w:sz="0" w:space="0" w:color="auto"/>
            <w:left w:val="none" w:sz="0" w:space="0" w:color="auto"/>
            <w:bottom w:val="none" w:sz="0" w:space="0" w:color="auto"/>
            <w:right w:val="none" w:sz="0" w:space="0" w:color="auto"/>
          </w:divBdr>
          <w:divsChild>
            <w:div w:id="256401934">
              <w:marLeft w:val="-90"/>
              <w:marRight w:val="-90"/>
              <w:marTop w:val="0"/>
              <w:marBottom w:val="0"/>
              <w:divBdr>
                <w:top w:val="none" w:sz="0" w:space="0" w:color="auto"/>
                <w:left w:val="none" w:sz="0" w:space="0" w:color="auto"/>
                <w:bottom w:val="none" w:sz="0" w:space="0" w:color="auto"/>
                <w:right w:val="none" w:sz="0" w:space="0" w:color="auto"/>
              </w:divBdr>
              <w:divsChild>
                <w:div w:id="1203252794">
                  <w:marLeft w:val="0"/>
                  <w:marRight w:val="0"/>
                  <w:marTop w:val="0"/>
                  <w:marBottom w:val="0"/>
                  <w:divBdr>
                    <w:top w:val="single" w:sz="6" w:space="0" w:color="BBBBBB"/>
                    <w:left w:val="single" w:sz="6" w:space="0" w:color="BBBBBB"/>
                    <w:bottom w:val="single" w:sz="6" w:space="0" w:color="BBBBBB"/>
                    <w:right w:val="single" w:sz="6" w:space="0" w:color="BBBBBB"/>
                  </w:divBdr>
                </w:div>
              </w:divsChild>
            </w:div>
          </w:divsChild>
        </w:div>
      </w:divsChild>
    </w:div>
    <w:div w:id="553546690">
      <w:bodyDiv w:val="1"/>
      <w:marLeft w:val="0"/>
      <w:marRight w:val="0"/>
      <w:marTop w:val="0"/>
      <w:marBottom w:val="0"/>
      <w:divBdr>
        <w:top w:val="none" w:sz="0" w:space="0" w:color="auto"/>
        <w:left w:val="none" w:sz="0" w:space="0" w:color="auto"/>
        <w:bottom w:val="none" w:sz="0" w:space="0" w:color="auto"/>
        <w:right w:val="none" w:sz="0" w:space="0" w:color="auto"/>
      </w:divBdr>
    </w:div>
    <w:div w:id="811824262">
      <w:bodyDiv w:val="1"/>
      <w:marLeft w:val="0"/>
      <w:marRight w:val="0"/>
      <w:marTop w:val="0"/>
      <w:marBottom w:val="0"/>
      <w:divBdr>
        <w:top w:val="none" w:sz="0" w:space="0" w:color="auto"/>
        <w:left w:val="none" w:sz="0" w:space="0" w:color="auto"/>
        <w:bottom w:val="none" w:sz="0" w:space="0" w:color="auto"/>
        <w:right w:val="none" w:sz="0" w:space="0" w:color="auto"/>
      </w:divBdr>
      <w:divsChild>
        <w:div w:id="768279837">
          <w:marLeft w:val="0"/>
          <w:marRight w:val="0"/>
          <w:marTop w:val="0"/>
          <w:marBottom w:val="0"/>
          <w:divBdr>
            <w:top w:val="none" w:sz="0" w:space="0" w:color="auto"/>
            <w:left w:val="none" w:sz="0" w:space="0" w:color="auto"/>
            <w:bottom w:val="none" w:sz="0" w:space="0" w:color="auto"/>
            <w:right w:val="none" w:sz="0" w:space="0" w:color="auto"/>
          </w:divBdr>
          <w:divsChild>
            <w:div w:id="736634867">
              <w:marLeft w:val="0"/>
              <w:marRight w:val="0"/>
              <w:marTop w:val="0"/>
              <w:marBottom w:val="0"/>
              <w:divBdr>
                <w:top w:val="none" w:sz="0" w:space="0" w:color="auto"/>
                <w:left w:val="none" w:sz="0" w:space="0" w:color="auto"/>
                <w:bottom w:val="none" w:sz="0" w:space="0" w:color="auto"/>
                <w:right w:val="none" w:sz="0" w:space="0" w:color="auto"/>
              </w:divBdr>
              <w:divsChild>
                <w:div w:id="547454439">
                  <w:marLeft w:val="0"/>
                  <w:marRight w:val="0"/>
                  <w:marTop w:val="0"/>
                  <w:marBottom w:val="0"/>
                  <w:divBdr>
                    <w:top w:val="none" w:sz="0" w:space="0" w:color="auto"/>
                    <w:left w:val="none" w:sz="0" w:space="0" w:color="auto"/>
                    <w:bottom w:val="none" w:sz="0" w:space="0" w:color="auto"/>
                    <w:right w:val="none" w:sz="0" w:space="0" w:color="auto"/>
                  </w:divBdr>
                  <w:divsChild>
                    <w:div w:id="1200582538">
                      <w:marLeft w:val="0"/>
                      <w:marRight w:val="0"/>
                      <w:marTop w:val="0"/>
                      <w:marBottom w:val="0"/>
                      <w:divBdr>
                        <w:top w:val="none" w:sz="0" w:space="0" w:color="auto"/>
                        <w:left w:val="none" w:sz="0" w:space="0" w:color="auto"/>
                        <w:bottom w:val="none" w:sz="0" w:space="0" w:color="auto"/>
                        <w:right w:val="none" w:sz="0" w:space="0" w:color="auto"/>
                      </w:divBdr>
                      <w:divsChild>
                        <w:div w:id="168378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440323">
      <w:bodyDiv w:val="1"/>
      <w:marLeft w:val="0"/>
      <w:marRight w:val="0"/>
      <w:marTop w:val="0"/>
      <w:marBottom w:val="0"/>
      <w:divBdr>
        <w:top w:val="none" w:sz="0" w:space="0" w:color="auto"/>
        <w:left w:val="none" w:sz="0" w:space="0" w:color="auto"/>
        <w:bottom w:val="none" w:sz="0" w:space="0" w:color="auto"/>
        <w:right w:val="none" w:sz="0" w:space="0" w:color="auto"/>
      </w:divBdr>
      <w:divsChild>
        <w:div w:id="1636837877">
          <w:marLeft w:val="0"/>
          <w:marRight w:val="0"/>
          <w:marTop w:val="0"/>
          <w:marBottom w:val="0"/>
          <w:divBdr>
            <w:top w:val="none" w:sz="0" w:space="0" w:color="auto"/>
            <w:left w:val="none" w:sz="0" w:space="0" w:color="auto"/>
            <w:bottom w:val="none" w:sz="0" w:space="0" w:color="auto"/>
            <w:right w:val="none" w:sz="0" w:space="0" w:color="auto"/>
          </w:divBdr>
          <w:divsChild>
            <w:div w:id="135725412">
              <w:marLeft w:val="-90"/>
              <w:marRight w:val="-90"/>
              <w:marTop w:val="0"/>
              <w:marBottom w:val="0"/>
              <w:divBdr>
                <w:top w:val="none" w:sz="0" w:space="0" w:color="auto"/>
                <w:left w:val="none" w:sz="0" w:space="0" w:color="auto"/>
                <w:bottom w:val="none" w:sz="0" w:space="0" w:color="auto"/>
                <w:right w:val="none" w:sz="0" w:space="0" w:color="auto"/>
              </w:divBdr>
              <w:divsChild>
                <w:div w:id="1508326187">
                  <w:marLeft w:val="0"/>
                  <w:marRight w:val="0"/>
                  <w:marTop w:val="0"/>
                  <w:marBottom w:val="0"/>
                  <w:divBdr>
                    <w:top w:val="single" w:sz="6" w:space="0" w:color="BBBBBB"/>
                    <w:left w:val="single" w:sz="6" w:space="0" w:color="BBBBBB"/>
                    <w:bottom w:val="single" w:sz="6" w:space="0" w:color="BBBBBB"/>
                    <w:right w:val="single" w:sz="6" w:space="0" w:color="BBBBBB"/>
                  </w:divBdr>
                </w:div>
              </w:divsChild>
            </w:div>
          </w:divsChild>
        </w:div>
      </w:divsChild>
    </w:div>
    <w:div w:id="885339799">
      <w:bodyDiv w:val="1"/>
      <w:marLeft w:val="0"/>
      <w:marRight w:val="0"/>
      <w:marTop w:val="0"/>
      <w:marBottom w:val="0"/>
      <w:divBdr>
        <w:top w:val="none" w:sz="0" w:space="0" w:color="auto"/>
        <w:left w:val="none" w:sz="0" w:space="0" w:color="auto"/>
        <w:bottom w:val="none" w:sz="0" w:space="0" w:color="auto"/>
        <w:right w:val="none" w:sz="0" w:space="0" w:color="auto"/>
      </w:divBdr>
      <w:divsChild>
        <w:div w:id="1853446959">
          <w:marLeft w:val="0"/>
          <w:marRight w:val="0"/>
          <w:marTop w:val="0"/>
          <w:marBottom w:val="0"/>
          <w:divBdr>
            <w:top w:val="none" w:sz="0" w:space="0" w:color="auto"/>
            <w:left w:val="none" w:sz="0" w:space="0" w:color="auto"/>
            <w:bottom w:val="none" w:sz="0" w:space="0" w:color="auto"/>
            <w:right w:val="none" w:sz="0" w:space="0" w:color="auto"/>
          </w:divBdr>
          <w:divsChild>
            <w:div w:id="8214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201944">
      <w:bodyDiv w:val="1"/>
      <w:marLeft w:val="0"/>
      <w:marRight w:val="0"/>
      <w:marTop w:val="0"/>
      <w:marBottom w:val="0"/>
      <w:divBdr>
        <w:top w:val="none" w:sz="0" w:space="0" w:color="auto"/>
        <w:left w:val="none" w:sz="0" w:space="0" w:color="auto"/>
        <w:bottom w:val="none" w:sz="0" w:space="0" w:color="auto"/>
        <w:right w:val="none" w:sz="0" w:space="0" w:color="auto"/>
      </w:divBdr>
    </w:div>
    <w:div w:id="1059012816">
      <w:bodyDiv w:val="1"/>
      <w:marLeft w:val="0"/>
      <w:marRight w:val="0"/>
      <w:marTop w:val="0"/>
      <w:marBottom w:val="0"/>
      <w:divBdr>
        <w:top w:val="none" w:sz="0" w:space="0" w:color="auto"/>
        <w:left w:val="none" w:sz="0" w:space="0" w:color="auto"/>
        <w:bottom w:val="none" w:sz="0" w:space="0" w:color="auto"/>
        <w:right w:val="none" w:sz="0" w:space="0" w:color="auto"/>
      </w:divBdr>
    </w:div>
    <w:div w:id="1100104443">
      <w:bodyDiv w:val="1"/>
      <w:marLeft w:val="0"/>
      <w:marRight w:val="0"/>
      <w:marTop w:val="0"/>
      <w:marBottom w:val="0"/>
      <w:divBdr>
        <w:top w:val="none" w:sz="0" w:space="0" w:color="auto"/>
        <w:left w:val="none" w:sz="0" w:space="0" w:color="auto"/>
        <w:bottom w:val="none" w:sz="0" w:space="0" w:color="auto"/>
        <w:right w:val="none" w:sz="0" w:space="0" w:color="auto"/>
      </w:divBdr>
      <w:divsChild>
        <w:div w:id="60491726">
          <w:marLeft w:val="0"/>
          <w:marRight w:val="0"/>
          <w:marTop w:val="0"/>
          <w:marBottom w:val="0"/>
          <w:divBdr>
            <w:top w:val="none" w:sz="0" w:space="0" w:color="auto"/>
            <w:left w:val="none" w:sz="0" w:space="0" w:color="auto"/>
            <w:bottom w:val="none" w:sz="0" w:space="0" w:color="auto"/>
            <w:right w:val="none" w:sz="0" w:space="0" w:color="auto"/>
          </w:divBdr>
          <w:divsChild>
            <w:div w:id="27783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689950">
      <w:bodyDiv w:val="1"/>
      <w:marLeft w:val="0"/>
      <w:marRight w:val="0"/>
      <w:marTop w:val="0"/>
      <w:marBottom w:val="0"/>
      <w:divBdr>
        <w:top w:val="none" w:sz="0" w:space="0" w:color="auto"/>
        <w:left w:val="none" w:sz="0" w:space="0" w:color="auto"/>
        <w:bottom w:val="none" w:sz="0" w:space="0" w:color="auto"/>
        <w:right w:val="none" w:sz="0" w:space="0" w:color="auto"/>
      </w:divBdr>
    </w:div>
    <w:div w:id="1312710075">
      <w:bodyDiv w:val="1"/>
      <w:marLeft w:val="0"/>
      <w:marRight w:val="0"/>
      <w:marTop w:val="0"/>
      <w:marBottom w:val="0"/>
      <w:divBdr>
        <w:top w:val="none" w:sz="0" w:space="0" w:color="auto"/>
        <w:left w:val="none" w:sz="0" w:space="0" w:color="auto"/>
        <w:bottom w:val="none" w:sz="0" w:space="0" w:color="auto"/>
        <w:right w:val="none" w:sz="0" w:space="0" w:color="auto"/>
      </w:divBdr>
      <w:divsChild>
        <w:div w:id="1075476576">
          <w:marLeft w:val="0"/>
          <w:marRight w:val="0"/>
          <w:marTop w:val="0"/>
          <w:marBottom w:val="0"/>
          <w:divBdr>
            <w:top w:val="none" w:sz="0" w:space="0" w:color="auto"/>
            <w:left w:val="none" w:sz="0" w:space="0" w:color="auto"/>
            <w:bottom w:val="none" w:sz="0" w:space="0" w:color="auto"/>
            <w:right w:val="none" w:sz="0" w:space="0" w:color="auto"/>
          </w:divBdr>
          <w:divsChild>
            <w:div w:id="124271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073940">
      <w:bodyDiv w:val="1"/>
      <w:marLeft w:val="0"/>
      <w:marRight w:val="0"/>
      <w:marTop w:val="0"/>
      <w:marBottom w:val="0"/>
      <w:divBdr>
        <w:top w:val="none" w:sz="0" w:space="0" w:color="auto"/>
        <w:left w:val="none" w:sz="0" w:space="0" w:color="auto"/>
        <w:bottom w:val="none" w:sz="0" w:space="0" w:color="auto"/>
        <w:right w:val="none" w:sz="0" w:space="0" w:color="auto"/>
      </w:divBdr>
    </w:div>
    <w:div w:id="1413236307">
      <w:bodyDiv w:val="1"/>
      <w:marLeft w:val="0"/>
      <w:marRight w:val="0"/>
      <w:marTop w:val="0"/>
      <w:marBottom w:val="0"/>
      <w:divBdr>
        <w:top w:val="none" w:sz="0" w:space="0" w:color="auto"/>
        <w:left w:val="none" w:sz="0" w:space="0" w:color="auto"/>
        <w:bottom w:val="none" w:sz="0" w:space="0" w:color="auto"/>
        <w:right w:val="none" w:sz="0" w:space="0" w:color="auto"/>
      </w:divBdr>
      <w:divsChild>
        <w:div w:id="712778426">
          <w:marLeft w:val="0"/>
          <w:marRight w:val="0"/>
          <w:marTop w:val="0"/>
          <w:marBottom w:val="0"/>
          <w:divBdr>
            <w:top w:val="none" w:sz="0" w:space="0" w:color="auto"/>
            <w:left w:val="none" w:sz="0" w:space="0" w:color="auto"/>
            <w:bottom w:val="none" w:sz="0" w:space="0" w:color="auto"/>
            <w:right w:val="none" w:sz="0" w:space="0" w:color="auto"/>
          </w:divBdr>
          <w:divsChild>
            <w:div w:id="123832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00207">
      <w:bodyDiv w:val="1"/>
      <w:marLeft w:val="0"/>
      <w:marRight w:val="0"/>
      <w:marTop w:val="0"/>
      <w:marBottom w:val="0"/>
      <w:divBdr>
        <w:top w:val="none" w:sz="0" w:space="0" w:color="auto"/>
        <w:left w:val="none" w:sz="0" w:space="0" w:color="auto"/>
        <w:bottom w:val="none" w:sz="0" w:space="0" w:color="auto"/>
        <w:right w:val="none" w:sz="0" w:space="0" w:color="auto"/>
      </w:divBdr>
    </w:div>
    <w:div w:id="1889758690">
      <w:bodyDiv w:val="1"/>
      <w:marLeft w:val="0"/>
      <w:marRight w:val="0"/>
      <w:marTop w:val="0"/>
      <w:marBottom w:val="0"/>
      <w:divBdr>
        <w:top w:val="none" w:sz="0" w:space="0" w:color="auto"/>
        <w:left w:val="none" w:sz="0" w:space="0" w:color="auto"/>
        <w:bottom w:val="none" w:sz="0" w:space="0" w:color="auto"/>
        <w:right w:val="none" w:sz="0" w:space="0" w:color="auto"/>
      </w:divBdr>
      <w:divsChild>
        <w:div w:id="746926738">
          <w:marLeft w:val="0"/>
          <w:marRight w:val="0"/>
          <w:marTop w:val="0"/>
          <w:marBottom w:val="0"/>
          <w:divBdr>
            <w:top w:val="none" w:sz="0" w:space="0" w:color="auto"/>
            <w:left w:val="none" w:sz="0" w:space="0" w:color="auto"/>
            <w:bottom w:val="none" w:sz="0" w:space="0" w:color="auto"/>
            <w:right w:val="none" w:sz="0" w:space="0" w:color="auto"/>
          </w:divBdr>
          <w:divsChild>
            <w:div w:id="197101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099891">
      <w:bodyDiv w:val="1"/>
      <w:marLeft w:val="0"/>
      <w:marRight w:val="0"/>
      <w:marTop w:val="0"/>
      <w:marBottom w:val="0"/>
      <w:divBdr>
        <w:top w:val="none" w:sz="0" w:space="0" w:color="auto"/>
        <w:left w:val="none" w:sz="0" w:space="0" w:color="auto"/>
        <w:bottom w:val="none" w:sz="0" w:space="0" w:color="auto"/>
        <w:right w:val="none" w:sz="0" w:space="0" w:color="auto"/>
      </w:divBdr>
      <w:divsChild>
        <w:div w:id="1591353664">
          <w:marLeft w:val="0"/>
          <w:marRight w:val="0"/>
          <w:marTop w:val="0"/>
          <w:marBottom w:val="0"/>
          <w:divBdr>
            <w:top w:val="none" w:sz="0" w:space="0" w:color="auto"/>
            <w:left w:val="none" w:sz="0" w:space="0" w:color="auto"/>
            <w:bottom w:val="none" w:sz="0" w:space="0" w:color="auto"/>
            <w:right w:val="none" w:sz="0" w:space="0" w:color="auto"/>
          </w:divBdr>
          <w:divsChild>
            <w:div w:id="132936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s://doi.org/10.1177/1532673X221118888" TargetMode="External"/><Relationship Id="rId4" Type="http://schemas.openxmlformats.org/officeDocument/2006/relationships/webSettings" Target="webSettings.xml"/><Relationship Id="rId9" Type="http://schemas.openxmlformats.org/officeDocument/2006/relationships/hyperlink" Target="https://doi.org/10.1111/jors.125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19</Pages>
  <Words>5079</Words>
  <Characters>33373</Characters>
  <Application>Microsoft Office Word</Application>
  <DocSecurity>0</DocSecurity>
  <Lines>695</Lines>
  <Paragraphs>278</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38174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Cap18-01</dc:creator>
  <cp:lastModifiedBy>Cap18-01</cp:lastModifiedBy>
  <cp:revision>6</cp:revision>
  <dcterms:created xsi:type="dcterms:W3CDTF">2023-05-19T04:40:00Z</dcterms:created>
  <dcterms:modified xsi:type="dcterms:W3CDTF">2023-05-19T05:26:00Z</dcterms:modified>
</cp:coreProperties>
</file>