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4299E1" w:sz="2"/>
              <w:left w:val="single" w:color="4299E1" w:sz="2"/>
              <w:bottom w:val="single" w:color="4299E1" w:sz="2"/>
              <w:right w:val="single" w:color="4299E1" w:sz="2"/>
            </w:tcBorders>
            <w:shd w:fill="EBF8FF" w:val="clear"/>
          </w:tcPr>
          <w:p>
            <w:pPr>
              <w:spacing w:before="100" w:after="50"/>
              <w:jc w:val="center"/>
            </w:pPr>
            <w:r>
              <w:rPr>
                <w:color w:val="1A202C"/>
                <w:sz w:val="20"/>
                <w:szCs w:val="20"/>
              </w:rPr>
              <w:t xml:space="preserve">📄 Dieses Werk ist lizenziert unter </w:t>
            </w:r>
            <w:hyperlink w:history="1" r:id="rIdtudzmodadt2dyce8rf9vj">
              <w:r>
                <w:rPr>
                  <w:b/>
                  <w:bCs/>
                  <w:color w:val="4299E1"/>
                  <w:sz w:val="22"/>
                  <w:szCs w:val="22"/>
                  <w:u w:val="single"/>
                </w:rPr>
                <w:t xml:space="preserve">CC BY 4.0</w:t>
              </w:r>
            </w:hyperlink>
          </w:p>
          <w:p>
            <w:pPr>
              <w:spacing w:after="100"/>
              <w:jc w:val="center"/>
            </w:pPr>
            <w:r>
              <w:rPr>
                <w:color w:val="718096"/>
                <w:sz w:val="18"/>
                <w:szCs w:val="18"/>
              </w:rPr>
              <w:t xml:space="preserve">Freie Nutzung bei Namensnennung: </w:t>
            </w:r>
            <w:r>
              <w:rPr>
                <w:b/>
                <w:bCs/>
                <w:color w:val="2C5282"/>
                <w:sz w:val="18"/>
                <w:szCs w:val="18"/>
              </w:rPr>
              <w:t xml:space="preserve">Prof. Bernhard Strobl M.A., KPH Edith Stein</w:t>
            </w:r>
          </w:p>
        </w:tc>
      </w:tr>
    </w:tbl>
    <w:p>
      <w:pPr>
        <w:spacing w:after="300"/>
      </w:pPr>
    </w:p>
    <w:p>
      <w:pPr>
        <w:spacing w:after="100"/>
        <w:jc w:val="center"/>
      </w:pPr>
      <w:r>
        <w:rPr>
          <w:b/>
          <w:bCs/>
          <w:color w:val="1A365D"/>
          <w:sz w:val="72"/>
          <w:szCs w:val="72"/>
        </w:rPr>
        <w:t xml:space="preserve">AKIH 1.0</w:t>
      </w:r>
    </w:p>
    <w:p>
      <w:pPr>
        <w:spacing w:after="150"/>
        <w:jc w:val="center"/>
      </w:pPr>
      <w:r>
        <w:rPr>
          <w:color w:val="2C5282"/>
          <w:sz w:val="32"/>
          <w:szCs w:val="32"/>
        </w:rPr>
        <w:t xml:space="preserve">Eine umfassende Methode</w:t>
      </w:r>
    </w:p>
    <w:p>
      <w:pPr>
        <w:spacing w:after="150"/>
        <w:jc w:val="center"/>
      </w:pPr>
      <w:r>
        <w:rPr>
          <w:color w:val="2C5282"/>
          <w:sz w:val="32"/>
          <w:szCs w:val="32"/>
        </w:rPr>
        <w:t xml:space="preserve">für KI-gestützte qualitative Forschung</w:t>
      </w:r>
    </w:p>
    <w:p>
      <w:pPr>
        <w:spacing w:after="300"/>
        <w:jc w:val="center"/>
      </w:pPr>
      <w:r>
        <w:rPr>
          <w:i/>
          <w:iCs/>
          <w:color w:val="718096"/>
          <w:sz w:val="20"/>
          <w:szCs w:val="20"/>
        </w:rPr>
        <w:t xml:space="preserve">Adaptiv • KI-gestützt • Iterativ • Human-in-the-loop</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1A365D" w:sz="8"/>
              <w:left w:val="single" w:color="1A365D" w:sz="2"/>
              <w:bottom w:val="single" w:color="1A365D" w:sz="2"/>
              <w:right w:val="single" w:color="1A365D" w:sz="2"/>
            </w:tcBorders>
            <w:shd w:fill="F7FAFC" w:val="clear"/>
          </w:tcPr>
          <w:p>
            <w:pPr>
              <w:spacing w:before="150" w:after="100"/>
              <w:jc w:val="center"/>
            </w:pPr>
            <w:r>
              <w:rPr>
                <w:color w:val="1A202C"/>
                <w:sz w:val="22"/>
                <w:szCs w:val="22"/>
              </w:rPr>
              <w:t xml:space="preserve">Version 1.0 | Dezember 2025</w:t>
            </w:r>
          </w:p>
          <w:p>
            <w:pPr>
              <w:spacing w:after="100"/>
              <w:jc w:val="center"/>
            </w:pPr>
            <w:r>
              <w:rPr>
                <w:b/>
                <w:bCs/>
                <w:color w:val="2C5282"/>
                <w:sz w:val="20"/>
                <w:szCs w:val="20"/>
              </w:rPr>
              <w:t xml:space="preserve">Eine Methode für den gesamten qualitativen Forschungsprozess</w:t>
            </w:r>
          </w:p>
          <w:p>
            <w:pPr>
              <w:spacing w:after="150"/>
              <w:jc w:val="center"/>
            </w:pPr>
            <w:r>
              <w:rPr>
                <w:color w:val="718096"/>
                <w:sz w:val="18"/>
                <w:szCs w:val="18"/>
              </w:rPr>
              <w:t xml:space="preserve">Prof. Bernhard Strobl M.A. | Institut für Digital Inklusive Bildung | KPH Edith Stein</w:t>
            </w:r>
          </w:p>
        </w:tc>
      </w:tr>
    </w:tbl>
    <w:p>
      <w:pPr>
        <w:spacing w:after="400"/>
      </w:pPr>
    </w:p>
    <w:p>
      <w:pPr>
        <w:pStyle w:val="Heading1"/>
      </w:pPr>
      <w:r>
        <w:t xml:space="preserve">Abstract</w:t>
      </w:r>
    </w:p>
    <w:p>
      <w:pPr>
        <w:spacing w:after="200" w:line="276"/>
        <w:jc w:val="both"/>
      </w:pPr>
      <w:r>
        <w:rPr>
          <w:sz w:val="24"/>
          <w:szCs w:val="24"/>
        </w:rPr>
        <w:t xml:space="preserve">Die Integration künstlicher Intelligenz in die qualitative Forschung erfordert mehr als einzelne Software-Features – sie erfordert eine kohärente Methodologie. AKIH 1.0 ist die erste umfassende Methode, die den gesamten qualitativen Forschungsprozess KI-gestützt begleitet: von der Literaturrecherche über Datenerhebung, Transkription, Analyse und Interpretation bis zum wissenschaftlichen Schreiben.</w:t>
      </w:r>
    </w:p>
    <w:p>
      <w:pPr>
        <w:spacing w:after="200" w:line="276"/>
        <w:jc w:val="both"/>
      </w:pPr>
      <w:r>
        <w:rPr>
          <w:sz w:val="24"/>
          <w:szCs w:val="24"/>
        </w:rPr>
        <w:t xml:space="preserve">Die Methode basiert auf vier Prinzipien: Adaptiv (passt sich an Kontexte, Datentypen und Methoden an), KI-gestützt (nutzt KI systematisch in allen Forschungsphasen), Iterativ (strukturiert Mensch-KI-Zusammenarbeit in Feedbackschleifen) und Human-in-the-loop (garantiert menschliche Kontrolle und Letztentscheidung). Der AKIH-Score quantifiziert die Qualität KI-gestützter Forschung phasenübergreifend.</w:t>
      </w:r>
    </w:p>
    <w:p>
      <w:pPr>
        <w:spacing w:after="300"/>
      </w:pPr>
      <w:r>
        <w:rPr>
          <w:b/>
          <w:bCs/>
          <w:sz w:val="22"/>
          <w:szCs w:val="22"/>
        </w:rPr>
        <w:t xml:space="preserve">Schlüsselwörter: </w:t>
      </w:r>
      <w:r>
        <w:rPr>
          <w:i/>
          <w:iCs/>
          <w:sz w:val="22"/>
          <w:szCs w:val="22"/>
        </w:rPr>
        <w:t xml:space="preserve">Qualitative Forschung, KI-gestützte Methoden, Forschungsprozess, Human-in-the-loop, Literaturrecherche, Datenanalyse, wissenschaftliches Schreiben, Forschungsqualität</w:t>
      </w:r>
    </w:p>
    <w:p>
      <w:r>
        <w:br w:type="page"/>
      </w:r>
    </w:p>
    <w:p>
      <w:pPr>
        <w:pStyle w:val="Heading1"/>
      </w:pPr>
      <w:r>
        <w:t xml:space="preserve">1. Einleitung: Die Herausforderung</w:t>
      </w:r>
    </w:p>
    <w:p>
      <w:pPr>
        <w:spacing w:after="200" w:line="276"/>
        <w:jc w:val="both"/>
      </w:pPr>
      <w:r>
        <w:rPr>
          <w:sz w:val="24"/>
          <w:szCs w:val="24"/>
        </w:rPr>
        <w:t xml:space="preserve">Künstliche Intelligenz verändert die qualitative Forschung grundlegend. Forschende nutzen bereits KI-Tools für Literaturrecherche, automatische Transkription, Kodierungsvorschläge und Textgenerierung. Doch diese Nutzung erfolgt meist fragmentiert: Ein Tool hier, eine Funktion dort – ohne methodologische Klammer.</w:t>
      </w:r>
    </w:p>
    <w:p>
      <w:pPr>
        <w:spacing w:after="200" w:line="276"/>
        <w:jc w:val="both"/>
      </w:pPr>
      <w:r>
        <w:rPr>
          <w:sz w:val="24"/>
          <w:szCs w:val="24"/>
        </w:rPr>
        <w:t xml:space="preserve">Die bestehenden CAQDAS-Plattformen (NVivo, ATLAS.ti, MAXQDA) haben KI-Features integriert, beschränken sich aber weitgehend auf die Analysephase. Generative KI wie ChatGPT wird für viele Aufgaben genutzt, ohne dass Standards für verantwortungsvolle Nutzung existieren. Es fehlt eine übergreifende Methodologie, die den gesamten Forschungsprozess KI-gestützt begleitet.</w:t>
      </w:r>
    </w:p>
    <w:p>
      <w:pPr>
        <w:spacing w:after="200" w:line="276"/>
        <w:jc w:val="both"/>
      </w:pPr>
      <w:r>
        <w:rPr>
          <w:sz w:val="24"/>
          <w:szCs w:val="24"/>
        </w:rPr>
        <w:t xml:space="preserve">AKIH 1.0 schließt diese Lücke. Die Methode bietet erstmals ein kohärentes Framework für alle Phasen qualitativer Forschung – mit klaren Prinzipien, definierten Qualitätskriterien und transparenter Dokumentation.</w:t>
      </w:r>
    </w:p>
    <w:p>
      <w:pPr>
        <w:pStyle w:val="Heading1"/>
      </w:pPr>
      <w:r>
        <w:t xml:space="preserve">2. Die vier AKIH-Prinzipien</w:t>
      </w:r>
    </w:p>
    <w:p>
      <w:pPr>
        <w:spacing w:after="200" w:line="276"/>
        <w:jc w:val="both"/>
      </w:pPr>
      <w:r>
        <w:rPr>
          <w:sz w:val="24"/>
          <w:szCs w:val="24"/>
        </w:rPr>
        <w:t xml:space="preserve">Das Akronym AKIH repräsentiert vier fundamentale Prinzipien, die in jeder Forschungsphase gelten:</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1200"/>
        <w:gridCol w:w="2800"/>
        <w:gridCol w:w="5000"/>
      </w:tblGrid>
      <w:tr>
        <w:trPr>
          <w:tblHeader/>
        </w:trPr>
        <w:tc>
          <w:tcPr>
            <w:tcW w:type="dxa" w:w="1200"/>
            <w:tcBorders>
              <w:top w:val="single" w:color="CCCCCC" w:sz="1"/>
              <w:left w:val="single" w:color="CCCCCC" w:sz="1"/>
              <w:bottom w:val="single" w:color="CCCCCC" w:sz="1"/>
              <w:right w:val="single" w:color="CCCCCC" w:sz="1"/>
            </w:tcBorders>
            <w:shd w:fill="1A365D" w:val="clear"/>
          </w:tcPr>
          <w:p>
            <w:pPr>
              <w:jc w:val="center"/>
            </w:pPr>
            <w:r>
              <w:rPr>
                <w:b/>
                <w:bCs/>
                <w:color w:val="FFFFFF"/>
                <w:sz w:val="18"/>
                <w:szCs w:val="18"/>
              </w:rPr>
              <w:t xml:space="preserve">Prinzip</w:t>
            </w:r>
          </w:p>
        </w:tc>
        <w:tc>
          <w:tcPr>
            <w:tcW w:type="dxa" w:w="2800"/>
            <w:tcBorders>
              <w:top w:val="single" w:color="CCCCCC" w:sz="1"/>
              <w:left w:val="single" w:color="CCCCCC" w:sz="1"/>
              <w:bottom w:val="single" w:color="CCCCCC" w:sz="1"/>
              <w:right w:val="single" w:color="CCCCCC" w:sz="1"/>
            </w:tcBorders>
            <w:shd w:fill="1A365D" w:val="clear"/>
          </w:tcPr>
          <w:p>
            <w:pPr>
              <w:jc w:val="center"/>
            </w:pPr>
            <w:r>
              <w:rPr>
                <w:b/>
                <w:bCs/>
                <w:color w:val="FFFFFF"/>
                <w:sz w:val="18"/>
                <w:szCs w:val="18"/>
              </w:rPr>
              <w:t xml:space="preserve">Bezeichnung</w:t>
            </w:r>
          </w:p>
        </w:tc>
        <w:tc>
          <w:tcPr>
            <w:tcW w:type="dxa" w:w="5000"/>
            <w:tcBorders>
              <w:top w:val="single" w:color="CCCCCC" w:sz="1"/>
              <w:left w:val="single" w:color="CCCCCC" w:sz="1"/>
              <w:bottom w:val="single" w:color="CCCCCC" w:sz="1"/>
              <w:right w:val="single" w:color="CCCCCC" w:sz="1"/>
            </w:tcBorders>
            <w:shd w:fill="1A365D" w:val="clear"/>
          </w:tcPr>
          <w:p>
            <w:pPr>
              <w:jc w:val="center"/>
            </w:pPr>
            <w:r>
              <w:rPr>
                <w:b/>
                <w:bCs/>
                <w:color w:val="FFFFFF"/>
                <w:sz w:val="18"/>
                <w:szCs w:val="18"/>
              </w:rPr>
              <w:t xml:space="preserve">Bedeutung</w:t>
            </w:r>
          </w:p>
        </w:tc>
      </w:tr>
      <w:tr>
        <w:tc>
          <w:tcPr>
            <w:tcBorders>
              <w:top w:val="single" w:color="CCCCCC" w:sz="1"/>
              <w:left w:val="single" w:color="CCCCCC" w:sz="1"/>
              <w:bottom w:val="single" w:color="CCCCCC" w:sz="1"/>
              <w:right w:val="single" w:color="CCCCCC" w:sz="1"/>
            </w:tcBorders>
            <w:shd w:fill="EBF8FF" w:val="clear"/>
          </w:tcPr>
          <w:p>
            <w:pPr>
              <w:jc w:val="center"/>
            </w:pPr>
            <w:r>
              <w:rPr>
                <w:b/>
                <w:bCs/>
                <w:color w:val="1A365D"/>
                <w:sz w:val="32"/>
                <w:szCs w:val="32"/>
              </w:rPr>
              <w:t xml:space="preserve">A</w:t>
            </w:r>
          </w:p>
        </w:tc>
        <w:tc>
          <w:tcPr>
            <w:tcBorders>
              <w:top w:val="single" w:color="CCCCCC" w:sz="1"/>
              <w:left w:val="single" w:color="CCCCCC" w:sz="1"/>
              <w:bottom w:val="single" w:color="CCCCCC" w:sz="1"/>
              <w:right w:val="single" w:color="CCCCCC" w:sz="1"/>
            </w:tcBorders>
          </w:tcPr>
          <w:p>
            <w:r>
              <w:rPr>
                <w:b/>
                <w:bCs/>
                <w:sz w:val="22"/>
                <w:szCs w:val="22"/>
              </w:rPr>
              <w:t xml:space="preserve">Adaptiv</w:t>
            </w:r>
          </w:p>
        </w:tc>
        <w:tc>
          <w:tcPr>
            <w:tcBorders>
              <w:top w:val="single" w:color="CCCCCC" w:sz="1"/>
              <w:left w:val="single" w:color="CCCCCC" w:sz="1"/>
              <w:bottom w:val="single" w:color="CCCCCC" w:sz="1"/>
              <w:right w:val="single" w:color="CCCCCC" w:sz="1"/>
            </w:tcBorders>
          </w:tcPr>
          <w:p>
            <w:r>
              <w:rPr>
                <w:sz w:val="20"/>
                <w:szCs w:val="20"/>
              </w:rPr>
              <w:t xml:space="preserve">Passt sich an Kontexte, Datentypen, Methoden und Forschungstraditionen an</w:t>
            </w:r>
          </w:p>
        </w:tc>
      </w:tr>
      <w:tr>
        <w:tc>
          <w:tcPr>
            <w:tcBorders>
              <w:top w:val="single" w:color="CCCCCC" w:sz="1"/>
              <w:left w:val="single" w:color="CCCCCC" w:sz="1"/>
              <w:bottom w:val="single" w:color="CCCCCC" w:sz="1"/>
              <w:right w:val="single" w:color="CCCCCC" w:sz="1"/>
            </w:tcBorders>
            <w:shd w:fill="EBF8FF" w:val="clear"/>
          </w:tcPr>
          <w:p>
            <w:pPr>
              <w:jc w:val="center"/>
            </w:pPr>
            <w:r>
              <w:rPr>
                <w:b/>
                <w:bCs/>
                <w:color w:val="1A365D"/>
                <w:sz w:val="32"/>
                <w:szCs w:val="32"/>
              </w:rPr>
              <w:t xml:space="preserve">K</w:t>
            </w:r>
          </w:p>
        </w:tc>
        <w:tc>
          <w:tcPr>
            <w:tcBorders>
              <w:top w:val="single" w:color="CCCCCC" w:sz="1"/>
              <w:left w:val="single" w:color="CCCCCC" w:sz="1"/>
              <w:bottom w:val="single" w:color="CCCCCC" w:sz="1"/>
              <w:right w:val="single" w:color="CCCCCC" w:sz="1"/>
            </w:tcBorders>
          </w:tcPr>
          <w:p>
            <w:r>
              <w:rPr>
                <w:b/>
                <w:bCs/>
                <w:sz w:val="22"/>
                <w:szCs w:val="22"/>
              </w:rPr>
              <w:t xml:space="preserve">KI-gestützt</w:t>
            </w:r>
          </w:p>
        </w:tc>
        <w:tc>
          <w:tcPr>
            <w:tcBorders>
              <w:top w:val="single" w:color="CCCCCC" w:sz="1"/>
              <w:left w:val="single" w:color="CCCCCC" w:sz="1"/>
              <w:bottom w:val="single" w:color="CCCCCC" w:sz="1"/>
              <w:right w:val="single" w:color="CCCCCC" w:sz="1"/>
            </w:tcBorders>
          </w:tcPr>
          <w:p>
            <w:r>
              <w:rPr>
                <w:sz w:val="20"/>
                <w:szCs w:val="20"/>
              </w:rPr>
              <w:t xml:space="preserve">Nutzt KI systematisch und reflektiert in allen Forschungsphasen</w:t>
            </w:r>
          </w:p>
        </w:tc>
      </w:tr>
      <w:tr>
        <w:tc>
          <w:tcPr>
            <w:tcBorders>
              <w:top w:val="single" w:color="CCCCCC" w:sz="1"/>
              <w:left w:val="single" w:color="CCCCCC" w:sz="1"/>
              <w:bottom w:val="single" w:color="CCCCCC" w:sz="1"/>
              <w:right w:val="single" w:color="CCCCCC" w:sz="1"/>
            </w:tcBorders>
            <w:shd w:fill="EBF8FF" w:val="clear"/>
          </w:tcPr>
          <w:p>
            <w:pPr>
              <w:jc w:val="center"/>
            </w:pPr>
            <w:r>
              <w:rPr>
                <w:b/>
                <w:bCs/>
                <w:color w:val="1A365D"/>
                <w:sz w:val="32"/>
                <w:szCs w:val="32"/>
              </w:rPr>
              <w:t xml:space="preserve">I</w:t>
            </w:r>
          </w:p>
        </w:tc>
        <w:tc>
          <w:tcPr>
            <w:tcBorders>
              <w:top w:val="single" w:color="CCCCCC" w:sz="1"/>
              <w:left w:val="single" w:color="CCCCCC" w:sz="1"/>
              <w:bottom w:val="single" w:color="CCCCCC" w:sz="1"/>
              <w:right w:val="single" w:color="CCCCCC" w:sz="1"/>
            </w:tcBorders>
          </w:tcPr>
          <w:p>
            <w:r>
              <w:rPr>
                <w:b/>
                <w:bCs/>
                <w:sz w:val="22"/>
                <w:szCs w:val="22"/>
              </w:rPr>
              <w:t xml:space="preserve">Iterativ</w:t>
            </w:r>
          </w:p>
        </w:tc>
        <w:tc>
          <w:tcPr>
            <w:tcBorders>
              <w:top w:val="single" w:color="CCCCCC" w:sz="1"/>
              <w:left w:val="single" w:color="CCCCCC" w:sz="1"/>
              <w:bottom w:val="single" w:color="CCCCCC" w:sz="1"/>
              <w:right w:val="single" w:color="CCCCCC" w:sz="1"/>
            </w:tcBorders>
          </w:tcPr>
          <w:p>
            <w:r>
              <w:rPr>
                <w:sz w:val="20"/>
                <w:szCs w:val="20"/>
              </w:rPr>
              <w:t xml:space="preserve">Strukturiert Mensch-KI-Zusammenarbeit in Feedbackschleifen</w:t>
            </w:r>
          </w:p>
        </w:tc>
      </w:tr>
      <w:tr>
        <w:tc>
          <w:tcPr>
            <w:tcBorders>
              <w:top w:val="single" w:color="CCCCCC" w:sz="1"/>
              <w:left w:val="single" w:color="CCCCCC" w:sz="1"/>
              <w:bottom w:val="single" w:color="CCCCCC" w:sz="1"/>
              <w:right w:val="single" w:color="CCCCCC" w:sz="1"/>
            </w:tcBorders>
            <w:shd w:fill="EBF8FF" w:val="clear"/>
          </w:tcPr>
          <w:p>
            <w:pPr>
              <w:jc w:val="center"/>
            </w:pPr>
            <w:r>
              <w:rPr>
                <w:b/>
                <w:bCs/>
                <w:color w:val="1A365D"/>
                <w:sz w:val="32"/>
                <w:szCs w:val="32"/>
              </w:rPr>
              <w:t xml:space="preserve">H</w:t>
            </w:r>
          </w:p>
        </w:tc>
        <w:tc>
          <w:tcPr>
            <w:tcBorders>
              <w:top w:val="single" w:color="CCCCCC" w:sz="1"/>
              <w:left w:val="single" w:color="CCCCCC" w:sz="1"/>
              <w:bottom w:val="single" w:color="CCCCCC" w:sz="1"/>
              <w:right w:val="single" w:color="CCCCCC" w:sz="1"/>
            </w:tcBorders>
          </w:tcPr>
          <w:p>
            <w:r>
              <w:rPr>
                <w:b/>
                <w:bCs/>
                <w:sz w:val="22"/>
                <w:szCs w:val="22"/>
              </w:rPr>
              <w:t xml:space="preserve">Human-in-the-loop</w:t>
            </w:r>
          </w:p>
        </w:tc>
        <w:tc>
          <w:tcPr>
            <w:tcBorders>
              <w:top w:val="single" w:color="CCCCCC" w:sz="1"/>
              <w:left w:val="single" w:color="CCCCCC" w:sz="1"/>
              <w:bottom w:val="single" w:color="CCCCCC" w:sz="1"/>
              <w:right w:val="single" w:color="CCCCCC" w:sz="1"/>
            </w:tcBorders>
          </w:tcPr>
          <w:p>
            <w:r>
              <w:rPr>
                <w:sz w:val="20"/>
                <w:szCs w:val="20"/>
              </w:rPr>
              <w:t xml:space="preserve">Garantiert menschliche Kontrolle, Reflexion und Letztentscheidung</w:t>
            </w:r>
          </w:p>
        </w:tc>
      </w:tr>
    </w:tbl>
    <w:p>
      <w:pPr>
        <w:spacing w:after="300"/>
      </w:pPr>
    </w:p>
    <w:p>
      <w:pPr>
        <w:pStyle w:val="Heading2"/>
      </w:pPr>
      <w:r>
        <w:t xml:space="preserve">2.1 Adaptiv (A)</w:t>
      </w:r>
    </w:p>
    <w:p>
      <w:pPr>
        <w:spacing w:after="200" w:line="276"/>
        <w:jc w:val="both"/>
      </w:pPr>
      <w:r>
        <w:rPr>
          <w:sz w:val="24"/>
          <w:szCs w:val="24"/>
        </w:rPr>
        <w:t xml:space="preserve">Die AKIH-Methode ist keine starre Vorschrift, sondern ein flexibles Framework, das sich anpasst an:</w:t>
      </w:r>
    </w:p>
    <w:p>
      <w:pPr>
        <w:pStyle w:val="ListParagraph"/>
        <w:numPr>
          <w:ilvl w:val="0"/>
          <w:numId w:val="2"/>
        </w:numPr>
        <w:spacing w:after="100"/>
      </w:pPr>
      <w:r>
        <w:rPr>
          <w:b/>
          <w:bCs/>
          <w:sz w:val="24"/>
          <w:szCs w:val="24"/>
        </w:rPr>
        <w:t xml:space="preserve">Forschungstraditionen: </w:t>
      </w:r>
      <w:r>
        <w:rPr>
          <w:sz w:val="24"/>
          <w:szCs w:val="24"/>
        </w:rPr>
        <w:t xml:space="preserve">Phänomenologie, Grounded Theory, Ethnographie, Diskursanalyse, Fallstudien</w:t>
      </w:r>
    </w:p>
    <w:p>
      <w:pPr>
        <w:pStyle w:val="ListParagraph"/>
        <w:numPr>
          <w:ilvl w:val="0"/>
          <w:numId w:val="2"/>
        </w:numPr>
        <w:spacing w:after="100"/>
      </w:pPr>
      <w:r>
        <w:rPr>
          <w:b/>
          <w:bCs/>
          <w:sz w:val="24"/>
          <w:szCs w:val="24"/>
        </w:rPr>
        <w:t xml:space="preserve">Datentypen: </w:t>
      </w:r>
      <w:r>
        <w:rPr>
          <w:sz w:val="24"/>
          <w:szCs w:val="24"/>
        </w:rPr>
        <w:t xml:space="preserve">Interviews, Fokusgruppen, Beobachtungen, Dokumente, Social Media, multimediale Daten</w:t>
      </w:r>
    </w:p>
    <w:p>
      <w:pPr>
        <w:pStyle w:val="ListParagraph"/>
        <w:numPr>
          <w:ilvl w:val="0"/>
          <w:numId w:val="2"/>
        </w:numPr>
        <w:spacing w:after="100"/>
      </w:pPr>
      <w:r>
        <w:rPr>
          <w:b/>
          <w:bCs/>
          <w:sz w:val="24"/>
          <w:szCs w:val="24"/>
        </w:rPr>
        <w:t xml:space="preserve">Disziplinen: </w:t>
      </w:r>
      <w:r>
        <w:rPr>
          <w:sz w:val="24"/>
          <w:szCs w:val="24"/>
        </w:rPr>
        <w:t xml:space="preserve">Sozialwissenschaften, Bildungsforschung, Gesundheitswissenschaften, Wirtschaftsforschung</w:t>
      </w:r>
    </w:p>
    <w:p>
      <w:pPr>
        <w:pStyle w:val="ListParagraph"/>
        <w:numPr>
          <w:ilvl w:val="0"/>
          <w:numId w:val="2"/>
        </w:numPr>
        <w:spacing w:after="200"/>
      </w:pPr>
      <w:r>
        <w:rPr>
          <w:b/>
          <w:bCs/>
          <w:sz w:val="24"/>
          <w:szCs w:val="24"/>
        </w:rPr>
        <w:t xml:space="preserve">Projektgrößen: </w:t>
      </w:r>
      <w:r>
        <w:rPr>
          <w:sz w:val="24"/>
          <w:szCs w:val="24"/>
        </w:rPr>
        <w:t xml:space="preserve">Von der Masterarbeit bis zum internationalen Forschungsprojekt</w:t>
      </w:r>
    </w:p>
    <w:p>
      <w:pPr>
        <w:pStyle w:val="Heading2"/>
      </w:pPr>
      <w:r>
        <w:t xml:space="preserve">2.2 KI-gestützt (K)</w:t>
      </w:r>
    </w:p>
    <w:p>
      <w:pPr>
        <w:spacing w:after="200" w:line="276"/>
        <w:jc w:val="both"/>
      </w:pPr>
      <w:r>
        <w:rPr>
          <w:sz w:val="24"/>
          <w:szCs w:val="24"/>
        </w:rPr>
        <w:t xml:space="preserve">KI wird nicht als Ersatz menschlicher Forschung verstanden, sondern als Werkzeug zur Erweiterung menschlicher Fähigkeiten. Die Methode definiert für jede Forschungsphase, wie KI sinnvoll eingesetzt werden kann – und wo ihre Grenzen liegen. Zentral ist dabei die epistemologische Klarheit: KI liefert keine objektiven Wahrheiten, sondern zusätzliche Perspektiven, die menschlich interpretiert werden müssen.</w:t>
      </w:r>
    </w:p>
    <w:p>
      <w:pPr>
        <w:pStyle w:val="Heading2"/>
      </w:pPr>
      <w:r>
        <w:t xml:space="preserve">2.3 Iterativ (I)</w:t>
      </w:r>
    </w:p>
    <w:p>
      <w:pPr>
        <w:spacing w:after="200" w:line="276"/>
        <w:jc w:val="both"/>
      </w:pPr>
      <w:r>
        <w:rPr>
          <w:sz w:val="24"/>
          <w:szCs w:val="24"/>
        </w:rPr>
        <w:t xml:space="preserve">Jede Phase der AKIH-Methode ist als iterativer Prozess strukturiert: Der Mensch gibt Input, die KI generiert Output, der Mensch evaluiert und gibt Feedback, die KI verfeinert. Dieser Zyklus wiederholt sich, bis das gewünschte Qualitätsniveau erreicht ist. Die Iteration ermöglicht kontinuierliche Verbesserung und verhindert die unkritische Übernahme von KI-Outputs.</w:t>
      </w:r>
    </w:p>
    <w:p>
      <w:pPr>
        <w:pStyle w:val="Heading2"/>
      </w:pPr>
      <w:r>
        <w:t xml:space="preserve">2.4 Human-in-the-loop (H)</w:t>
      </w:r>
    </w:p>
    <w:p>
      <w:pPr>
        <w:spacing w:after="200" w:line="276"/>
        <w:jc w:val="both"/>
      </w:pPr>
      <w:r>
        <w:rPr>
          <w:sz w:val="24"/>
          <w:szCs w:val="24"/>
        </w:rPr>
        <w:t xml:space="preserve">Das wichtigste Prinzip: Der Mensch behält in jeder Phase die Kontrolle und Letztentscheidung. KI schlägt vor – der Mensch entscheidet. KI generiert – der Mensch validiert. KI identifiziert Muster – der Mensch interpretiert ihre Bedeutung. Dieses Prinzip ist nicht verhandelbar und gilt für alle Anwendungen der AKIH-Methode.</w:t>
      </w:r>
    </w:p>
    <w:p>
      <w:r>
        <w:br w:type="page"/>
      </w:r>
    </w:p>
    <w:p>
      <w:pPr>
        <w:pStyle w:val="Heading1"/>
      </w:pPr>
      <w:r>
        <w:t xml:space="preserve">3. AKIH in allen Forschungsphasen</w:t>
      </w:r>
    </w:p>
    <w:p>
      <w:pPr>
        <w:spacing w:after="200" w:line="276"/>
        <w:jc w:val="both"/>
      </w:pPr>
      <w:r>
        <w:rPr>
          <w:sz w:val="24"/>
          <w:szCs w:val="24"/>
        </w:rPr>
        <w:t xml:space="preserve">AKIH 1.0 begleitet den gesamten qualitativen Forschungsprozess. Für jede Phase definiert die Methode KI-Einsatzmöglichkeiten, Qualitätskriterien und Human-in-the-loop-Checkpoints:</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3000"/>
        <w:gridCol w:w="3000"/>
      </w:tblGrid>
      <w:tr>
        <w:trPr>
          <w:tblHeader/>
        </w:trPr>
        <w:tc>
          <w:tcPr>
            <w:tcW w:type="dxa" w:w="600"/>
            <w:tcBorders>
              <w:top w:val="single" w:color="CCCCCC" w:sz="1"/>
              <w:left w:val="single" w:color="CCCCCC" w:sz="1"/>
              <w:bottom w:val="single" w:color="CCCCCC" w:sz="1"/>
              <w:right w:val="single" w:color="CCCCCC" w:sz="1"/>
            </w:tcBorders>
            <w:shd w:fill="1A365D" w:val="clear"/>
          </w:tcPr>
          <w:p>
            <w:pPr>
              <w:jc w:val="center"/>
            </w:pPr>
            <w:r>
              <w:rPr>
                <w:b/>
                <w:bCs/>
                <w:color w:val="FFFFFF"/>
                <w:sz w:val="18"/>
                <w:szCs w:val="18"/>
              </w:rPr>
              <w:t xml:space="preserve">#</w:t>
            </w:r>
          </w:p>
        </w:tc>
        <w:tc>
          <w:tcPr>
            <w:tcW w:type="dxa" w:w="2400"/>
            <w:tcBorders>
              <w:top w:val="single" w:color="CCCCCC" w:sz="1"/>
              <w:left w:val="single" w:color="CCCCCC" w:sz="1"/>
              <w:bottom w:val="single" w:color="CCCCCC" w:sz="1"/>
              <w:right w:val="single" w:color="CCCCCC" w:sz="1"/>
            </w:tcBorders>
            <w:shd w:fill="1A365D" w:val="clear"/>
          </w:tcPr>
          <w:p>
            <w:r>
              <w:rPr>
                <w:b/>
                <w:bCs/>
                <w:color w:val="FFFFFF"/>
                <w:sz w:val="18"/>
                <w:szCs w:val="18"/>
              </w:rPr>
              <w:t xml:space="preserve">Phase</w:t>
            </w:r>
          </w:p>
        </w:tc>
        <w:tc>
          <w:tcPr>
            <w:tcW w:type="dxa" w:w="3000"/>
            <w:tcBorders>
              <w:top w:val="single" w:color="CCCCCC" w:sz="1"/>
              <w:left w:val="single" w:color="CCCCCC" w:sz="1"/>
              <w:bottom w:val="single" w:color="CCCCCC" w:sz="1"/>
              <w:right w:val="single" w:color="CCCCCC" w:sz="1"/>
            </w:tcBorders>
            <w:shd w:fill="1A365D" w:val="clear"/>
          </w:tcPr>
          <w:p>
            <w:r>
              <w:rPr>
                <w:b/>
                <w:bCs/>
                <w:color w:val="FFFFFF"/>
                <w:sz w:val="18"/>
                <w:szCs w:val="18"/>
              </w:rPr>
              <w:t xml:space="preserve">KI-Unterstützung</w:t>
            </w:r>
          </w:p>
        </w:tc>
        <w:tc>
          <w:tcPr>
            <w:tcW w:type="dxa" w:w="3000"/>
            <w:tcBorders>
              <w:top w:val="single" w:color="CCCCCC" w:sz="1"/>
              <w:left w:val="single" w:color="CCCCCC" w:sz="1"/>
              <w:bottom w:val="single" w:color="CCCCCC" w:sz="1"/>
              <w:right w:val="single" w:color="CCCCCC" w:sz="1"/>
            </w:tcBorders>
            <w:shd w:fill="1A365D" w:val="clear"/>
          </w:tcPr>
          <w:p>
            <w:r>
              <w:rPr>
                <w:b/>
                <w:bCs/>
                <w:color w:val="FFFFFF"/>
                <w:sz w:val="18"/>
                <w:szCs w:val="18"/>
              </w:rPr>
              <w:t xml:space="preserve">Human-in-the-loop</w:t>
            </w:r>
          </w:p>
        </w:tc>
      </w:tr>
      <w:tr>
        <w:tc>
          <w:tcPr>
            <w:tcBorders>
              <w:top w:val="single" w:color="CCCCCC" w:sz="1"/>
              <w:left w:val="single" w:color="CCCCCC" w:sz="1"/>
              <w:bottom w:val="single" w:color="CCCCCC" w:sz="1"/>
              <w:right w:val="single" w:color="CCCCCC" w:sz="1"/>
            </w:tcBorders>
            <w:shd w:fill="E6FFFA" w:val="clear"/>
          </w:tcPr>
          <w:p>
            <w:pPr>
              <w:jc w:val="center"/>
            </w:pPr>
            <w:r>
              <w:rPr>
                <w:b/>
                <w:bCs/>
                <w:sz w:val="20"/>
                <w:szCs w:val="20"/>
              </w:rPr>
              <w:t xml:space="preserve">1</w:t>
            </w:r>
          </w:p>
        </w:tc>
        <w:tc>
          <w:tcPr>
            <w:tcBorders>
              <w:top w:val="single" w:color="CCCCCC" w:sz="1"/>
              <w:left w:val="single" w:color="CCCCCC" w:sz="1"/>
              <w:bottom w:val="single" w:color="CCCCCC" w:sz="1"/>
              <w:right w:val="single" w:color="CCCCCC" w:sz="1"/>
            </w:tcBorders>
          </w:tcPr>
          <w:p>
            <w:r>
              <w:rPr>
                <w:b/>
                <w:bCs/>
                <w:sz w:val="18"/>
                <w:szCs w:val="18"/>
              </w:rPr>
              <w:t xml:space="preserve">Literaturrecherche</w:t>
            </w:r>
          </w:p>
        </w:tc>
        <w:tc>
          <w:tcPr>
            <w:tcBorders>
              <w:top w:val="single" w:color="CCCCCC" w:sz="1"/>
              <w:left w:val="single" w:color="CCCCCC" w:sz="1"/>
              <w:bottom w:val="single" w:color="CCCCCC" w:sz="1"/>
              <w:right w:val="single" w:color="CCCCCC" w:sz="1"/>
            </w:tcBorders>
          </w:tcPr>
          <w:p>
            <w:r>
              <w:rPr>
                <w:sz w:val="16"/>
                <w:szCs w:val="16"/>
              </w:rPr>
              <w:t xml:space="preserve">Systematische Suche, Screening, Zusammenfassung</w:t>
            </w:r>
          </w:p>
        </w:tc>
        <w:tc>
          <w:tcPr>
            <w:tcBorders>
              <w:top w:val="single" w:color="CCCCCC" w:sz="1"/>
              <w:left w:val="single" w:color="CCCCCC" w:sz="1"/>
              <w:bottom w:val="single" w:color="CCCCCC" w:sz="1"/>
              <w:right w:val="single" w:color="CCCCCC" w:sz="1"/>
            </w:tcBorders>
          </w:tcPr>
          <w:p>
            <w:r>
              <w:rPr>
                <w:sz w:val="16"/>
                <w:szCs w:val="16"/>
              </w:rPr>
              <w:t xml:space="preserve">Relevanzentscheidung, kritische Bewertung</w:t>
            </w:r>
          </w:p>
        </w:tc>
      </w:tr>
      <w:tr>
        <w:tc>
          <w:tcPr>
            <w:tcBorders>
              <w:top w:val="single" w:color="CCCCCC" w:sz="1"/>
              <w:left w:val="single" w:color="CCCCCC" w:sz="1"/>
              <w:bottom w:val="single" w:color="CCCCCC" w:sz="1"/>
              <w:right w:val="single" w:color="CCCCCC" w:sz="1"/>
            </w:tcBorders>
            <w:shd w:fill="FFF5F5" w:val="clear"/>
          </w:tcPr>
          <w:p>
            <w:pPr>
              <w:jc w:val="center"/>
            </w:pPr>
            <w:r>
              <w:rPr>
                <w:b/>
                <w:bCs/>
                <w:sz w:val="20"/>
                <w:szCs w:val="20"/>
              </w:rPr>
              <w:t xml:space="preserve">2</w:t>
            </w:r>
          </w:p>
        </w:tc>
        <w:tc>
          <w:tcPr>
            <w:tcBorders>
              <w:top w:val="single" w:color="CCCCCC" w:sz="1"/>
              <w:left w:val="single" w:color="CCCCCC" w:sz="1"/>
              <w:bottom w:val="single" w:color="CCCCCC" w:sz="1"/>
              <w:right w:val="single" w:color="CCCCCC" w:sz="1"/>
            </w:tcBorders>
          </w:tcPr>
          <w:p>
            <w:r>
              <w:rPr>
                <w:b/>
                <w:bCs/>
                <w:sz w:val="18"/>
                <w:szCs w:val="18"/>
              </w:rPr>
              <w:t xml:space="preserve">Forschungsdesign</w:t>
            </w:r>
          </w:p>
        </w:tc>
        <w:tc>
          <w:tcPr>
            <w:tcBorders>
              <w:top w:val="single" w:color="CCCCCC" w:sz="1"/>
              <w:left w:val="single" w:color="CCCCCC" w:sz="1"/>
              <w:bottom w:val="single" w:color="CCCCCC" w:sz="1"/>
              <w:right w:val="single" w:color="CCCCCC" w:sz="1"/>
            </w:tcBorders>
          </w:tcPr>
          <w:p>
            <w:r>
              <w:rPr>
                <w:sz w:val="16"/>
                <w:szCs w:val="16"/>
              </w:rPr>
              <w:t xml:space="preserve">Design-Vorschläge, Leitfaden-Entwürfe</w:t>
            </w:r>
          </w:p>
        </w:tc>
        <w:tc>
          <w:tcPr>
            <w:tcBorders>
              <w:top w:val="single" w:color="CCCCCC" w:sz="1"/>
              <w:left w:val="single" w:color="CCCCCC" w:sz="1"/>
              <w:bottom w:val="single" w:color="CCCCCC" w:sz="1"/>
              <w:right w:val="single" w:color="CCCCCC" w:sz="1"/>
            </w:tcBorders>
          </w:tcPr>
          <w:p>
            <w:r>
              <w:rPr>
                <w:sz w:val="16"/>
                <w:szCs w:val="16"/>
              </w:rPr>
              <w:t xml:space="preserve">Methodenwahl, ethische Abwägung</w:t>
            </w:r>
          </w:p>
        </w:tc>
      </w:tr>
      <w:tr>
        <w:tc>
          <w:tcPr>
            <w:tcBorders>
              <w:top w:val="single" w:color="CCCCCC" w:sz="1"/>
              <w:left w:val="single" w:color="CCCCCC" w:sz="1"/>
              <w:bottom w:val="single" w:color="CCCCCC" w:sz="1"/>
              <w:right w:val="single" w:color="CCCCCC" w:sz="1"/>
            </w:tcBorders>
            <w:shd w:fill="FEFCBF" w:val="clear"/>
          </w:tcPr>
          <w:p>
            <w:pPr>
              <w:jc w:val="center"/>
            </w:pPr>
            <w:r>
              <w:rPr>
                <w:b/>
                <w:bCs/>
                <w:sz w:val="20"/>
                <w:szCs w:val="20"/>
              </w:rPr>
              <w:t xml:space="preserve">3</w:t>
            </w:r>
          </w:p>
        </w:tc>
        <w:tc>
          <w:tcPr>
            <w:tcBorders>
              <w:top w:val="single" w:color="CCCCCC" w:sz="1"/>
              <w:left w:val="single" w:color="CCCCCC" w:sz="1"/>
              <w:bottom w:val="single" w:color="CCCCCC" w:sz="1"/>
              <w:right w:val="single" w:color="CCCCCC" w:sz="1"/>
            </w:tcBorders>
          </w:tcPr>
          <w:p>
            <w:r>
              <w:rPr>
                <w:b/>
                <w:bCs/>
                <w:sz w:val="18"/>
                <w:szCs w:val="18"/>
              </w:rPr>
              <w:t xml:space="preserve">Datenerhebung</w:t>
            </w:r>
          </w:p>
        </w:tc>
        <w:tc>
          <w:tcPr>
            <w:tcBorders>
              <w:top w:val="single" w:color="CCCCCC" w:sz="1"/>
              <w:left w:val="single" w:color="CCCCCC" w:sz="1"/>
              <w:bottom w:val="single" w:color="CCCCCC" w:sz="1"/>
              <w:right w:val="single" w:color="CCCCCC" w:sz="1"/>
            </w:tcBorders>
          </w:tcPr>
          <w:p>
            <w:r>
              <w:rPr>
                <w:sz w:val="16"/>
                <w:szCs w:val="16"/>
              </w:rPr>
              <w:t xml:space="preserve">Transkription, Übersetzung, Feldnotizen</w:t>
            </w:r>
          </w:p>
        </w:tc>
        <w:tc>
          <w:tcPr>
            <w:tcBorders>
              <w:top w:val="single" w:color="CCCCCC" w:sz="1"/>
              <w:left w:val="single" w:color="CCCCCC" w:sz="1"/>
              <w:bottom w:val="single" w:color="CCCCCC" w:sz="1"/>
              <w:right w:val="single" w:color="CCCCCC" w:sz="1"/>
            </w:tcBorders>
          </w:tcPr>
          <w:p>
            <w:r>
              <w:rPr>
                <w:sz w:val="16"/>
                <w:szCs w:val="16"/>
              </w:rPr>
              <w:t xml:space="preserve">Qualitätskontrolle, Korrektur</w:t>
            </w:r>
          </w:p>
        </w:tc>
      </w:tr>
      <w:tr>
        <w:tc>
          <w:tcPr>
            <w:tcBorders>
              <w:top w:val="single" w:color="CCCCCC" w:sz="1"/>
              <w:left w:val="single" w:color="CCCCCC" w:sz="1"/>
              <w:bottom w:val="single" w:color="CCCCCC" w:sz="1"/>
              <w:right w:val="single" w:color="CCCCCC" w:sz="1"/>
            </w:tcBorders>
            <w:shd w:fill="E9D8FD" w:val="clear"/>
          </w:tcPr>
          <w:p>
            <w:pPr>
              <w:jc w:val="center"/>
            </w:pPr>
            <w:r>
              <w:rPr>
                <w:b/>
                <w:bCs/>
                <w:sz w:val="20"/>
                <w:szCs w:val="20"/>
              </w:rPr>
              <w:t xml:space="preserve">4</w:t>
            </w:r>
          </w:p>
        </w:tc>
        <w:tc>
          <w:tcPr>
            <w:tcBorders>
              <w:top w:val="single" w:color="CCCCCC" w:sz="1"/>
              <w:left w:val="single" w:color="CCCCCC" w:sz="1"/>
              <w:bottom w:val="single" w:color="CCCCCC" w:sz="1"/>
              <w:right w:val="single" w:color="CCCCCC" w:sz="1"/>
            </w:tcBorders>
          </w:tcPr>
          <w:p>
            <w:r>
              <w:rPr>
                <w:b/>
                <w:bCs/>
                <w:sz w:val="18"/>
                <w:szCs w:val="18"/>
              </w:rPr>
              <w:t xml:space="preserve">Datenanalyse</w:t>
            </w:r>
          </w:p>
        </w:tc>
        <w:tc>
          <w:tcPr>
            <w:tcBorders>
              <w:top w:val="single" w:color="CCCCCC" w:sz="1"/>
              <w:left w:val="single" w:color="CCCCCC" w:sz="1"/>
              <w:bottom w:val="single" w:color="CCCCCC" w:sz="1"/>
              <w:right w:val="single" w:color="CCCCCC" w:sz="1"/>
            </w:tcBorders>
          </w:tcPr>
          <w:p>
            <w:r>
              <w:rPr>
                <w:sz w:val="16"/>
                <w:szCs w:val="16"/>
              </w:rPr>
              <w:t xml:space="preserve">Kodiervorschläge, Mustererkennung</w:t>
            </w:r>
          </w:p>
        </w:tc>
        <w:tc>
          <w:tcPr>
            <w:tcBorders>
              <w:top w:val="single" w:color="CCCCCC" w:sz="1"/>
              <w:left w:val="single" w:color="CCCCCC" w:sz="1"/>
              <w:bottom w:val="single" w:color="CCCCCC" w:sz="1"/>
              <w:right w:val="single" w:color="CCCCCC" w:sz="1"/>
            </w:tcBorders>
          </w:tcPr>
          <w:p>
            <w:r>
              <w:rPr>
                <w:sz w:val="16"/>
                <w:szCs w:val="16"/>
              </w:rPr>
              <w:t xml:space="preserve">Kodierungsentscheidung, Kategorienbildung</w:t>
            </w:r>
          </w:p>
        </w:tc>
      </w:tr>
      <w:tr>
        <w:tc>
          <w:tcPr>
            <w:tcBorders>
              <w:top w:val="single" w:color="CCCCCC" w:sz="1"/>
              <w:left w:val="single" w:color="CCCCCC" w:sz="1"/>
              <w:bottom w:val="single" w:color="CCCCCC" w:sz="1"/>
              <w:right w:val="single" w:color="CCCCCC" w:sz="1"/>
            </w:tcBorders>
            <w:shd w:fill="C6F6D5" w:val="clear"/>
          </w:tcPr>
          <w:p>
            <w:pPr>
              <w:jc w:val="center"/>
            </w:pPr>
            <w:r>
              <w:rPr>
                <w:b/>
                <w:bCs/>
                <w:sz w:val="20"/>
                <w:szCs w:val="20"/>
              </w:rPr>
              <w:t xml:space="preserve">5</w:t>
            </w:r>
          </w:p>
        </w:tc>
        <w:tc>
          <w:tcPr>
            <w:tcBorders>
              <w:top w:val="single" w:color="CCCCCC" w:sz="1"/>
              <w:left w:val="single" w:color="CCCCCC" w:sz="1"/>
              <w:bottom w:val="single" w:color="CCCCCC" w:sz="1"/>
              <w:right w:val="single" w:color="CCCCCC" w:sz="1"/>
            </w:tcBorders>
          </w:tcPr>
          <w:p>
            <w:r>
              <w:rPr>
                <w:b/>
                <w:bCs/>
                <w:sz w:val="18"/>
                <w:szCs w:val="18"/>
              </w:rPr>
              <w:t xml:space="preserve">Interpretation</w:t>
            </w:r>
          </w:p>
        </w:tc>
        <w:tc>
          <w:tcPr>
            <w:tcBorders>
              <w:top w:val="single" w:color="CCCCCC" w:sz="1"/>
              <w:left w:val="single" w:color="CCCCCC" w:sz="1"/>
              <w:bottom w:val="single" w:color="CCCCCC" w:sz="1"/>
              <w:right w:val="single" w:color="CCCCCC" w:sz="1"/>
            </w:tcBorders>
          </w:tcPr>
          <w:p>
            <w:r>
              <w:rPr>
                <w:sz w:val="16"/>
                <w:szCs w:val="16"/>
              </w:rPr>
              <w:t xml:space="preserve">Zusammenhänge, alternative Deutungen</w:t>
            </w:r>
          </w:p>
        </w:tc>
        <w:tc>
          <w:tcPr>
            <w:tcBorders>
              <w:top w:val="single" w:color="CCCCCC" w:sz="1"/>
              <w:left w:val="single" w:color="CCCCCC" w:sz="1"/>
              <w:bottom w:val="single" w:color="CCCCCC" w:sz="1"/>
              <w:right w:val="single" w:color="CCCCCC" w:sz="1"/>
            </w:tcBorders>
          </w:tcPr>
          <w:p>
            <w:r>
              <w:rPr>
                <w:sz w:val="16"/>
                <w:szCs w:val="16"/>
              </w:rPr>
              <w:t xml:space="preserve">Bedeutungszuweisung, Theoriebildung</w:t>
            </w:r>
          </w:p>
        </w:tc>
      </w:tr>
      <w:tr>
        <w:tc>
          <w:tcPr>
            <w:tcBorders>
              <w:top w:val="single" w:color="CCCCCC" w:sz="1"/>
              <w:left w:val="single" w:color="CCCCCC" w:sz="1"/>
              <w:bottom w:val="single" w:color="CCCCCC" w:sz="1"/>
              <w:right w:val="single" w:color="CCCCCC" w:sz="1"/>
            </w:tcBorders>
            <w:shd w:fill="FED7E2" w:val="clear"/>
          </w:tcPr>
          <w:p>
            <w:pPr>
              <w:jc w:val="center"/>
            </w:pPr>
            <w:r>
              <w:rPr>
                <w:b/>
                <w:bCs/>
                <w:sz w:val="20"/>
                <w:szCs w:val="20"/>
              </w:rPr>
              <w:t xml:space="preserve">6</w:t>
            </w:r>
          </w:p>
        </w:tc>
        <w:tc>
          <w:tcPr>
            <w:tcBorders>
              <w:top w:val="single" w:color="CCCCCC" w:sz="1"/>
              <w:left w:val="single" w:color="CCCCCC" w:sz="1"/>
              <w:bottom w:val="single" w:color="CCCCCC" w:sz="1"/>
              <w:right w:val="single" w:color="CCCCCC" w:sz="1"/>
            </w:tcBorders>
          </w:tcPr>
          <w:p>
            <w:r>
              <w:rPr>
                <w:b/>
                <w:bCs/>
                <w:sz w:val="18"/>
                <w:szCs w:val="18"/>
              </w:rPr>
              <w:t xml:space="preserve">Schreiben</w:t>
            </w:r>
          </w:p>
        </w:tc>
        <w:tc>
          <w:tcPr>
            <w:tcBorders>
              <w:top w:val="single" w:color="CCCCCC" w:sz="1"/>
              <w:left w:val="single" w:color="CCCCCC" w:sz="1"/>
              <w:bottom w:val="single" w:color="CCCCCC" w:sz="1"/>
              <w:right w:val="single" w:color="CCCCCC" w:sz="1"/>
            </w:tcBorders>
          </w:tcPr>
          <w:p>
            <w:r>
              <w:rPr>
                <w:sz w:val="16"/>
                <w:szCs w:val="16"/>
              </w:rPr>
              <w:t xml:space="preserve">Strukturierung, Formulierungshilfe</w:t>
            </w:r>
          </w:p>
        </w:tc>
        <w:tc>
          <w:tcPr>
            <w:tcBorders>
              <w:top w:val="single" w:color="CCCCCC" w:sz="1"/>
              <w:left w:val="single" w:color="CCCCCC" w:sz="1"/>
              <w:bottom w:val="single" w:color="CCCCCC" w:sz="1"/>
              <w:right w:val="single" w:color="CCCCCC" w:sz="1"/>
            </w:tcBorders>
          </w:tcPr>
          <w:p>
            <w:r>
              <w:rPr>
                <w:sz w:val="16"/>
                <w:szCs w:val="16"/>
              </w:rPr>
              <w:t xml:space="preserve">Argumentationslogik, Stil, Stimme</w:t>
            </w:r>
          </w:p>
        </w:tc>
      </w:tr>
      <w:tr>
        <w:tc>
          <w:tcPr>
            <w:tcBorders>
              <w:top w:val="single" w:color="CCCCCC" w:sz="1"/>
              <w:left w:val="single" w:color="CCCCCC" w:sz="1"/>
              <w:bottom w:val="single" w:color="CCCCCC" w:sz="1"/>
              <w:right w:val="single" w:color="CCCCCC" w:sz="1"/>
            </w:tcBorders>
            <w:shd w:fill="BEE3F8" w:val="clear"/>
          </w:tcPr>
          <w:p>
            <w:pPr>
              <w:jc w:val="center"/>
            </w:pPr>
            <w:r>
              <w:rPr>
                <w:b/>
                <w:bCs/>
                <w:sz w:val="20"/>
                <w:szCs w:val="20"/>
              </w:rPr>
              <w:t xml:space="preserve">7</w:t>
            </w:r>
          </w:p>
        </w:tc>
        <w:tc>
          <w:tcPr>
            <w:tcBorders>
              <w:top w:val="single" w:color="CCCCCC" w:sz="1"/>
              <w:left w:val="single" w:color="CCCCCC" w:sz="1"/>
              <w:bottom w:val="single" w:color="CCCCCC" w:sz="1"/>
              <w:right w:val="single" w:color="CCCCCC" w:sz="1"/>
            </w:tcBorders>
          </w:tcPr>
          <w:p>
            <w:r>
              <w:rPr>
                <w:b/>
                <w:bCs/>
                <w:sz w:val="18"/>
                <w:szCs w:val="18"/>
              </w:rPr>
              <w:t xml:space="preserve">Dokumentation</w:t>
            </w:r>
          </w:p>
        </w:tc>
        <w:tc>
          <w:tcPr>
            <w:tcBorders>
              <w:top w:val="single" w:color="CCCCCC" w:sz="1"/>
              <w:left w:val="single" w:color="CCCCCC" w:sz="1"/>
              <w:bottom w:val="single" w:color="CCCCCC" w:sz="1"/>
              <w:right w:val="single" w:color="CCCCCC" w:sz="1"/>
            </w:tcBorders>
          </w:tcPr>
          <w:p>
            <w:r>
              <w:rPr>
                <w:sz w:val="16"/>
                <w:szCs w:val="16"/>
              </w:rPr>
              <w:t xml:space="preserve">Protokollierung, Audit Trail</w:t>
            </w:r>
          </w:p>
        </w:tc>
        <w:tc>
          <w:tcPr>
            <w:tcBorders>
              <w:top w:val="single" w:color="CCCCCC" w:sz="1"/>
              <w:left w:val="single" w:color="CCCCCC" w:sz="1"/>
              <w:bottom w:val="single" w:color="CCCCCC" w:sz="1"/>
              <w:right w:val="single" w:color="CCCCCC" w:sz="1"/>
            </w:tcBorders>
          </w:tcPr>
          <w:p>
            <w:r>
              <w:rPr>
                <w:sz w:val="16"/>
                <w:szCs w:val="16"/>
              </w:rPr>
              <w:t xml:space="preserve">Transparenzprüfung, Vollständigkeit</w:t>
            </w:r>
          </w:p>
        </w:tc>
      </w:tr>
    </w:tbl>
    <w:p>
      <w:pPr>
        <w:spacing w:after="300"/>
      </w:pPr>
    </w:p>
    <w:p>
      <w:pPr>
        <w:pStyle w:val="Heading2"/>
      </w:pPr>
      <w:r>
        <w:t xml:space="preserve">3.1 Phase 1: Literaturrecherche</w:t>
      </w:r>
    </w:p>
    <w:p>
      <w:pPr>
        <w:spacing w:after="200" w:line="276"/>
        <w:jc w:val="both"/>
      </w:pPr>
      <w:r>
        <w:rPr>
          <w:sz w:val="24"/>
          <w:szCs w:val="24"/>
        </w:rPr>
        <w:t xml:space="preserve">Die Literaturrecherche bildet das Fundament jeder wissenschaftlichen Arbeit. KI kann diesen Prozess erheblich unterstützen:</w:t>
      </w:r>
    </w:p>
    <w:p>
      <w:pPr>
        <w:spacing w:after="100"/>
      </w:pPr>
      <w:r>
        <w:rPr>
          <w:b/>
          <w:bCs/>
          <w:sz w:val="24"/>
          <w:szCs w:val="24"/>
        </w:rPr>
        <w:t xml:space="preserve">KI-Unterstützung: </w:t>
      </w:r>
      <w:r>
        <w:rPr>
          <w:sz w:val="24"/>
          <w:szCs w:val="24"/>
        </w:rPr>
        <w:t xml:space="preserve">Semantische Suche über Datenbanken, automatisches Screening von Abstracts, Identifikation relevanter Quellen durch Ähnlichkeitsanalyse, Zusammenfassung von Artikeln, Erkennung von Forschungslücken, Visualisierung von Literaturzusammenhängen.</w:t>
      </w:r>
    </w:p>
    <w:p>
      <w:pPr>
        <w:spacing w:after="100"/>
      </w:pPr>
      <w:r>
        <w:rPr>
          <w:b/>
          <w:bCs/>
          <w:sz w:val="24"/>
          <w:szCs w:val="24"/>
        </w:rPr>
        <w:t xml:space="preserve">Human-in-the-loop: </w:t>
      </w:r>
      <w:r>
        <w:rPr>
          <w:sz w:val="24"/>
          <w:szCs w:val="24"/>
        </w:rPr>
        <w:t xml:space="preserve">Finale Relevanzentscheidung, kritische Bewertung der Quellenqualität, Beurteilung der wissenschaftlichen Solidität, Auswahl der inkludierten Literatur.</w:t>
      </w:r>
    </w:p>
    <w:p>
      <w:pPr>
        <w:spacing w:after="200"/>
      </w:pPr>
      <w:r>
        <w:rPr>
          <w:b/>
          <w:bCs/>
          <w:color w:val="E53E3E"/>
          <w:sz w:val="24"/>
          <w:szCs w:val="24"/>
        </w:rPr>
        <w:t xml:space="preserve">⚠️ Wichtig: </w:t>
      </w:r>
      <w:r>
        <w:rPr>
          <w:sz w:val="24"/>
          <w:szCs w:val="24"/>
        </w:rPr>
        <w:t xml:space="preserve">KI kann Quellen halluzinieren. Jede zitierte Quelle muss auf Existenz und korrekte Wiedergabe geprüft werden.</w:t>
      </w:r>
    </w:p>
    <w:p>
      <w:pPr>
        <w:pStyle w:val="Heading2"/>
      </w:pPr>
      <w:r>
        <w:t xml:space="preserve">3.2 Phase 2: Forschungsdesign</w:t>
      </w:r>
    </w:p>
    <w:p>
      <w:pPr>
        <w:spacing w:after="100"/>
      </w:pPr>
      <w:r>
        <w:rPr>
          <w:b/>
          <w:bCs/>
          <w:sz w:val="24"/>
          <w:szCs w:val="24"/>
        </w:rPr>
        <w:t xml:space="preserve">KI-Unterstützung: </w:t>
      </w:r>
      <w:r>
        <w:rPr>
          <w:sz w:val="24"/>
          <w:szCs w:val="24"/>
        </w:rPr>
        <w:t xml:space="preserve">Vorschläge für methodische Ansätze basierend auf Forschungsfrage, Entwürfe für Interviewleitfäden oder Beobachtungsprotokolle, Sampling-Strategien, Zeitplanentwürfe.</w:t>
      </w:r>
    </w:p>
    <w:p>
      <w:pPr>
        <w:spacing w:after="200"/>
      </w:pPr>
      <w:r>
        <w:rPr>
          <w:b/>
          <w:bCs/>
          <w:sz w:val="24"/>
          <w:szCs w:val="24"/>
        </w:rPr>
        <w:t xml:space="preserve">Human-in-the-loop: </w:t>
      </w:r>
      <w:r>
        <w:rPr>
          <w:sz w:val="24"/>
          <w:szCs w:val="24"/>
        </w:rPr>
        <w:t xml:space="preserve">Methodenwahl basierend auf epistemologischer Position, ethische Abwägungen, Anpassung an den spezifischen Forschungskontext, Genehmigung durch Ethikkommission.</w:t>
      </w:r>
    </w:p>
    <w:p>
      <w:r>
        <w:br w:type="page"/>
      </w:r>
    </w:p>
    <w:p>
      <w:pPr>
        <w:pStyle w:val="Heading2"/>
      </w:pPr>
      <w:r>
        <w:t xml:space="preserve">3.3 Phase 3: Datenerhebung</w:t>
      </w:r>
    </w:p>
    <w:p>
      <w:pPr>
        <w:spacing w:after="100"/>
      </w:pPr>
      <w:r>
        <w:rPr>
          <w:b/>
          <w:bCs/>
          <w:sz w:val="24"/>
          <w:szCs w:val="24"/>
        </w:rPr>
        <w:t xml:space="preserve">KI-Unterstützung: </w:t>
      </w:r>
      <w:r>
        <w:rPr>
          <w:sz w:val="24"/>
          <w:szCs w:val="24"/>
        </w:rPr>
        <w:t xml:space="preserve">Automatische Transkription von Audio und Video, Übersetzung fremdsprachiger Daten, Strukturierung von Feldnotizen, Echtzeit-Zusammenfassungen während der Erhebung.</w:t>
      </w:r>
    </w:p>
    <w:p>
      <w:pPr>
        <w:spacing w:after="100"/>
      </w:pPr>
      <w:r>
        <w:rPr>
          <w:b/>
          <w:bCs/>
          <w:sz w:val="24"/>
          <w:szCs w:val="24"/>
        </w:rPr>
        <w:t xml:space="preserve">Human-in-the-loop: </w:t>
      </w:r>
      <w:r>
        <w:rPr>
          <w:sz w:val="24"/>
          <w:szCs w:val="24"/>
        </w:rPr>
        <w:t xml:space="preserve">Korrektur von Transkriptionsfehlern, Prüfung der Übersetzungsqualität, Ergänzung non-verbaler Informationen, Qualitätskontrolle aller Daten.</w:t>
      </w:r>
    </w:p>
    <w:p>
      <w:pPr>
        <w:spacing w:after="200"/>
      </w:pPr>
      <w:r>
        <w:rPr>
          <w:b/>
          <w:bCs/>
          <w:color w:val="E53E3E"/>
          <w:sz w:val="24"/>
          <w:szCs w:val="24"/>
        </w:rPr>
        <w:t xml:space="preserve">⚠️ Wichtig: </w:t>
      </w:r>
      <w:r>
        <w:rPr>
          <w:sz w:val="24"/>
          <w:szCs w:val="24"/>
        </w:rPr>
        <w:t xml:space="preserve">Automatische Transkription hat Fehlerquoten von 5-15%. Jede Transkription sollte menschlich geprüft werden.</w:t>
      </w:r>
    </w:p>
    <w:p>
      <w:pPr>
        <w:pStyle w:val="Heading2"/>
      </w:pPr>
      <w:r>
        <w:t xml:space="preserve">3.4 Phase 4: Datenanalyse</w:t>
      </w:r>
    </w:p>
    <w:p>
      <w:pPr>
        <w:spacing w:after="200" w:line="276"/>
        <w:jc w:val="both"/>
      </w:pPr>
      <w:r>
        <w:rPr>
          <w:sz w:val="24"/>
          <w:szCs w:val="24"/>
        </w:rPr>
        <w:t xml:space="preserve">Die Analysephase ist der traditionelle Fokus von CAQDAS-Systemen. AKIH erweitert die KI-Unterstützung hier durch ein Multi-Perspektiven-System:</w:t>
      </w:r>
    </w:p>
    <w:p>
      <w:pPr>
        <w:spacing w:after="100"/>
      </w:pPr>
      <w:r>
        <w:rPr>
          <w:b/>
          <w:bCs/>
          <w:sz w:val="24"/>
          <w:szCs w:val="24"/>
        </w:rPr>
        <w:t xml:space="preserve">KI-Unterstützung: </w:t>
      </w:r>
      <w:r>
        <w:rPr>
          <w:sz w:val="24"/>
          <w:szCs w:val="24"/>
        </w:rPr>
        <w:t xml:space="preserve">Kodierungsvorschläge mit Konfidenzwerten, automatische Mustererkennung, Identifikation semantischer Cluster, Vorschläge für Kategorienbildung, Visualisierung von Code-Beziehungen.</w:t>
      </w:r>
    </w:p>
    <w:p>
      <w:pPr>
        <w:spacing w:after="100"/>
      </w:pPr>
      <w:r>
        <w:rPr>
          <w:b/>
          <w:bCs/>
          <w:sz w:val="24"/>
          <w:szCs w:val="24"/>
        </w:rPr>
        <w:t xml:space="preserve">Multi-Perspektiven-Analyse: </w:t>
      </w:r>
      <w:r>
        <w:rPr>
          <w:sz w:val="24"/>
          <w:szCs w:val="24"/>
        </w:rPr>
        <w:t xml:space="preserve">Optionale Nutzung mehrerer KI-Perspektiven (konservativ, explorativ, kritisch) zur Triangulation.</w:t>
      </w:r>
    </w:p>
    <w:p>
      <w:pPr>
        <w:spacing w:after="200"/>
      </w:pPr>
      <w:r>
        <w:rPr>
          <w:b/>
          <w:bCs/>
          <w:sz w:val="24"/>
          <w:szCs w:val="24"/>
        </w:rPr>
        <w:t xml:space="preserve">Human-in-the-loop: </w:t>
      </w:r>
      <w:r>
        <w:rPr>
          <w:sz w:val="24"/>
          <w:szCs w:val="24"/>
        </w:rPr>
        <w:t xml:space="preserve">Finale Kodierungsentscheidung, Kategorienbildung und -definition, Interpretation von Mustern, Umgang mit Ambiguität und Widersprüchen.</w:t>
      </w:r>
    </w:p>
    <w:p>
      <w:pPr>
        <w:pStyle w:val="Heading2"/>
      </w:pPr>
      <w:r>
        <w:t xml:space="preserve">3.5 Phase 5: Interpretation</w:t>
      </w:r>
    </w:p>
    <w:p>
      <w:pPr>
        <w:spacing w:after="100"/>
      </w:pPr>
      <w:r>
        <w:rPr>
          <w:b/>
          <w:bCs/>
          <w:sz w:val="24"/>
          <w:szCs w:val="24"/>
        </w:rPr>
        <w:t xml:space="preserve">KI-Unterstützung: </w:t>
      </w:r>
      <w:r>
        <w:rPr>
          <w:sz w:val="24"/>
          <w:szCs w:val="24"/>
        </w:rPr>
        <w:t xml:space="preserve">Aufzeigen von Zusammenhängen zwischen Kategorien, Generieren alternativer Deutungsmöglichkeiten, Verbindung zu theoretischen Konzepten, Identifikation von Implikationen.</w:t>
      </w:r>
    </w:p>
    <w:p>
      <w:pPr>
        <w:spacing w:after="100"/>
      </w:pPr>
      <w:r>
        <w:rPr>
          <w:b/>
          <w:bCs/>
          <w:sz w:val="24"/>
          <w:szCs w:val="24"/>
        </w:rPr>
        <w:t xml:space="preserve">Human-in-the-loop: </w:t>
      </w:r>
      <w:r>
        <w:rPr>
          <w:sz w:val="24"/>
          <w:szCs w:val="24"/>
        </w:rPr>
        <w:t xml:space="preserve">Bedeutungszuweisung, Theoriebildung, Einordnung in den Forschungskontext, kritische Reflexion der eigenen Vorannahmen.</w:t>
      </w:r>
    </w:p>
    <w:p>
      <w:pPr>
        <w:spacing w:after="200"/>
      </w:pPr>
      <w:r>
        <w:rPr>
          <w:b/>
          <w:bCs/>
          <w:color w:val="E53E3E"/>
          <w:sz w:val="24"/>
          <w:szCs w:val="24"/>
        </w:rPr>
        <w:t xml:space="preserve">⚠️ Wichtig: </w:t>
      </w:r>
      <w:r>
        <w:rPr>
          <w:sz w:val="24"/>
          <w:szCs w:val="24"/>
        </w:rPr>
        <w:t xml:space="preserve">KI kann keine genuinen Interpretationen leisten. Sie kann Muster zeigen, aber deren Bedeutung ist eine menschliche Konstruktion.</w:t>
      </w:r>
    </w:p>
    <w:p>
      <w:pPr>
        <w:pStyle w:val="Heading2"/>
      </w:pPr>
      <w:r>
        <w:t xml:space="preserve">3.6 Phase 6: Wissenschaftliches Schreiben</w:t>
      </w:r>
    </w:p>
    <w:p>
      <w:pPr>
        <w:spacing w:after="100"/>
      </w:pPr>
      <w:r>
        <w:rPr>
          <w:b/>
          <w:bCs/>
          <w:sz w:val="24"/>
          <w:szCs w:val="24"/>
        </w:rPr>
        <w:t xml:space="preserve">KI-Unterstützung: </w:t>
      </w:r>
      <w:r>
        <w:rPr>
          <w:sz w:val="24"/>
          <w:szCs w:val="24"/>
        </w:rPr>
        <w:t xml:space="preserve">Gliederungsvorschläge, Formulierungshilfen, Überarbeitung von Entwürfen, Prüfung auf Konsistenz und Vollständigkeit, Sprachkorrektur.</w:t>
      </w:r>
    </w:p>
    <w:p>
      <w:pPr>
        <w:spacing w:after="100"/>
      </w:pPr>
      <w:r>
        <w:rPr>
          <w:b/>
          <w:bCs/>
          <w:sz w:val="24"/>
          <w:szCs w:val="24"/>
        </w:rPr>
        <w:t xml:space="preserve">Human-in-the-loop: </w:t>
      </w:r>
      <w:r>
        <w:rPr>
          <w:sz w:val="24"/>
          <w:szCs w:val="24"/>
        </w:rPr>
        <w:t xml:space="preserve">Argumentationslogik, wissenschaftlicher Stil, eigene Stimme, Positionierung, inhaltliche Verantwortung für jede Aussage.</w:t>
      </w:r>
    </w:p>
    <w:p>
      <w:pPr>
        <w:spacing w:after="200"/>
      </w:pPr>
      <w:r>
        <w:rPr>
          <w:b/>
          <w:bCs/>
          <w:color w:val="E53E3E"/>
          <w:sz w:val="24"/>
          <w:szCs w:val="24"/>
        </w:rPr>
        <w:t xml:space="preserve">⚠️ Wichtig: </w:t>
      </w:r>
      <w:r>
        <w:rPr>
          <w:sz w:val="24"/>
          <w:szCs w:val="24"/>
        </w:rPr>
        <w:t xml:space="preserve">Forschende tragen die inhaltliche Verantwortung für jeden Satz. KI-generierte Passagen müssen kritisch geprüft und in die eigene Argumentation integriert werden. Transparente Dokumentation der KI-Nutzung ist Pflicht.</w:t>
      </w:r>
    </w:p>
    <w:p>
      <w:pPr>
        <w:pStyle w:val="Heading2"/>
      </w:pPr>
      <w:r>
        <w:t xml:space="preserve">3.7 Phase 7: Dokumentation und Transparenz</w:t>
      </w:r>
    </w:p>
    <w:p>
      <w:pPr>
        <w:spacing w:after="200" w:line="276"/>
        <w:jc w:val="both"/>
      </w:pPr>
      <w:r>
        <w:rPr>
          <w:sz w:val="24"/>
          <w:szCs w:val="24"/>
        </w:rPr>
        <w:t xml:space="preserve">Die Dokumentation ist keine nachgelagerte Phase, sondern durchzieht den gesamten Forschungsprozess. AKIH erfordert ein vollständiges Audit Trail, das alle KI-Nutzungen transparent macht:</w:t>
      </w:r>
    </w:p>
    <w:p>
      <w:pPr>
        <w:pStyle w:val="ListParagraph"/>
        <w:numPr>
          <w:ilvl w:val="0"/>
          <w:numId w:val="2"/>
        </w:numPr>
        <w:spacing w:after="100"/>
      </w:pPr>
      <w:r>
        <w:rPr>
          <w:sz w:val="24"/>
          <w:szCs w:val="24"/>
        </w:rPr>
        <w:t xml:space="preserve">Prompt-Protokoll: Alle Anweisungen an KI-Systeme</w:t>
      </w:r>
    </w:p>
    <w:p>
      <w:pPr>
        <w:pStyle w:val="ListParagraph"/>
        <w:numPr>
          <w:ilvl w:val="0"/>
          <w:numId w:val="2"/>
        </w:numPr>
        <w:spacing w:after="100"/>
      </w:pPr>
      <w:r>
        <w:rPr>
          <w:sz w:val="24"/>
          <w:szCs w:val="24"/>
        </w:rPr>
        <w:t xml:space="preserve">Output-Dokumentation: Alle KI-generierten Ergebnisse</w:t>
      </w:r>
    </w:p>
    <w:p>
      <w:pPr>
        <w:pStyle w:val="ListParagraph"/>
        <w:numPr>
          <w:ilvl w:val="0"/>
          <w:numId w:val="2"/>
        </w:numPr>
        <w:spacing w:after="100"/>
      </w:pPr>
      <w:r>
        <w:rPr>
          <w:sz w:val="24"/>
          <w:szCs w:val="24"/>
        </w:rPr>
        <w:t xml:space="preserve">Entscheidungs-Log: Menschliche Annahmen, Ablehnungen, Modifikationen</w:t>
      </w:r>
    </w:p>
    <w:p>
      <w:pPr>
        <w:pStyle w:val="ListParagraph"/>
        <w:numPr>
          <w:ilvl w:val="0"/>
          <w:numId w:val="2"/>
        </w:numPr>
        <w:spacing w:after="100"/>
      </w:pPr>
      <w:r>
        <w:rPr>
          <w:sz w:val="24"/>
          <w:szCs w:val="24"/>
        </w:rPr>
        <w:t xml:space="preserve">Tool-Verzeichnis: Alle verwendeten KI-Tools mit Versionen</w:t>
      </w:r>
    </w:p>
    <w:p>
      <w:pPr>
        <w:pStyle w:val="ListParagraph"/>
        <w:numPr>
          <w:ilvl w:val="0"/>
          <w:numId w:val="2"/>
        </w:numPr>
        <w:spacing w:after="200"/>
      </w:pPr>
      <w:r>
        <w:rPr>
          <w:sz w:val="24"/>
          <w:szCs w:val="24"/>
        </w:rPr>
        <w:t xml:space="preserve">Reflexions-Memos: Kritische Reflexion über KI-Einfluss auf Ergebnisse</w:t>
      </w:r>
    </w:p>
    <w:p>
      <w:r>
        <w:br w:type="page"/>
      </w:r>
    </w:p>
    <w:p>
      <w:pPr>
        <w:pStyle w:val="Heading1"/>
      </w:pPr>
      <w:r>
        <w:t xml:space="preserve">4. Der AKIH-Score: Qualitätssicherung</w:t>
      </w:r>
    </w:p>
    <w:p>
      <w:pPr>
        <w:spacing w:after="200" w:line="276"/>
        <w:jc w:val="both"/>
      </w:pPr>
      <w:r>
        <w:rPr>
          <w:sz w:val="24"/>
          <w:szCs w:val="24"/>
        </w:rPr>
        <w:t xml:space="preserve">Der AKIH-Score quantifiziert die Qualität KI-gestützter qualitativer Forschung phasenübergreifend. Er ermöglicht Transparenz, Vergleichbarkeit und kontinuierliche Verbesserung:</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2C5282" w:sz="2"/>
              <w:left w:val="single" w:color="2C5282" w:sz="2"/>
              <w:bottom w:val="single" w:color="2C5282" w:sz="2"/>
              <w:right w:val="single" w:color="2C5282" w:sz="2"/>
            </w:tcBorders>
            <w:shd w:fill="F7FAFC" w:val="clear"/>
          </w:tcPr>
          <w:p>
            <w:pPr>
              <w:spacing w:before="200" w:after="100"/>
              <w:jc w:val="center"/>
            </w:pPr>
            <w:r>
              <w:rPr>
                <w:b/>
                <w:bCs/>
                <w:color w:val="1A365D"/>
                <w:sz w:val="28"/>
                <w:szCs w:val="28"/>
              </w:rPr>
              <w:t xml:space="preserve">AKIH-Score = Σ(wᵢ × Pᵢ) × TI × HV</w:t>
            </w:r>
          </w:p>
          <w:p>
            <w:pPr>
              <w:spacing w:after="200"/>
              <w:jc w:val="center"/>
            </w:pPr>
            <w:r>
              <w:rPr>
                <w:color w:val="718096"/>
                <w:sz w:val="18"/>
                <w:szCs w:val="18"/>
              </w:rPr>
              <w:t xml:space="preserve">Pᵢ = Phasenqualität | TI = Transparenz-Index | HV = Human-Validierung</w:t>
            </w:r>
          </w:p>
        </w:tc>
      </w:tr>
    </w:tbl>
    <w:p>
      <w:pPr>
        <w:spacing w:after="200"/>
      </w:pPr>
    </w:p>
    <w:p>
      <w:pPr>
        <w:pStyle w:val="Heading2"/>
      </w:pPr>
      <w:r>
        <w:t xml:space="preserve">4.1 Phasenqualität (Pᵢ)</w:t>
      </w:r>
    </w:p>
    <w:p>
      <w:pPr>
        <w:spacing w:after="200" w:line="276"/>
        <w:jc w:val="both"/>
      </w:pPr>
      <w:r>
        <w:rPr>
          <w:sz w:val="24"/>
          <w:szCs w:val="24"/>
        </w:rPr>
        <w:t xml:space="preserve">Für jede der sieben Forschungsphasen wird eine Qualitätsbewertung (0-100) erhoben, basierend auf phasenspezifischen Kriterien:</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2500"/>
        <w:gridCol w:w="1000"/>
        <w:gridCol w:w="5500"/>
      </w:tblGrid>
      <w:tr>
        <w:trPr>
          <w:tblHeader/>
        </w:trPr>
        <w:tc>
          <w:tcPr>
            <w:tcW w:type="dxa" w:w="2500"/>
            <w:tcBorders>
              <w:top w:val="single" w:color="CCCCCC" w:sz="1"/>
              <w:left w:val="single" w:color="CCCCCC" w:sz="1"/>
              <w:bottom w:val="single" w:color="CCCCCC" w:sz="1"/>
              <w:right w:val="single" w:color="CCCCCC" w:sz="1"/>
            </w:tcBorders>
            <w:shd w:fill="1A365D" w:val="clear"/>
          </w:tcPr>
          <w:p>
            <w:r>
              <w:rPr>
                <w:b/>
                <w:bCs/>
                <w:color w:val="FFFFFF"/>
                <w:sz w:val="18"/>
                <w:szCs w:val="18"/>
              </w:rPr>
              <w:t xml:space="preserve">Phase</w:t>
            </w:r>
          </w:p>
        </w:tc>
        <w:tc>
          <w:tcPr>
            <w:tcW w:type="dxa" w:w="1000"/>
            <w:tcBorders>
              <w:top w:val="single" w:color="CCCCCC" w:sz="1"/>
              <w:left w:val="single" w:color="CCCCCC" w:sz="1"/>
              <w:bottom w:val="single" w:color="CCCCCC" w:sz="1"/>
              <w:right w:val="single" w:color="CCCCCC" w:sz="1"/>
            </w:tcBorders>
            <w:shd w:fill="1A365D" w:val="clear"/>
          </w:tcPr>
          <w:p>
            <w:pPr>
              <w:jc w:val="center"/>
            </w:pPr>
            <w:r>
              <w:rPr>
                <w:b/>
                <w:bCs/>
                <w:color w:val="FFFFFF"/>
                <w:sz w:val="18"/>
                <w:szCs w:val="18"/>
              </w:rPr>
              <w:t xml:space="preserve">Gew.</w:t>
            </w:r>
          </w:p>
        </w:tc>
        <w:tc>
          <w:tcPr>
            <w:tcW w:type="dxa" w:w="5500"/>
            <w:tcBorders>
              <w:top w:val="single" w:color="CCCCCC" w:sz="1"/>
              <w:left w:val="single" w:color="CCCCCC" w:sz="1"/>
              <w:bottom w:val="single" w:color="CCCCCC" w:sz="1"/>
              <w:right w:val="single" w:color="CCCCCC" w:sz="1"/>
            </w:tcBorders>
            <w:shd w:fill="1A365D" w:val="clear"/>
          </w:tcPr>
          <w:p>
            <w:r>
              <w:rPr>
                <w:b/>
                <w:bCs/>
                <w:color w:val="FFFFFF"/>
                <w:sz w:val="18"/>
                <w:szCs w:val="18"/>
              </w:rPr>
              <w:t xml:space="preserve">Kernkriterien</w:t>
            </w:r>
          </w:p>
        </w:tc>
      </w:tr>
      <w:tr>
        <w:tc>
          <w:tcPr>
            <w:tcBorders>
              <w:top w:val="single" w:color="CCCCCC" w:sz="1"/>
              <w:left w:val="single" w:color="CCCCCC" w:sz="1"/>
              <w:bottom w:val="single" w:color="CCCCCC" w:sz="1"/>
              <w:right w:val="single" w:color="CCCCCC" w:sz="1"/>
            </w:tcBorders>
          </w:tcPr>
          <w:p>
            <w:r>
              <w:rPr>
                <w:sz w:val="18"/>
                <w:szCs w:val="18"/>
              </w:rPr>
              <w:t xml:space="preserve">Literaturrecherche</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15%</w:t>
            </w:r>
          </w:p>
        </w:tc>
        <w:tc>
          <w:tcPr>
            <w:tcBorders>
              <w:top w:val="single" w:color="CCCCCC" w:sz="1"/>
              <w:left w:val="single" w:color="CCCCCC" w:sz="1"/>
              <w:bottom w:val="single" w:color="CCCCCC" w:sz="1"/>
              <w:right w:val="single" w:color="CCCCCC" w:sz="1"/>
            </w:tcBorders>
          </w:tcPr>
          <w:p>
            <w:r>
              <w:rPr>
                <w:sz w:val="16"/>
                <w:szCs w:val="16"/>
              </w:rPr>
              <w:t xml:space="preserve">Quellenvalidität, Abdeckung, Aktualität</w:t>
            </w:r>
          </w:p>
        </w:tc>
      </w:tr>
      <w:tr>
        <w:tc>
          <w:tcPr>
            <w:tcBorders>
              <w:top w:val="single" w:color="CCCCCC" w:sz="1"/>
              <w:left w:val="single" w:color="CCCCCC" w:sz="1"/>
              <w:bottom w:val="single" w:color="CCCCCC" w:sz="1"/>
              <w:right w:val="single" w:color="CCCCCC" w:sz="1"/>
            </w:tcBorders>
          </w:tcPr>
          <w:p>
            <w:r>
              <w:rPr>
                <w:sz w:val="18"/>
                <w:szCs w:val="18"/>
              </w:rPr>
              <w:t xml:space="preserve">Forschungsdesign</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10%</w:t>
            </w:r>
          </w:p>
        </w:tc>
        <w:tc>
          <w:tcPr>
            <w:tcBorders>
              <w:top w:val="single" w:color="CCCCCC" w:sz="1"/>
              <w:left w:val="single" w:color="CCCCCC" w:sz="1"/>
              <w:bottom w:val="single" w:color="CCCCCC" w:sz="1"/>
              <w:right w:val="single" w:color="CCCCCC" w:sz="1"/>
            </w:tcBorders>
          </w:tcPr>
          <w:p>
            <w:r>
              <w:rPr>
                <w:sz w:val="16"/>
                <w:szCs w:val="16"/>
              </w:rPr>
              <w:t xml:space="preserve">Passung zur Forschungsfrage, ethische Qualität</w:t>
            </w:r>
          </w:p>
        </w:tc>
      </w:tr>
      <w:tr>
        <w:tc>
          <w:tcPr>
            <w:tcBorders>
              <w:top w:val="single" w:color="CCCCCC" w:sz="1"/>
              <w:left w:val="single" w:color="CCCCCC" w:sz="1"/>
              <w:bottom w:val="single" w:color="CCCCCC" w:sz="1"/>
              <w:right w:val="single" w:color="CCCCCC" w:sz="1"/>
            </w:tcBorders>
          </w:tcPr>
          <w:p>
            <w:r>
              <w:rPr>
                <w:sz w:val="18"/>
                <w:szCs w:val="18"/>
              </w:rPr>
              <w:t xml:space="preserve">Datenerhebung</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15%</w:t>
            </w:r>
          </w:p>
        </w:tc>
        <w:tc>
          <w:tcPr>
            <w:tcBorders>
              <w:top w:val="single" w:color="CCCCCC" w:sz="1"/>
              <w:left w:val="single" w:color="CCCCCC" w:sz="1"/>
              <w:bottom w:val="single" w:color="CCCCCC" w:sz="1"/>
              <w:right w:val="single" w:color="CCCCCC" w:sz="1"/>
            </w:tcBorders>
          </w:tcPr>
          <w:p>
            <w:r>
              <w:rPr>
                <w:sz w:val="16"/>
                <w:szCs w:val="16"/>
              </w:rPr>
              <w:t xml:space="preserve">Datenqualität, Transkriptionsgenauigkeit</w:t>
            </w:r>
          </w:p>
        </w:tc>
      </w:tr>
      <w:tr>
        <w:tc>
          <w:tcPr>
            <w:tcBorders>
              <w:top w:val="single" w:color="CCCCCC" w:sz="1"/>
              <w:left w:val="single" w:color="CCCCCC" w:sz="1"/>
              <w:bottom w:val="single" w:color="CCCCCC" w:sz="1"/>
              <w:right w:val="single" w:color="CCCCCC" w:sz="1"/>
            </w:tcBorders>
          </w:tcPr>
          <w:p>
            <w:r>
              <w:rPr>
                <w:sz w:val="18"/>
                <w:szCs w:val="18"/>
              </w:rPr>
              <w:t xml:space="preserve">Datenanalyse</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20%</w:t>
            </w:r>
          </w:p>
        </w:tc>
        <w:tc>
          <w:tcPr>
            <w:tcBorders>
              <w:top w:val="single" w:color="CCCCCC" w:sz="1"/>
              <w:left w:val="single" w:color="CCCCCC" w:sz="1"/>
              <w:bottom w:val="single" w:color="CCCCCC" w:sz="1"/>
              <w:right w:val="single" w:color="CCCCCC" w:sz="1"/>
            </w:tcBorders>
          </w:tcPr>
          <w:p>
            <w:r>
              <w:rPr>
                <w:sz w:val="16"/>
                <w:szCs w:val="16"/>
              </w:rPr>
              <w:t xml:space="preserve">Kodierungsqualität, Kategorien, Konsistenz</w:t>
            </w:r>
          </w:p>
        </w:tc>
      </w:tr>
      <w:tr>
        <w:tc>
          <w:tcPr>
            <w:tcBorders>
              <w:top w:val="single" w:color="CCCCCC" w:sz="1"/>
              <w:left w:val="single" w:color="CCCCCC" w:sz="1"/>
              <w:bottom w:val="single" w:color="CCCCCC" w:sz="1"/>
              <w:right w:val="single" w:color="CCCCCC" w:sz="1"/>
            </w:tcBorders>
          </w:tcPr>
          <w:p>
            <w:r>
              <w:rPr>
                <w:sz w:val="18"/>
                <w:szCs w:val="18"/>
              </w:rPr>
              <w:t xml:space="preserve">Interpretation</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15%</w:t>
            </w:r>
          </w:p>
        </w:tc>
        <w:tc>
          <w:tcPr>
            <w:tcBorders>
              <w:top w:val="single" w:color="CCCCCC" w:sz="1"/>
              <w:left w:val="single" w:color="CCCCCC" w:sz="1"/>
              <w:bottom w:val="single" w:color="CCCCCC" w:sz="1"/>
              <w:right w:val="single" w:color="CCCCCC" w:sz="1"/>
            </w:tcBorders>
          </w:tcPr>
          <w:p>
            <w:r>
              <w:rPr>
                <w:sz w:val="16"/>
                <w:szCs w:val="16"/>
              </w:rPr>
              <w:t xml:space="preserve">Tiefe, Plausibilität, Theorieanbindung</w:t>
            </w:r>
          </w:p>
        </w:tc>
      </w:tr>
      <w:tr>
        <w:tc>
          <w:tcPr>
            <w:tcBorders>
              <w:top w:val="single" w:color="CCCCCC" w:sz="1"/>
              <w:left w:val="single" w:color="CCCCCC" w:sz="1"/>
              <w:bottom w:val="single" w:color="CCCCCC" w:sz="1"/>
              <w:right w:val="single" w:color="CCCCCC" w:sz="1"/>
            </w:tcBorders>
          </w:tcPr>
          <w:p>
            <w:r>
              <w:rPr>
                <w:sz w:val="18"/>
                <w:szCs w:val="18"/>
              </w:rPr>
              <w:t xml:space="preserve">Schreiben</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15%</w:t>
            </w:r>
          </w:p>
        </w:tc>
        <w:tc>
          <w:tcPr>
            <w:tcBorders>
              <w:top w:val="single" w:color="CCCCCC" w:sz="1"/>
              <w:left w:val="single" w:color="CCCCCC" w:sz="1"/>
              <w:bottom w:val="single" w:color="CCCCCC" w:sz="1"/>
              <w:right w:val="single" w:color="CCCCCC" w:sz="1"/>
            </w:tcBorders>
          </w:tcPr>
          <w:p>
            <w:r>
              <w:rPr>
                <w:sz w:val="16"/>
                <w:szCs w:val="16"/>
              </w:rPr>
              <w:t xml:space="preserve">Argumentation, Kohärenz, Originalität</w:t>
            </w:r>
          </w:p>
        </w:tc>
      </w:tr>
      <w:tr>
        <w:tc>
          <w:tcPr>
            <w:tcBorders>
              <w:top w:val="single" w:color="CCCCCC" w:sz="1"/>
              <w:left w:val="single" w:color="CCCCCC" w:sz="1"/>
              <w:bottom w:val="single" w:color="CCCCCC" w:sz="1"/>
              <w:right w:val="single" w:color="CCCCCC" w:sz="1"/>
            </w:tcBorders>
          </w:tcPr>
          <w:p>
            <w:r>
              <w:rPr>
                <w:sz w:val="18"/>
                <w:szCs w:val="18"/>
              </w:rPr>
              <w:t xml:space="preserve">Dokumentation</w:t>
            </w:r>
          </w:p>
        </w:tc>
        <w:tc>
          <w:tcPr>
            <w:tcBorders>
              <w:top w:val="single" w:color="CCCCCC" w:sz="1"/>
              <w:left w:val="single" w:color="CCCCCC" w:sz="1"/>
              <w:bottom w:val="single" w:color="CCCCCC" w:sz="1"/>
              <w:right w:val="single" w:color="CCCCCC" w:sz="1"/>
            </w:tcBorders>
            <w:shd w:fill="EBF8FF" w:val="clear"/>
          </w:tcPr>
          <w:p>
            <w:pPr>
              <w:jc w:val="center"/>
            </w:pPr>
            <w:r>
              <w:rPr>
                <w:b/>
                <w:bCs/>
                <w:sz w:val="18"/>
                <w:szCs w:val="18"/>
              </w:rPr>
              <w:t xml:space="preserve">10%</w:t>
            </w:r>
          </w:p>
        </w:tc>
        <w:tc>
          <w:tcPr>
            <w:tcBorders>
              <w:top w:val="single" w:color="CCCCCC" w:sz="1"/>
              <w:left w:val="single" w:color="CCCCCC" w:sz="1"/>
              <w:bottom w:val="single" w:color="CCCCCC" w:sz="1"/>
              <w:right w:val="single" w:color="CCCCCC" w:sz="1"/>
            </w:tcBorders>
          </w:tcPr>
          <w:p>
            <w:r>
              <w:rPr>
                <w:sz w:val="16"/>
                <w:szCs w:val="16"/>
              </w:rPr>
              <w:t xml:space="preserve">Vollständigkeit, Nachvollziehbarkeit</w:t>
            </w:r>
          </w:p>
        </w:tc>
      </w:tr>
    </w:tbl>
    <w:p>
      <w:pPr>
        <w:spacing w:after="200"/>
      </w:pPr>
    </w:p>
    <w:p>
      <w:pPr>
        <w:pStyle w:val="Heading2"/>
      </w:pPr>
      <w:r>
        <w:t xml:space="preserve">4.2 Transparenz-Index (TI) und Human-Validierung (HV)</w:t>
      </w:r>
    </w:p>
    <w:p>
      <w:pPr>
        <w:spacing w:after="100"/>
      </w:pPr>
      <w:r>
        <w:rPr>
          <w:b/>
          <w:bCs/>
          <w:sz w:val="24"/>
          <w:szCs w:val="24"/>
        </w:rPr>
        <w:t xml:space="preserve">Transparenz-Index (TI): </w:t>
      </w:r>
      <w:r>
        <w:rPr>
          <w:sz w:val="24"/>
          <w:szCs w:val="24"/>
        </w:rPr>
        <w:t xml:space="preserve">Bewertet die Vollständigkeit der KI-Nutzungsdokumentation (0.5-1.0). Wie vollständig sind Prompts, Outputs und Entscheidungen dokumentiert?</w:t>
      </w:r>
    </w:p>
    <w:p>
      <w:pPr>
        <w:spacing w:after="200"/>
      </w:pPr>
      <w:r>
        <w:rPr>
          <w:b/>
          <w:bCs/>
          <w:sz w:val="24"/>
          <w:szCs w:val="24"/>
        </w:rPr>
        <w:t xml:space="preserve">Human-Validierung (HV): </w:t>
      </w:r>
      <w:r>
        <w:rPr>
          <w:sz w:val="24"/>
          <w:szCs w:val="24"/>
        </w:rPr>
        <w:t xml:space="preserve">Misst den Anteil menschlich geprüfter KI-Outputs (0.5-1.0). Wie viele KI-Vorschläge wurden durch Menschen evaluiert?</w:t>
      </w:r>
    </w:p>
    <w:p>
      <w:r>
        <w:br w:type="page"/>
      </w:r>
    </w:p>
    <w:p>
      <w:pPr>
        <w:pStyle w:val="Heading1"/>
      </w:pPr>
      <w:r>
        <w:t xml:space="preserve">5. Die AKIH-Methodenfamilie</w:t>
      </w:r>
    </w:p>
    <w:p>
      <w:pPr>
        <w:spacing w:after="200" w:line="276"/>
        <w:jc w:val="both"/>
      </w:pPr>
      <w:r>
        <w:rPr>
          <w:sz w:val="24"/>
          <w:szCs w:val="24"/>
        </w:rPr>
        <w:t xml:space="preserve">AKIH 1.0 ist Teil einer Methodenfamilie, die verschiedene Anwendungskontexte abdeckt:</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2000"/>
        <w:gridCol w:w="3500"/>
        <w:gridCol w:w="3500"/>
      </w:tblGrid>
      <w:tr>
        <w:trPr>
          <w:tblHeader/>
        </w:trPr>
        <w:tc>
          <w:tcPr>
            <w:tcW w:type="dxa" w:w="2000"/>
            <w:tcBorders>
              <w:top w:val="single" w:color="CCCCCC" w:sz="1"/>
              <w:left w:val="single" w:color="CCCCCC" w:sz="1"/>
              <w:bottom w:val="single" w:color="CCCCCC" w:sz="1"/>
              <w:right w:val="single" w:color="CCCCCC" w:sz="1"/>
            </w:tcBorders>
            <w:shd w:fill="1A365D" w:val="clear"/>
          </w:tcPr>
          <w:p>
            <w:pPr>
              <w:jc w:val="center"/>
            </w:pPr>
            <w:r>
              <w:rPr>
                <w:b/>
                <w:bCs/>
                <w:color w:val="FFFFFF"/>
                <w:sz w:val="20"/>
                <w:szCs w:val="20"/>
              </w:rPr>
              <w:t xml:space="preserve">Version</w:t>
            </w:r>
          </w:p>
        </w:tc>
        <w:tc>
          <w:tcPr>
            <w:tcW w:type="dxa" w:w="3500"/>
            <w:tcBorders>
              <w:top w:val="single" w:color="CCCCCC" w:sz="1"/>
              <w:left w:val="single" w:color="CCCCCC" w:sz="1"/>
              <w:bottom w:val="single" w:color="CCCCCC" w:sz="1"/>
              <w:right w:val="single" w:color="CCCCCC" w:sz="1"/>
            </w:tcBorders>
            <w:shd w:fill="1A365D" w:val="clear"/>
          </w:tcPr>
          <w:p>
            <w:pPr>
              <w:jc w:val="center"/>
            </w:pPr>
            <w:r>
              <w:rPr>
                <w:b/>
                <w:bCs/>
                <w:color w:val="FFFFFF"/>
                <w:sz w:val="20"/>
                <w:szCs w:val="20"/>
              </w:rPr>
              <w:t xml:space="preserve">AKIH 1.0</w:t>
            </w:r>
          </w:p>
        </w:tc>
        <w:tc>
          <w:tcPr>
            <w:tcW w:type="dxa" w:w="3500"/>
            <w:tcBorders>
              <w:top w:val="single" w:color="CCCCCC" w:sz="1"/>
              <w:left w:val="single" w:color="CCCCCC" w:sz="1"/>
              <w:bottom w:val="single" w:color="CCCCCC" w:sz="1"/>
              <w:right w:val="single" w:color="CCCCCC" w:sz="1"/>
            </w:tcBorders>
            <w:shd w:fill="1A365D" w:val="clear"/>
          </w:tcPr>
          <w:p>
            <w:pPr>
              <w:jc w:val="center"/>
            </w:pPr>
            <w:r>
              <w:rPr>
                <w:b/>
                <w:bCs/>
                <w:color w:val="FFFFFF"/>
                <w:sz w:val="20"/>
                <w:szCs w:val="20"/>
              </w:rPr>
              <w:t xml:space="preserve">AKIH 2.0</w:t>
            </w:r>
          </w:p>
        </w:tc>
      </w:tr>
      <w:tr>
        <w:tc>
          <w:tcPr>
            <w:tcBorders>
              <w:top w:val="single" w:color="CCCCCC" w:sz="1"/>
              <w:left w:val="single" w:color="CCCCCC" w:sz="1"/>
              <w:bottom w:val="single" w:color="CCCCCC" w:sz="1"/>
              <w:right w:val="single" w:color="CCCCCC" w:sz="1"/>
            </w:tcBorders>
          </w:tcPr>
          <w:p>
            <w:r>
              <w:rPr>
                <w:b/>
                <w:bCs/>
                <w:sz w:val="18"/>
                <w:szCs w:val="18"/>
              </w:rPr>
              <w:t xml:space="preserve">Bezeichnung</w:t>
            </w:r>
          </w:p>
        </w:tc>
        <w:tc>
          <w:tcPr>
            <w:tcBorders>
              <w:top w:val="single" w:color="CCCCCC" w:sz="1"/>
              <w:left w:val="single" w:color="CCCCCC" w:sz="1"/>
              <w:bottom w:val="single" w:color="CCCCCC" w:sz="1"/>
              <w:right w:val="single" w:color="CCCCCC" w:sz="1"/>
            </w:tcBorders>
            <w:shd w:fill="EBF8FF" w:val="clear"/>
          </w:tcPr>
          <w:p>
            <w:r>
              <w:rPr>
                <w:sz w:val="18"/>
                <w:szCs w:val="18"/>
              </w:rPr>
              <w:t xml:space="preserve">Forschungsmethode</w:t>
            </w:r>
          </w:p>
        </w:tc>
        <w:tc>
          <w:tcPr>
            <w:tcBorders>
              <w:top w:val="single" w:color="CCCCCC" w:sz="1"/>
              <w:left w:val="single" w:color="CCCCCC" w:sz="1"/>
              <w:bottom w:val="single" w:color="CCCCCC" w:sz="1"/>
              <w:right w:val="single" w:color="CCCCCC" w:sz="1"/>
            </w:tcBorders>
            <w:shd w:fill="FFF5F5" w:val="clear"/>
          </w:tcPr>
          <w:p>
            <w:r>
              <w:rPr>
                <w:sz w:val="18"/>
                <w:szCs w:val="18"/>
              </w:rPr>
              <w:t xml:space="preserve">Betreuungsframework</w:t>
            </w:r>
          </w:p>
        </w:tc>
      </w:tr>
      <w:tr>
        <w:tc>
          <w:tcPr>
            <w:tcBorders>
              <w:top w:val="single" w:color="CCCCCC" w:sz="1"/>
              <w:left w:val="single" w:color="CCCCCC" w:sz="1"/>
              <w:bottom w:val="single" w:color="CCCCCC" w:sz="1"/>
              <w:right w:val="single" w:color="CCCCCC" w:sz="1"/>
            </w:tcBorders>
          </w:tcPr>
          <w:p>
            <w:r>
              <w:rPr>
                <w:b/>
                <w:bCs/>
                <w:sz w:val="18"/>
                <w:szCs w:val="18"/>
              </w:rPr>
              <w:t xml:space="preserve">Fokus</w:t>
            </w:r>
          </w:p>
        </w:tc>
        <w:tc>
          <w:tcPr>
            <w:tcBorders>
              <w:top w:val="single" w:color="CCCCCC" w:sz="1"/>
              <w:left w:val="single" w:color="CCCCCC" w:sz="1"/>
              <w:bottom w:val="single" w:color="CCCCCC" w:sz="1"/>
              <w:right w:val="single" w:color="CCCCCC" w:sz="1"/>
            </w:tcBorders>
            <w:shd w:fill="EBF8FF" w:val="clear"/>
          </w:tcPr>
          <w:p>
            <w:r>
              <w:rPr>
                <w:sz w:val="18"/>
                <w:szCs w:val="18"/>
              </w:rPr>
              <w:t xml:space="preserve">Forschen mit KI</w:t>
            </w:r>
          </w:p>
        </w:tc>
        <w:tc>
          <w:tcPr>
            <w:tcBorders>
              <w:top w:val="single" w:color="CCCCCC" w:sz="1"/>
              <w:left w:val="single" w:color="CCCCCC" w:sz="1"/>
              <w:bottom w:val="single" w:color="CCCCCC" w:sz="1"/>
              <w:right w:val="single" w:color="CCCCCC" w:sz="1"/>
            </w:tcBorders>
            <w:shd w:fill="FFF5F5" w:val="clear"/>
          </w:tcPr>
          <w:p>
            <w:r>
              <w:rPr>
                <w:sz w:val="18"/>
                <w:szCs w:val="18"/>
              </w:rPr>
              <w:t xml:space="preserve">Betreuen von KI-Arbeiten</w:t>
            </w:r>
          </w:p>
        </w:tc>
      </w:tr>
      <w:tr>
        <w:tc>
          <w:tcPr>
            <w:tcBorders>
              <w:top w:val="single" w:color="CCCCCC" w:sz="1"/>
              <w:left w:val="single" w:color="CCCCCC" w:sz="1"/>
              <w:bottom w:val="single" w:color="CCCCCC" w:sz="1"/>
              <w:right w:val="single" w:color="CCCCCC" w:sz="1"/>
            </w:tcBorders>
          </w:tcPr>
          <w:p>
            <w:r>
              <w:rPr>
                <w:b/>
                <w:bCs/>
                <w:sz w:val="18"/>
                <w:szCs w:val="18"/>
              </w:rPr>
              <w:t xml:space="preserve">Zielgruppe</w:t>
            </w:r>
          </w:p>
        </w:tc>
        <w:tc>
          <w:tcPr>
            <w:tcBorders>
              <w:top w:val="single" w:color="CCCCCC" w:sz="1"/>
              <w:left w:val="single" w:color="CCCCCC" w:sz="1"/>
              <w:bottom w:val="single" w:color="CCCCCC" w:sz="1"/>
              <w:right w:val="single" w:color="CCCCCC" w:sz="1"/>
            </w:tcBorders>
            <w:shd w:fill="EBF8FF" w:val="clear"/>
          </w:tcPr>
          <w:p>
            <w:r>
              <w:rPr>
                <w:sz w:val="18"/>
                <w:szCs w:val="18"/>
              </w:rPr>
              <w:t xml:space="preserve">Forschende aller Stufen</w:t>
            </w:r>
          </w:p>
        </w:tc>
        <w:tc>
          <w:tcPr>
            <w:tcBorders>
              <w:top w:val="single" w:color="CCCCCC" w:sz="1"/>
              <w:left w:val="single" w:color="CCCCCC" w:sz="1"/>
              <w:bottom w:val="single" w:color="CCCCCC" w:sz="1"/>
              <w:right w:val="single" w:color="CCCCCC" w:sz="1"/>
            </w:tcBorders>
            <w:shd w:fill="FFF5F5" w:val="clear"/>
          </w:tcPr>
          <w:p>
            <w:r>
              <w:rPr>
                <w:sz w:val="18"/>
                <w:szCs w:val="18"/>
              </w:rPr>
              <w:t xml:space="preserve">Betreuende &amp; Studierende</w:t>
            </w:r>
          </w:p>
        </w:tc>
      </w:tr>
      <w:tr>
        <w:tc>
          <w:tcPr>
            <w:tcBorders>
              <w:top w:val="single" w:color="CCCCCC" w:sz="1"/>
              <w:left w:val="single" w:color="CCCCCC" w:sz="1"/>
              <w:bottom w:val="single" w:color="CCCCCC" w:sz="1"/>
              <w:right w:val="single" w:color="CCCCCC" w:sz="1"/>
            </w:tcBorders>
          </w:tcPr>
          <w:p>
            <w:r>
              <w:rPr>
                <w:b/>
                <w:bCs/>
                <w:sz w:val="18"/>
                <w:szCs w:val="18"/>
              </w:rPr>
              <w:t xml:space="preserve">Abdeckung</w:t>
            </w:r>
          </w:p>
        </w:tc>
        <w:tc>
          <w:tcPr>
            <w:tcBorders>
              <w:top w:val="single" w:color="CCCCCC" w:sz="1"/>
              <w:left w:val="single" w:color="CCCCCC" w:sz="1"/>
              <w:bottom w:val="single" w:color="CCCCCC" w:sz="1"/>
              <w:right w:val="single" w:color="CCCCCC" w:sz="1"/>
            </w:tcBorders>
            <w:shd w:fill="EBF8FF" w:val="clear"/>
          </w:tcPr>
          <w:p>
            <w:r>
              <w:rPr>
                <w:sz w:val="18"/>
                <w:szCs w:val="18"/>
              </w:rPr>
              <w:t xml:space="preserve">Gesamter Forschungsprozess</w:t>
            </w:r>
          </w:p>
        </w:tc>
        <w:tc>
          <w:tcPr>
            <w:tcBorders>
              <w:top w:val="single" w:color="CCCCCC" w:sz="1"/>
              <w:left w:val="single" w:color="CCCCCC" w:sz="1"/>
              <w:bottom w:val="single" w:color="CCCCCC" w:sz="1"/>
              <w:right w:val="single" w:color="CCCCCC" w:sz="1"/>
            </w:tcBorders>
            <w:shd w:fill="FFF5F5" w:val="clear"/>
          </w:tcPr>
          <w:p>
            <w:r>
              <w:rPr>
                <w:sz w:val="18"/>
                <w:szCs w:val="18"/>
              </w:rPr>
              <w:t xml:space="preserve">Qualitätssicherung Abschlussarbeiten</w:t>
            </w:r>
          </w:p>
        </w:tc>
      </w:tr>
      <w:tr>
        <w:tc>
          <w:tcPr>
            <w:tcBorders>
              <w:top w:val="single" w:color="CCCCCC" w:sz="1"/>
              <w:left w:val="single" w:color="CCCCCC" w:sz="1"/>
              <w:bottom w:val="single" w:color="CCCCCC" w:sz="1"/>
              <w:right w:val="single" w:color="CCCCCC" w:sz="1"/>
            </w:tcBorders>
          </w:tcPr>
          <w:p>
            <w:r>
              <w:rPr>
                <w:b/>
                <w:bCs/>
                <w:sz w:val="18"/>
                <w:szCs w:val="18"/>
              </w:rPr>
              <w:t xml:space="preserve">A</w:t>
            </w:r>
          </w:p>
        </w:tc>
        <w:tc>
          <w:tcPr>
            <w:tcBorders>
              <w:top w:val="single" w:color="CCCCCC" w:sz="1"/>
              <w:left w:val="single" w:color="CCCCCC" w:sz="1"/>
              <w:bottom w:val="single" w:color="CCCCCC" w:sz="1"/>
              <w:right w:val="single" w:color="CCCCCC" w:sz="1"/>
            </w:tcBorders>
            <w:shd w:fill="EBF8FF" w:val="clear"/>
          </w:tcPr>
          <w:p>
            <w:r>
              <w:rPr>
                <w:sz w:val="18"/>
                <w:szCs w:val="18"/>
              </w:rPr>
              <w:t xml:space="preserve">Adaptiv (Kontexte, Daten, Methoden)</w:t>
            </w:r>
          </w:p>
        </w:tc>
        <w:tc>
          <w:tcPr>
            <w:tcBorders>
              <w:top w:val="single" w:color="CCCCCC" w:sz="1"/>
              <w:left w:val="single" w:color="CCCCCC" w:sz="1"/>
              <w:bottom w:val="single" w:color="CCCCCC" w:sz="1"/>
              <w:right w:val="single" w:color="CCCCCC" w:sz="1"/>
            </w:tcBorders>
            <w:shd w:fill="FFF5F5" w:val="clear"/>
          </w:tcPr>
          <w:p>
            <w:r>
              <w:rPr>
                <w:sz w:val="18"/>
                <w:szCs w:val="18"/>
              </w:rPr>
              <w:t xml:space="preserve">Adaptiv (Fachbereiche, Arbeitstypen)</w:t>
            </w:r>
          </w:p>
        </w:tc>
      </w:tr>
      <w:tr>
        <w:tc>
          <w:tcPr>
            <w:tcBorders>
              <w:top w:val="single" w:color="CCCCCC" w:sz="1"/>
              <w:left w:val="single" w:color="CCCCCC" w:sz="1"/>
              <w:bottom w:val="single" w:color="CCCCCC" w:sz="1"/>
              <w:right w:val="single" w:color="CCCCCC" w:sz="1"/>
            </w:tcBorders>
          </w:tcPr>
          <w:p>
            <w:r>
              <w:rPr>
                <w:b/>
                <w:bCs/>
                <w:sz w:val="18"/>
                <w:szCs w:val="18"/>
              </w:rPr>
              <w:t xml:space="preserve">K</w:t>
            </w:r>
          </w:p>
        </w:tc>
        <w:tc>
          <w:tcPr>
            <w:tcBorders>
              <w:top w:val="single" w:color="CCCCCC" w:sz="1"/>
              <w:left w:val="single" w:color="CCCCCC" w:sz="1"/>
              <w:bottom w:val="single" w:color="CCCCCC" w:sz="1"/>
              <w:right w:val="single" w:color="CCCCCC" w:sz="1"/>
            </w:tcBorders>
            <w:shd w:fill="EBF8FF" w:val="clear"/>
          </w:tcPr>
          <w:p>
            <w:r>
              <w:rPr>
                <w:sz w:val="18"/>
                <w:szCs w:val="18"/>
              </w:rPr>
              <w:t xml:space="preserve">KI-gestützt (alle Phasen)</w:t>
            </w:r>
          </w:p>
        </w:tc>
        <w:tc>
          <w:tcPr>
            <w:tcBorders>
              <w:top w:val="single" w:color="CCCCCC" w:sz="1"/>
              <w:left w:val="single" w:color="CCCCCC" w:sz="1"/>
              <w:bottom w:val="single" w:color="CCCCCC" w:sz="1"/>
              <w:right w:val="single" w:color="CCCCCC" w:sz="1"/>
            </w:tcBorders>
            <w:shd w:fill="FFF5F5" w:val="clear"/>
          </w:tcPr>
          <w:p>
            <w:r>
              <w:rPr>
                <w:sz w:val="18"/>
                <w:szCs w:val="18"/>
              </w:rPr>
              <w:t xml:space="preserve">Kollaborativ (Student/Betreuer)</w:t>
            </w:r>
          </w:p>
        </w:tc>
      </w:tr>
      <w:tr>
        <w:tc>
          <w:tcPr>
            <w:tcBorders>
              <w:top w:val="single" w:color="CCCCCC" w:sz="1"/>
              <w:left w:val="single" w:color="CCCCCC" w:sz="1"/>
              <w:bottom w:val="single" w:color="CCCCCC" w:sz="1"/>
              <w:right w:val="single" w:color="CCCCCC" w:sz="1"/>
            </w:tcBorders>
          </w:tcPr>
          <w:p>
            <w:r>
              <w:rPr>
                <w:b/>
                <w:bCs/>
                <w:sz w:val="18"/>
                <w:szCs w:val="18"/>
              </w:rPr>
              <w:t xml:space="preserve">I</w:t>
            </w:r>
          </w:p>
        </w:tc>
        <w:tc>
          <w:tcPr>
            <w:tcBorders>
              <w:top w:val="single" w:color="CCCCCC" w:sz="1"/>
              <w:left w:val="single" w:color="CCCCCC" w:sz="1"/>
              <w:bottom w:val="single" w:color="CCCCCC" w:sz="1"/>
              <w:right w:val="single" w:color="CCCCCC" w:sz="1"/>
            </w:tcBorders>
            <w:shd w:fill="EBF8FF" w:val="clear"/>
          </w:tcPr>
          <w:p>
            <w:r>
              <w:rPr>
                <w:sz w:val="18"/>
                <w:szCs w:val="18"/>
              </w:rPr>
              <w:t xml:space="preserve">Iterativ (Mensch-KI-Schleifen)</w:t>
            </w:r>
          </w:p>
        </w:tc>
        <w:tc>
          <w:tcPr>
            <w:tcBorders>
              <w:top w:val="single" w:color="CCCCCC" w:sz="1"/>
              <w:left w:val="single" w:color="CCCCCC" w:sz="1"/>
              <w:bottom w:val="single" w:color="CCCCCC" w:sz="1"/>
              <w:right w:val="single" w:color="CCCCCC" w:sz="1"/>
            </w:tcBorders>
            <w:shd w:fill="FFF5F5" w:val="clear"/>
          </w:tcPr>
          <w:p>
            <w:r>
              <w:rPr>
                <w:sz w:val="18"/>
                <w:szCs w:val="18"/>
              </w:rPr>
              <w:t xml:space="preserve">Iterativ (Prozessbegleitend)</w:t>
            </w:r>
          </w:p>
        </w:tc>
      </w:tr>
      <w:tr>
        <w:tc>
          <w:tcPr>
            <w:tcBorders>
              <w:top w:val="single" w:color="CCCCCC" w:sz="1"/>
              <w:left w:val="single" w:color="CCCCCC" w:sz="1"/>
              <w:bottom w:val="single" w:color="CCCCCC" w:sz="1"/>
              <w:right w:val="single" w:color="CCCCCC" w:sz="1"/>
            </w:tcBorders>
          </w:tcPr>
          <w:p>
            <w:r>
              <w:rPr>
                <w:b/>
                <w:bCs/>
                <w:sz w:val="18"/>
                <w:szCs w:val="18"/>
              </w:rPr>
              <w:t xml:space="preserve">H</w:t>
            </w:r>
          </w:p>
        </w:tc>
        <w:tc>
          <w:tcPr>
            <w:tcBorders>
              <w:top w:val="single" w:color="CCCCCC" w:sz="1"/>
              <w:left w:val="single" w:color="CCCCCC" w:sz="1"/>
              <w:bottom w:val="single" w:color="CCCCCC" w:sz="1"/>
              <w:right w:val="single" w:color="CCCCCC" w:sz="1"/>
            </w:tcBorders>
            <w:shd w:fill="EBF8FF" w:val="clear"/>
          </w:tcPr>
          <w:p>
            <w:r>
              <w:rPr>
                <w:sz w:val="18"/>
                <w:szCs w:val="18"/>
              </w:rPr>
              <w:t xml:space="preserve">Human-in-the-loop</w:t>
            </w:r>
          </w:p>
        </w:tc>
        <w:tc>
          <w:tcPr>
            <w:tcBorders>
              <w:top w:val="single" w:color="CCCCCC" w:sz="1"/>
              <w:left w:val="single" w:color="CCCCCC" w:sz="1"/>
              <w:bottom w:val="single" w:color="CCCCCC" w:sz="1"/>
              <w:right w:val="single" w:color="CCCCCC" w:sz="1"/>
            </w:tcBorders>
            <w:shd w:fill="FFF5F5" w:val="clear"/>
          </w:tcPr>
          <w:p>
            <w:r>
              <w:rPr>
                <w:sz w:val="18"/>
                <w:szCs w:val="18"/>
              </w:rPr>
              <w:t xml:space="preserve">Holistisch (12 Dimensionen)</w:t>
            </w:r>
          </w:p>
        </w:tc>
      </w:tr>
      <w:tr>
        <w:tc>
          <w:tcPr>
            <w:tcBorders>
              <w:top w:val="single" w:color="CCCCCC" w:sz="1"/>
              <w:left w:val="single" w:color="CCCCCC" w:sz="1"/>
              <w:bottom w:val="single" w:color="CCCCCC" w:sz="1"/>
              <w:right w:val="single" w:color="CCCCCC" w:sz="1"/>
            </w:tcBorders>
          </w:tcPr>
          <w:p>
            <w:r>
              <w:rPr>
                <w:b/>
                <w:bCs/>
                <w:sz w:val="18"/>
                <w:szCs w:val="18"/>
              </w:rPr>
              <w:t xml:space="preserve">Output</w:t>
            </w:r>
          </w:p>
        </w:tc>
        <w:tc>
          <w:tcPr>
            <w:tcBorders>
              <w:top w:val="single" w:color="CCCCCC" w:sz="1"/>
              <w:left w:val="single" w:color="CCCCCC" w:sz="1"/>
              <w:bottom w:val="single" w:color="CCCCCC" w:sz="1"/>
              <w:right w:val="single" w:color="CCCCCC" w:sz="1"/>
            </w:tcBorders>
            <w:shd w:fill="EBF8FF" w:val="clear"/>
          </w:tcPr>
          <w:p>
            <w:r>
              <w:rPr>
                <w:sz w:val="18"/>
                <w:szCs w:val="18"/>
              </w:rPr>
              <w:t xml:space="preserve">Forschungsergebnisse, Publikationen</w:t>
            </w:r>
          </w:p>
        </w:tc>
        <w:tc>
          <w:tcPr>
            <w:tcBorders>
              <w:top w:val="single" w:color="CCCCCC" w:sz="1"/>
              <w:left w:val="single" w:color="CCCCCC" w:sz="1"/>
              <w:bottom w:val="single" w:color="CCCCCC" w:sz="1"/>
              <w:right w:val="single" w:color="CCCCCC" w:sz="1"/>
            </w:tcBorders>
            <w:shd w:fill="FFF5F5" w:val="clear"/>
          </w:tcPr>
          <w:p>
            <w:r>
              <w:rPr>
                <w:sz w:val="18"/>
                <w:szCs w:val="18"/>
              </w:rPr>
              <w:t xml:space="preserve">Freigabeempfehlung, Qualitäts-Score</w:t>
            </w:r>
          </w:p>
        </w:tc>
      </w:tr>
    </w:tbl>
    <w:p>
      <w:pPr>
        <w:spacing w:after="300"/>
      </w:pPr>
    </w:p>
    <w:p>
      <w:pPr>
        <w:pStyle w:val="Heading1"/>
      </w:pPr>
      <w:r>
        <w:t xml:space="preserve">6. Fazit</w:t>
      </w:r>
    </w:p>
    <w:p>
      <w:pPr>
        <w:spacing w:after="200" w:line="276"/>
        <w:jc w:val="both"/>
      </w:pPr>
      <w:r>
        <w:rPr>
          <w:sz w:val="24"/>
          <w:szCs w:val="24"/>
        </w:rPr>
        <w:t xml:space="preserve">AKIH 1.0 ist die erste umfassende Methode für KI-gestützte qualitative Forschung. Sie bietet einen kohärenten Rahmen für den gesamten Forschungsprozess – von der Literaturrecherche bis zur Publikation. Die vier Prinzipien (Adaptiv, KI-gestützt, Iterativ, Human-in-the-loop) gelten in jeder Phase und gewährleisten sowohl die Nutzung von KI-Potentialen als auch die Bewahrung wissenschaftlicher Integrität.</w:t>
      </w:r>
    </w:p>
    <w:p>
      <w:pPr>
        <w:spacing w:after="200" w:line="276"/>
        <w:jc w:val="both"/>
      </w:pPr>
      <w:r>
        <w:rPr>
          <w:sz w:val="24"/>
          <w:szCs w:val="24"/>
        </w:rPr>
        <w:t xml:space="preserve">Das zentrale Versprechen der Methode: KI als Werkzeug zur Erweiterung menschlicher Forschungsfähigkeiten, nicht als deren Ersatz. Der AKIH-Score ermöglicht Qualitätssicherung und Transparenz. Das Audit-Trail-System gewährleistet Nachvollziehbarkeit und wissenschaftliche Rechenschaftspflicht.</w:t>
      </w:r>
    </w:p>
    <w:p>
      <w:pPr>
        <w:spacing w:after="300" w:line="276"/>
        <w:jc w:val="both"/>
      </w:pPr>
      <w:r>
        <w:rPr>
          <w:sz w:val="24"/>
          <w:szCs w:val="24"/>
        </w:rPr>
        <w:t xml:space="preserve">Gemeinsam mit AKIH 2.0 (Betreuungsframework) bildet AKIH 1.0 eine vollständige Methodenfamilie für wissenschaftliches Arbeiten im KI-Zeitalter.</w:t>
      </w:r>
    </w:p>
    <w:p>
      <w:pPr>
        <w:spacing w:before="200"/>
      </w:pP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718096" w:sz="2"/>
              <w:left w:val="single" w:color="718096" w:sz="2"/>
              <w:bottom w:val="single" w:color="718096" w:sz="2"/>
              <w:right w:val="single" w:color="718096" w:sz="2"/>
            </w:tcBorders>
            <w:shd w:fill="F7FAFC" w:val="clear"/>
          </w:tcPr>
          <w:p>
            <w:pPr>
              <w:spacing w:before="150" w:after="100"/>
              <w:jc w:val="center"/>
            </w:pPr>
            <w:r>
              <w:rPr>
                <w:b/>
                <w:bCs/>
                <w:color w:val="1A202C"/>
                <w:sz w:val="22"/>
                <w:szCs w:val="22"/>
              </w:rPr>
              <w:t xml:space="preserve">Lizenzhinweis</w:t>
            </w:r>
          </w:p>
          <w:p>
            <w:pPr>
              <w:spacing w:after="100"/>
              <w:jc w:val="center"/>
            </w:pPr>
            <w:r>
              <w:rPr>
                <w:color w:val="718096"/>
                <w:sz w:val="20"/>
                <w:szCs w:val="20"/>
              </w:rPr>
              <w:t xml:space="preserve">Dieses Werk steht unter der Lizenz </w:t>
            </w:r>
            <w:hyperlink w:history="1" r:id="rIdssv0t5pm1kir_bgneufov">
              <w:r>
                <w:rPr>
                  <w:color w:val="4299E1"/>
                  <w:sz w:val="20"/>
                  <w:szCs w:val="20"/>
                  <w:u w:val="single"/>
                </w:rPr>
                <w:t xml:space="preserve">Creative Commons Namensnennung 4.0 International (CC BY 4.0)</w:t>
              </w:r>
            </w:hyperlink>
          </w:p>
          <w:p>
            <w:pPr>
              <w:spacing w:after="100"/>
              <w:jc w:val="center"/>
            </w:pPr>
            <w:r>
              <w:rPr>
                <w:color w:val="718096"/>
                <w:sz w:val="18"/>
                <w:szCs w:val="18"/>
              </w:rPr>
              <w:t xml:space="preserve">Sie dürfen das Material vervielfältigen, verbreiten, remixen, verändern und darauf aufbauen – auch kommerziell.</w:t>
            </w:r>
          </w:p>
          <w:p>
            <w:pPr>
              <w:spacing w:after="100"/>
              <w:jc w:val="center"/>
            </w:pPr>
            <w:r>
              <w:rPr>
                <w:b/>
                <w:bCs/>
                <w:color w:val="1A202C"/>
                <w:sz w:val="18"/>
                <w:szCs w:val="18"/>
              </w:rPr>
              <w:t xml:space="preserve">Bedingung: </w:t>
            </w:r>
            <w:r>
              <w:rPr>
                <w:color w:val="718096"/>
                <w:sz w:val="18"/>
                <w:szCs w:val="18"/>
              </w:rPr>
              <w:t xml:space="preserve">Namensnennung – Prof. Bernhard Strobl M.A., KPH Edith Stein</w:t>
            </w:r>
          </w:p>
          <w:p>
            <w:pPr>
              <w:spacing w:after="100"/>
              <w:jc w:val="center"/>
            </w:pPr>
            <w:r>
              <w:rPr>
                <w:b/>
                <w:bCs/>
                <w:color w:val="1A202C"/>
                <w:sz w:val="18"/>
                <w:szCs w:val="18"/>
              </w:rPr>
              <w:t xml:space="preserve">Zitiervorschlag: </w:t>
            </w:r>
            <w:r>
              <w:rPr>
                <w:i/>
                <w:iCs/>
                <w:color w:val="718096"/>
                <w:sz w:val="18"/>
                <w:szCs w:val="18"/>
              </w:rPr>
              <w:t xml:space="preserve">Strobl, B. (2025). AKIH 1.0: Eine umfassende Methode für KI-gestützte qualitative Forschung. KPH Edith Stein. </w:t>
            </w:r>
            <w:hyperlink w:history="1" r:id="rIdgkwlp0fhu2wzntbktwl-i">
              <w:r>
                <w:rPr>
                  <w:color w:val="4299E1"/>
                  <w:sz w:val="18"/>
                  <w:szCs w:val="18"/>
                  <w:u w:val="single"/>
                </w:rPr>
                <w:t xml:space="preserve">CC BY 4.0</w:t>
              </w:r>
            </w:hyperlink>
          </w:p>
        </w:tc>
      </w:tr>
    </w:tbl>
    <w:sectPr>
      <w:headerReference w:type="default" r:id="rId6"/>
      <w:footerReference w:type="default" r:id="rId7"/>
      <w:pgSz w:w="11906" w:h="16838"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718096"/>
        <w:sz w:val="18"/>
        <w:szCs w:val="18"/>
      </w:rPr>
      <w:t xml:space="preserve">Lizenz: </w:t>
    </w:r>
    <w:hyperlink w:history="1" r:id="rIdvgjsfoq5afkf3lcl6sbxg">
      <w:r>
        <w:rPr>
          <w:color w:val="4299E1"/>
          <w:sz w:val="18"/>
          <w:szCs w:val="18"/>
          <w:u w:val="single"/>
        </w:rPr>
        <w:t xml:space="preserve">CC BY 4.0</w:t>
      </w:r>
    </w:hyperlink>
    <w:r>
      <w:rPr>
        <w:color w:val="718096"/>
        <w:sz w:val="18"/>
        <w:szCs w:val="18"/>
      </w:rPr>
      <w:t xml:space="preserve"> | Seite </w:t>
    </w:r>
    <w:r>
      <w:rPr>
        <w:color w:val="718096"/>
        <w:sz w:val="18"/>
        <w:szCs w:val="18"/>
      </w:rPr>
      <w:fldChar w:fldCharType="begin"/>
      <w:instrText xml:space="preserve">PAGE</w:instrText>
      <w:fldChar w:fldCharType="separate"/>
      <w:fldChar w:fldCharType="end"/>
    </w:r>
    <w:r>
      <w:rPr>
        <w:color w:val="718096"/>
        <w:sz w:val="18"/>
        <w:szCs w:val="18"/>
      </w:rPr>
      <w:t xml:space="preserve"> von </w:t>
    </w:r>
    <w:r>
      <w:rPr>
        <w:color w:val="718096"/>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i/>
        <w:iCs/>
        <w:color w:val="718096"/>
        <w:sz w:val="18"/>
        <w:szCs w:val="18"/>
      </w:rPr>
      <w:t xml:space="preserve">AKIH 1.0 | Methode für KI-gestützte qualitative Forschung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Title">
    <w:name w:val="Title"/>
    <w:basedOn w:val="Normal"/>
    <w:pPr>
      <w:spacing w:after="200"/>
      <w:jc w:val="center"/>
    </w:pPr>
    <w:rPr>
      <w:b/>
      <w:bCs/>
      <w:color w:val="1A365D"/>
      <w:sz w:val="48"/>
      <w:szCs w:val="48"/>
    </w:rPr>
  </w:style>
  <w:style w:type="paragraph" w:styleId="Heading1">
    <w:name w:val="Heading 1"/>
    <w:basedOn w:val="Normal"/>
    <w:next w:val="Normal"/>
    <w:qFormat/>
    <w:pPr>
      <w:spacing w:before="400" w:after="200"/>
      <w:outlineLvl w:val="0"/>
    </w:pPr>
    <w:rPr>
      <w:b/>
      <w:bCs/>
      <w:color w:val="1A365D"/>
      <w:sz w:val="32"/>
      <w:szCs w:val="32"/>
    </w:rPr>
  </w:style>
  <w:style w:type="paragraph" w:styleId="Heading2">
    <w:name w:val="Heading 2"/>
    <w:basedOn w:val="Normal"/>
    <w:next w:val="Normal"/>
    <w:qFormat/>
    <w:pPr>
      <w:spacing w:before="300" w:after="150"/>
      <w:outlineLvl w:val="1"/>
    </w:pPr>
    <w:rPr>
      <w:b/>
      <w:bCs/>
      <w:color w:val="2C5282"/>
      <w:sz w:val="28"/>
      <w:szCs w:val="28"/>
    </w:rPr>
  </w:style>
  <w:style w:type="paragraph" w:styleId="Heading3">
    <w:name w:val="Heading 3"/>
    <w:basedOn w:val="Normal"/>
    <w:next w:val="Normal"/>
    <w:qFormat/>
    <w:pPr>
      <w:spacing w:before="200" w:after="100"/>
      <w:outlineLvl w:val="2"/>
    </w:pPr>
    <w:rPr>
      <w:b/>
      <w:bCs/>
      <w:color w:val="1A202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tudzmodadt2dyce8rf9vj" Type="http://schemas.openxmlformats.org/officeDocument/2006/relationships/hyperlink" Target="https://creativecommons.org/licenses/by/4.0/deed.de" TargetMode="External"/><Relationship Id="rIdssv0t5pm1kir_bgneufov" Type="http://schemas.openxmlformats.org/officeDocument/2006/relationships/hyperlink" Target="https://creativecommons.org/licenses/by/4.0/deed.de" TargetMode="External"/><Relationship Id="rIdgkwlp0fhu2wzntbktwl-i" Type="http://schemas.openxmlformats.org/officeDocument/2006/relationships/hyperlink" Target="https://creativecommons.org/licenses/by/4.0/deed.de" TargetMode="External"/><Relationship Id="rId11"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vgjsfoq5afkf3lcl6sbxg" Type="http://schemas.openxmlformats.org/officeDocument/2006/relationships/hyperlink" Target="https://creativecommons.org/licenses/by/4.0/deed.de" TargetMode="External"/></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AKIH 1.0: Methode für KI-gestützte qualitative Forschung</dc:title>
  <dc:creator>Prof. Bernhard Strobl M.A.</dc:creator>
  <cp:lastModifiedBy>Un-named</cp:lastModifiedBy>
  <cp:revision>1</cp:revision>
  <dcterms:created xsi:type="dcterms:W3CDTF">2025-12-03T10:28:19.248Z</dcterms:created>
  <dcterms:modified xsi:type="dcterms:W3CDTF">2025-12-03T10:28:19.249Z</dcterms:modified>
</cp:coreProperties>
</file>

<file path=docProps/custom.xml><?xml version="1.0" encoding="utf-8"?>
<Properties xmlns="http://schemas.openxmlformats.org/officeDocument/2006/custom-properties" xmlns:vt="http://schemas.openxmlformats.org/officeDocument/2006/docPropsVTypes"/>
</file>