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Neutrino and Frequencies – TDRE</w:t>
      </w:r>
    </w:p>
    <w:p>
      <w:r>
        <w:t>NEUTRINO AND FREQUENCIES – TDRE</w:t>
      </w:r>
    </w:p>
    <w:p/>
    <w:p>
      <w:r>
        <w:t>1. Introduction</w:t>
      </w:r>
    </w:p>
    <w:p>
      <w:r>
        <w:t>The neutrino is the transition point between photon-like (m=0) and structured matter.</w:t>
      </w:r>
    </w:p>
    <w:p/>
    <w:p>
      <w:r>
        <w:t>2. Estimated mass (experimental range)</w:t>
      </w:r>
    </w:p>
    <w:p>
      <w:r>
        <w:t xml:space="preserve">    m_ν ≈ 0.05 eV/c²</w:t>
      </w:r>
    </w:p>
    <w:p/>
    <w:p>
      <w:r>
        <w:t>3. Internal frequency:</w:t>
      </w:r>
    </w:p>
    <w:p>
      <w:r>
        <w:t xml:space="preserve">    ω = (mν c²)/ħ</w:t>
      </w:r>
    </w:p>
    <w:p>
      <w:r>
        <w:t>Value:</w:t>
      </w:r>
    </w:p>
    <w:p>
      <w:r>
        <w:t xml:space="preserve">    ω ≈ 1.2 × 10¹³ rad/s</w:t>
      </w:r>
    </w:p>
    <w:p/>
    <w:p>
      <w:r>
        <w:t>4. Compton wavelength:</w:t>
      </w:r>
    </w:p>
    <w:p>
      <w:r>
        <w:t xml:space="preserve">    λ_C = ħ/(mν c)</w:t>
      </w:r>
    </w:p>
    <w:p>
      <w:r>
        <w:t>Value:</w:t>
      </w:r>
    </w:p>
    <w:p>
      <w:r>
        <w:t xml:space="preserve">    ≈ 2 × 10⁻⁶ m</w:t>
      </w:r>
    </w:p>
    <w:p/>
    <w:p>
      <w:r>
        <w:t>5. TDRE interpretation</w:t>
      </w:r>
    </w:p>
    <w:p>
      <w:r>
        <w:t>The neutrino represents the minimum helix still bound to matter—almost photonic.</w:t>
      </w:r>
    </w:p>
    <w:p/>
    <w:p>
      <w:r>
        <w:t>6. Neutrino oscillations</w:t>
      </w:r>
    </w:p>
    <w:p>
      <w:r>
        <w:t>Interpreted as reorganizations of the helical frequency:</w:t>
      </w:r>
    </w:p>
    <w:p>
      <w:r>
        <w:t xml:space="preserve">    ω₁ ↔ ω₂ ↔ ω₃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