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03E90" w14:textId="07DF0E92" w:rsidR="00EF1540" w:rsidRPr="0062439C" w:rsidRDefault="00EF1540" w:rsidP="00B2108B">
      <w:pPr>
        <w:pStyle w:val="DOP"/>
        <w:tabs>
          <w:tab w:val="left" w:pos="180"/>
        </w:tabs>
        <w:spacing w:after="0"/>
      </w:pPr>
      <w:r>
        <w:t xml:space="preserve">                                                                  </w:t>
      </w:r>
      <w:r w:rsidRPr="00E748AA">
        <w:t xml:space="preserve"> </w:t>
      </w:r>
    </w:p>
    <w:p w14:paraId="56BCF3C7" w14:textId="3B2EDF9A" w:rsidR="00FD0D4C" w:rsidRPr="00B2108B" w:rsidRDefault="00EF1540" w:rsidP="00B2108B">
      <w:pPr>
        <w:pStyle w:val="PaperTitle"/>
        <w:spacing w:before="0" w:after="0"/>
        <w:jc w:val="center"/>
        <w:rPr>
          <w:color w:val="0070C0"/>
          <w:sz w:val="32"/>
          <w:szCs w:val="32"/>
        </w:rPr>
      </w:pPr>
      <w:r w:rsidRPr="00B2108B">
        <w:rPr>
          <w:color w:val="0070C0"/>
          <w:sz w:val="32"/>
          <w:szCs w:val="32"/>
        </w:rPr>
        <w:t xml:space="preserve">Assessment of </w:t>
      </w:r>
      <w:r w:rsidR="00FD0D4C" w:rsidRPr="00B2108B">
        <w:rPr>
          <w:color w:val="0070C0"/>
          <w:sz w:val="32"/>
          <w:szCs w:val="32"/>
        </w:rPr>
        <w:t>Temperature-Dependent</w:t>
      </w:r>
      <w:r w:rsidRPr="00B2108B">
        <w:rPr>
          <w:color w:val="0070C0"/>
          <w:sz w:val="32"/>
          <w:szCs w:val="32"/>
        </w:rPr>
        <w:t xml:space="preserve"> </w:t>
      </w:r>
      <w:r w:rsidR="00FD0D4C" w:rsidRPr="00B2108B">
        <w:rPr>
          <w:color w:val="0070C0"/>
          <w:sz w:val="32"/>
          <w:szCs w:val="32"/>
        </w:rPr>
        <w:t xml:space="preserve">Variation in </w:t>
      </w:r>
      <w:r w:rsidR="00573D46" w:rsidRPr="00B2108B">
        <w:rPr>
          <w:color w:val="0070C0"/>
          <w:sz w:val="32"/>
          <w:szCs w:val="32"/>
        </w:rPr>
        <w:t xml:space="preserve">Power </w:t>
      </w:r>
      <w:r w:rsidR="00FD0D4C" w:rsidRPr="00B2108B">
        <w:rPr>
          <w:color w:val="0070C0"/>
          <w:sz w:val="32"/>
          <w:szCs w:val="32"/>
        </w:rPr>
        <w:t xml:space="preserve">and Voltage Output of Photovoltaic System in </w:t>
      </w:r>
      <w:r w:rsidR="00AD1325" w:rsidRPr="00B2108B">
        <w:rPr>
          <w:color w:val="0070C0"/>
          <w:sz w:val="32"/>
          <w:szCs w:val="32"/>
        </w:rPr>
        <w:t>Abuja</w:t>
      </w:r>
      <w:r w:rsidR="00FD0D4C" w:rsidRPr="00B2108B">
        <w:rPr>
          <w:color w:val="0070C0"/>
          <w:sz w:val="32"/>
          <w:szCs w:val="32"/>
        </w:rPr>
        <w:t>, Nigeria</w:t>
      </w:r>
    </w:p>
    <w:p w14:paraId="43B52252" w14:textId="77777777" w:rsidR="00B2108B" w:rsidRDefault="00B2108B" w:rsidP="00EF1540">
      <w:pPr>
        <w:pStyle w:val="AU"/>
        <w:spacing w:after="0"/>
        <w:jc w:val="center"/>
        <w:rPr>
          <w:sz w:val="28"/>
          <w:szCs w:val="28"/>
        </w:rPr>
      </w:pPr>
    </w:p>
    <w:p w14:paraId="29E0EE7D" w14:textId="77A5BEA5" w:rsidR="00EF1540" w:rsidRPr="00D357E4" w:rsidRDefault="00B32118" w:rsidP="00573D46">
      <w:pPr>
        <w:pStyle w:val="AU"/>
        <w:spacing w:after="0"/>
        <w:ind w:right="50"/>
        <w:jc w:val="center"/>
        <w:rPr>
          <w:sz w:val="28"/>
          <w:szCs w:val="28"/>
        </w:rPr>
      </w:pPr>
      <w:r>
        <w:rPr>
          <w:sz w:val="28"/>
          <w:szCs w:val="28"/>
          <w:vertAlign w:val="superscript"/>
        </w:rPr>
        <w:t>*</w:t>
      </w:r>
      <w:r w:rsidRPr="00D357E4">
        <w:rPr>
          <w:sz w:val="28"/>
          <w:szCs w:val="28"/>
          <w:vertAlign w:val="superscript"/>
        </w:rPr>
        <w:t>1</w:t>
      </w:r>
      <w:r w:rsidR="007D5067">
        <w:rPr>
          <w:sz w:val="28"/>
          <w:szCs w:val="28"/>
        </w:rPr>
        <w:t>Umar Med</w:t>
      </w:r>
      <w:r w:rsidR="00AD1325">
        <w:rPr>
          <w:sz w:val="28"/>
          <w:szCs w:val="28"/>
        </w:rPr>
        <w:t>i</w:t>
      </w:r>
      <w:r w:rsidR="007D5067">
        <w:rPr>
          <w:sz w:val="28"/>
          <w:szCs w:val="28"/>
        </w:rPr>
        <w:t>na</w:t>
      </w:r>
      <w:r w:rsidR="00573D46">
        <w:rPr>
          <w:sz w:val="28"/>
          <w:szCs w:val="28"/>
        </w:rPr>
        <w:t xml:space="preserve">, </w:t>
      </w:r>
      <w:r>
        <w:rPr>
          <w:sz w:val="28"/>
          <w:szCs w:val="28"/>
          <w:vertAlign w:val="superscript"/>
        </w:rPr>
        <w:t>2</w:t>
      </w:r>
      <w:r w:rsidR="007D5067">
        <w:rPr>
          <w:sz w:val="28"/>
          <w:szCs w:val="28"/>
        </w:rPr>
        <w:t>Uzer John</w:t>
      </w:r>
    </w:p>
    <w:p w14:paraId="3529F90B" w14:textId="77777777" w:rsidR="00EF1540" w:rsidRPr="009E6BCF" w:rsidRDefault="007D5067" w:rsidP="009E6BCF">
      <w:pPr>
        <w:pStyle w:val="PINoSpace"/>
        <w:spacing w:line="240" w:lineRule="auto"/>
        <w:ind w:right="43" w:firstLine="0"/>
        <w:jc w:val="center"/>
        <w:rPr>
          <w:sz w:val="22"/>
          <w:szCs w:val="22"/>
        </w:rPr>
      </w:pPr>
      <w:r>
        <w:rPr>
          <w:sz w:val="24"/>
          <w:vertAlign w:val="superscript"/>
        </w:rPr>
        <w:t xml:space="preserve">                      </w:t>
      </w:r>
      <w:r w:rsidRPr="009E6BCF">
        <w:rPr>
          <w:sz w:val="22"/>
          <w:szCs w:val="22"/>
          <w:vertAlign w:val="superscript"/>
        </w:rPr>
        <w:t xml:space="preserve">  </w:t>
      </w:r>
      <w:r w:rsidR="00EF1540" w:rsidRPr="009E6BCF">
        <w:rPr>
          <w:sz w:val="22"/>
          <w:szCs w:val="22"/>
          <w:vertAlign w:val="superscript"/>
        </w:rPr>
        <w:t>1</w:t>
      </w:r>
      <w:r w:rsidR="00A8501E" w:rsidRPr="009E6BCF">
        <w:rPr>
          <w:sz w:val="22"/>
          <w:szCs w:val="22"/>
          <w:vertAlign w:val="superscript"/>
        </w:rPr>
        <w:t>,2</w:t>
      </w:r>
      <w:r w:rsidR="00A8501E" w:rsidRPr="009E6BCF">
        <w:rPr>
          <w:sz w:val="22"/>
          <w:szCs w:val="22"/>
        </w:rPr>
        <w:t>Depart</w:t>
      </w:r>
      <w:r w:rsidRPr="009E6BCF">
        <w:rPr>
          <w:sz w:val="22"/>
          <w:szCs w:val="22"/>
        </w:rPr>
        <w:t>ment of Physics</w:t>
      </w:r>
      <w:r w:rsidR="00A8501E" w:rsidRPr="009E6BCF">
        <w:rPr>
          <w:sz w:val="22"/>
          <w:szCs w:val="22"/>
        </w:rPr>
        <w:t>, University of Abuja, Abuja</w:t>
      </w:r>
      <w:r w:rsidR="00EF1540" w:rsidRPr="009E6BCF">
        <w:rPr>
          <w:sz w:val="22"/>
          <w:szCs w:val="22"/>
        </w:rPr>
        <w:t xml:space="preserve">, Nigeria </w:t>
      </w:r>
    </w:p>
    <w:p w14:paraId="2643E75A" w14:textId="1220619D" w:rsidR="00EF1540" w:rsidRPr="009E6BCF" w:rsidRDefault="00B2108B" w:rsidP="009E6BCF">
      <w:pPr>
        <w:ind w:right="43"/>
        <w:jc w:val="center"/>
        <w:rPr>
          <w:sz w:val="22"/>
          <w:szCs w:val="22"/>
        </w:rPr>
      </w:pPr>
      <w:r w:rsidRPr="009E6BCF">
        <w:rPr>
          <w:sz w:val="22"/>
          <w:szCs w:val="22"/>
        </w:rPr>
        <w:t>*</w:t>
      </w:r>
      <w:r w:rsidR="00EF1540" w:rsidRPr="009E6BCF">
        <w:rPr>
          <w:sz w:val="22"/>
          <w:szCs w:val="22"/>
        </w:rPr>
        <w:t xml:space="preserve">Corresponding author: </w:t>
      </w:r>
      <w:hyperlink r:id="rId7" w:history="1">
        <w:r w:rsidRPr="009E6BCF">
          <w:rPr>
            <w:rStyle w:val="Hyperlink"/>
            <w:sz w:val="22"/>
            <w:szCs w:val="22"/>
          </w:rPr>
          <w:t>medina.umar@uniabuja.edu.ng</w:t>
        </w:r>
      </w:hyperlink>
    </w:p>
    <w:p w14:paraId="24269F97" w14:textId="77777777" w:rsidR="00573D46" w:rsidRDefault="00573D46" w:rsidP="00573D46">
      <w:pPr>
        <w:spacing w:line="256" w:lineRule="auto"/>
        <w:ind w:right="50"/>
        <w:jc w:val="center"/>
      </w:pPr>
    </w:p>
    <w:p w14:paraId="160F1EB2" w14:textId="17A6FA98" w:rsidR="009B712B" w:rsidRPr="00573D46" w:rsidRDefault="00EF1540" w:rsidP="00573D46">
      <w:pPr>
        <w:pStyle w:val="NormalWeb"/>
        <w:spacing w:before="0" w:beforeAutospacing="0" w:after="0" w:afterAutospacing="0"/>
        <w:jc w:val="both"/>
        <w:rPr>
          <w:sz w:val="22"/>
          <w:szCs w:val="22"/>
        </w:rPr>
      </w:pPr>
      <w:r w:rsidRPr="00573D46">
        <w:rPr>
          <w:rStyle w:val="H5CharChar"/>
          <w:rFonts w:eastAsiaTheme="minorHAnsi" w:cstheme="minorBidi"/>
          <w:bCs/>
          <w:color w:val="0070C0"/>
          <w:kern w:val="2"/>
          <w:sz w:val="24"/>
          <w:szCs w:val="24"/>
        </w:rPr>
        <w:t>ABSTRACT</w:t>
      </w:r>
      <w:r w:rsidR="00573D46">
        <w:rPr>
          <w:rStyle w:val="H5CharChar"/>
          <w:rFonts w:eastAsiaTheme="minorHAnsi" w:cstheme="minorBidi"/>
          <w:bCs/>
          <w:color w:val="0070C0"/>
          <w:kern w:val="2"/>
          <w:sz w:val="24"/>
          <w:szCs w:val="24"/>
        </w:rPr>
        <w:t>:</w:t>
      </w:r>
      <w:r w:rsidRPr="00573D46">
        <w:rPr>
          <w:rStyle w:val="H5CharChar"/>
          <w:rFonts w:eastAsiaTheme="minorHAnsi" w:cstheme="minorBidi"/>
          <w:bCs/>
          <w:color w:val="0070C0"/>
          <w:kern w:val="2"/>
          <w:sz w:val="24"/>
          <w:szCs w:val="24"/>
        </w:rPr>
        <w:t xml:space="preserve"> </w:t>
      </w:r>
      <w:r w:rsidR="009B712B" w:rsidRPr="00573D46">
        <w:rPr>
          <w:sz w:val="22"/>
          <w:szCs w:val="22"/>
        </w:rPr>
        <w:t>This study investigates the effect of temperature on the power and voltage output of photovoltaic (PV) systems deployed in Abuja, Nigeria. Meteorological data, specifically temperature and solar irradiance, were obtained from the Nigerian Meteorological Agency (NiMet), Abuja headquarters. The data were recorded at five-minute intervals over a two-year period (2021–2022) to capture temporal variations and to establish correlations between temperature fluctuations and PV system performance. Descriptive statistical tools were employed to analyze the relationship between local temperature, power, and voltage, thereby determining the extent of correlation between temperature and PV output. The results showed that power output ranged from –752.74 W to 313.83 W, with a mean value of –219.46 W, while voltage ranged from 12.09 V to 14.42 V, with a mean of 13.26 V. The average monthly temperature in Abuja during the study period varied between 25.72°C and 33.01°C, with a mean of 29.37°C. Graphical analyses of power output and voltage against temperature revealed a consistent inverse relationship across all months. The study concludes that both power output and voltage are strongly and inversely affected by temperature, thereby challenging the assumption that operating solar panels above 25°C enhances solar energy performance</w:t>
      </w:r>
      <w:r w:rsidR="009E6BCF">
        <w:rPr>
          <w:sz w:val="22"/>
          <w:szCs w:val="22"/>
        </w:rPr>
        <w:t>.</w:t>
      </w:r>
    </w:p>
    <w:p w14:paraId="5D195294" w14:textId="19D9E01B" w:rsidR="006A4210" w:rsidRDefault="00EF1540" w:rsidP="009B712B">
      <w:pPr>
        <w:pStyle w:val="NormalWeb"/>
        <w:jc w:val="both"/>
        <w:rPr>
          <w:sz w:val="22"/>
          <w:szCs w:val="22"/>
        </w:rPr>
      </w:pPr>
      <w:r w:rsidRPr="00573D46">
        <w:rPr>
          <w:rStyle w:val="H5CharChar"/>
          <w:rFonts w:eastAsiaTheme="minorHAnsi" w:cstheme="minorBidi"/>
          <w:bCs/>
          <w:color w:val="0070C0"/>
          <w:kern w:val="2"/>
          <w:sz w:val="24"/>
          <w:szCs w:val="24"/>
        </w:rPr>
        <w:t>KEYWORDS:</w:t>
      </w:r>
      <w:r w:rsidRPr="005D16A3">
        <w:rPr>
          <w:rStyle w:val="H5CharChar"/>
          <w:color w:val="8496B0" w:themeColor="text2" w:themeTint="99"/>
          <w:sz w:val="22"/>
          <w:szCs w:val="22"/>
        </w:rPr>
        <w:t xml:space="preserve"> </w:t>
      </w:r>
      <w:r w:rsidR="00FF54BF" w:rsidRPr="005D16A3">
        <w:rPr>
          <w:sz w:val="22"/>
          <w:szCs w:val="22"/>
        </w:rPr>
        <w:t>P</w:t>
      </w:r>
      <w:r w:rsidR="009B712B" w:rsidRPr="00275C43">
        <w:t>hotovoltaic</w:t>
      </w:r>
      <w:r w:rsidR="00FF54BF" w:rsidRPr="005D16A3">
        <w:rPr>
          <w:sz w:val="22"/>
          <w:szCs w:val="22"/>
        </w:rPr>
        <w:t xml:space="preserve">, </w:t>
      </w:r>
      <w:r w:rsidR="009B712B" w:rsidRPr="00275C43">
        <w:t>Meteorological data</w:t>
      </w:r>
      <w:r w:rsidR="003C66B9">
        <w:t>,</w:t>
      </w:r>
      <w:r w:rsidR="00236577">
        <w:rPr>
          <w:sz w:val="22"/>
          <w:szCs w:val="22"/>
        </w:rPr>
        <w:t xml:space="preserve"> </w:t>
      </w:r>
      <w:r w:rsidR="009B712B">
        <w:rPr>
          <w:sz w:val="22"/>
          <w:szCs w:val="22"/>
        </w:rPr>
        <w:t>Temperature, Voltage</w:t>
      </w:r>
    </w:p>
    <w:p w14:paraId="21F9DCFE" w14:textId="77777777" w:rsidR="00E80682" w:rsidRPr="00D357E4" w:rsidRDefault="00E80682" w:rsidP="00FF54BF">
      <w:pPr>
        <w:pStyle w:val="Abstract"/>
        <w:ind w:right="-40"/>
        <w:rPr>
          <w:sz w:val="22"/>
          <w:szCs w:val="22"/>
        </w:rPr>
        <w:sectPr w:rsidR="00E80682" w:rsidRPr="00D357E4" w:rsidSect="000F7E45">
          <w:headerReference w:type="even" r:id="rId8"/>
          <w:headerReference w:type="default" r:id="rId9"/>
          <w:footerReference w:type="even" r:id="rId10"/>
          <w:footerReference w:type="default" r:id="rId11"/>
          <w:headerReference w:type="first" r:id="rId12"/>
          <w:footerReference w:type="first" r:id="rId13"/>
          <w:pgSz w:w="11520" w:h="15660" w:code="1"/>
          <w:pgMar w:top="1280" w:right="740" w:bottom="1040" w:left="740" w:header="360" w:footer="640" w:gutter="0"/>
          <w:pgNumType w:start="406"/>
          <w:cols w:space="720"/>
          <w:docGrid w:linePitch="360"/>
        </w:sectPr>
      </w:pPr>
    </w:p>
    <w:p w14:paraId="4CC95AB0" w14:textId="7E7596B0" w:rsidR="009D4B62" w:rsidRPr="00B32118" w:rsidRDefault="00EF1540" w:rsidP="0035628A">
      <w:pPr>
        <w:pStyle w:val="H1ListNoSpace"/>
        <w:numPr>
          <w:ilvl w:val="0"/>
          <w:numId w:val="26"/>
        </w:numPr>
        <w:ind w:left="540"/>
        <w:rPr>
          <w:color w:val="0070C0"/>
          <w:sz w:val="24"/>
          <w:szCs w:val="24"/>
        </w:rPr>
      </w:pPr>
      <w:r w:rsidRPr="00B32118">
        <w:rPr>
          <w:color w:val="0070C0"/>
          <w:sz w:val="24"/>
          <w:szCs w:val="24"/>
        </w:rPr>
        <w:t>INTRODUCTION</w:t>
      </w:r>
      <w:r w:rsidR="005A0A9C" w:rsidRPr="00B32118">
        <w:rPr>
          <w:color w:val="0070C0"/>
          <w:sz w:val="24"/>
          <w:szCs w:val="24"/>
        </w:rPr>
        <w:t xml:space="preserve"> </w:t>
      </w:r>
    </w:p>
    <w:p w14:paraId="392527CC" w14:textId="2F75D6DF" w:rsidR="009D03E5" w:rsidRDefault="009C0DDC" w:rsidP="009D03E5">
      <w:pPr>
        <w:pStyle w:val="BalloonText"/>
        <w:jc w:val="both"/>
        <w:rPr>
          <w:rFonts w:ascii="Times New Roman" w:hAnsi="Times New Roman" w:cs="Times New Roman"/>
          <w:sz w:val="22"/>
          <w:szCs w:val="22"/>
        </w:rPr>
      </w:pPr>
      <w:r w:rsidRPr="004D7B69">
        <w:rPr>
          <w:rFonts w:ascii="Times New Roman" w:hAnsi="Times New Roman" w:cs="Times New Roman"/>
          <w:sz w:val="22"/>
          <w:szCs w:val="22"/>
        </w:rPr>
        <w:t>Photovoltaic (PV) technology converts solar radiation into electricity. While first-generation cells were silicon-based, advancements like thin-film and amorphous silicon cells have been developed to improve sunlight absorption and efficiency (Mugdha et al., 2021). The global capacity of PV systems is immense, reaching 505 GW by 2018 after an addition of 100 GW that year (Renewables 2019 Global Status Report, 2019).</w:t>
      </w:r>
      <w:r w:rsidR="00573D46">
        <w:rPr>
          <w:rFonts w:ascii="Times New Roman" w:hAnsi="Times New Roman" w:cs="Times New Roman"/>
          <w:sz w:val="22"/>
          <w:szCs w:val="22"/>
        </w:rPr>
        <w:t xml:space="preserve"> </w:t>
      </w:r>
      <w:r w:rsidR="00B23466" w:rsidRPr="004D7B69">
        <w:rPr>
          <w:rFonts w:ascii="Times New Roman" w:hAnsi="Times New Roman" w:cs="Times New Roman"/>
          <w:sz w:val="22"/>
          <w:szCs w:val="22"/>
        </w:rPr>
        <w:t>Globally, approximately 85% of energy demand is met by fossil fuels. Rapid population growth, urbanization, and economic expansion are projected to increase this demand by 50% by 2050 (Sokan, 2015), a figure corroborated by Chowdhury et al. (2020), who forecast a 48% rise by 2040. In 2020, the global energy consumption breakdown was 83% fossil fuels, 12.6% renewables (hydro, wind, solar), and 6.3% nuclear power. Achieving fossil fuel independence by 2050 would require a six to eight-fold increase in renewable energy production if demand remains at or rises 50% above 2020 levels. However, if global demand only increases by 25%, this goal becomes far more attainable (Holechek et al., 2022).</w:t>
      </w:r>
      <w:r w:rsidR="00573D46">
        <w:rPr>
          <w:rFonts w:ascii="Times New Roman" w:hAnsi="Times New Roman" w:cs="Times New Roman"/>
          <w:sz w:val="22"/>
          <w:szCs w:val="22"/>
        </w:rPr>
        <w:t xml:space="preserve"> </w:t>
      </w:r>
      <w:r w:rsidR="009D4B62" w:rsidRPr="004D7B69">
        <w:rPr>
          <w:rFonts w:ascii="Times New Roman" w:hAnsi="Times New Roman" w:cs="Times New Roman"/>
          <w:sz w:val="22"/>
          <w:szCs w:val="22"/>
        </w:rPr>
        <w:t xml:space="preserve">In Nigeria, rising temperatures remain a major challenge for PV performance (Ogunjo et al., 2020), which is also subject to periodic fluctuations. </w:t>
      </w:r>
      <w:r w:rsidR="00B23466">
        <w:rPr>
          <w:rFonts w:ascii="Times New Roman" w:hAnsi="Times New Roman" w:cs="Times New Roman"/>
          <w:sz w:val="22"/>
          <w:szCs w:val="22"/>
        </w:rPr>
        <w:t>Abuja is one of the fastest growing cities capitals in Africa and becoming a business hub hosting almost all of the company’s headquarters that makes it a decision-making city and the city’s rising population</w:t>
      </w:r>
      <w:r w:rsidR="00606B12">
        <w:rPr>
          <w:rFonts w:ascii="Times New Roman" w:hAnsi="Times New Roman" w:cs="Times New Roman"/>
          <w:sz w:val="22"/>
          <w:szCs w:val="22"/>
        </w:rPr>
        <w:t xml:space="preserve"> growing with the internet of things,</w:t>
      </w:r>
      <w:r w:rsidR="00B23466">
        <w:rPr>
          <w:rFonts w:ascii="Times New Roman" w:hAnsi="Times New Roman" w:cs="Times New Roman"/>
          <w:sz w:val="22"/>
          <w:szCs w:val="22"/>
        </w:rPr>
        <w:t xml:space="preserve"> </w:t>
      </w:r>
      <w:r w:rsidR="00606B12">
        <w:rPr>
          <w:rFonts w:ascii="Times New Roman" w:hAnsi="Times New Roman" w:cs="Times New Roman"/>
          <w:sz w:val="22"/>
          <w:szCs w:val="22"/>
        </w:rPr>
        <w:t>h</w:t>
      </w:r>
      <w:r w:rsidR="00B23466">
        <w:rPr>
          <w:rFonts w:ascii="Times New Roman" w:hAnsi="Times New Roman" w:cs="Times New Roman"/>
          <w:sz w:val="22"/>
          <w:szCs w:val="22"/>
        </w:rPr>
        <w:t>ence the need for constant and steady supply of power</w:t>
      </w:r>
      <w:r w:rsidR="00606B12">
        <w:rPr>
          <w:rFonts w:ascii="Times New Roman" w:hAnsi="Times New Roman" w:cs="Times New Roman"/>
          <w:sz w:val="22"/>
          <w:szCs w:val="22"/>
        </w:rPr>
        <w:t xml:space="preserve"> using renewable energy source. Thus far,</w:t>
      </w:r>
      <w:r w:rsidR="00B23466">
        <w:rPr>
          <w:rFonts w:ascii="Times New Roman" w:hAnsi="Times New Roman" w:cs="Times New Roman"/>
          <w:sz w:val="22"/>
          <w:szCs w:val="22"/>
        </w:rPr>
        <w:t xml:space="preserve"> the average daily sunshine of</w:t>
      </w:r>
      <w:r w:rsidR="00606B12">
        <w:rPr>
          <w:rFonts w:ascii="Times New Roman" w:hAnsi="Times New Roman" w:cs="Times New Roman"/>
          <w:sz w:val="22"/>
          <w:szCs w:val="22"/>
        </w:rPr>
        <w:t xml:space="preserve"> Abuja is</w:t>
      </w:r>
      <w:r w:rsidR="00B23466">
        <w:rPr>
          <w:rFonts w:ascii="Times New Roman" w:hAnsi="Times New Roman" w:cs="Times New Roman"/>
          <w:sz w:val="22"/>
          <w:szCs w:val="22"/>
        </w:rPr>
        <w:t xml:space="preserve"> about 6 to 11 hours per day though varying between months</w:t>
      </w:r>
      <w:r w:rsidR="009D03E5">
        <w:rPr>
          <w:rFonts w:ascii="Times New Roman" w:hAnsi="Times New Roman" w:cs="Times New Roman"/>
          <w:sz w:val="22"/>
          <w:szCs w:val="22"/>
        </w:rPr>
        <w:t xml:space="preserve">, </w:t>
      </w:r>
      <w:r w:rsidR="00A3109C">
        <w:rPr>
          <w:rFonts w:ascii="Times New Roman" w:hAnsi="Times New Roman" w:cs="Times New Roman"/>
          <w:sz w:val="22"/>
          <w:szCs w:val="22"/>
        </w:rPr>
        <w:t xml:space="preserve">there is the urgent need for </w:t>
      </w:r>
      <w:r w:rsidR="00606B12">
        <w:rPr>
          <w:rFonts w:ascii="Times New Roman" w:hAnsi="Times New Roman" w:cs="Times New Roman"/>
          <w:sz w:val="22"/>
          <w:szCs w:val="22"/>
        </w:rPr>
        <w:t>solar</w:t>
      </w:r>
      <w:r w:rsidR="00A3109C">
        <w:rPr>
          <w:rFonts w:ascii="Times New Roman" w:hAnsi="Times New Roman" w:cs="Times New Roman"/>
          <w:sz w:val="22"/>
          <w:szCs w:val="22"/>
        </w:rPr>
        <w:t xml:space="preserve"> energy harvest</w:t>
      </w:r>
      <w:r w:rsidR="009D03E5">
        <w:rPr>
          <w:rFonts w:ascii="Times New Roman" w:hAnsi="Times New Roman" w:cs="Times New Roman"/>
          <w:sz w:val="22"/>
          <w:szCs w:val="22"/>
        </w:rPr>
        <w:t xml:space="preserve">. </w:t>
      </w:r>
      <w:r w:rsidR="009D03E5" w:rsidRPr="004D7B69">
        <w:rPr>
          <w:rFonts w:ascii="Times New Roman" w:hAnsi="Times New Roman" w:cs="Times New Roman"/>
          <w:sz w:val="22"/>
          <w:szCs w:val="22"/>
        </w:rPr>
        <w:t xml:space="preserve">Therefore, this study aims to assess the power and voltage output of photovoltaic systems in relation to local temperature variations in </w:t>
      </w:r>
      <w:r w:rsidR="009D03E5">
        <w:rPr>
          <w:rFonts w:ascii="Times New Roman" w:hAnsi="Times New Roman" w:cs="Times New Roman"/>
          <w:sz w:val="22"/>
          <w:szCs w:val="22"/>
        </w:rPr>
        <w:t xml:space="preserve">the Federal Capital Territory, </w:t>
      </w:r>
      <w:r w:rsidR="009D03E5" w:rsidRPr="004D7B69">
        <w:rPr>
          <w:rFonts w:ascii="Times New Roman" w:hAnsi="Times New Roman" w:cs="Times New Roman"/>
          <w:sz w:val="22"/>
          <w:szCs w:val="22"/>
        </w:rPr>
        <w:t>Abuja, Nigeria.</w:t>
      </w:r>
      <w:r w:rsidR="009D03E5">
        <w:rPr>
          <w:rFonts w:ascii="Times New Roman" w:hAnsi="Times New Roman" w:cs="Times New Roman"/>
          <w:sz w:val="22"/>
          <w:szCs w:val="22"/>
        </w:rPr>
        <w:t xml:space="preserve"> </w:t>
      </w:r>
    </w:p>
    <w:p w14:paraId="6D06CC9C" w14:textId="1C646BCC" w:rsidR="00573D46" w:rsidRDefault="00A3109C" w:rsidP="00187354">
      <w:pPr>
        <w:pStyle w:val="BalloonText"/>
        <w:jc w:val="both"/>
        <w:rPr>
          <w:rFonts w:ascii="Times New Roman" w:hAnsi="Times New Roman" w:cs="Times New Roman"/>
          <w:color w:val="000000" w:themeColor="text1"/>
          <w:sz w:val="24"/>
          <w:szCs w:val="24"/>
        </w:rPr>
      </w:pPr>
      <w:r w:rsidRPr="00606B12">
        <w:rPr>
          <w:rFonts w:ascii="Times New Roman" w:hAnsi="Times New Roman" w:cs="Times New Roman"/>
          <w:color w:val="000000" w:themeColor="text1"/>
          <w:sz w:val="24"/>
          <w:szCs w:val="24"/>
        </w:rPr>
        <w:t xml:space="preserve"> </w:t>
      </w:r>
    </w:p>
    <w:p w14:paraId="53884182" w14:textId="77777777" w:rsidR="00573D46" w:rsidRDefault="00573D46">
      <w:pPr>
        <w:spacing w:after="160" w:line="259" w:lineRule="auto"/>
        <w:rPr>
          <w:rFonts w:eastAsiaTheme="minorHAnsi"/>
          <w:color w:val="000000" w:themeColor="text1"/>
        </w:rPr>
      </w:pPr>
      <w:r>
        <w:rPr>
          <w:color w:val="000000" w:themeColor="text1"/>
        </w:rPr>
        <w:br w:type="page"/>
      </w:r>
    </w:p>
    <w:p w14:paraId="435B309A" w14:textId="77777777" w:rsidR="009D4B62" w:rsidRPr="00187354" w:rsidRDefault="009D4B62" w:rsidP="00187354">
      <w:pPr>
        <w:pStyle w:val="BalloonText"/>
        <w:jc w:val="both"/>
        <w:rPr>
          <w:rFonts w:ascii="Times New Roman" w:hAnsi="Times New Roman" w:cs="Times New Roman"/>
          <w:color w:val="000000" w:themeColor="text1"/>
          <w:sz w:val="24"/>
          <w:szCs w:val="24"/>
        </w:rPr>
      </w:pPr>
    </w:p>
    <w:p w14:paraId="099FBBF7" w14:textId="6EB5DF87" w:rsidR="00EF1540" w:rsidRPr="00B32118" w:rsidRDefault="005A0A9C" w:rsidP="0035628A">
      <w:pPr>
        <w:pStyle w:val="H1ListNoSpace"/>
        <w:numPr>
          <w:ilvl w:val="0"/>
          <w:numId w:val="26"/>
        </w:numPr>
        <w:ind w:left="540"/>
        <w:rPr>
          <w:color w:val="0070C0"/>
          <w:sz w:val="24"/>
          <w:szCs w:val="24"/>
        </w:rPr>
      </w:pPr>
      <w:r w:rsidRPr="00B32118">
        <w:rPr>
          <w:color w:val="0070C0"/>
          <w:sz w:val="24"/>
          <w:szCs w:val="24"/>
        </w:rPr>
        <w:t>RELATED WORKS</w:t>
      </w:r>
    </w:p>
    <w:p w14:paraId="082D8B2D" w14:textId="057743BF" w:rsidR="00730FE3" w:rsidRPr="004D7B69" w:rsidRDefault="00730FE3" w:rsidP="00730FE3">
      <w:pPr>
        <w:pStyle w:val="BalloonText"/>
        <w:jc w:val="both"/>
        <w:rPr>
          <w:rFonts w:ascii="Times New Roman" w:hAnsi="Times New Roman" w:cs="Times New Roman"/>
          <w:sz w:val="22"/>
          <w:szCs w:val="22"/>
        </w:rPr>
      </w:pPr>
      <w:r w:rsidRPr="00730FE3">
        <w:rPr>
          <w:rFonts w:ascii="Times New Roman" w:hAnsi="Times New Roman" w:cs="Times New Roman"/>
          <w:sz w:val="22"/>
          <w:szCs w:val="22"/>
        </w:rPr>
        <w:t>Energy is a fundamental driver of development and human progress in developing nations (Abdullah et al., 2015). Its consumption is deeply interconnected with environmental quality and the availability of other critical resources like water and food (Lior, 2011). This is particularly relevant in nations like Nigeria, which faces a significant energy deficit. Despite a population of over 200 million, Nigeria's installed electricity generation capacity is only 12,552 MW. In stark contrast, South Africa, with a population of approximately 60 million, generates about 58,000 MW (Umar et al., 2021).</w:t>
      </w:r>
      <w:r w:rsidR="00573D46">
        <w:rPr>
          <w:rFonts w:ascii="Times New Roman" w:hAnsi="Times New Roman" w:cs="Times New Roman"/>
          <w:sz w:val="22"/>
          <w:szCs w:val="22"/>
        </w:rPr>
        <w:t xml:space="preserve"> </w:t>
      </w:r>
      <w:r w:rsidRPr="004D7B69">
        <w:rPr>
          <w:rFonts w:ascii="Times New Roman" w:hAnsi="Times New Roman" w:cs="Times New Roman"/>
          <w:sz w:val="22"/>
          <w:szCs w:val="22"/>
        </w:rPr>
        <w:t>The World Bank identifies Nigeria as having the world's largest absolute energy access deficit, with 45% of its population around 90 million people lacking a connection to the national grid. A further disparity exists between urban areas, where 84% have access, and rural areas, where access plummets to 26%. While Nigeria's infrastructure has the theoretical capacity to transmit over 15,000 MW, outdated systems limit actual transmission to less than 5,000 MW from the roughly 13,000 MW generated. This amount is grossly insufficient for its vast population (Ayobami and Godwin, 2024).</w:t>
      </w:r>
      <w:r w:rsidR="00573D46">
        <w:rPr>
          <w:rFonts w:ascii="Times New Roman" w:hAnsi="Times New Roman" w:cs="Times New Roman"/>
          <w:sz w:val="22"/>
          <w:szCs w:val="22"/>
        </w:rPr>
        <w:t xml:space="preserve"> </w:t>
      </w:r>
      <w:r w:rsidRPr="004D7B69">
        <w:rPr>
          <w:rFonts w:ascii="Times New Roman" w:hAnsi="Times New Roman" w:cs="Times New Roman"/>
          <w:sz w:val="22"/>
          <w:szCs w:val="22"/>
        </w:rPr>
        <w:t>The sustained adoption of renewable energy is crucial for reducing dependence on fossil fuels (Igbokwe et al., 2022). Its environmental benefits continue to drive its popularity, positioning it as an indispensable power source for the future (Ndukwu et al., 2022). Adequate investment and effective deployment of solar energy, for instance, could help mitigate the issues tied to fossil fuel combustion (Kazem et al., 2015). This aligns directly with United Nations Sustainable Development Goal (SDG) 7, which advocates for affordable and clean energy by 2030 through the promotion of renewables (Ezealigo et al., 2021).</w:t>
      </w:r>
    </w:p>
    <w:p w14:paraId="23D3ABE9" w14:textId="044ED3BE" w:rsidR="00730FE3" w:rsidRPr="004D7B69" w:rsidRDefault="00730FE3" w:rsidP="00730FE3">
      <w:pPr>
        <w:pStyle w:val="BalloonText"/>
        <w:jc w:val="both"/>
        <w:rPr>
          <w:rFonts w:ascii="Times New Roman" w:hAnsi="Times New Roman" w:cs="Times New Roman"/>
          <w:sz w:val="22"/>
          <w:szCs w:val="22"/>
        </w:rPr>
      </w:pPr>
      <w:r w:rsidRPr="004D7B69">
        <w:rPr>
          <w:rFonts w:ascii="Times New Roman" w:hAnsi="Times New Roman" w:cs="Times New Roman"/>
          <w:sz w:val="22"/>
          <w:szCs w:val="22"/>
        </w:rPr>
        <w:t>Solar energy stands out as one of the most abundant renewable resources. It is sustainable, pollution-free, silent, relatively inexpensive, and easy to maintain. Nigeria possesses enormous solar potential, with average daily solar irradiance of 7.0 kWh/m² in the north and 4.0 kWh/m² in the south, indicating a higher potential in the northern region (Ohiero and Ogbeche, 2018). Solar radiation—the energy per unit area received from the sun—is measured in kilowatt-hours per square meter (kWh/m²) (Steven Kwok, 2023). As an emerging economy, Nigeria has significant untapped potential in this and other renewable resources (Orisaleye et al., 2018), a fact echoed by Mas’ud et al. (2015), who confirmed high solar and wind potential in Nigeria and Cameroon.</w:t>
      </w:r>
      <w:r w:rsidR="00573D46">
        <w:rPr>
          <w:rFonts w:ascii="Times New Roman" w:hAnsi="Times New Roman" w:cs="Times New Roman"/>
          <w:sz w:val="22"/>
          <w:szCs w:val="22"/>
        </w:rPr>
        <w:t xml:space="preserve"> </w:t>
      </w:r>
      <w:r w:rsidRPr="004D7B69">
        <w:rPr>
          <w:rFonts w:ascii="Times New Roman" w:hAnsi="Times New Roman" w:cs="Times New Roman"/>
          <w:sz w:val="22"/>
          <w:szCs w:val="22"/>
        </w:rPr>
        <w:t>PV systems are rated under Standard Test Conditions (STC: 25°C, 1.0 kW/m² irradiance). However, real-world performance often deviates due to atmospheric conditions. A key factor is the temperature coefficient, which dictates how much a panel's efficiency decreases as its temperature rises (P. K. Dash &amp; N. C. Gupta, 2015). Research shows PV efficiency is highly sensitive to heat. For example, in hot climates like Niamey, temperatures above 33°C cause a significant performance decline (Dajuma et al., 2016). Conversely, cooler temperate regions and higher altitudes generally offer better generation potential (Panjwani and Narejo, 2014).</w:t>
      </w:r>
      <w:r w:rsidR="00573D46">
        <w:rPr>
          <w:rFonts w:ascii="Times New Roman" w:hAnsi="Times New Roman" w:cs="Times New Roman"/>
          <w:sz w:val="22"/>
          <w:szCs w:val="22"/>
        </w:rPr>
        <w:t xml:space="preserve"> </w:t>
      </w:r>
      <w:r w:rsidRPr="004D7B69">
        <w:rPr>
          <w:rFonts w:ascii="Times New Roman" w:hAnsi="Times New Roman" w:cs="Times New Roman"/>
          <w:sz w:val="22"/>
          <w:szCs w:val="22"/>
        </w:rPr>
        <w:t>This is supported by findings that PV systems at higher altitudes yield greater efficiency due to lower temperatures (Aglietti &amp; Tatnall, 2008; Sri Rama Phanindra Chitturi et al., 2018). One experiment demonstrated a 42% efficiency increase at 1,764 meters above sea level compared to 612 meters (Sri Rama Phanindra Chitturi et al., 2018). Even minor elevation gains can optimize output, with observed power increases of 7–12% at 27.4 meters above sea level (Panjwani &amp; Narejo, 2014).</w:t>
      </w:r>
    </w:p>
    <w:p w14:paraId="2EC2E389" w14:textId="77777777" w:rsidR="005A0A9C" w:rsidRPr="004D7B69" w:rsidRDefault="005A0A9C" w:rsidP="00730FE3">
      <w:pPr>
        <w:pStyle w:val="BalloonText"/>
        <w:spacing w:line="276" w:lineRule="auto"/>
        <w:jc w:val="both"/>
        <w:rPr>
          <w:rFonts w:ascii="Times New Roman" w:hAnsi="Times New Roman" w:cs="Times New Roman"/>
          <w:sz w:val="22"/>
          <w:szCs w:val="22"/>
        </w:rPr>
      </w:pPr>
    </w:p>
    <w:p w14:paraId="28AF9885" w14:textId="3E0936F0" w:rsidR="009D4B62" w:rsidRPr="00B32118" w:rsidRDefault="0035628A" w:rsidP="0035628A">
      <w:pPr>
        <w:pStyle w:val="H1ListNoSpace"/>
        <w:numPr>
          <w:ilvl w:val="0"/>
          <w:numId w:val="26"/>
        </w:numPr>
        <w:ind w:left="630"/>
        <w:rPr>
          <w:color w:val="0070C0"/>
          <w:sz w:val="24"/>
          <w:szCs w:val="24"/>
        </w:rPr>
      </w:pPr>
      <w:r>
        <w:rPr>
          <w:color w:val="0070C0"/>
          <w:sz w:val="24"/>
          <w:szCs w:val="24"/>
        </w:rPr>
        <w:t>METHODOLOGY</w:t>
      </w:r>
    </w:p>
    <w:p w14:paraId="7B82295A" w14:textId="0785DA57" w:rsidR="001E2B6D" w:rsidRPr="00B32118" w:rsidRDefault="00B32118" w:rsidP="00B32118">
      <w:pPr>
        <w:pStyle w:val="H1ListNoSpace"/>
        <w:numPr>
          <w:ilvl w:val="0"/>
          <w:numId w:val="21"/>
        </w:numPr>
        <w:ind w:left="360"/>
        <w:rPr>
          <w:color w:val="0070C0"/>
          <w:sz w:val="24"/>
          <w:szCs w:val="24"/>
        </w:rPr>
      </w:pPr>
      <w:r w:rsidRPr="00B32118">
        <w:rPr>
          <w:color w:val="0070C0"/>
          <w:sz w:val="24"/>
          <w:szCs w:val="24"/>
        </w:rPr>
        <w:t>Study Location and Data Collection</w:t>
      </w:r>
    </w:p>
    <w:p w14:paraId="3842036D" w14:textId="1B5DCB0B" w:rsidR="00302F21" w:rsidRDefault="00302F21" w:rsidP="00B32118">
      <w:pPr>
        <w:pStyle w:val="NormalWeb"/>
        <w:spacing w:before="0" w:beforeAutospacing="0" w:after="0" w:afterAutospacing="0"/>
        <w:jc w:val="both"/>
        <w:rPr>
          <w:sz w:val="22"/>
          <w:szCs w:val="22"/>
        </w:rPr>
      </w:pPr>
      <w:r w:rsidRPr="00302F21">
        <w:rPr>
          <w:sz w:val="22"/>
          <w:szCs w:val="22"/>
        </w:rPr>
        <w:t>Meteorological data for this study, including temperature, humidity, and solar irradiance, were sourced from the headquarters of the Nigerian Meteorological Agency (NiMet) in Abuja. The city features a tropical wet and dry climate and is situated at an average elevation of approximately 455.89 meters above sea level (Nigerian Meteorological Agency [NiMet], n.d.). Its geographic coordinates are 9.07°N latitude and 7.60°E longitude, encompassing an area of 1,769 square kilometers.</w:t>
      </w:r>
      <w:r w:rsidR="00573D46">
        <w:rPr>
          <w:sz w:val="22"/>
          <w:szCs w:val="22"/>
        </w:rPr>
        <w:t xml:space="preserve"> </w:t>
      </w:r>
      <w:r w:rsidRPr="00302F21">
        <w:rPr>
          <w:sz w:val="22"/>
          <w:szCs w:val="22"/>
        </w:rPr>
        <w:t>The topography immediately surrounding the city (within a 3.2 km radius) is characterized by relatively modest elevation changes. The maximum elevation shift in this area is 143 meters, with an average altitude of 494.7 meters above sea level (NiMet, n.d.). In terms of land cover, the city is predominantly composed of artificial surfaces (77%) and cropland (22%). On a broader scale, the landscapes within 16.1 km and 80.5 km of the city center are largely a mix of cropland and shrubs, accounting for 37% and 43% of the area, respectively.</w:t>
      </w:r>
      <w:r w:rsidR="00573D46">
        <w:rPr>
          <w:sz w:val="22"/>
          <w:szCs w:val="22"/>
        </w:rPr>
        <w:t xml:space="preserve">  </w:t>
      </w:r>
      <w:r w:rsidRPr="00302F21">
        <w:rPr>
          <w:sz w:val="22"/>
          <w:szCs w:val="22"/>
        </w:rPr>
        <w:t xml:space="preserve">Abuja experiences annual temperatures that typically fluctuate between a low of 16.6°C and a high of 33.9°C (NiMet, n.d.). The hottest period lasts roughly 2.5 months, during which average daily high </w:t>
      </w:r>
      <w:r w:rsidRPr="00302F21">
        <w:rPr>
          <w:sz w:val="22"/>
          <w:szCs w:val="22"/>
        </w:rPr>
        <w:lastRenderedPageBreak/>
        <w:t>temperatures exceed 32.2°C. A cooler season spans approximately 3.5 months, where average highs remain below 28.3°C. December is the coldest month, with average lows of 16.1°C and highs of 30.6°C.</w:t>
      </w:r>
      <w:r w:rsidR="00573D46">
        <w:rPr>
          <w:sz w:val="22"/>
          <w:szCs w:val="22"/>
        </w:rPr>
        <w:t xml:space="preserve"> </w:t>
      </w:r>
      <w:r w:rsidRPr="00302F21">
        <w:rPr>
          <w:sz w:val="22"/>
          <w:szCs w:val="22"/>
        </w:rPr>
        <w:t>The city's clearest weather begins around November 7th and lasts for about 3.6 months, with January standing out as the clearest month. In contrast, a cloudier period starts around February 24th and persists for about 8.4 months, reaching its peak in May. The wet season extends for 6.2 months and carries a greater than 42% probability of precipitation on any given day. This is counterbalanced by a 5.8-month dry season; December has the fewest number of rainy days. August is the wettest month, while December is the driest.</w:t>
      </w:r>
      <w:r w:rsidR="00573D46">
        <w:rPr>
          <w:sz w:val="22"/>
          <w:szCs w:val="22"/>
        </w:rPr>
        <w:t xml:space="preserve"> </w:t>
      </w:r>
      <w:r w:rsidRPr="00302F21">
        <w:rPr>
          <w:sz w:val="22"/>
          <w:szCs w:val="22"/>
        </w:rPr>
        <w:t>Daylight hours in Abuja remain relatively consistent year-round, averaging about 12 hours with only minor variation. Conversely, humidity levels shift significantly with the seasons. A muggy and often uncomfortable period lasts for about nine months, from late February to late November. During this time, conditions are humid or oppressive for at least 27% of the time. August is the most humid month, with nearly all 31 days classified as muggy or worse (NiMet, n.d.).</w:t>
      </w:r>
    </w:p>
    <w:p w14:paraId="5D02B53B" w14:textId="77777777" w:rsidR="00A53F28" w:rsidRPr="00603981" w:rsidRDefault="00A53F28" w:rsidP="00B32118">
      <w:pPr>
        <w:pStyle w:val="NormalWeb"/>
        <w:spacing w:before="0" w:beforeAutospacing="0" w:after="0" w:afterAutospacing="0"/>
        <w:jc w:val="both"/>
        <w:rPr>
          <w:sz w:val="22"/>
          <w:szCs w:val="22"/>
        </w:rPr>
      </w:pPr>
    </w:p>
    <w:p w14:paraId="1BA01B8D" w14:textId="6C8927F2" w:rsidR="00FA4B21" w:rsidRPr="00A53F28" w:rsidRDefault="00A53F28" w:rsidP="00A53F28">
      <w:pPr>
        <w:pStyle w:val="H1ListNoSpace"/>
        <w:numPr>
          <w:ilvl w:val="0"/>
          <w:numId w:val="21"/>
        </w:numPr>
        <w:ind w:left="360"/>
        <w:rPr>
          <w:color w:val="0070C0"/>
          <w:sz w:val="24"/>
          <w:szCs w:val="24"/>
        </w:rPr>
      </w:pPr>
      <w:r w:rsidRPr="00A53F28">
        <w:rPr>
          <w:color w:val="0070C0"/>
          <w:sz w:val="24"/>
          <w:szCs w:val="24"/>
        </w:rPr>
        <w:t>Materials</w:t>
      </w:r>
    </w:p>
    <w:p w14:paraId="3CBAECE4" w14:textId="71C7885B" w:rsidR="00FF3DB2" w:rsidRPr="00A53F28" w:rsidRDefault="00FF3DB2" w:rsidP="009A55AC">
      <w:pPr>
        <w:pStyle w:val="H1ListNoSpace"/>
        <w:rPr>
          <w:rFonts w:ascii="Times New Roman" w:hAnsi="Times New Roman" w:cs="Times New Roman"/>
          <w:b w:val="0"/>
          <w:bCs w:val="0"/>
          <w:color w:val="auto"/>
          <w:sz w:val="22"/>
          <w:szCs w:val="22"/>
        </w:rPr>
      </w:pPr>
      <w:r w:rsidRPr="00A53F28">
        <w:rPr>
          <w:rFonts w:ascii="Times New Roman" w:hAnsi="Times New Roman" w:cs="Times New Roman"/>
          <w:b w:val="0"/>
          <w:bCs w:val="0"/>
          <w:color w:val="auto"/>
          <w:sz w:val="22"/>
          <w:szCs w:val="22"/>
        </w:rPr>
        <w:t xml:space="preserve">The used </w:t>
      </w:r>
      <w:r w:rsidR="00FD6E5E" w:rsidRPr="00A53F28">
        <w:rPr>
          <w:rFonts w:ascii="Times New Roman" w:hAnsi="Times New Roman" w:cs="Times New Roman"/>
          <w:b w:val="0"/>
          <w:bCs w:val="0"/>
          <w:color w:val="auto"/>
          <w:sz w:val="22"/>
          <w:szCs w:val="22"/>
        </w:rPr>
        <w:t xml:space="preserve">materials along with their functions </w:t>
      </w:r>
      <w:r w:rsidRPr="00A53F28">
        <w:rPr>
          <w:rFonts w:ascii="Times New Roman" w:hAnsi="Times New Roman" w:cs="Times New Roman"/>
          <w:b w:val="0"/>
          <w:bCs w:val="0"/>
          <w:color w:val="auto"/>
          <w:sz w:val="22"/>
          <w:szCs w:val="22"/>
        </w:rPr>
        <w:t xml:space="preserve">are </w:t>
      </w:r>
      <w:r w:rsidR="00A53F28" w:rsidRPr="00A53F28">
        <w:rPr>
          <w:rFonts w:ascii="Times New Roman" w:hAnsi="Times New Roman" w:cs="Times New Roman"/>
          <w:b w:val="0"/>
          <w:bCs w:val="0"/>
          <w:color w:val="auto"/>
          <w:sz w:val="22"/>
          <w:szCs w:val="22"/>
        </w:rPr>
        <w:t>itemized</w:t>
      </w:r>
      <w:r w:rsidRPr="00A53F28">
        <w:rPr>
          <w:rFonts w:ascii="Times New Roman" w:hAnsi="Times New Roman" w:cs="Times New Roman"/>
          <w:b w:val="0"/>
          <w:bCs w:val="0"/>
          <w:color w:val="auto"/>
          <w:sz w:val="22"/>
          <w:szCs w:val="22"/>
        </w:rPr>
        <w:t xml:space="preserve"> below</w:t>
      </w:r>
      <w:r w:rsidR="00A53F28" w:rsidRPr="00A53F28">
        <w:rPr>
          <w:rFonts w:ascii="Times New Roman" w:hAnsi="Times New Roman" w:cs="Times New Roman"/>
          <w:b w:val="0"/>
          <w:bCs w:val="0"/>
          <w:color w:val="auto"/>
          <w:sz w:val="22"/>
          <w:szCs w:val="22"/>
        </w:rPr>
        <w:t>:</w:t>
      </w:r>
    </w:p>
    <w:p w14:paraId="41C198CF" w14:textId="77777777" w:rsidR="00603981" w:rsidRDefault="00603981" w:rsidP="00A53F28">
      <w:pPr>
        <w:pStyle w:val="ListParagraph"/>
        <w:numPr>
          <w:ilvl w:val="0"/>
          <w:numId w:val="22"/>
        </w:numPr>
        <w:suppressAutoHyphens/>
        <w:spacing w:after="200"/>
        <w:ind w:left="450"/>
        <w:jc w:val="both"/>
      </w:pPr>
      <w:r>
        <w:t xml:space="preserve">72-cell poly crystalline panel, at the </w:t>
      </w:r>
      <w:r>
        <w:rPr>
          <w:rFonts w:eastAsia="SohoGothicPro-Light"/>
        </w:rPr>
        <w:t>Module Efficiency ŋ (%) of 17.0,</w:t>
      </w:r>
      <w:r>
        <w:t xml:space="preserve"> with an area of 1m×2m, maximum power of 330w ± 2.5%, maximum power voltage 37.4v, Maximum power current (Imp) </w:t>
      </w:r>
      <w:proofErr w:type="gramStart"/>
      <w:r>
        <w:t>A</w:t>
      </w:r>
      <w:proofErr w:type="gramEnd"/>
      <w:r>
        <w:t xml:space="preserve"> 8.83A, Open circuit voltage (Voc) V 45.8 V, Short circuit current (Isc) A 9.28A ± 4%, Maximum system Voltage 1000</w:t>
      </w:r>
      <w:r>
        <w:tab/>
        <w:t>V.</w:t>
      </w:r>
    </w:p>
    <w:p w14:paraId="3B1001E9" w14:textId="77777777" w:rsidR="00603981" w:rsidRDefault="00603981" w:rsidP="00A53F28">
      <w:pPr>
        <w:pStyle w:val="ListParagraph"/>
        <w:numPr>
          <w:ilvl w:val="0"/>
          <w:numId w:val="22"/>
        </w:numPr>
        <w:suppressAutoHyphens/>
        <w:spacing w:after="200"/>
        <w:ind w:left="450"/>
        <w:jc w:val="both"/>
      </w:pPr>
      <w:r>
        <w:t>Pyrometer for measuring solar radiation</w:t>
      </w:r>
    </w:p>
    <w:p w14:paraId="702610C6" w14:textId="77777777" w:rsidR="00603981" w:rsidRDefault="00603981" w:rsidP="00A53F28">
      <w:pPr>
        <w:pStyle w:val="ListParagraph"/>
        <w:numPr>
          <w:ilvl w:val="0"/>
          <w:numId w:val="22"/>
        </w:numPr>
        <w:suppressAutoHyphens/>
        <w:spacing w:after="200"/>
        <w:ind w:left="450"/>
        <w:jc w:val="both"/>
      </w:pPr>
      <w:r>
        <w:t>Thermometer for measuring air temperature</w:t>
      </w:r>
    </w:p>
    <w:p w14:paraId="7F5E608E" w14:textId="77777777" w:rsidR="00603981" w:rsidRDefault="00603981" w:rsidP="00A53F28">
      <w:pPr>
        <w:pStyle w:val="ListParagraph"/>
        <w:numPr>
          <w:ilvl w:val="0"/>
          <w:numId w:val="22"/>
        </w:numPr>
        <w:suppressAutoHyphens/>
        <w:spacing w:after="200"/>
        <w:ind w:left="450"/>
        <w:jc w:val="both"/>
      </w:pPr>
      <w:r>
        <w:t>Barometer for measuring atmospheric pressure</w:t>
      </w:r>
    </w:p>
    <w:p w14:paraId="62AB25B0" w14:textId="77777777" w:rsidR="00603981" w:rsidRDefault="00603981" w:rsidP="00A53F28">
      <w:pPr>
        <w:pStyle w:val="ListParagraph"/>
        <w:numPr>
          <w:ilvl w:val="0"/>
          <w:numId w:val="22"/>
        </w:numPr>
        <w:suppressAutoHyphens/>
        <w:spacing w:after="200"/>
        <w:ind w:left="450"/>
        <w:jc w:val="both"/>
      </w:pPr>
      <w:r>
        <w:t>Anemometer for measuring wind speed</w:t>
      </w:r>
    </w:p>
    <w:p w14:paraId="5AD1C5C0" w14:textId="77777777" w:rsidR="00603981" w:rsidRDefault="00603981" w:rsidP="00A53F28">
      <w:pPr>
        <w:pStyle w:val="ListParagraph"/>
        <w:numPr>
          <w:ilvl w:val="0"/>
          <w:numId w:val="22"/>
        </w:numPr>
        <w:suppressAutoHyphens/>
        <w:spacing w:after="200"/>
        <w:ind w:left="450"/>
        <w:jc w:val="both"/>
      </w:pPr>
      <w:r>
        <w:t>Hygrometer for measuring humidity</w:t>
      </w:r>
    </w:p>
    <w:p w14:paraId="3C9C3768" w14:textId="77777777" w:rsidR="00603981" w:rsidRDefault="00603981" w:rsidP="00A53F28">
      <w:pPr>
        <w:pStyle w:val="ListParagraph"/>
        <w:numPr>
          <w:ilvl w:val="0"/>
          <w:numId w:val="22"/>
        </w:numPr>
        <w:suppressAutoHyphens/>
        <w:spacing w:after="200"/>
        <w:ind w:left="450"/>
        <w:jc w:val="both"/>
      </w:pPr>
      <w:r>
        <w:t>Charge control</w:t>
      </w:r>
    </w:p>
    <w:p w14:paraId="500676C2" w14:textId="77777777" w:rsidR="00603981" w:rsidRDefault="00603981" w:rsidP="00A53F28">
      <w:pPr>
        <w:pStyle w:val="ListParagraph"/>
        <w:numPr>
          <w:ilvl w:val="0"/>
          <w:numId w:val="22"/>
        </w:numPr>
        <w:suppressAutoHyphens/>
        <w:spacing w:after="200"/>
        <w:ind w:left="450"/>
        <w:jc w:val="both"/>
      </w:pPr>
      <w:r>
        <w:t>Cables/wires</w:t>
      </w:r>
    </w:p>
    <w:p w14:paraId="2306D27C" w14:textId="77777777" w:rsidR="00603981" w:rsidRDefault="00603981" w:rsidP="00A53F28">
      <w:pPr>
        <w:pStyle w:val="ListParagraph"/>
        <w:numPr>
          <w:ilvl w:val="0"/>
          <w:numId w:val="22"/>
        </w:numPr>
        <w:suppressAutoHyphens/>
        <w:spacing w:after="200"/>
        <w:ind w:left="450"/>
        <w:jc w:val="both"/>
      </w:pPr>
      <w:r>
        <w:t>Panel metal stand</w:t>
      </w:r>
    </w:p>
    <w:p w14:paraId="57C5A900" w14:textId="77777777" w:rsidR="00603981" w:rsidRDefault="00603981" w:rsidP="00A53F28">
      <w:pPr>
        <w:pStyle w:val="ListParagraph"/>
        <w:numPr>
          <w:ilvl w:val="0"/>
          <w:numId w:val="22"/>
        </w:numPr>
        <w:suppressAutoHyphens/>
        <w:spacing w:after="200"/>
        <w:ind w:left="450"/>
        <w:jc w:val="both"/>
      </w:pPr>
      <w:r>
        <w:t>Laptop</w:t>
      </w:r>
    </w:p>
    <w:p w14:paraId="54F1498E" w14:textId="73360791" w:rsidR="00603981" w:rsidRPr="00A53F28" w:rsidRDefault="00603981" w:rsidP="00A53F28">
      <w:pPr>
        <w:pStyle w:val="H1ListNoSpace"/>
        <w:numPr>
          <w:ilvl w:val="0"/>
          <w:numId w:val="21"/>
        </w:numPr>
        <w:ind w:left="360"/>
        <w:rPr>
          <w:color w:val="0070C0"/>
          <w:sz w:val="24"/>
          <w:szCs w:val="24"/>
        </w:rPr>
      </w:pPr>
      <w:r w:rsidRPr="00A53F28">
        <w:rPr>
          <w:color w:val="0070C0"/>
          <w:sz w:val="24"/>
          <w:szCs w:val="24"/>
        </w:rPr>
        <w:t xml:space="preserve">Data </w:t>
      </w:r>
      <w:r w:rsidR="00573D46" w:rsidRPr="00A53F28">
        <w:rPr>
          <w:color w:val="0070C0"/>
          <w:sz w:val="24"/>
          <w:szCs w:val="24"/>
        </w:rPr>
        <w:t xml:space="preserve">Analysis </w:t>
      </w:r>
      <w:r w:rsidRPr="00A53F28">
        <w:rPr>
          <w:color w:val="0070C0"/>
          <w:sz w:val="24"/>
          <w:szCs w:val="24"/>
        </w:rPr>
        <w:t xml:space="preserve">and </w:t>
      </w:r>
      <w:r w:rsidR="00573D46" w:rsidRPr="00A53F28">
        <w:rPr>
          <w:color w:val="0070C0"/>
          <w:sz w:val="24"/>
          <w:szCs w:val="24"/>
        </w:rPr>
        <w:t xml:space="preserve">Model Used </w:t>
      </w:r>
    </w:p>
    <w:p w14:paraId="479F9D49" w14:textId="77777777" w:rsidR="00603981" w:rsidRPr="00A53F28" w:rsidRDefault="00603981" w:rsidP="00A53F28">
      <w:pPr>
        <w:jc w:val="both"/>
        <w:rPr>
          <w:sz w:val="22"/>
          <w:szCs w:val="22"/>
        </w:rPr>
      </w:pPr>
      <w:r w:rsidRPr="00A53F28">
        <w:rPr>
          <w:sz w:val="22"/>
          <w:szCs w:val="22"/>
        </w:rPr>
        <w:t>The temperature dependence of a material is described with a temperature coefficient. The general equation for estimating the voltage of a given PV system at a given temperature is:</w:t>
      </w:r>
    </w:p>
    <w:p w14:paraId="5161C50C" w14:textId="1E80DB7C" w:rsidR="00603981" w:rsidRPr="00A53F28" w:rsidRDefault="00000000" w:rsidP="00A53F28">
      <w:pPr>
        <w:jc w:val="both"/>
        <w:rPr>
          <w:sz w:val="22"/>
          <w:szCs w:val="22"/>
        </w:rPr>
      </w:pPr>
      <m:oMath>
        <m:sSub>
          <m:sSubPr>
            <m:ctrlPr>
              <w:rPr>
                <w:rFonts w:ascii="Cambria Math" w:hAnsi="Cambria Math"/>
                <w:sz w:val="22"/>
                <w:szCs w:val="22"/>
              </w:rPr>
            </m:ctrlPr>
          </m:sSubPr>
          <m:e>
            <m:r>
              <w:rPr>
                <w:rFonts w:ascii="Cambria Math" w:hAnsi="Cambria Math"/>
                <w:sz w:val="22"/>
                <w:szCs w:val="22"/>
              </w:rPr>
              <m:t>V</m:t>
            </m:r>
          </m:e>
          <m:sub>
            <m:r>
              <w:rPr>
                <w:rFonts w:ascii="Cambria Math" w:hAnsi="Cambria Math"/>
                <w:sz w:val="22"/>
                <w:szCs w:val="22"/>
              </w:rPr>
              <m:t>estimated</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coefficient</m:t>
            </m:r>
          </m:sub>
        </m:sSub>
        <m: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STC</m:t>
                </m:r>
              </m:sub>
            </m:sSub>
            <m:r>
              <w:rPr>
                <w:rFonts w:ascii="Cambria Math" w:hAnsi="Cambria Math"/>
                <w:sz w:val="22"/>
                <w:szCs w:val="22"/>
              </w:rPr>
              <m:t>-T+</m:t>
            </m:r>
            <m:sSub>
              <m:sSubPr>
                <m:ctrlPr>
                  <w:rPr>
                    <w:rFonts w:ascii="Cambria Math" w:hAnsi="Cambria Math"/>
                    <w:sz w:val="22"/>
                    <w:szCs w:val="22"/>
                  </w:rPr>
                </m:ctrlPr>
              </m:sSubPr>
              <m:e>
                <m:r>
                  <w:rPr>
                    <w:rFonts w:ascii="Cambria Math" w:hAnsi="Cambria Math"/>
                    <w:sz w:val="22"/>
                    <w:szCs w:val="22"/>
                  </w:rPr>
                  <m:t>V</m:t>
                </m:r>
              </m:e>
              <m:sub>
                <m:r>
                  <w:rPr>
                    <w:rFonts w:ascii="Cambria Math" w:hAnsi="Cambria Math"/>
                    <w:sz w:val="22"/>
                    <w:szCs w:val="22"/>
                  </w:rPr>
                  <m:t>OCrated</m:t>
                </m:r>
              </m:sub>
            </m:sSub>
          </m:e>
        </m:d>
      </m:oMath>
      <w:r w:rsidR="00603981" w:rsidRPr="00A53F28">
        <w:rPr>
          <w:sz w:val="22"/>
          <w:szCs w:val="22"/>
        </w:rPr>
        <w:tab/>
      </w:r>
      <w:r w:rsidR="00573D46" w:rsidRPr="00A53F28">
        <w:rPr>
          <w:sz w:val="22"/>
          <w:szCs w:val="22"/>
        </w:rPr>
        <w:t xml:space="preserve">                                                                         </w:t>
      </w:r>
      <w:r w:rsidR="0035628A">
        <w:rPr>
          <w:sz w:val="22"/>
          <w:szCs w:val="22"/>
        </w:rPr>
        <w:t xml:space="preserve">        </w:t>
      </w:r>
      <w:r w:rsidR="00573D46" w:rsidRPr="00A53F28">
        <w:rPr>
          <w:sz w:val="22"/>
          <w:szCs w:val="22"/>
        </w:rPr>
        <w:t xml:space="preserve">     </w:t>
      </w:r>
      <w:r w:rsidR="00603981" w:rsidRPr="00A53F28">
        <w:rPr>
          <w:sz w:val="22"/>
          <w:szCs w:val="22"/>
        </w:rPr>
        <w:t>(1)</w:t>
      </w:r>
    </w:p>
    <w:p w14:paraId="691A65AB" w14:textId="69344937" w:rsidR="00603981" w:rsidRPr="00A53F28" w:rsidRDefault="00603981" w:rsidP="00A53F28">
      <w:pPr>
        <w:jc w:val="both"/>
        <w:rPr>
          <w:sz w:val="22"/>
          <w:szCs w:val="22"/>
        </w:rPr>
      </w:pPr>
      <w:r w:rsidRPr="00A53F28">
        <w:rPr>
          <w:sz w:val="22"/>
          <w:szCs w:val="22"/>
        </w:rPr>
        <w:t>Where V_OC is open circuit voltage given as 24V, T_STC is temperature at standard test condition (25</w:t>
      </w:r>
      <w:r w:rsidRPr="00A53F28">
        <w:rPr>
          <w:sz w:val="22"/>
          <w:szCs w:val="22"/>
          <w:vertAlign w:val="superscript"/>
        </w:rPr>
        <w:t>o</w:t>
      </w:r>
      <w:r w:rsidRPr="00A53F28">
        <w:rPr>
          <w:sz w:val="22"/>
          <w:szCs w:val="22"/>
        </w:rPr>
        <w:t xml:space="preserve">C, 1000 W/m2 solar irradiance and 1.5 G air mass) T is the temperature of the location measured in </w:t>
      </w:r>
      <w:r w:rsidRPr="00A53F28">
        <w:rPr>
          <w:sz w:val="22"/>
          <w:szCs w:val="22"/>
          <w:vertAlign w:val="superscript"/>
        </w:rPr>
        <w:t>o</w:t>
      </w:r>
      <w:r w:rsidRPr="00A53F28">
        <w:rPr>
          <w:sz w:val="22"/>
          <w:szCs w:val="22"/>
        </w:rPr>
        <w:t>C. Every solar panel has a temperature coefficient. This indicates how much the panel’s efficiency decreases for every degree above its standard testing condition. Equation (1) is used for the calculation of estimated voltage of the system in this research work.</w:t>
      </w:r>
      <w:r w:rsidR="002816FE" w:rsidRPr="00A53F28">
        <w:rPr>
          <w:sz w:val="22"/>
          <w:szCs w:val="22"/>
        </w:rPr>
        <w:t xml:space="preserve"> </w:t>
      </w:r>
      <w:r w:rsidRPr="00A53F28">
        <w:rPr>
          <w:sz w:val="22"/>
          <w:szCs w:val="22"/>
        </w:rPr>
        <w:t>Temperature effect on the PV efficiency (output power) can be estimated using the</w:t>
      </w:r>
      <w:r w:rsidR="002816FE" w:rsidRPr="00A53F28">
        <w:rPr>
          <w:sz w:val="22"/>
          <w:szCs w:val="22"/>
        </w:rPr>
        <w:t xml:space="preserve"> </w:t>
      </w:r>
      <w:r w:rsidRPr="00A53F28">
        <w:rPr>
          <w:sz w:val="22"/>
          <w:szCs w:val="22"/>
        </w:rPr>
        <w:t xml:space="preserve">equation below: </w:t>
      </w:r>
    </w:p>
    <w:p w14:paraId="34BB3154" w14:textId="691FB2A6" w:rsidR="00603981" w:rsidRPr="00A53F28" w:rsidRDefault="00000000" w:rsidP="00A53F28">
      <w:pPr>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t</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s</m:t>
            </m:r>
          </m:sub>
        </m:sSub>
        <m:r>
          <m:rPr>
            <m:sty m:val="p"/>
          </m:rPr>
          <w:rPr>
            <w:rFonts w:ascii="Cambria Math" w:hAnsi="Cambria Math"/>
            <w:sz w:val="22"/>
            <w:szCs w:val="22"/>
          </w:rPr>
          <m:t>t×[1+α (</m:t>
        </m:r>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s</m:t>
            </m:r>
          </m:sub>
        </m:sSub>
        <m:r>
          <m:rPr>
            <m:sty m:val="p"/>
          </m:rPr>
          <w:rPr>
            <w:rFonts w:ascii="Cambria Math" w:hAnsi="Cambria Math"/>
            <w:sz w:val="22"/>
            <w:szCs w:val="22"/>
          </w:rPr>
          <m:t>)</m:t>
        </m:r>
      </m:oMath>
      <w:r w:rsidR="00603981" w:rsidRPr="00A53F28">
        <w:rPr>
          <w:sz w:val="22"/>
          <w:szCs w:val="22"/>
        </w:rPr>
        <w:tab/>
      </w:r>
      <w:r w:rsidR="0035628A">
        <w:rPr>
          <w:sz w:val="22"/>
          <w:szCs w:val="22"/>
        </w:rPr>
        <w:t xml:space="preserve">                                                                                                                             </w:t>
      </w:r>
      <w:r w:rsidR="00603981" w:rsidRPr="00A53F28">
        <w:rPr>
          <w:sz w:val="22"/>
          <w:szCs w:val="22"/>
        </w:rPr>
        <w:t>(2)</w:t>
      </w:r>
    </w:p>
    <w:p w14:paraId="0C60460D" w14:textId="77777777" w:rsidR="00603981" w:rsidRPr="00A53F28" w:rsidRDefault="00603981" w:rsidP="00A53F28">
      <w:pPr>
        <w:jc w:val="both"/>
        <w:rPr>
          <w:sz w:val="22"/>
          <w:szCs w:val="22"/>
        </w:rPr>
      </w:pPr>
      <w:r w:rsidRPr="00A53F28">
        <w:rPr>
          <w:sz w:val="22"/>
          <w:szCs w:val="22"/>
        </w:rPr>
        <w:t>Where:</w:t>
      </w:r>
    </w:p>
    <w:p w14:paraId="646C0EBA" w14:textId="77777777" w:rsidR="00603981" w:rsidRPr="00A53F28" w:rsidRDefault="00603981" w:rsidP="00A53F28">
      <w:pPr>
        <w:jc w:val="both"/>
        <w:rPr>
          <w:sz w:val="22"/>
          <w:szCs w:val="22"/>
        </w:rPr>
      </w:pPr>
      <w:r w:rsidRPr="00A53F28">
        <w:rPr>
          <w:sz w:val="22"/>
          <w:szCs w:val="22"/>
        </w:rPr>
        <w:t>Pt = power at temperature Tc</w:t>
      </w:r>
    </w:p>
    <w:p w14:paraId="207DE3A4" w14:textId="77777777" w:rsidR="00603981" w:rsidRPr="00A53F28" w:rsidRDefault="00603981" w:rsidP="00A53F28">
      <w:pPr>
        <w:jc w:val="both"/>
        <w:rPr>
          <w:sz w:val="22"/>
          <w:szCs w:val="22"/>
        </w:rPr>
      </w:pPr>
      <w:r w:rsidRPr="00A53F28">
        <w:rPr>
          <w:sz w:val="22"/>
          <w:szCs w:val="22"/>
        </w:rPr>
        <w:t>Pst = power at standard testing condition (usually 25°C)</w:t>
      </w:r>
    </w:p>
    <w:p w14:paraId="1892DDE7" w14:textId="77777777" w:rsidR="00603981" w:rsidRPr="00A53F28" w:rsidRDefault="00603981" w:rsidP="00A53F28">
      <w:pPr>
        <w:jc w:val="both"/>
        <w:rPr>
          <w:sz w:val="22"/>
          <w:szCs w:val="22"/>
        </w:rPr>
      </w:pPr>
      <w:r w:rsidRPr="00A53F28">
        <w:rPr>
          <w:sz w:val="22"/>
          <w:szCs w:val="22"/>
        </w:rPr>
        <w:t>α = Temperature coefficient of the panels</w:t>
      </w:r>
    </w:p>
    <w:p w14:paraId="555799CB" w14:textId="77777777" w:rsidR="00603981" w:rsidRPr="00A53F28" w:rsidRDefault="00603981" w:rsidP="00A53F28">
      <w:pPr>
        <w:jc w:val="both"/>
        <w:rPr>
          <w:sz w:val="22"/>
          <w:szCs w:val="22"/>
        </w:rPr>
      </w:pPr>
      <w:r w:rsidRPr="00A53F28">
        <w:rPr>
          <w:sz w:val="22"/>
          <w:szCs w:val="22"/>
        </w:rPr>
        <w:t>Tc = operating temperature of the panels in °C</w:t>
      </w:r>
    </w:p>
    <w:p w14:paraId="60E71F8D" w14:textId="62B89733" w:rsidR="00DC3304" w:rsidRDefault="00603981" w:rsidP="00A53F28">
      <w:pPr>
        <w:jc w:val="both"/>
        <w:rPr>
          <w:sz w:val="22"/>
          <w:szCs w:val="22"/>
        </w:rPr>
      </w:pPr>
      <w:r w:rsidRPr="00A53F28">
        <w:rPr>
          <w:sz w:val="22"/>
          <w:szCs w:val="22"/>
        </w:rPr>
        <w:t>Ts = standard testing temperature (usually 25°C)</w:t>
      </w:r>
    </w:p>
    <w:p w14:paraId="72144103" w14:textId="77777777" w:rsidR="00A53F28" w:rsidRPr="00A53F28" w:rsidRDefault="00A53F28" w:rsidP="00A53F28">
      <w:pPr>
        <w:jc w:val="both"/>
        <w:rPr>
          <w:sz w:val="22"/>
          <w:szCs w:val="22"/>
        </w:rPr>
      </w:pPr>
    </w:p>
    <w:p w14:paraId="106516DC" w14:textId="3EFBFD91" w:rsidR="00DC3304" w:rsidRPr="0035628A" w:rsidRDefault="00DC3304" w:rsidP="0035628A">
      <w:pPr>
        <w:pStyle w:val="H1ListNoSpace"/>
        <w:numPr>
          <w:ilvl w:val="0"/>
          <w:numId w:val="26"/>
        </w:numPr>
        <w:ind w:left="630"/>
        <w:rPr>
          <w:color w:val="0070C0"/>
          <w:sz w:val="24"/>
          <w:szCs w:val="24"/>
        </w:rPr>
      </w:pPr>
      <w:r w:rsidRPr="0035628A">
        <w:rPr>
          <w:color w:val="0070C0"/>
          <w:sz w:val="24"/>
          <w:szCs w:val="24"/>
        </w:rPr>
        <w:t>RESULTS AND DISCUSSION</w:t>
      </w:r>
    </w:p>
    <w:p w14:paraId="5EDA488B" w14:textId="09A35F9B" w:rsidR="00F46AE7" w:rsidRPr="00EE419E" w:rsidRDefault="00F46AE7" w:rsidP="00F46AE7">
      <w:pPr>
        <w:jc w:val="both"/>
        <w:rPr>
          <w:sz w:val="22"/>
          <w:szCs w:val="22"/>
        </w:rPr>
      </w:pPr>
      <w:r w:rsidRPr="00EE419E">
        <w:rPr>
          <w:sz w:val="22"/>
          <w:szCs w:val="22"/>
        </w:rPr>
        <w:t>An analysis of temperature's impact on photovoltaic (PV) output power in Abuja was conducted for January 2021 and 2022. The results indicate a complex relationship, where the system's power output responds to temperature changes in diverse ways.</w:t>
      </w:r>
      <w:r w:rsidR="0035628A" w:rsidRPr="00EE419E">
        <w:rPr>
          <w:sz w:val="22"/>
          <w:szCs w:val="22"/>
        </w:rPr>
        <w:t xml:space="preserve"> </w:t>
      </w:r>
      <w:r w:rsidRPr="00EE419E">
        <w:rPr>
          <w:sz w:val="22"/>
          <w:szCs w:val="22"/>
        </w:rPr>
        <w:t xml:space="preserve">For instance, in January 2021, a clear inverse correlation was observed on days 9 through </w:t>
      </w:r>
      <w:r w:rsidRPr="00EE419E">
        <w:rPr>
          <w:sz w:val="22"/>
          <w:szCs w:val="22"/>
        </w:rPr>
        <w:lastRenderedPageBreak/>
        <w:t>13 and on day 31, where higher ambient temperatures corresponded with a measurable decrease in power output. A similar pattern was recorded in January 2022 on days 12 and 26 through 31, when peak temperatures had an adverse effect on the system's performance.</w:t>
      </w:r>
      <w:r w:rsidR="0035628A" w:rsidRPr="00EE419E">
        <w:rPr>
          <w:sz w:val="22"/>
          <w:szCs w:val="22"/>
        </w:rPr>
        <w:t xml:space="preserve"> </w:t>
      </w:r>
      <w:r w:rsidRPr="00EE419E">
        <w:rPr>
          <w:sz w:val="22"/>
          <w:szCs w:val="22"/>
        </w:rPr>
        <w:t>This phenomenon is attributed to the negative temperature coefficient of power inherent in solar panels, meaning their electrical output decreases as their operational temperature rises.</w:t>
      </w:r>
    </w:p>
    <w:p w14:paraId="771DE458" w14:textId="77777777" w:rsidR="00F46AE7" w:rsidRDefault="00F46AE7" w:rsidP="00F46AE7">
      <w:pPr>
        <w:jc w:val="both"/>
        <w:rPr>
          <w:sz w:val="22"/>
          <w:szCs w:val="22"/>
        </w:rPr>
      </w:pPr>
      <w:r w:rsidRPr="00EE419E">
        <w:rPr>
          <w:sz w:val="22"/>
          <w:szCs w:val="22"/>
        </w:rPr>
        <w:t>The impact of temperature variation was even more pronounced during February of both years. Data shows that higher temperatures consistently correlated with reduced power generation across all measured days in February 2021 and 2022. The consistent trend of declining power output suggests that as temperatures increase, the panels' efficiency drops significantly. Under extreme heat, solar panels can operate outside their optimal temperature range, leading to reduced efficiency and potentially causing them to consume energy rather than generate it, which would explain the negative power values. This pattern of heat-induced efficiency loss is a critical factor affecting PV performance throughout the year in Abuja's climate.</w:t>
      </w:r>
    </w:p>
    <w:p w14:paraId="7ACA197B" w14:textId="77777777" w:rsidR="00EE419E" w:rsidRPr="00EE419E" w:rsidRDefault="00EE419E" w:rsidP="00F46AE7">
      <w:pPr>
        <w:jc w:val="both"/>
        <w:rPr>
          <w:sz w:val="22"/>
          <w:szCs w:val="22"/>
        </w:rPr>
      </w:pPr>
    </w:p>
    <w:p w14:paraId="50CDFABB" w14:textId="77777777" w:rsidR="00F46AE7" w:rsidRPr="00F46AE7" w:rsidRDefault="00F46AE7" w:rsidP="00F46AE7">
      <w:pPr>
        <w:ind w:firstLine="720"/>
        <w:jc w:val="center"/>
        <w:rPr>
          <w:sz w:val="16"/>
          <w:szCs w:val="16"/>
        </w:rPr>
      </w:pPr>
      <w:r w:rsidRPr="00F46AE7">
        <w:rPr>
          <w:noProof/>
          <w:sz w:val="16"/>
          <w:szCs w:val="16"/>
        </w:rPr>
        <w:drawing>
          <wp:inline distT="0" distB="0" distL="0" distR="0" wp14:anchorId="6DFCFA4F" wp14:editId="1D1BA143">
            <wp:extent cx="4244197" cy="2725947"/>
            <wp:effectExtent l="0" t="0" r="23495" b="1778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918AE08" w14:textId="092633E9" w:rsidR="00F46AE7" w:rsidRPr="005C545F" w:rsidRDefault="00F46AE7" w:rsidP="005C545F">
      <w:pPr>
        <w:jc w:val="center"/>
      </w:pPr>
      <w:r w:rsidRPr="005C545F">
        <w:rPr>
          <w:b/>
          <w:bCs/>
          <w:color w:val="00629B"/>
        </w:rPr>
        <w:t>Figure 1:</w:t>
      </w:r>
      <w:r w:rsidRPr="005C545F">
        <w:t xml:space="preserve"> </w:t>
      </w:r>
      <w:r w:rsidRPr="005C545F">
        <w:rPr>
          <w:sz w:val="22"/>
          <w:szCs w:val="22"/>
        </w:rPr>
        <w:t xml:space="preserve">Abuja 2021 Mean Temperature (OC) against Output </w:t>
      </w:r>
      <w:r w:rsidR="005C545F" w:rsidRPr="005C545F">
        <w:rPr>
          <w:sz w:val="22"/>
          <w:szCs w:val="22"/>
        </w:rPr>
        <w:t xml:space="preserve">Power </w:t>
      </w:r>
      <w:r w:rsidRPr="005C545F">
        <w:rPr>
          <w:sz w:val="22"/>
          <w:szCs w:val="22"/>
        </w:rPr>
        <w:t>(KWh)</w:t>
      </w:r>
    </w:p>
    <w:p w14:paraId="72E75984" w14:textId="77777777" w:rsidR="005C545F" w:rsidRPr="00F46AE7" w:rsidRDefault="005C545F" w:rsidP="00F46AE7">
      <w:pPr>
        <w:jc w:val="center"/>
        <w:rPr>
          <w:sz w:val="16"/>
          <w:szCs w:val="16"/>
        </w:rPr>
      </w:pPr>
    </w:p>
    <w:p w14:paraId="12D91112" w14:textId="77777777" w:rsidR="00F46AE7" w:rsidRDefault="00F46AE7" w:rsidP="00F46AE7">
      <w:pPr>
        <w:ind w:firstLine="720"/>
        <w:jc w:val="center"/>
      </w:pPr>
    </w:p>
    <w:p w14:paraId="2C70A0CE" w14:textId="77777777" w:rsidR="00F46AE7" w:rsidRPr="00F46AE7" w:rsidRDefault="00F46AE7" w:rsidP="00F46AE7">
      <w:pPr>
        <w:ind w:firstLine="720"/>
        <w:jc w:val="center"/>
        <w:rPr>
          <w:sz w:val="16"/>
          <w:szCs w:val="16"/>
        </w:rPr>
      </w:pPr>
      <w:r w:rsidRPr="00F46AE7">
        <w:rPr>
          <w:noProof/>
          <w:sz w:val="16"/>
          <w:szCs w:val="16"/>
        </w:rPr>
        <w:drawing>
          <wp:inline distT="0" distB="0" distL="0" distR="0" wp14:anchorId="480644DB" wp14:editId="338C6445">
            <wp:extent cx="4477109" cy="2458528"/>
            <wp:effectExtent l="0" t="0" r="19050" b="1841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7D5BA53" w14:textId="6ADDBC96" w:rsidR="00F46AE7" w:rsidRPr="005C545F" w:rsidRDefault="00F46AE7" w:rsidP="005C545F">
      <w:pPr>
        <w:ind w:firstLine="360"/>
        <w:jc w:val="center"/>
        <w:rPr>
          <w:sz w:val="22"/>
          <w:szCs w:val="22"/>
        </w:rPr>
      </w:pPr>
      <w:r w:rsidRPr="005C545F">
        <w:rPr>
          <w:b/>
          <w:bCs/>
          <w:color w:val="00629B"/>
        </w:rPr>
        <w:t>Figure 2:</w:t>
      </w:r>
      <w:r w:rsidRPr="005C545F">
        <w:t xml:space="preserve"> </w:t>
      </w:r>
      <w:r w:rsidRPr="005C545F">
        <w:rPr>
          <w:sz w:val="22"/>
          <w:szCs w:val="22"/>
        </w:rPr>
        <w:t xml:space="preserve">Abuja 2022 Mean Temperature (OC) against Output </w:t>
      </w:r>
      <w:r w:rsidR="005C545F" w:rsidRPr="005C545F">
        <w:rPr>
          <w:sz w:val="22"/>
          <w:szCs w:val="22"/>
        </w:rPr>
        <w:t xml:space="preserve">Power </w:t>
      </w:r>
      <w:r w:rsidRPr="005C545F">
        <w:rPr>
          <w:sz w:val="22"/>
          <w:szCs w:val="22"/>
        </w:rPr>
        <w:t>(KWh)</w:t>
      </w:r>
    </w:p>
    <w:p w14:paraId="721075AC" w14:textId="77777777" w:rsidR="00DC3304" w:rsidRDefault="00DC3304" w:rsidP="00F46AE7">
      <w:pPr>
        <w:jc w:val="both"/>
        <w:rPr>
          <w:sz w:val="22"/>
          <w:szCs w:val="22"/>
        </w:rPr>
      </w:pPr>
    </w:p>
    <w:p w14:paraId="39809CBB" w14:textId="6415B448" w:rsidR="00F46AE7" w:rsidRDefault="00F46AE7" w:rsidP="005C545F">
      <w:pPr>
        <w:jc w:val="both"/>
        <w:rPr>
          <w:sz w:val="22"/>
          <w:szCs w:val="22"/>
        </w:rPr>
      </w:pPr>
      <w:r w:rsidRPr="00F46AE7">
        <w:rPr>
          <w:sz w:val="22"/>
          <w:szCs w:val="22"/>
        </w:rPr>
        <w:lastRenderedPageBreak/>
        <w:t>Figures 3 and 4 illustrate the relationship between ambient temperature and the output voltage of a photovoltaic (PV) system in Abuja for the years 2021 and 2022.</w:t>
      </w:r>
      <w:r w:rsidR="005C545F">
        <w:rPr>
          <w:sz w:val="22"/>
          <w:szCs w:val="22"/>
        </w:rPr>
        <w:t xml:space="preserve"> </w:t>
      </w:r>
      <w:r w:rsidRPr="00F46AE7">
        <w:rPr>
          <w:sz w:val="22"/>
          <w:szCs w:val="22"/>
        </w:rPr>
        <w:t>The data shows a clear seasonal temperature trend. The year begins with a gradual warming period, as temperatures rise from 27.64°C in January to a peak of 32.96°C in March. While April remains quite warm at 29.78°C, a cooling trend begins, with temperatures declining slightly in May (28.47°C) and more noticeably in June (26.98°C). This decrease continues into July (26.27°C) and August (26.00°C), after which the temperature stabilizes with a minor increase in September (26.22°C). Overall, the annual temperature fluctuates within a moderate range, characterized by a warming phase from January to March, followed by a cooling period from April onward.</w:t>
      </w:r>
      <w:r w:rsidR="005C545F">
        <w:rPr>
          <w:sz w:val="22"/>
          <w:szCs w:val="22"/>
        </w:rPr>
        <w:t xml:space="preserve"> </w:t>
      </w:r>
      <w:r w:rsidRPr="00F46AE7">
        <w:rPr>
          <w:sz w:val="22"/>
          <w:szCs w:val="22"/>
        </w:rPr>
        <w:t>Critically, the results demonstrate the adverse effect of heat on PV system performance. This is most evident in the data from March 2021, where the highest recorded temperature directly correlated with a significant drop in the system's output voltage. This inverse relationship confirms that increased heat reduces the efficiency and voltage output of the solar panels.</w:t>
      </w:r>
    </w:p>
    <w:p w14:paraId="16098063" w14:textId="77777777" w:rsidR="00F46AE7" w:rsidRPr="00F46AE7" w:rsidRDefault="00F46AE7" w:rsidP="00F46AE7">
      <w:pPr>
        <w:rPr>
          <w:sz w:val="16"/>
          <w:szCs w:val="16"/>
        </w:rPr>
      </w:pPr>
    </w:p>
    <w:p w14:paraId="058F1043" w14:textId="77777777" w:rsidR="00F46AE7" w:rsidRPr="00F46AE7" w:rsidRDefault="00F46AE7" w:rsidP="00F46AE7">
      <w:pPr>
        <w:jc w:val="center"/>
        <w:rPr>
          <w:sz w:val="16"/>
          <w:szCs w:val="16"/>
        </w:rPr>
      </w:pPr>
      <w:r w:rsidRPr="00F46AE7">
        <w:rPr>
          <w:noProof/>
          <w:sz w:val="16"/>
          <w:szCs w:val="16"/>
        </w:rPr>
        <w:drawing>
          <wp:inline distT="0" distB="0" distL="0" distR="0" wp14:anchorId="2BEF7552" wp14:editId="1C74A4DB">
            <wp:extent cx="4477109" cy="2700068"/>
            <wp:effectExtent l="0" t="0" r="19050" b="2413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C6F99F4" w14:textId="77777777" w:rsidR="00F46AE7" w:rsidRDefault="00F46AE7" w:rsidP="00F46AE7">
      <w:pPr>
        <w:ind w:firstLine="360"/>
        <w:jc w:val="center"/>
        <w:rPr>
          <w:sz w:val="22"/>
          <w:szCs w:val="22"/>
        </w:rPr>
      </w:pPr>
      <w:r w:rsidRPr="005C545F">
        <w:rPr>
          <w:b/>
          <w:bCs/>
          <w:color w:val="00629B"/>
        </w:rPr>
        <w:t>Figure 3:</w:t>
      </w:r>
      <w:r w:rsidRPr="005C545F">
        <w:rPr>
          <w:sz w:val="22"/>
          <w:szCs w:val="22"/>
        </w:rPr>
        <w:t xml:space="preserve"> Abuja 2021 Mean Temperature (OC) against Output Voltage (V)</w:t>
      </w:r>
    </w:p>
    <w:p w14:paraId="633E96BA" w14:textId="77777777" w:rsidR="00EE419E" w:rsidRPr="005C545F" w:rsidRDefault="00EE419E" w:rsidP="00F46AE7">
      <w:pPr>
        <w:ind w:firstLine="360"/>
        <w:jc w:val="center"/>
        <w:rPr>
          <w:sz w:val="22"/>
          <w:szCs w:val="22"/>
        </w:rPr>
      </w:pPr>
    </w:p>
    <w:p w14:paraId="407207A6" w14:textId="77777777" w:rsidR="00F46AE7" w:rsidRPr="00F46AE7" w:rsidRDefault="00F46AE7" w:rsidP="00F46AE7">
      <w:pPr>
        <w:jc w:val="center"/>
        <w:rPr>
          <w:sz w:val="16"/>
          <w:szCs w:val="16"/>
        </w:rPr>
      </w:pPr>
    </w:p>
    <w:p w14:paraId="719C3542" w14:textId="77777777" w:rsidR="00F46AE7" w:rsidRPr="00F46AE7" w:rsidRDefault="00F46AE7" w:rsidP="00F46AE7">
      <w:pPr>
        <w:jc w:val="center"/>
        <w:rPr>
          <w:sz w:val="16"/>
          <w:szCs w:val="16"/>
        </w:rPr>
      </w:pPr>
      <w:r w:rsidRPr="00F46AE7">
        <w:rPr>
          <w:noProof/>
          <w:sz w:val="16"/>
          <w:szCs w:val="16"/>
        </w:rPr>
        <w:drawing>
          <wp:inline distT="0" distB="0" distL="0" distR="0" wp14:anchorId="41E525C6" wp14:editId="0EE6E9F6">
            <wp:extent cx="4304581" cy="2605178"/>
            <wp:effectExtent l="0" t="0" r="20320" b="2413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0B40989" w14:textId="77777777" w:rsidR="00F46AE7" w:rsidRPr="005C545F" w:rsidRDefault="00F46AE7" w:rsidP="005C545F">
      <w:pPr>
        <w:ind w:firstLine="360"/>
        <w:jc w:val="center"/>
        <w:rPr>
          <w:sz w:val="22"/>
          <w:szCs w:val="22"/>
        </w:rPr>
      </w:pPr>
      <w:r w:rsidRPr="005C545F">
        <w:rPr>
          <w:b/>
          <w:bCs/>
          <w:color w:val="00629B"/>
        </w:rPr>
        <w:t>Figure 4:</w:t>
      </w:r>
      <w:r w:rsidRPr="005C545F">
        <w:rPr>
          <w:sz w:val="22"/>
          <w:szCs w:val="22"/>
        </w:rPr>
        <w:t xml:space="preserve"> Abuja 2022 Mean Temperature (OC) against Output Voltage (V)</w:t>
      </w:r>
    </w:p>
    <w:p w14:paraId="65DE7740" w14:textId="77777777" w:rsidR="00F46AE7" w:rsidRPr="00F46AE7" w:rsidRDefault="00F46AE7" w:rsidP="00E355B6">
      <w:pPr>
        <w:spacing w:line="360" w:lineRule="auto"/>
        <w:rPr>
          <w:b/>
          <w:sz w:val="16"/>
          <w:szCs w:val="16"/>
        </w:rPr>
      </w:pPr>
    </w:p>
    <w:p w14:paraId="2291D214" w14:textId="0E83E8DE" w:rsidR="009A384A" w:rsidRPr="00EE419E" w:rsidRDefault="00EF1540" w:rsidP="00EE419E">
      <w:pPr>
        <w:pStyle w:val="H1ListNoSpace"/>
        <w:numPr>
          <w:ilvl w:val="0"/>
          <w:numId w:val="26"/>
        </w:numPr>
        <w:ind w:left="630"/>
        <w:rPr>
          <w:color w:val="0070C0"/>
          <w:sz w:val="24"/>
          <w:szCs w:val="24"/>
        </w:rPr>
      </w:pPr>
      <w:r w:rsidRPr="00EE419E">
        <w:rPr>
          <w:color w:val="0070C0"/>
          <w:sz w:val="24"/>
          <w:szCs w:val="24"/>
        </w:rPr>
        <w:lastRenderedPageBreak/>
        <w:t>CONCLUSION</w:t>
      </w:r>
    </w:p>
    <w:p w14:paraId="43DE5C80" w14:textId="2EACEEF1" w:rsidR="009A384A" w:rsidRPr="00041A07" w:rsidRDefault="009A384A" w:rsidP="009A384A">
      <w:pPr>
        <w:pStyle w:val="BalloonText"/>
        <w:jc w:val="both"/>
        <w:rPr>
          <w:rFonts w:ascii="Times New Roman" w:hAnsi="Times New Roman" w:cs="Times New Roman"/>
          <w:sz w:val="22"/>
          <w:szCs w:val="22"/>
        </w:rPr>
      </w:pPr>
      <w:r w:rsidRPr="00041A07">
        <w:rPr>
          <w:rFonts w:ascii="Times New Roman" w:hAnsi="Times New Roman" w:cs="Times New Roman"/>
          <w:sz w:val="22"/>
          <w:szCs w:val="22"/>
        </w:rPr>
        <w:t>A study was conducted in Abuja to examine the influence of temperature on the performance of photovoltaic (PV) systems. Throughout the study period, temperature fluctuations were relatively moderate, showing a general trend of gradual increase from January to March (warmer months), followed by a decline between April and June (cooler months), with additional variations observed in the subsequent months.</w:t>
      </w:r>
      <w:r w:rsidR="00EE419E">
        <w:rPr>
          <w:rFonts w:ascii="Times New Roman" w:hAnsi="Times New Roman" w:cs="Times New Roman"/>
          <w:sz w:val="22"/>
          <w:szCs w:val="22"/>
        </w:rPr>
        <w:t xml:space="preserve"> </w:t>
      </w:r>
      <w:r w:rsidRPr="00041A07">
        <w:rPr>
          <w:rFonts w:ascii="Times New Roman" w:hAnsi="Times New Roman" w:cs="Times New Roman"/>
          <w:sz w:val="22"/>
          <w:szCs w:val="22"/>
        </w:rPr>
        <w:t>The study revealed that output power exhibited only slight changes with increasing temperature, whereas voltage showed a more pronounced decline as temperature rose. Overall, higher temperatures were associated with reduced output power, indicating an adverse effect on PV system performance. These variations are partly attributed to Abuja’s relatively low altitude and the high ambient temperatures commonly experienced in such regions.</w:t>
      </w:r>
    </w:p>
    <w:p w14:paraId="448F66DA" w14:textId="77777777" w:rsidR="009A384A" w:rsidRPr="00041A07" w:rsidRDefault="009A384A" w:rsidP="009A384A">
      <w:pPr>
        <w:pStyle w:val="BalloonText"/>
        <w:jc w:val="both"/>
        <w:rPr>
          <w:rFonts w:ascii="Times New Roman" w:hAnsi="Times New Roman" w:cs="Times New Roman"/>
          <w:sz w:val="22"/>
          <w:szCs w:val="22"/>
        </w:rPr>
      </w:pPr>
      <w:r w:rsidRPr="00041A07">
        <w:rPr>
          <w:rFonts w:ascii="Times New Roman" w:hAnsi="Times New Roman" w:cs="Times New Roman"/>
          <w:sz w:val="22"/>
          <w:szCs w:val="22"/>
        </w:rPr>
        <w:t>The research also examined the spatial distribution of PV energy potential, accounting for the combined effects of both irradiance and temperature on system efficiency. Furthermore, it was noted that temperature alone does not fully explain the performance variations. Other contributing factors likely include the PV module design, the materials used in manufacturing, inherent efficiency characteristics, and broader environmental conditions.</w:t>
      </w:r>
    </w:p>
    <w:p w14:paraId="4C69968E" w14:textId="77777777" w:rsidR="009A384A" w:rsidRPr="002E00A3" w:rsidRDefault="009A384A" w:rsidP="00275F4A">
      <w:pPr>
        <w:jc w:val="both"/>
        <w:rPr>
          <w:sz w:val="22"/>
          <w:szCs w:val="22"/>
        </w:rPr>
      </w:pPr>
    </w:p>
    <w:p w14:paraId="09C1ABDE" w14:textId="77777777" w:rsidR="00EF1540" w:rsidRPr="00EE419E" w:rsidRDefault="00EF1540" w:rsidP="00EF1540">
      <w:pPr>
        <w:pStyle w:val="H1"/>
        <w:spacing w:before="120" w:after="120"/>
        <w:rPr>
          <w:color w:val="0070C0"/>
          <w:sz w:val="24"/>
          <w:szCs w:val="24"/>
        </w:rPr>
      </w:pPr>
      <w:r w:rsidRPr="00EE419E">
        <w:rPr>
          <w:color w:val="0070C0"/>
          <w:sz w:val="24"/>
          <w:szCs w:val="24"/>
        </w:rPr>
        <w:t>ACKNOWLEDGMENT</w:t>
      </w:r>
    </w:p>
    <w:p w14:paraId="65EB14CD" w14:textId="23B22255" w:rsidR="002E00A3" w:rsidRDefault="00EF1540" w:rsidP="009A384A">
      <w:pPr>
        <w:spacing w:after="120" w:line="228" w:lineRule="auto"/>
        <w:jc w:val="both"/>
        <w:rPr>
          <w:sz w:val="22"/>
          <w:szCs w:val="22"/>
        </w:rPr>
      </w:pPr>
      <w:r w:rsidRPr="00EE419E">
        <w:rPr>
          <w:sz w:val="22"/>
          <w:szCs w:val="22"/>
        </w:rPr>
        <w:t xml:space="preserve">The authors thank the anonymous </w:t>
      </w:r>
      <w:r w:rsidR="008C2FC4" w:rsidRPr="00EE419E">
        <w:rPr>
          <w:sz w:val="22"/>
          <w:szCs w:val="22"/>
        </w:rPr>
        <w:t>R</w:t>
      </w:r>
      <w:r w:rsidRPr="00EE419E">
        <w:rPr>
          <w:sz w:val="22"/>
          <w:szCs w:val="22"/>
        </w:rPr>
        <w:t xml:space="preserve">eviewers and </w:t>
      </w:r>
      <w:r w:rsidR="008C2FC4" w:rsidRPr="00EE419E">
        <w:rPr>
          <w:sz w:val="22"/>
          <w:szCs w:val="22"/>
        </w:rPr>
        <w:t>E</w:t>
      </w:r>
      <w:r w:rsidRPr="00EE419E">
        <w:rPr>
          <w:sz w:val="22"/>
          <w:szCs w:val="22"/>
        </w:rPr>
        <w:t>ditor for their comments and contributions</w:t>
      </w:r>
      <w:r w:rsidR="009A384A" w:rsidRPr="00EE419E">
        <w:rPr>
          <w:sz w:val="22"/>
          <w:szCs w:val="22"/>
        </w:rPr>
        <w:t>.</w:t>
      </w:r>
      <w:r w:rsidR="00225A02" w:rsidRPr="00EE419E">
        <w:rPr>
          <w:sz w:val="22"/>
          <w:szCs w:val="22"/>
        </w:rPr>
        <w:t xml:space="preserve"> </w:t>
      </w:r>
    </w:p>
    <w:p w14:paraId="2A04E7F4" w14:textId="77777777" w:rsidR="00EE419E" w:rsidRPr="00EE419E" w:rsidRDefault="00EE419E" w:rsidP="009A384A">
      <w:pPr>
        <w:spacing w:after="120" w:line="228" w:lineRule="auto"/>
        <w:jc w:val="both"/>
        <w:rPr>
          <w:sz w:val="22"/>
          <w:szCs w:val="22"/>
        </w:rPr>
      </w:pPr>
    </w:p>
    <w:p w14:paraId="0689DC4F" w14:textId="77777777" w:rsidR="00EF1540" w:rsidRDefault="00EF1540" w:rsidP="00EE419E">
      <w:pPr>
        <w:pStyle w:val="H1"/>
        <w:spacing w:before="120" w:after="120"/>
        <w:rPr>
          <w:color w:val="8496B0" w:themeColor="text2" w:themeTint="99"/>
          <w:sz w:val="24"/>
          <w:szCs w:val="24"/>
        </w:rPr>
      </w:pPr>
      <w:r w:rsidRPr="00EE419E">
        <w:rPr>
          <w:color w:val="0070C0"/>
          <w:sz w:val="24"/>
          <w:szCs w:val="24"/>
        </w:rPr>
        <w:t>REFERENCES</w:t>
      </w:r>
    </w:p>
    <w:p w14:paraId="1B1D12E3" w14:textId="77777777" w:rsidR="000F7E45" w:rsidRDefault="001401E9" w:rsidP="000F7E45">
      <w:pPr>
        <w:autoSpaceDE w:val="0"/>
        <w:autoSpaceDN w:val="0"/>
        <w:adjustRightInd w:val="0"/>
        <w:jc w:val="both"/>
        <w:rPr>
          <w:sz w:val="20"/>
          <w:szCs w:val="20"/>
        </w:rPr>
      </w:pPr>
      <w:r w:rsidRPr="000F7E45">
        <w:rPr>
          <w:sz w:val="20"/>
          <w:szCs w:val="20"/>
        </w:rPr>
        <w:t xml:space="preserve">Abdallah, S.M.; Bressers, H.; Clancy, J.S. Energy reforms in the developing world: Sustainable </w:t>
      </w:r>
      <w:r w:rsidR="00EE419E" w:rsidRPr="000F7E45">
        <w:rPr>
          <w:sz w:val="20"/>
          <w:szCs w:val="20"/>
        </w:rPr>
        <w:t>Development</w:t>
      </w:r>
      <w:r w:rsidR="000F7E45">
        <w:rPr>
          <w:sz w:val="20"/>
          <w:szCs w:val="20"/>
        </w:rPr>
        <w:t xml:space="preserve"> </w:t>
      </w:r>
      <w:r w:rsidR="00EE419E" w:rsidRPr="000F7E45">
        <w:rPr>
          <w:sz w:val="20"/>
          <w:szCs w:val="20"/>
        </w:rPr>
        <w:t xml:space="preserve">Compromised </w:t>
      </w:r>
    </w:p>
    <w:p w14:paraId="2EB906D7" w14:textId="56B28ECC" w:rsidR="001401E9" w:rsidRPr="000F7E45" w:rsidRDefault="001401E9" w:rsidP="000F7E45">
      <w:pPr>
        <w:autoSpaceDE w:val="0"/>
        <w:autoSpaceDN w:val="0"/>
        <w:adjustRightInd w:val="0"/>
        <w:ind w:firstLine="720"/>
        <w:jc w:val="both"/>
        <w:rPr>
          <w:sz w:val="20"/>
          <w:szCs w:val="20"/>
        </w:rPr>
      </w:pPr>
      <w:r w:rsidRPr="000F7E45">
        <w:rPr>
          <w:sz w:val="20"/>
          <w:szCs w:val="20"/>
        </w:rPr>
        <w:t>Int. J. Sustain. Energy Plann. Manag. 2015, 5, 41–56.</w:t>
      </w:r>
    </w:p>
    <w:p w14:paraId="72DC3479" w14:textId="77777777" w:rsidR="000F7E45" w:rsidRDefault="001401E9" w:rsidP="000F7E45">
      <w:pPr>
        <w:autoSpaceDE w:val="0"/>
        <w:autoSpaceDN w:val="0"/>
        <w:adjustRightInd w:val="0"/>
        <w:jc w:val="both"/>
        <w:rPr>
          <w:sz w:val="20"/>
          <w:szCs w:val="20"/>
        </w:rPr>
      </w:pPr>
      <w:r w:rsidRPr="000F7E45">
        <w:rPr>
          <w:sz w:val="20"/>
          <w:szCs w:val="20"/>
        </w:rPr>
        <w:t xml:space="preserve">Abdullahi, A., Gujahar, R.D.R., Amodu, U.S. and Okeke, C.J. (2017), “Investigation of monthly global </w:t>
      </w:r>
      <w:r w:rsidR="00EE419E" w:rsidRPr="000F7E45">
        <w:rPr>
          <w:sz w:val="20"/>
          <w:szCs w:val="20"/>
        </w:rPr>
        <w:t>Solar</w:t>
      </w:r>
      <w:r w:rsidR="000F7E45">
        <w:rPr>
          <w:sz w:val="20"/>
          <w:szCs w:val="20"/>
        </w:rPr>
        <w:t xml:space="preserve"> </w:t>
      </w:r>
      <w:r w:rsidRPr="000F7E45">
        <w:rPr>
          <w:sz w:val="20"/>
          <w:szCs w:val="20"/>
        </w:rPr>
        <w:t xml:space="preserve">radiation of </w:t>
      </w:r>
    </w:p>
    <w:p w14:paraId="0B482B58" w14:textId="01A6B0E0" w:rsidR="001401E9" w:rsidRPr="000F7E45" w:rsidRDefault="001401E9" w:rsidP="000F7E45">
      <w:pPr>
        <w:autoSpaceDE w:val="0"/>
        <w:autoSpaceDN w:val="0"/>
        <w:adjustRightInd w:val="0"/>
        <w:ind w:firstLine="720"/>
        <w:jc w:val="both"/>
        <w:rPr>
          <w:sz w:val="20"/>
          <w:szCs w:val="20"/>
        </w:rPr>
      </w:pPr>
      <w:r w:rsidRPr="000F7E45">
        <w:rPr>
          <w:sz w:val="20"/>
          <w:szCs w:val="20"/>
        </w:rPr>
        <w:t>Plateau State, Nigeria”, International Journal of Development and Sustainability, Vol. 6 No. 8, pp. 914-923.</w:t>
      </w:r>
    </w:p>
    <w:p w14:paraId="4D66B0A2" w14:textId="77777777" w:rsidR="000F7E45" w:rsidRDefault="001401E9" w:rsidP="000F7E45">
      <w:pPr>
        <w:autoSpaceDE w:val="0"/>
        <w:autoSpaceDN w:val="0"/>
        <w:adjustRightInd w:val="0"/>
        <w:rPr>
          <w:sz w:val="20"/>
          <w:szCs w:val="20"/>
        </w:rPr>
      </w:pPr>
      <w:r w:rsidRPr="000F7E45">
        <w:rPr>
          <w:sz w:val="20"/>
          <w:szCs w:val="20"/>
        </w:rPr>
        <w:t xml:space="preserve">Aglietti G., T. Markvart, and A. Tatnall, “Solar power generation using high altitude platforms feasibility and viability,” </w:t>
      </w:r>
    </w:p>
    <w:p w14:paraId="6AB37C26" w14:textId="50C5C014" w:rsidR="001401E9" w:rsidRPr="000F7E45" w:rsidRDefault="001401E9" w:rsidP="000F7E45">
      <w:pPr>
        <w:autoSpaceDE w:val="0"/>
        <w:autoSpaceDN w:val="0"/>
        <w:adjustRightInd w:val="0"/>
        <w:ind w:firstLine="720"/>
        <w:rPr>
          <w:sz w:val="20"/>
          <w:szCs w:val="20"/>
        </w:rPr>
      </w:pPr>
      <w:r w:rsidRPr="000F7E45">
        <w:rPr>
          <w:sz w:val="20"/>
          <w:szCs w:val="20"/>
        </w:rPr>
        <w:t>Progress in Photovoltaics: Research and Applications, vol. 16, no. 4, pp. 349–359, 2008.</w:t>
      </w:r>
    </w:p>
    <w:p w14:paraId="0FB18051" w14:textId="77777777" w:rsidR="000F7E45" w:rsidRDefault="001401E9" w:rsidP="000F7E45">
      <w:pPr>
        <w:autoSpaceDE w:val="0"/>
        <w:autoSpaceDN w:val="0"/>
        <w:adjustRightInd w:val="0"/>
        <w:rPr>
          <w:sz w:val="20"/>
          <w:szCs w:val="20"/>
        </w:rPr>
      </w:pPr>
      <w:r w:rsidRPr="000F7E45">
        <w:rPr>
          <w:sz w:val="20"/>
          <w:szCs w:val="20"/>
        </w:rPr>
        <w:t xml:space="preserve">Ayobami Adedinni and Godwin Jimoh, Bridging the gap: Addressing energy poverty, inequality through renewable energy, </w:t>
      </w:r>
    </w:p>
    <w:p w14:paraId="171B4EA8" w14:textId="24B35ADC" w:rsidR="001401E9" w:rsidRPr="000F7E45" w:rsidRDefault="001401E9" w:rsidP="000F7E45">
      <w:pPr>
        <w:autoSpaceDE w:val="0"/>
        <w:autoSpaceDN w:val="0"/>
        <w:adjustRightInd w:val="0"/>
        <w:ind w:firstLine="720"/>
        <w:rPr>
          <w:sz w:val="20"/>
          <w:szCs w:val="20"/>
        </w:rPr>
      </w:pPr>
      <w:r w:rsidRPr="000F7E45">
        <w:rPr>
          <w:sz w:val="20"/>
          <w:szCs w:val="20"/>
        </w:rPr>
        <w:t>2024. Renewable energy association of Nigeria.</w:t>
      </w:r>
    </w:p>
    <w:p w14:paraId="4676BC1B" w14:textId="69AB97F9" w:rsidR="00EE419E" w:rsidRPr="000F7E45" w:rsidRDefault="001401E9" w:rsidP="00EE419E">
      <w:pPr>
        <w:autoSpaceDE w:val="0"/>
        <w:autoSpaceDN w:val="0"/>
        <w:adjustRightInd w:val="0"/>
        <w:jc w:val="both"/>
        <w:rPr>
          <w:sz w:val="20"/>
          <w:szCs w:val="20"/>
        </w:rPr>
      </w:pPr>
      <w:r w:rsidRPr="000F7E45">
        <w:rPr>
          <w:sz w:val="20"/>
          <w:szCs w:val="20"/>
        </w:rPr>
        <w:t xml:space="preserve">Christian Honsberg and Stuart Bowden, “Effects of temperature” </w:t>
      </w:r>
      <w:hyperlink r:id="rId18" w:history="1">
        <w:r w:rsidR="00EE419E" w:rsidRPr="000F7E45">
          <w:rPr>
            <w:rStyle w:val="Hyperlink"/>
            <w:sz w:val="20"/>
            <w:szCs w:val="20"/>
          </w:rPr>
          <w:t>http://pveducation.org/pvcdrom/effect-of-</w:t>
        </w:r>
      </w:hyperlink>
    </w:p>
    <w:p w14:paraId="02076392" w14:textId="48A9CC7A" w:rsidR="001401E9" w:rsidRPr="000F7E45" w:rsidRDefault="000F7E45" w:rsidP="00EE419E">
      <w:pPr>
        <w:autoSpaceDE w:val="0"/>
        <w:autoSpaceDN w:val="0"/>
        <w:adjustRightInd w:val="0"/>
        <w:ind w:firstLine="720"/>
        <w:jc w:val="both"/>
        <w:rPr>
          <w:sz w:val="20"/>
          <w:szCs w:val="20"/>
        </w:rPr>
      </w:pPr>
      <w:r w:rsidRPr="000F7E45">
        <w:rPr>
          <w:sz w:val="20"/>
          <w:szCs w:val="20"/>
        </w:rPr>
        <w:t>Temperature</w:t>
      </w:r>
      <w:r w:rsidR="001401E9" w:rsidRPr="000F7E45">
        <w:rPr>
          <w:sz w:val="20"/>
          <w:szCs w:val="20"/>
        </w:rPr>
        <w:t>, [visited Oct. 10, 2017].</w:t>
      </w:r>
    </w:p>
    <w:p w14:paraId="14B834C3" w14:textId="77777777" w:rsidR="000F7E45" w:rsidRDefault="001401E9" w:rsidP="000F7E45">
      <w:pPr>
        <w:autoSpaceDE w:val="0"/>
        <w:autoSpaceDN w:val="0"/>
        <w:adjustRightInd w:val="0"/>
        <w:jc w:val="both"/>
        <w:rPr>
          <w:sz w:val="20"/>
          <w:szCs w:val="20"/>
        </w:rPr>
      </w:pPr>
      <w:r w:rsidRPr="000F7E45">
        <w:rPr>
          <w:sz w:val="20"/>
          <w:szCs w:val="20"/>
        </w:rPr>
        <w:t>Chowdhury, T, Chowdhury, H., Chowdhury, Pi., Sait, S.M., Paul, A., 2020. A case study to the application</w:t>
      </w:r>
      <w:r w:rsidR="000F7E45">
        <w:rPr>
          <w:sz w:val="20"/>
          <w:szCs w:val="20"/>
        </w:rPr>
        <w:t xml:space="preserve"> </w:t>
      </w:r>
      <w:r w:rsidRPr="000F7E45">
        <w:rPr>
          <w:sz w:val="20"/>
          <w:szCs w:val="20"/>
        </w:rPr>
        <w:t xml:space="preserve">of exergy-based </w:t>
      </w:r>
    </w:p>
    <w:p w14:paraId="708386CB" w14:textId="1D8865DB" w:rsidR="001401E9" w:rsidRPr="000F7E45" w:rsidRDefault="001401E9" w:rsidP="000F7E45">
      <w:pPr>
        <w:autoSpaceDE w:val="0"/>
        <w:autoSpaceDN w:val="0"/>
        <w:adjustRightInd w:val="0"/>
        <w:ind w:left="720"/>
        <w:jc w:val="both"/>
        <w:rPr>
          <w:sz w:val="20"/>
          <w:szCs w:val="20"/>
        </w:rPr>
      </w:pPr>
      <w:r w:rsidRPr="000F7E45">
        <w:rPr>
          <w:sz w:val="20"/>
          <w:szCs w:val="20"/>
        </w:rPr>
        <w:t>indicators to address the sustainability of Bangladesh residential sector. Sustainable Energy Technologies and Assessments 37, 100615.</w:t>
      </w:r>
    </w:p>
    <w:p w14:paraId="0098A69B" w14:textId="77777777" w:rsidR="000F7E45" w:rsidRDefault="001401E9" w:rsidP="000F7E45">
      <w:pPr>
        <w:autoSpaceDE w:val="0"/>
        <w:autoSpaceDN w:val="0"/>
        <w:adjustRightInd w:val="0"/>
        <w:jc w:val="both"/>
        <w:rPr>
          <w:sz w:val="20"/>
          <w:szCs w:val="20"/>
        </w:rPr>
      </w:pPr>
      <w:r w:rsidRPr="000F7E45">
        <w:rPr>
          <w:sz w:val="20"/>
          <w:szCs w:val="20"/>
        </w:rPr>
        <w:t xml:space="preserve">Dajuma A., Saleye Y., Siaka T., Arona D., Rabani A., Abdourahamane K., Mariama S., and Michel G. (2016) Sensitivity of </w:t>
      </w:r>
    </w:p>
    <w:p w14:paraId="00D717C6" w14:textId="1E501093" w:rsidR="001401E9" w:rsidRPr="000F7E45" w:rsidRDefault="001401E9" w:rsidP="000F7E45">
      <w:pPr>
        <w:autoSpaceDE w:val="0"/>
        <w:autoSpaceDN w:val="0"/>
        <w:adjustRightInd w:val="0"/>
        <w:ind w:left="720"/>
        <w:jc w:val="both"/>
        <w:rPr>
          <w:sz w:val="20"/>
          <w:szCs w:val="20"/>
        </w:rPr>
      </w:pPr>
      <w:r w:rsidRPr="000F7E45">
        <w:rPr>
          <w:sz w:val="20"/>
          <w:szCs w:val="20"/>
        </w:rPr>
        <w:t xml:space="preserve">Solar Photovoltaic Panel Efficiency to Weather and Dust over West Africa:  Comparative Experimental Study between Niamey (Niger) and Abidjan (Côte d’Ivoire). Computational Water, Energy, and Environmental Engineering, 5, 123- 147. </w:t>
      </w:r>
      <w:hyperlink r:id="rId19">
        <w:r w:rsidRPr="000F7E45">
          <w:rPr>
            <w:rStyle w:val="Hyperlink"/>
            <w:sz w:val="20"/>
            <w:szCs w:val="20"/>
          </w:rPr>
          <w:t>http://dx.doi.org/10.4236/cweee.2016.54012</w:t>
        </w:r>
      </w:hyperlink>
      <w:r w:rsidRPr="000F7E45">
        <w:rPr>
          <w:sz w:val="20"/>
          <w:szCs w:val="20"/>
        </w:rPr>
        <w:t>.</w:t>
      </w:r>
    </w:p>
    <w:p w14:paraId="6206729B" w14:textId="77777777" w:rsidR="000F7E45" w:rsidRDefault="001401E9" w:rsidP="000F7E45">
      <w:pPr>
        <w:autoSpaceDE w:val="0"/>
        <w:autoSpaceDN w:val="0"/>
        <w:adjustRightInd w:val="0"/>
        <w:jc w:val="both"/>
        <w:rPr>
          <w:sz w:val="20"/>
          <w:szCs w:val="20"/>
        </w:rPr>
      </w:pPr>
      <w:r w:rsidRPr="000F7E45">
        <w:rPr>
          <w:sz w:val="20"/>
          <w:szCs w:val="20"/>
        </w:rPr>
        <w:t>Dash P K, Gupta</w:t>
      </w:r>
      <w:r w:rsidR="00E866D8" w:rsidRPr="000F7E45">
        <w:rPr>
          <w:sz w:val="20"/>
          <w:szCs w:val="20"/>
        </w:rPr>
        <w:t xml:space="preserve"> N C</w:t>
      </w:r>
      <w:r w:rsidRPr="000F7E45">
        <w:rPr>
          <w:sz w:val="20"/>
          <w:szCs w:val="20"/>
        </w:rPr>
        <w:t xml:space="preserve">, 2015, Effect of Temperature on Power Output from Different Commercially available Photovoltaic </w:t>
      </w:r>
    </w:p>
    <w:p w14:paraId="56B7C6D8" w14:textId="1EF61814" w:rsidR="001401E9" w:rsidRPr="000F7E45" w:rsidRDefault="001401E9" w:rsidP="000F7E45">
      <w:pPr>
        <w:autoSpaceDE w:val="0"/>
        <w:autoSpaceDN w:val="0"/>
        <w:adjustRightInd w:val="0"/>
        <w:ind w:left="720"/>
        <w:jc w:val="both"/>
        <w:rPr>
          <w:sz w:val="20"/>
          <w:szCs w:val="20"/>
        </w:rPr>
      </w:pPr>
      <w:r w:rsidRPr="000F7E45">
        <w:rPr>
          <w:sz w:val="20"/>
          <w:szCs w:val="20"/>
        </w:rPr>
        <w:t xml:space="preserve">Modules. Journal of Engineering Research and Applications. </w:t>
      </w:r>
      <w:proofErr w:type="gramStart"/>
      <w:r w:rsidRPr="000F7E45">
        <w:rPr>
          <w:sz w:val="20"/>
          <w:szCs w:val="20"/>
        </w:rPr>
        <w:t>ISSN :</w:t>
      </w:r>
      <w:proofErr w:type="gramEnd"/>
      <w:r w:rsidRPr="000F7E45">
        <w:rPr>
          <w:sz w:val="20"/>
          <w:szCs w:val="20"/>
        </w:rPr>
        <w:t xml:space="preserve"> 2248-9622, Vol. 5, Issue 1( Part 1), January 2015, pp.148-151.</w:t>
      </w:r>
    </w:p>
    <w:p w14:paraId="30BAFF46" w14:textId="77777777" w:rsidR="000F7E45" w:rsidRDefault="001401E9" w:rsidP="000F7E45">
      <w:pPr>
        <w:autoSpaceDE w:val="0"/>
        <w:autoSpaceDN w:val="0"/>
        <w:adjustRightInd w:val="0"/>
        <w:jc w:val="both"/>
        <w:rPr>
          <w:sz w:val="20"/>
          <w:szCs w:val="20"/>
        </w:rPr>
      </w:pPr>
      <w:r w:rsidRPr="000F7E45">
        <w:rPr>
          <w:sz w:val="20"/>
          <w:szCs w:val="20"/>
        </w:rPr>
        <w:t>Ezealigo, U.S.; Ezealigo, B.N.; Kemausuor, F.; Achenie, L.E.K.; Onwualu, A.P. Biomass Valorization to Bioenergy:</w:t>
      </w:r>
      <w:r w:rsidR="00873B25" w:rsidRPr="000F7E45">
        <w:rPr>
          <w:sz w:val="20"/>
          <w:szCs w:val="20"/>
        </w:rPr>
        <w:t xml:space="preserve"> </w:t>
      </w:r>
    </w:p>
    <w:p w14:paraId="635423FC" w14:textId="4E9D4ADE" w:rsidR="001401E9" w:rsidRPr="000F7E45" w:rsidRDefault="001401E9" w:rsidP="000F7E45">
      <w:pPr>
        <w:autoSpaceDE w:val="0"/>
        <w:autoSpaceDN w:val="0"/>
        <w:adjustRightInd w:val="0"/>
        <w:ind w:left="720"/>
        <w:jc w:val="both"/>
        <w:rPr>
          <w:sz w:val="20"/>
          <w:szCs w:val="20"/>
        </w:rPr>
      </w:pPr>
      <w:r w:rsidRPr="000F7E45">
        <w:rPr>
          <w:sz w:val="20"/>
          <w:szCs w:val="20"/>
        </w:rPr>
        <w:t xml:space="preserve">Assessment of Biomass Residues’ Availability and Bioenergy Potential in Nigeria. Sustainability 2021, 13, 13806. </w:t>
      </w:r>
      <w:hyperlink r:id="rId20" w:history="1">
        <w:r w:rsidR="000F7E45" w:rsidRPr="0001107A">
          <w:rPr>
            <w:rStyle w:val="Hyperlink"/>
            <w:sz w:val="20"/>
            <w:szCs w:val="20"/>
          </w:rPr>
          <w:t>https://doi.org/10.3390/su132413806</w:t>
        </w:r>
      </w:hyperlink>
      <w:r w:rsidRPr="000F7E45">
        <w:rPr>
          <w:sz w:val="20"/>
          <w:szCs w:val="20"/>
        </w:rPr>
        <w:t>.</w:t>
      </w:r>
    </w:p>
    <w:p w14:paraId="10CFDE6D" w14:textId="77777777" w:rsidR="00DE4DF3" w:rsidRDefault="001401E9" w:rsidP="000F7E45">
      <w:pPr>
        <w:autoSpaceDE w:val="0"/>
        <w:autoSpaceDN w:val="0"/>
        <w:adjustRightInd w:val="0"/>
        <w:jc w:val="both"/>
        <w:rPr>
          <w:sz w:val="20"/>
          <w:szCs w:val="20"/>
        </w:rPr>
      </w:pPr>
      <w:r w:rsidRPr="000F7E45">
        <w:rPr>
          <w:sz w:val="20"/>
          <w:szCs w:val="20"/>
        </w:rPr>
        <w:t xml:space="preserve">Holechek, J.L.; Geli, H.M.E.; Sawalhah, M.N.; Valdez, R. A Global Assessment: Can Renewable Energy Replace Fossil Fuels </w:t>
      </w:r>
    </w:p>
    <w:p w14:paraId="2DF565D8" w14:textId="372B3CFF" w:rsidR="001401E9" w:rsidRPr="000F7E45" w:rsidRDefault="001401E9" w:rsidP="00DE4DF3">
      <w:pPr>
        <w:autoSpaceDE w:val="0"/>
        <w:autoSpaceDN w:val="0"/>
        <w:adjustRightInd w:val="0"/>
        <w:ind w:firstLine="720"/>
        <w:jc w:val="both"/>
        <w:rPr>
          <w:sz w:val="20"/>
          <w:szCs w:val="20"/>
        </w:rPr>
      </w:pPr>
      <w:r w:rsidRPr="000F7E45">
        <w:rPr>
          <w:sz w:val="20"/>
          <w:szCs w:val="20"/>
        </w:rPr>
        <w:t xml:space="preserve">by 2050? Sustainability 2022, 14, 4792. </w:t>
      </w:r>
      <w:hyperlink r:id="rId21" w:history="1">
        <w:r w:rsidRPr="000F7E45">
          <w:rPr>
            <w:rStyle w:val="Hyperlink"/>
            <w:sz w:val="20"/>
            <w:szCs w:val="20"/>
          </w:rPr>
          <w:t>https://doi.org/10.3390/su14084792</w:t>
        </w:r>
      </w:hyperlink>
    </w:p>
    <w:p w14:paraId="41303DBF" w14:textId="77777777" w:rsidR="000F7E45" w:rsidRDefault="001401E9" w:rsidP="00EE419E">
      <w:pPr>
        <w:autoSpaceDE w:val="0"/>
        <w:autoSpaceDN w:val="0"/>
        <w:adjustRightInd w:val="0"/>
        <w:jc w:val="both"/>
        <w:rPr>
          <w:sz w:val="20"/>
          <w:szCs w:val="20"/>
        </w:rPr>
      </w:pPr>
      <w:r w:rsidRPr="000F7E45">
        <w:rPr>
          <w:sz w:val="20"/>
          <w:szCs w:val="20"/>
        </w:rPr>
        <w:t xml:space="preserve">Igbokwe, V.C., Ezugworie, F.N., Onwosi, C.O., Aliyu, G.O., Obi, C.J., 2022. Biochemical reﬁnery: a low-cost </w:t>
      </w:r>
      <w:r w:rsidR="00873B25" w:rsidRPr="000F7E45">
        <w:rPr>
          <w:sz w:val="20"/>
          <w:szCs w:val="20"/>
        </w:rPr>
        <w:t>a</w:t>
      </w:r>
      <w:r w:rsidRPr="000F7E45">
        <w:rPr>
          <w:sz w:val="20"/>
          <w:szCs w:val="20"/>
        </w:rPr>
        <w:t xml:space="preserve">nd non-waste </w:t>
      </w:r>
    </w:p>
    <w:p w14:paraId="3A50ED81" w14:textId="341C6A8C" w:rsidR="001401E9" w:rsidRPr="000F7E45" w:rsidRDefault="001401E9" w:rsidP="000F7E45">
      <w:pPr>
        <w:autoSpaceDE w:val="0"/>
        <w:autoSpaceDN w:val="0"/>
        <w:adjustRightInd w:val="0"/>
        <w:ind w:firstLine="720"/>
        <w:jc w:val="both"/>
        <w:rPr>
          <w:sz w:val="20"/>
          <w:szCs w:val="20"/>
        </w:rPr>
      </w:pPr>
      <w:r w:rsidRPr="000F7E45">
        <w:rPr>
          <w:sz w:val="20"/>
          <w:szCs w:val="20"/>
        </w:rPr>
        <w:t>concept for promoting sustainable circular bioeconomy. J. Environ. Manag. 305, 114333.</w:t>
      </w:r>
    </w:p>
    <w:p w14:paraId="7E5F8567" w14:textId="77777777" w:rsidR="00873B25" w:rsidRPr="000F7E45" w:rsidRDefault="001401E9" w:rsidP="00EE419E">
      <w:pPr>
        <w:autoSpaceDE w:val="0"/>
        <w:autoSpaceDN w:val="0"/>
        <w:adjustRightInd w:val="0"/>
        <w:jc w:val="both"/>
        <w:rPr>
          <w:sz w:val="20"/>
          <w:szCs w:val="20"/>
        </w:rPr>
      </w:pPr>
      <w:r w:rsidRPr="000F7E45">
        <w:rPr>
          <w:sz w:val="20"/>
          <w:szCs w:val="20"/>
        </w:rPr>
        <w:t>Kazem H. A., Al-Waeli A. H. A., Al-Mamari A. S. A., Al-Kabi A. H. K., Chaichan M. T.,</w:t>
      </w:r>
    </w:p>
    <w:p w14:paraId="4DB44621" w14:textId="318DB562" w:rsidR="001401E9" w:rsidRPr="000F7E45" w:rsidRDefault="001401E9" w:rsidP="00EE419E">
      <w:pPr>
        <w:autoSpaceDE w:val="0"/>
        <w:autoSpaceDN w:val="0"/>
        <w:adjustRightInd w:val="0"/>
        <w:ind w:left="720" w:firstLine="60"/>
        <w:jc w:val="both"/>
        <w:rPr>
          <w:sz w:val="20"/>
          <w:szCs w:val="20"/>
        </w:rPr>
      </w:pPr>
      <w:r w:rsidRPr="000F7E45">
        <w:rPr>
          <w:sz w:val="20"/>
          <w:szCs w:val="20"/>
        </w:rPr>
        <w:t>"A Photovoltaic Application in Car Parking Lights with Recycled Batteries: A Techno-Economic Study," Australian Journal of Basic and Applied Science, IX (36), pp. 43-49, 2015.</w:t>
      </w:r>
    </w:p>
    <w:p w14:paraId="17F338C8" w14:textId="77777777" w:rsidR="001401E9" w:rsidRPr="000F7E45" w:rsidRDefault="001401E9" w:rsidP="00EE419E">
      <w:pPr>
        <w:autoSpaceDE w:val="0"/>
        <w:autoSpaceDN w:val="0"/>
        <w:adjustRightInd w:val="0"/>
        <w:jc w:val="both"/>
        <w:rPr>
          <w:sz w:val="20"/>
          <w:szCs w:val="20"/>
        </w:rPr>
      </w:pPr>
      <w:r w:rsidRPr="000F7E45">
        <w:rPr>
          <w:sz w:val="20"/>
          <w:szCs w:val="20"/>
        </w:rPr>
        <w:t>Lior, N. Sustainable energy development (May 2011) with some game-changers. Energy 2012, 40, 3–18. [CrossRef]</w:t>
      </w:r>
    </w:p>
    <w:p w14:paraId="54C9FF41" w14:textId="77777777" w:rsidR="00DE4DF3" w:rsidRDefault="001401E9" w:rsidP="00DE4DF3">
      <w:pPr>
        <w:autoSpaceDE w:val="0"/>
        <w:autoSpaceDN w:val="0"/>
        <w:adjustRightInd w:val="0"/>
        <w:jc w:val="both"/>
        <w:rPr>
          <w:sz w:val="20"/>
          <w:szCs w:val="20"/>
        </w:rPr>
      </w:pPr>
      <w:r w:rsidRPr="000F7E45">
        <w:rPr>
          <w:sz w:val="20"/>
          <w:szCs w:val="20"/>
        </w:rPr>
        <w:t xml:space="preserve">Manoj Kumar Panjwani, Ghous Bukshsh Narejo, Effect of Altitude on the Efficiency of Solar Panel. International Journal of </w:t>
      </w:r>
    </w:p>
    <w:p w14:paraId="68D60D7F" w14:textId="12FB7BD3" w:rsidR="001401E9" w:rsidRPr="000F7E45" w:rsidRDefault="001401E9" w:rsidP="00DE4DF3">
      <w:pPr>
        <w:autoSpaceDE w:val="0"/>
        <w:autoSpaceDN w:val="0"/>
        <w:adjustRightInd w:val="0"/>
        <w:ind w:firstLine="720"/>
        <w:jc w:val="both"/>
        <w:rPr>
          <w:sz w:val="20"/>
          <w:szCs w:val="20"/>
        </w:rPr>
      </w:pPr>
      <w:r w:rsidRPr="000F7E45">
        <w:rPr>
          <w:sz w:val="20"/>
          <w:szCs w:val="20"/>
        </w:rPr>
        <w:t>Engineering Research and General Science Volume 2, Issue 4, June-July, 2014 ISSN 2091-2730.</w:t>
      </w:r>
    </w:p>
    <w:p w14:paraId="43037584" w14:textId="77777777" w:rsidR="00DE4DF3" w:rsidRDefault="00DE4DF3" w:rsidP="000F7E45">
      <w:pPr>
        <w:autoSpaceDE w:val="0"/>
        <w:autoSpaceDN w:val="0"/>
        <w:adjustRightInd w:val="0"/>
        <w:jc w:val="both"/>
        <w:rPr>
          <w:sz w:val="20"/>
          <w:szCs w:val="20"/>
        </w:rPr>
      </w:pPr>
    </w:p>
    <w:p w14:paraId="3DCDDB3C" w14:textId="645243E4" w:rsidR="000F7E45" w:rsidRDefault="001401E9" w:rsidP="000F7E45">
      <w:pPr>
        <w:autoSpaceDE w:val="0"/>
        <w:autoSpaceDN w:val="0"/>
        <w:adjustRightInd w:val="0"/>
        <w:jc w:val="both"/>
        <w:rPr>
          <w:sz w:val="20"/>
          <w:szCs w:val="20"/>
        </w:rPr>
      </w:pPr>
      <w:r w:rsidRPr="000F7E45">
        <w:rPr>
          <w:sz w:val="20"/>
          <w:szCs w:val="20"/>
        </w:rPr>
        <w:t xml:space="preserve">Maren Mallo Daniel, s. Wapwera, Celina Onugba Omogor, land reform implementation and its impact on the registration of </w:t>
      </w:r>
    </w:p>
    <w:p w14:paraId="76D0ADDB" w14:textId="0F0494D1" w:rsidR="001401E9" w:rsidRPr="000F7E45" w:rsidRDefault="001401E9" w:rsidP="000F7E45">
      <w:pPr>
        <w:autoSpaceDE w:val="0"/>
        <w:autoSpaceDN w:val="0"/>
        <w:adjustRightInd w:val="0"/>
        <w:ind w:firstLine="720"/>
        <w:jc w:val="both"/>
        <w:rPr>
          <w:sz w:val="20"/>
          <w:szCs w:val="20"/>
        </w:rPr>
      </w:pPr>
      <w:r w:rsidRPr="000F7E45">
        <w:rPr>
          <w:sz w:val="20"/>
          <w:szCs w:val="20"/>
        </w:rPr>
        <w:t>property title and instrument in greater Jos Metropolis, Nigeria: 2016.</w:t>
      </w:r>
    </w:p>
    <w:p w14:paraId="356232DF" w14:textId="77777777" w:rsidR="000F7E45" w:rsidRDefault="001401E9" w:rsidP="000F7E45">
      <w:pPr>
        <w:autoSpaceDE w:val="0"/>
        <w:autoSpaceDN w:val="0"/>
        <w:adjustRightInd w:val="0"/>
        <w:jc w:val="both"/>
        <w:rPr>
          <w:sz w:val="20"/>
          <w:szCs w:val="20"/>
        </w:rPr>
      </w:pPr>
      <w:r w:rsidRPr="000F7E45">
        <w:rPr>
          <w:sz w:val="20"/>
          <w:szCs w:val="20"/>
        </w:rPr>
        <w:t xml:space="preserve">Mas’ud, A.A.; Vernyuy Wirba, A.; Muhammad-Sukki, F.; Mas’ud, I.A.; Munir, A.B.; Md Yunus, N. An assessment of </w:t>
      </w:r>
    </w:p>
    <w:p w14:paraId="0EDB4119" w14:textId="77777777" w:rsidR="000F7E45" w:rsidRDefault="001401E9" w:rsidP="000F7E45">
      <w:pPr>
        <w:autoSpaceDE w:val="0"/>
        <w:autoSpaceDN w:val="0"/>
        <w:adjustRightInd w:val="0"/>
        <w:ind w:firstLine="720"/>
        <w:jc w:val="both"/>
        <w:rPr>
          <w:sz w:val="20"/>
          <w:szCs w:val="20"/>
        </w:rPr>
      </w:pPr>
      <w:r w:rsidRPr="000F7E45">
        <w:rPr>
          <w:sz w:val="20"/>
          <w:szCs w:val="20"/>
        </w:rPr>
        <w:t xml:space="preserve">renewable energy readiness in Africa: Case study of Nigeria and Cameroon. Renew. Sustain. Energy Rev. 2015, 51, </w:t>
      </w:r>
    </w:p>
    <w:p w14:paraId="3EAA99E7" w14:textId="1346669D" w:rsidR="001401E9" w:rsidRPr="000F7E45" w:rsidRDefault="001401E9" w:rsidP="000F7E45">
      <w:pPr>
        <w:autoSpaceDE w:val="0"/>
        <w:autoSpaceDN w:val="0"/>
        <w:adjustRightInd w:val="0"/>
        <w:ind w:firstLine="720"/>
        <w:jc w:val="both"/>
        <w:rPr>
          <w:sz w:val="20"/>
          <w:szCs w:val="20"/>
        </w:rPr>
      </w:pPr>
      <w:r w:rsidRPr="000F7E45">
        <w:rPr>
          <w:sz w:val="20"/>
          <w:szCs w:val="20"/>
        </w:rPr>
        <w:t>775–784. [CrossRef]</w:t>
      </w:r>
    </w:p>
    <w:p w14:paraId="066064D2" w14:textId="77777777" w:rsidR="00DE4DF3" w:rsidRDefault="001401E9" w:rsidP="00DE4DF3">
      <w:pPr>
        <w:autoSpaceDE w:val="0"/>
        <w:autoSpaceDN w:val="0"/>
        <w:adjustRightInd w:val="0"/>
        <w:jc w:val="both"/>
        <w:rPr>
          <w:sz w:val="20"/>
          <w:szCs w:val="20"/>
        </w:rPr>
      </w:pPr>
      <w:r w:rsidRPr="000F7E45">
        <w:rPr>
          <w:sz w:val="20"/>
          <w:szCs w:val="20"/>
        </w:rPr>
        <w:t xml:space="preserve">Mugdha V Dambhare, Bhavana Butey and S V Moharil, Solar photovoltaic technology: A review of different types of solar </w:t>
      </w:r>
    </w:p>
    <w:p w14:paraId="6B72ED5B" w14:textId="719BF058" w:rsidR="001401E9" w:rsidRPr="000F7E45" w:rsidRDefault="001401E9" w:rsidP="00DE4DF3">
      <w:pPr>
        <w:autoSpaceDE w:val="0"/>
        <w:autoSpaceDN w:val="0"/>
        <w:adjustRightInd w:val="0"/>
        <w:ind w:left="720"/>
        <w:jc w:val="both"/>
        <w:rPr>
          <w:sz w:val="20"/>
          <w:szCs w:val="20"/>
        </w:rPr>
      </w:pPr>
      <w:r w:rsidRPr="000F7E45">
        <w:rPr>
          <w:sz w:val="20"/>
          <w:szCs w:val="20"/>
        </w:rPr>
        <w:t xml:space="preserve">cells and its future trends. Published under licence by IOP Publishing Ltd Journal of Physics: Conference Series, Volume 1913, International Conference on Research Frontiers in Sciences (ICRFS 2021) </w:t>
      </w:r>
    </w:p>
    <w:p w14:paraId="31DF09C3" w14:textId="33309FE5" w:rsidR="001401E9" w:rsidRPr="000F7E45" w:rsidRDefault="001401E9" w:rsidP="00EE419E">
      <w:pPr>
        <w:autoSpaceDE w:val="0"/>
        <w:autoSpaceDN w:val="0"/>
        <w:adjustRightInd w:val="0"/>
        <w:ind w:firstLine="720"/>
        <w:jc w:val="both"/>
        <w:rPr>
          <w:sz w:val="20"/>
          <w:szCs w:val="20"/>
        </w:rPr>
      </w:pPr>
      <w:r w:rsidRPr="000F7E45">
        <w:rPr>
          <w:sz w:val="20"/>
          <w:szCs w:val="20"/>
        </w:rPr>
        <w:t>5th-6th February 2021, Nagpur, DOI 10.1088/1742-6596/1913/1/012053.</w:t>
      </w:r>
    </w:p>
    <w:p w14:paraId="503752EC" w14:textId="77777777" w:rsidR="00DE4DF3" w:rsidRDefault="001401E9" w:rsidP="00DE4DF3">
      <w:pPr>
        <w:autoSpaceDE w:val="0"/>
        <w:autoSpaceDN w:val="0"/>
        <w:adjustRightInd w:val="0"/>
        <w:jc w:val="both"/>
        <w:rPr>
          <w:sz w:val="20"/>
          <w:szCs w:val="20"/>
        </w:rPr>
      </w:pPr>
      <w:r w:rsidRPr="000F7E45">
        <w:rPr>
          <w:sz w:val="20"/>
          <w:szCs w:val="20"/>
        </w:rPr>
        <w:t xml:space="preserve">Ndukwu, M.C, Bassey, B., Okon, F.I., Abam, B., Lamrani, N., Bekkioui, H., Wu, L., Bennamoun, U., Egwu, C.N., Ezewuisi, </w:t>
      </w:r>
    </w:p>
    <w:p w14:paraId="54864552" w14:textId="50651083" w:rsidR="001401E9" w:rsidRPr="000F7E45" w:rsidRDefault="001401E9" w:rsidP="00DE4DF3">
      <w:pPr>
        <w:autoSpaceDE w:val="0"/>
        <w:autoSpaceDN w:val="0"/>
        <w:adjustRightInd w:val="0"/>
        <w:ind w:left="720"/>
        <w:jc w:val="both"/>
        <w:rPr>
          <w:sz w:val="20"/>
          <w:szCs w:val="20"/>
        </w:rPr>
      </w:pPr>
      <w:r w:rsidRPr="000F7E45">
        <w:rPr>
          <w:sz w:val="20"/>
          <w:szCs w:val="20"/>
        </w:rPr>
        <w:t>C.B., Ndukwe, C., Nwachukwu, J., Ehiem, C.,2022. Energy and exergy analysis of solar dryer with triple air passage direction collector powered by a wind generator. International Journal of Energy and Environmental Engineering doi:10.1007/s40095-022-00502-8.</w:t>
      </w:r>
    </w:p>
    <w:p w14:paraId="05D59D7D" w14:textId="77777777" w:rsidR="000F7E45" w:rsidRDefault="001401E9" w:rsidP="000F7E45">
      <w:pPr>
        <w:autoSpaceDE w:val="0"/>
        <w:autoSpaceDN w:val="0"/>
        <w:adjustRightInd w:val="0"/>
        <w:jc w:val="both"/>
        <w:rPr>
          <w:sz w:val="20"/>
          <w:szCs w:val="20"/>
        </w:rPr>
      </w:pPr>
      <w:r w:rsidRPr="000F7E45">
        <w:rPr>
          <w:sz w:val="20"/>
          <w:szCs w:val="20"/>
        </w:rPr>
        <w:t>Ndukwu, M.</w:t>
      </w:r>
      <w:r w:rsidR="008C2FC4" w:rsidRPr="000F7E45">
        <w:rPr>
          <w:sz w:val="20"/>
          <w:szCs w:val="20"/>
        </w:rPr>
        <w:t xml:space="preserve"> </w:t>
      </w:r>
      <w:r w:rsidRPr="000F7E45">
        <w:rPr>
          <w:sz w:val="20"/>
          <w:szCs w:val="20"/>
        </w:rPr>
        <w:t xml:space="preserve">C., Onwude, D.I., Bennamoun, L., Abam, F.I., Simo-Tagne, M., Horsfall, I.T., Briggs, T.A., 2020. Nigeria’s </w:t>
      </w:r>
    </w:p>
    <w:p w14:paraId="3E1E3F91" w14:textId="587E7183" w:rsidR="001401E9" w:rsidRPr="000F7E45" w:rsidRDefault="001401E9" w:rsidP="000F7E45">
      <w:pPr>
        <w:autoSpaceDE w:val="0"/>
        <w:autoSpaceDN w:val="0"/>
        <w:adjustRightInd w:val="0"/>
        <w:ind w:left="720"/>
        <w:jc w:val="both"/>
        <w:rPr>
          <w:sz w:val="20"/>
          <w:szCs w:val="20"/>
        </w:rPr>
      </w:pPr>
      <w:r w:rsidRPr="000F7E45">
        <w:rPr>
          <w:sz w:val="20"/>
          <w:szCs w:val="20"/>
        </w:rPr>
        <w:t>Energy deﬁcit: The challenges and Eco-friendly approach in reducing the energy gap. International Journal of Sustainable Engineering doi:10.1080/19397038.2020.1842546.</w:t>
      </w:r>
    </w:p>
    <w:p w14:paraId="29B9CE5B" w14:textId="77777777" w:rsidR="000F7E45" w:rsidRDefault="001401E9" w:rsidP="000F7E45">
      <w:pPr>
        <w:autoSpaceDE w:val="0"/>
        <w:autoSpaceDN w:val="0"/>
        <w:adjustRightInd w:val="0"/>
        <w:jc w:val="both"/>
        <w:rPr>
          <w:sz w:val="20"/>
          <w:szCs w:val="20"/>
        </w:rPr>
      </w:pPr>
      <w:r w:rsidRPr="000F7E45">
        <w:rPr>
          <w:sz w:val="20"/>
          <w:szCs w:val="20"/>
        </w:rPr>
        <w:t>Ogunjo S. T., Obafaye</w:t>
      </w:r>
      <w:r w:rsidR="008C2FC4" w:rsidRPr="000F7E45">
        <w:rPr>
          <w:sz w:val="20"/>
          <w:szCs w:val="20"/>
        </w:rPr>
        <w:t xml:space="preserve"> A A</w:t>
      </w:r>
      <w:r w:rsidRPr="000F7E45">
        <w:rPr>
          <w:sz w:val="20"/>
          <w:szCs w:val="20"/>
        </w:rPr>
        <w:t xml:space="preserve">, and A B Rabiu 2020, Solar energy potentials in different climatic zones of Nigeria. IOP Conference </w:t>
      </w:r>
    </w:p>
    <w:p w14:paraId="29798348" w14:textId="4F707EB5" w:rsidR="001401E9" w:rsidRPr="000F7E45" w:rsidRDefault="001401E9" w:rsidP="000F7E45">
      <w:pPr>
        <w:autoSpaceDE w:val="0"/>
        <w:autoSpaceDN w:val="0"/>
        <w:adjustRightInd w:val="0"/>
        <w:ind w:firstLine="720"/>
        <w:jc w:val="both"/>
        <w:rPr>
          <w:sz w:val="20"/>
          <w:szCs w:val="20"/>
        </w:rPr>
      </w:pPr>
      <w:r w:rsidRPr="000F7E45">
        <w:rPr>
          <w:sz w:val="20"/>
          <w:szCs w:val="20"/>
        </w:rPr>
        <w:t>Series: Materials Science and Engineering, 1032 (2020) 012040, doi:10.1088/1757-899X/1032/1/012040.</w:t>
      </w:r>
    </w:p>
    <w:p w14:paraId="692A2C3F" w14:textId="77777777" w:rsidR="000F7E45" w:rsidRDefault="001401E9" w:rsidP="000F7E45">
      <w:pPr>
        <w:autoSpaceDE w:val="0"/>
        <w:autoSpaceDN w:val="0"/>
        <w:adjustRightInd w:val="0"/>
        <w:jc w:val="both"/>
        <w:rPr>
          <w:sz w:val="20"/>
          <w:szCs w:val="20"/>
        </w:rPr>
      </w:pPr>
      <w:r w:rsidRPr="000F7E45">
        <w:rPr>
          <w:sz w:val="20"/>
          <w:szCs w:val="20"/>
        </w:rPr>
        <w:t>Orisaleye, J.; Ismail, Ogbonnaya</w:t>
      </w:r>
      <w:r w:rsidR="008C2FC4" w:rsidRPr="000F7E45">
        <w:rPr>
          <w:sz w:val="20"/>
          <w:szCs w:val="20"/>
        </w:rPr>
        <w:t xml:space="preserve"> S.</w:t>
      </w:r>
      <w:r w:rsidRPr="000F7E45">
        <w:rPr>
          <w:sz w:val="20"/>
          <w:szCs w:val="20"/>
        </w:rPr>
        <w:t>M.</w:t>
      </w:r>
      <w:r w:rsidR="008C2FC4" w:rsidRPr="000F7E45">
        <w:rPr>
          <w:sz w:val="20"/>
          <w:szCs w:val="20"/>
        </w:rPr>
        <w:t xml:space="preserve">, </w:t>
      </w:r>
      <w:r w:rsidRPr="000F7E45">
        <w:rPr>
          <w:sz w:val="20"/>
          <w:szCs w:val="20"/>
        </w:rPr>
        <w:t xml:space="preserve">Ogundare, A. Development and performance valuation of a </w:t>
      </w:r>
      <w:proofErr w:type="gramStart"/>
      <w:r w:rsidRPr="000F7E45">
        <w:rPr>
          <w:sz w:val="20"/>
          <w:szCs w:val="20"/>
        </w:rPr>
        <w:t>solar</w:t>
      </w:r>
      <w:r w:rsidR="000F7E45">
        <w:rPr>
          <w:sz w:val="20"/>
          <w:szCs w:val="20"/>
        </w:rPr>
        <w:t xml:space="preserve"> </w:t>
      </w:r>
      <w:r w:rsidRPr="000F7E45">
        <w:rPr>
          <w:sz w:val="20"/>
          <w:szCs w:val="20"/>
        </w:rPr>
        <w:t xml:space="preserve"> water</w:t>
      </w:r>
      <w:proofErr w:type="gramEnd"/>
      <w:r w:rsidRPr="000F7E45">
        <w:rPr>
          <w:sz w:val="20"/>
          <w:szCs w:val="20"/>
        </w:rPr>
        <w:t xml:space="preserve"> still. Acta </w:t>
      </w:r>
    </w:p>
    <w:p w14:paraId="35AE2052" w14:textId="3B37DD1B" w:rsidR="001401E9" w:rsidRPr="000F7E45" w:rsidRDefault="001401E9" w:rsidP="000F7E45">
      <w:pPr>
        <w:autoSpaceDE w:val="0"/>
        <w:autoSpaceDN w:val="0"/>
        <w:adjustRightInd w:val="0"/>
        <w:ind w:firstLine="720"/>
        <w:jc w:val="both"/>
        <w:rPr>
          <w:sz w:val="20"/>
          <w:szCs w:val="20"/>
        </w:rPr>
      </w:pPr>
      <w:r w:rsidRPr="000F7E45">
        <w:rPr>
          <w:sz w:val="20"/>
          <w:szCs w:val="20"/>
        </w:rPr>
        <w:t>Tech. Corvininesis Bull. Eng. 2018, 11, 91–96.</w:t>
      </w:r>
    </w:p>
    <w:p w14:paraId="68692645" w14:textId="77777777" w:rsidR="00DE4DF3" w:rsidRDefault="001401E9" w:rsidP="00DE4DF3">
      <w:pPr>
        <w:autoSpaceDE w:val="0"/>
        <w:autoSpaceDN w:val="0"/>
        <w:adjustRightInd w:val="0"/>
        <w:jc w:val="both"/>
        <w:rPr>
          <w:sz w:val="20"/>
          <w:szCs w:val="20"/>
        </w:rPr>
      </w:pPr>
      <w:r w:rsidRPr="000F7E45">
        <w:rPr>
          <w:sz w:val="20"/>
          <w:szCs w:val="20"/>
        </w:rPr>
        <w:t>Peter O. Ohiero and Lawrence O. Ogbeche 2018, Empirical Estimation of Monthly Average Daily</w:t>
      </w:r>
      <w:r w:rsidR="00DE4DF3">
        <w:rPr>
          <w:sz w:val="20"/>
          <w:szCs w:val="20"/>
        </w:rPr>
        <w:t xml:space="preserve"> </w:t>
      </w:r>
      <w:r w:rsidRPr="000F7E45">
        <w:rPr>
          <w:sz w:val="20"/>
          <w:szCs w:val="20"/>
        </w:rPr>
        <w:t xml:space="preserve">Solar Radiation and Solar </w:t>
      </w:r>
    </w:p>
    <w:p w14:paraId="741AC859" w14:textId="37A8F91A" w:rsidR="001401E9" w:rsidRPr="000F7E45" w:rsidRDefault="001401E9" w:rsidP="00DE4DF3">
      <w:pPr>
        <w:autoSpaceDE w:val="0"/>
        <w:autoSpaceDN w:val="0"/>
        <w:adjustRightInd w:val="0"/>
        <w:ind w:left="720"/>
        <w:jc w:val="both"/>
        <w:rPr>
          <w:sz w:val="20"/>
          <w:szCs w:val="20"/>
        </w:rPr>
      </w:pPr>
      <w:r w:rsidRPr="000F7E45">
        <w:rPr>
          <w:sz w:val="20"/>
          <w:szCs w:val="20"/>
        </w:rPr>
        <w:t>Electricity Output from Sunshine Hours in Ogoja in Nigeria. International journal of innovative research &amp; development. doi:10.24940/ijird/2018/v7/i7/jul18054.</w:t>
      </w:r>
    </w:p>
    <w:p w14:paraId="61B1F384" w14:textId="77777777" w:rsidR="001401E9" w:rsidRPr="000F7E45" w:rsidRDefault="001401E9" w:rsidP="00EE419E">
      <w:pPr>
        <w:autoSpaceDE w:val="0"/>
        <w:autoSpaceDN w:val="0"/>
        <w:adjustRightInd w:val="0"/>
        <w:jc w:val="both"/>
        <w:rPr>
          <w:sz w:val="20"/>
          <w:szCs w:val="20"/>
        </w:rPr>
      </w:pPr>
      <w:r w:rsidRPr="000F7E45">
        <w:rPr>
          <w:sz w:val="20"/>
          <w:szCs w:val="20"/>
        </w:rPr>
        <w:t xml:space="preserve">Renewables 2019 Global Status Report. 2019. Available online: </w:t>
      </w:r>
    </w:p>
    <w:p w14:paraId="4284E103" w14:textId="12F1A0A6" w:rsidR="001401E9" w:rsidRPr="000F7E45" w:rsidRDefault="001401E9" w:rsidP="00EE419E">
      <w:pPr>
        <w:autoSpaceDE w:val="0"/>
        <w:autoSpaceDN w:val="0"/>
        <w:adjustRightInd w:val="0"/>
        <w:ind w:firstLine="720"/>
        <w:jc w:val="both"/>
        <w:rPr>
          <w:sz w:val="20"/>
          <w:szCs w:val="20"/>
        </w:rPr>
      </w:pPr>
      <w:hyperlink r:id="rId22" w:history="1">
        <w:r w:rsidRPr="000F7E45">
          <w:rPr>
            <w:rStyle w:val="Hyperlink"/>
            <w:sz w:val="20"/>
            <w:szCs w:val="20"/>
          </w:rPr>
          <w:t>http://www.ren21.net/status-of-renewables/</w:t>
        </w:r>
      </w:hyperlink>
      <w:r w:rsidRPr="000F7E45">
        <w:rPr>
          <w:sz w:val="20"/>
          <w:szCs w:val="20"/>
        </w:rPr>
        <w:t xml:space="preserve"> global-status-report/ (accessed on 15 May 2019).</w:t>
      </w:r>
    </w:p>
    <w:p w14:paraId="60640B4B" w14:textId="77777777" w:rsidR="00DE4DF3" w:rsidRDefault="001401E9" w:rsidP="00DE4DF3">
      <w:pPr>
        <w:autoSpaceDE w:val="0"/>
        <w:autoSpaceDN w:val="0"/>
        <w:adjustRightInd w:val="0"/>
        <w:jc w:val="both"/>
        <w:rPr>
          <w:sz w:val="20"/>
          <w:szCs w:val="20"/>
        </w:rPr>
      </w:pPr>
      <w:r w:rsidRPr="000F7E45">
        <w:rPr>
          <w:sz w:val="20"/>
          <w:szCs w:val="20"/>
        </w:rPr>
        <w:t>Roshen T A Hamdi, Sanaa A. Hafad, Hussein A Kazem, Miqdam T Chaichan, Humidity impact on</w:t>
      </w:r>
      <w:r w:rsidR="00DE4DF3">
        <w:rPr>
          <w:sz w:val="20"/>
          <w:szCs w:val="20"/>
        </w:rPr>
        <w:t xml:space="preserve"> </w:t>
      </w:r>
      <w:r w:rsidRPr="000F7E45">
        <w:rPr>
          <w:sz w:val="20"/>
          <w:szCs w:val="20"/>
        </w:rPr>
        <w:t xml:space="preserve">photovoltaic cells </w:t>
      </w:r>
    </w:p>
    <w:p w14:paraId="7EB91278" w14:textId="2C80B31C" w:rsidR="001401E9" w:rsidRPr="000F7E45" w:rsidRDefault="001401E9" w:rsidP="00DE4DF3">
      <w:pPr>
        <w:autoSpaceDE w:val="0"/>
        <w:autoSpaceDN w:val="0"/>
        <w:adjustRightInd w:val="0"/>
        <w:ind w:left="720"/>
        <w:jc w:val="both"/>
        <w:rPr>
          <w:sz w:val="20"/>
          <w:szCs w:val="20"/>
        </w:rPr>
      </w:pPr>
      <w:r w:rsidRPr="000F7E45">
        <w:rPr>
          <w:sz w:val="20"/>
          <w:szCs w:val="20"/>
        </w:rPr>
        <w:t>performance: A review. International Journal of Recent Engineering Research and Development (IJRERD) ISSN: 2455-8761 Volume 03 Issue 11, 2018 PP. 27-37 2018.</w:t>
      </w:r>
    </w:p>
    <w:p w14:paraId="62C0ADEC" w14:textId="77777777" w:rsidR="00DE4DF3" w:rsidRDefault="001401E9" w:rsidP="00DE4DF3">
      <w:pPr>
        <w:autoSpaceDE w:val="0"/>
        <w:autoSpaceDN w:val="0"/>
        <w:adjustRightInd w:val="0"/>
        <w:jc w:val="both"/>
        <w:rPr>
          <w:sz w:val="20"/>
          <w:szCs w:val="20"/>
        </w:rPr>
      </w:pPr>
      <w:r w:rsidRPr="000F7E45">
        <w:rPr>
          <w:sz w:val="20"/>
          <w:szCs w:val="20"/>
        </w:rPr>
        <w:t xml:space="preserve">Sokan-Adeaga, A.A., Ana, G.R.E.E., 2015. A comprehensive review of biomass resources and biofuel production in Nigeria: </w:t>
      </w:r>
    </w:p>
    <w:p w14:paraId="1D067264" w14:textId="4659167E" w:rsidR="001401E9" w:rsidRPr="000F7E45" w:rsidRDefault="001401E9" w:rsidP="00DE4DF3">
      <w:pPr>
        <w:autoSpaceDE w:val="0"/>
        <w:autoSpaceDN w:val="0"/>
        <w:adjustRightInd w:val="0"/>
        <w:ind w:firstLine="720"/>
        <w:jc w:val="both"/>
        <w:rPr>
          <w:sz w:val="20"/>
          <w:szCs w:val="20"/>
        </w:rPr>
      </w:pPr>
      <w:r w:rsidRPr="000F7E45">
        <w:rPr>
          <w:sz w:val="20"/>
          <w:szCs w:val="20"/>
        </w:rPr>
        <w:t>potential and prospects. Rev. Environ. Health 30 (3), 143–162.</w:t>
      </w:r>
    </w:p>
    <w:p w14:paraId="7A76C54F" w14:textId="77777777" w:rsidR="00DE4DF3" w:rsidRDefault="001401E9" w:rsidP="00DE4DF3">
      <w:pPr>
        <w:autoSpaceDE w:val="0"/>
        <w:autoSpaceDN w:val="0"/>
        <w:adjustRightInd w:val="0"/>
        <w:jc w:val="both"/>
        <w:rPr>
          <w:sz w:val="20"/>
          <w:szCs w:val="20"/>
        </w:rPr>
      </w:pPr>
      <w:r w:rsidRPr="000F7E45">
        <w:rPr>
          <w:sz w:val="20"/>
          <w:szCs w:val="20"/>
        </w:rPr>
        <w:t xml:space="preserve">Sri Rama Phanindra Chitturi Ekanki Sharma and Wilfried Elmenreich (2018), Efficiency of Photovoltaic Systems in </w:t>
      </w:r>
      <w:r w:rsidR="00DE4DF3">
        <w:rPr>
          <w:sz w:val="20"/>
          <w:szCs w:val="20"/>
        </w:rPr>
        <w:t xml:space="preserve"> </w:t>
      </w:r>
    </w:p>
    <w:p w14:paraId="1B5F3647" w14:textId="2AD9A409" w:rsidR="001401E9" w:rsidRPr="000F7E45" w:rsidRDefault="001401E9" w:rsidP="00DE4DF3">
      <w:pPr>
        <w:autoSpaceDE w:val="0"/>
        <w:autoSpaceDN w:val="0"/>
        <w:adjustRightInd w:val="0"/>
        <w:ind w:firstLine="720"/>
        <w:jc w:val="both"/>
        <w:rPr>
          <w:sz w:val="20"/>
          <w:szCs w:val="20"/>
        </w:rPr>
      </w:pPr>
      <w:r w:rsidRPr="000F7E45">
        <w:rPr>
          <w:sz w:val="20"/>
          <w:szCs w:val="20"/>
        </w:rPr>
        <w:t>Mountainous Areas. Conference paper. DOI:10.1109/ENERGY.2018.8398766.</w:t>
      </w:r>
    </w:p>
    <w:p w14:paraId="325B6D73" w14:textId="77777777" w:rsidR="00DE4DF3" w:rsidRDefault="001401E9" w:rsidP="00DE4DF3">
      <w:pPr>
        <w:autoSpaceDE w:val="0"/>
        <w:autoSpaceDN w:val="0"/>
        <w:adjustRightInd w:val="0"/>
        <w:jc w:val="both"/>
        <w:rPr>
          <w:sz w:val="20"/>
          <w:szCs w:val="20"/>
        </w:rPr>
      </w:pPr>
      <w:r w:rsidRPr="000F7E45">
        <w:rPr>
          <w:sz w:val="20"/>
          <w:szCs w:val="20"/>
        </w:rPr>
        <w:t>Steven Kwok, 2023, Understanding solar irradiance and solar potential in Nigeria.</w:t>
      </w:r>
      <w:r w:rsidR="00DE4DF3">
        <w:rPr>
          <w:sz w:val="20"/>
          <w:szCs w:val="20"/>
        </w:rPr>
        <w:t xml:space="preserve"> </w:t>
      </w:r>
      <w:r w:rsidRPr="000F7E45">
        <w:rPr>
          <w:sz w:val="20"/>
          <w:szCs w:val="20"/>
        </w:rPr>
        <w:t xml:space="preserve">Theory of solar cells,” Wikipedia, 2017, </w:t>
      </w:r>
    </w:p>
    <w:p w14:paraId="00C41412" w14:textId="521CB513" w:rsidR="001401E9" w:rsidRPr="000F7E45" w:rsidRDefault="001401E9" w:rsidP="00DE4DF3">
      <w:pPr>
        <w:autoSpaceDE w:val="0"/>
        <w:autoSpaceDN w:val="0"/>
        <w:adjustRightInd w:val="0"/>
        <w:ind w:firstLine="720"/>
        <w:jc w:val="both"/>
        <w:rPr>
          <w:sz w:val="20"/>
          <w:szCs w:val="20"/>
        </w:rPr>
      </w:pPr>
      <w:r w:rsidRPr="000F7E45">
        <w:rPr>
          <w:sz w:val="20"/>
          <w:szCs w:val="20"/>
        </w:rPr>
        <w:t>[Online; accessed 30-October-2017]. [Online]. Available: https://en.wikipedia.org/wiki/Theory of solar cells.</w:t>
      </w:r>
    </w:p>
    <w:p w14:paraId="5FEB330E" w14:textId="6DF7A5E4" w:rsidR="002E00A3" w:rsidRPr="000F7E45" w:rsidRDefault="002E00A3" w:rsidP="00EE419E">
      <w:pPr>
        <w:ind w:left="720" w:hanging="720"/>
        <w:jc w:val="both"/>
        <w:rPr>
          <w:sz w:val="20"/>
          <w:szCs w:val="20"/>
        </w:rPr>
      </w:pPr>
      <w:r w:rsidRPr="000F7E45">
        <w:rPr>
          <w:sz w:val="20"/>
          <w:szCs w:val="20"/>
        </w:rPr>
        <w:t>Olowe, A., &amp; Folami, F. F. (2019). Assessment of patient satisfaction with nursing care in selected wards of the</w:t>
      </w:r>
      <w:r w:rsidR="001401E9" w:rsidRPr="000F7E45">
        <w:rPr>
          <w:sz w:val="20"/>
          <w:szCs w:val="20"/>
        </w:rPr>
        <w:t xml:space="preserve"> </w:t>
      </w:r>
      <w:r w:rsidRPr="000F7E45">
        <w:rPr>
          <w:sz w:val="20"/>
          <w:szCs w:val="20"/>
        </w:rPr>
        <w:t xml:space="preserve">Lagos University Teaching Hospital (LUTH). </w:t>
      </w:r>
      <w:r w:rsidRPr="000F7E45">
        <w:rPr>
          <w:i/>
          <w:sz w:val="20"/>
          <w:szCs w:val="20"/>
        </w:rPr>
        <w:t>Biomedical Journal of Scientific &amp; Technical Research</w:t>
      </w:r>
      <w:r w:rsidRPr="000F7E45">
        <w:rPr>
          <w:sz w:val="20"/>
          <w:szCs w:val="20"/>
        </w:rPr>
        <w:t>, 17(2), 12728–12732.</w:t>
      </w:r>
    </w:p>
    <w:p w14:paraId="5D12895C" w14:textId="77777777" w:rsidR="002E00A3" w:rsidRPr="000F7E45" w:rsidRDefault="002E00A3" w:rsidP="00EE419E">
      <w:pPr>
        <w:ind w:left="720" w:hanging="720"/>
        <w:jc w:val="both"/>
        <w:rPr>
          <w:sz w:val="20"/>
          <w:szCs w:val="20"/>
        </w:rPr>
      </w:pPr>
      <w:r w:rsidRPr="000F7E45">
        <w:rPr>
          <w:sz w:val="20"/>
          <w:szCs w:val="20"/>
        </w:rPr>
        <w:t xml:space="preserve">Tarus, P. K., Kuria, M. W., &amp; Gathoni, E. (2014). Patients' satisfaction with nursing care: A case study of a large public referral hospital in Kenya. </w:t>
      </w:r>
      <w:r w:rsidRPr="000F7E45">
        <w:rPr>
          <w:i/>
          <w:sz w:val="20"/>
          <w:szCs w:val="20"/>
        </w:rPr>
        <w:t>International Journal of Social and Behavioural Sciences</w:t>
      </w:r>
      <w:r w:rsidRPr="000F7E45">
        <w:rPr>
          <w:sz w:val="20"/>
          <w:szCs w:val="20"/>
        </w:rPr>
        <w:t>, 2(1), 011–017.</w:t>
      </w:r>
    </w:p>
    <w:p w14:paraId="2B2C7021" w14:textId="77777777" w:rsidR="002E00A3" w:rsidRPr="000F7E45" w:rsidRDefault="002E00A3" w:rsidP="00EE419E">
      <w:pPr>
        <w:ind w:left="720" w:hanging="720"/>
        <w:jc w:val="both"/>
        <w:rPr>
          <w:bCs/>
          <w:sz w:val="20"/>
          <w:szCs w:val="20"/>
        </w:rPr>
      </w:pPr>
      <w:r w:rsidRPr="000F7E45">
        <w:rPr>
          <w:sz w:val="20"/>
          <w:szCs w:val="20"/>
        </w:rPr>
        <w:t xml:space="preserve">Rajeswari, H. (2011). Assessment of patients' satisfaction with quality of nursing care in a tertiary care hospital. </w:t>
      </w:r>
      <w:r w:rsidRPr="000F7E45">
        <w:rPr>
          <w:i/>
          <w:sz w:val="20"/>
          <w:szCs w:val="20"/>
        </w:rPr>
        <w:t>Journal of Academy of Hospital Administration,</w:t>
      </w:r>
      <w:r w:rsidRPr="000F7E45">
        <w:rPr>
          <w:sz w:val="20"/>
          <w:szCs w:val="20"/>
        </w:rPr>
        <w:t xml:space="preserve"> 23(1), 14–18.</w:t>
      </w:r>
    </w:p>
    <w:p w14:paraId="62D6766E" w14:textId="77777777" w:rsidR="002E00A3" w:rsidRPr="000F7E45" w:rsidRDefault="002E00A3" w:rsidP="00EE419E">
      <w:pPr>
        <w:ind w:left="720" w:hanging="720"/>
        <w:jc w:val="both"/>
        <w:rPr>
          <w:rFonts w:eastAsiaTheme="minorEastAsia"/>
          <w:sz w:val="20"/>
          <w:szCs w:val="20"/>
        </w:rPr>
      </w:pPr>
    </w:p>
    <w:p w14:paraId="588A4EFF" w14:textId="77777777" w:rsidR="002E00A3" w:rsidRPr="000F7E45" w:rsidRDefault="002E00A3" w:rsidP="00EE419E">
      <w:pPr>
        <w:ind w:left="720" w:hanging="720"/>
        <w:jc w:val="both"/>
        <w:rPr>
          <w:rFonts w:eastAsiaTheme="minorEastAsia"/>
          <w:sz w:val="20"/>
          <w:szCs w:val="20"/>
        </w:rPr>
      </w:pPr>
    </w:p>
    <w:p w14:paraId="4D058233" w14:textId="77777777" w:rsidR="002E00A3" w:rsidRPr="000F7E45" w:rsidRDefault="002E00A3" w:rsidP="00EE419E">
      <w:pPr>
        <w:ind w:left="720" w:hanging="720"/>
        <w:jc w:val="both"/>
        <w:rPr>
          <w:rFonts w:eastAsiaTheme="minorEastAsia"/>
          <w:sz w:val="20"/>
          <w:szCs w:val="20"/>
        </w:rPr>
      </w:pPr>
    </w:p>
    <w:p w14:paraId="6760B824" w14:textId="77777777" w:rsidR="002E00A3" w:rsidRPr="000F7E45" w:rsidRDefault="002E00A3" w:rsidP="00EE419E">
      <w:pPr>
        <w:ind w:left="720" w:hanging="720"/>
        <w:jc w:val="both"/>
        <w:rPr>
          <w:rFonts w:eastAsiaTheme="minorEastAsia"/>
          <w:sz w:val="20"/>
          <w:szCs w:val="20"/>
        </w:rPr>
      </w:pPr>
    </w:p>
    <w:p w14:paraId="04852036" w14:textId="77777777" w:rsidR="002E00A3" w:rsidRPr="000F7E45" w:rsidRDefault="002E00A3" w:rsidP="00EE419E">
      <w:pPr>
        <w:ind w:left="720" w:hanging="720"/>
        <w:jc w:val="both"/>
        <w:rPr>
          <w:rFonts w:eastAsiaTheme="minorEastAsia"/>
          <w:sz w:val="20"/>
          <w:szCs w:val="20"/>
        </w:rPr>
      </w:pPr>
    </w:p>
    <w:p w14:paraId="02317703" w14:textId="77777777" w:rsidR="002E00A3" w:rsidRPr="000F7E45" w:rsidRDefault="002E00A3" w:rsidP="00EE419E">
      <w:pPr>
        <w:ind w:left="720" w:hanging="720"/>
        <w:jc w:val="both"/>
        <w:rPr>
          <w:rFonts w:eastAsiaTheme="minorEastAsia"/>
          <w:sz w:val="20"/>
          <w:szCs w:val="20"/>
        </w:rPr>
      </w:pPr>
    </w:p>
    <w:p w14:paraId="3EAF54D4" w14:textId="77777777" w:rsidR="002E00A3" w:rsidRPr="001401E9" w:rsidRDefault="002E00A3" w:rsidP="00EE419E">
      <w:pPr>
        <w:ind w:left="720" w:hanging="720"/>
        <w:jc w:val="both"/>
        <w:rPr>
          <w:rFonts w:eastAsiaTheme="minorEastAsia"/>
          <w:sz w:val="22"/>
          <w:szCs w:val="22"/>
        </w:rPr>
      </w:pPr>
    </w:p>
    <w:p w14:paraId="67561F55" w14:textId="77777777" w:rsidR="00892599" w:rsidRPr="001401E9" w:rsidRDefault="00892599">
      <w:pPr>
        <w:rPr>
          <w:sz w:val="22"/>
          <w:szCs w:val="22"/>
        </w:rPr>
      </w:pPr>
    </w:p>
    <w:sectPr w:rsidR="00892599" w:rsidRPr="001401E9" w:rsidSect="00EF1540">
      <w:footerReference w:type="default" r:id="rId23"/>
      <w:type w:val="continuous"/>
      <w:pgSz w:w="11520" w:h="15660" w:code="1"/>
      <w:pgMar w:top="1300" w:right="740" w:bottom="1040" w:left="740" w:header="360" w:footer="640" w:gutter="0"/>
      <w:cols w:space="40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CB004" w14:textId="77777777" w:rsidR="00807DF0" w:rsidRDefault="00807DF0">
      <w:r>
        <w:separator/>
      </w:r>
    </w:p>
  </w:endnote>
  <w:endnote w:type="continuationSeparator" w:id="0">
    <w:p w14:paraId="09F09807" w14:textId="77777777" w:rsidR="00807DF0" w:rsidRDefault="0080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ormataOTF-Bold">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Std-Roman">
    <w:altName w:val="Times New Roman"/>
    <w:panose1 w:val="00000000000000000000"/>
    <w:charset w:val="00"/>
    <w:family w:val="auto"/>
    <w:notTrueType/>
    <w:pitch w:val="default"/>
    <w:sig w:usb0="00000003" w:usb1="00000000" w:usb2="00000000" w:usb3="00000000" w:csb0="00000001" w:csb1="00000000"/>
  </w:font>
  <w:font w:name="MTSYN">
    <w:panose1 w:val="00000000000000000000"/>
    <w:charset w:val="00"/>
    <w:family w:val="auto"/>
    <w:notTrueType/>
    <w:pitch w:val="default"/>
    <w:sig w:usb0="00000003" w:usb1="00000000" w:usb2="00000000" w:usb3="00000000" w:csb0="00000001" w:csb1="00000000"/>
  </w:font>
  <w:font w:name="FormataOTF-Reg">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ormataOTFMdIt">
    <w:altName w:val="MV Bol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ormata OTF">
    <w:altName w:val="Calibri"/>
    <w:panose1 w:val="00000000000000000000"/>
    <w:charset w:val="00"/>
    <w:family w:val="modern"/>
    <w:notTrueType/>
    <w:pitch w:val="variable"/>
    <w:sig w:usb0="8000002F" w:usb1="40000048" w:usb2="00000000" w:usb3="00000000" w:csb0="00000001" w:csb1="00000000"/>
  </w:font>
  <w:font w:name="SohoGothicPro-Light">
    <w:altName w:val="Segoe Print"/>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B5154" w14:textId="77777777" w:rsidR="00B73FF9" w:rsidRDefault="00B73F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F6B4F" w14:textId="77777777" w:rsidR="00FD0D4C" w:rsidRPr="00B979BB" w:rsidRDefault="00FD0D4C" w:rsidP="00EF1540">
    <w:pPr>
      <w:pStyle w:val="Footer"/>
      <w:tabs>
        <w:tab w:val="clear" w:pos="4320"/>
        <w:tab w:val="clear" w:pos="8640"/>
        <w:tab w:val="right" w:pos="10044"/>
      </w:tabs>
      <w:rPr>
        <w:rFonts w:ascii="Helvetica" w:hAnsi="Helvetica"/>
        <w:sz w:val="12"/>
        <w:szCs w:val="12"/>
      </w:rPr>
    </w:pPr>
    <w:r w:rsidRPr="00B979BB">
      <w:rPr>
        <w:rFonts w:ascii="Helvetica" w:hAnsi="Helvetica" w:cs="FormataOTF-Reg"/>
        <w:sz w:val="12"/>
        <w:szCs w:val="12"/>
      </w:rPr>
      <w:t>VOLUME XX, 2017</w:t>
    </w:r>
    <w:r w:rsidRPr="00B979BB">
      <w:rPr>
        <w:rFonts w:ascii="Helvetica" w:hAnsi="Helvetica" w:cs="FormataOTF-Reg"/>
        <w:sz w:val="12"/>
        <w:szCs w:val="12"/>
      </w:rPr>
      <w:tab/>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F294" w14:textId="77777777" w:rsidR="00B73FF9" w:rsidRDefault="00B73F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2950"/>
      <w:docPartObj>
        <w:docPartGallery w:val="Page Numbers (Bottom of Page)"/>
        <w:docPartUnique/>
      </w:docPartObj>
    </w:sdtPr>
    <w:sdtEndPr>
      <w:rPr>
        <w:noProof/>
      </w:rPr>
    </w:sdtEndPr>
    <w:sdtContent>
      <w:p w14:paraId="0E52C4E8" w14:textId="77777777" w:rsidR="000F7E45" w:rsidRDefault="000F7E45">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77988D9A" w14:textId="77777777" w:rsidR="000F7E45" w:rsidRDefault="000F7E45" w:rsidP="000F7E45">
        <w:pPr>
          <w:pStyle w:val="Footer"/>
          <w:rPr>
            <w:sz w:val="20"/>
            <w:szCs w:val="20"/>
          </w:rPr>
        </w:pPr>
        <w:r>
          <w:rPr>
            <w:sz w:val="20"/>
            <w:szCs w:val="20"/>
          </w:rPr>
          <w:t>V</w:t>
        </w:r>
        <w:r w:rsidRPr="00A80E42">
          <w:rPr>
            <w:sz w:val="20"/>
            <w:szCs w:val="20"/>
          </w:rPr>
          <w:t>olume 1, Issue 3, 2025</w:t>
        </w:r>
      </w:p>
      <w:p w14:paraId="41441B9D" w14:textId="34F27A32" w:rsidR="000F7E45" w:rsidRDefault="000F7E45" w:rsidP="000F7E45">
        <w:pPr>
          <w:pStyle w:val="Footer"/>
        </w:pPr>
        <w:r w:rsidRPr="00BA4019">
          <w:rPr>
            <w:sz w:val="20"/>
            <w:szCs w:val="20"/>
          </w:rPr>
          <w:t>https://doi.org/10.5281/zenodo.</w:t>
        </w:r>
      </w:p>
    </w:sdtContent>
  </w:sdt>
  <w:p w14:paraId="0AB7F97A" w14:textId="249D4A9C" w:rsidR="00FD0D4C" w:rsidRPr="00B979BB" w:rsidRDefault="00FD0D4C" w:rsidP="00EF1540">
    <w:pPr>
      <w:pStyle w:val="Footer"/>
      <w:tabs>
        <w:tab w:val="clear" w:pos="4320"/>
        <w:tab w:val="clear" w:pos="8640"/>
        <w:tab w:val="center" w:pos="9540"/>
      </w:tabs>
      <w:rPr>
        <w:rFonts w:ascii="Helvetica" w:hAnsi="Helvetica"/>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F0C24" w14:textId="77777777" w:rsidR="00807DF0" w:rsidRDefault="00807DF0">
      <w:r>
        <w:separator/>
      </w:r>
    </w:p>
  </w:footnote>
  <w:footnote w:type="continuationSeparator" w:id="0">
    <w:p w14:paraId="30FB15F2" w14:textId="77777777" w:rsidR="00807DF0" w:rsidRDefault="00807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2E81B" w14:textId="77777777" w:rsidR="00B73FF9" w:rsidRDefault="00B73F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7E3F4" w14:textId="77777777" w:rsidR="00FD0D4C" w:rsidRPr="00E721A9" w:rsidRDefault="00FD0D4C" w:rsidP="00EF1540">
    <w:pPr>
      <w:pStyle w:val="Header"/>
      <w:pBdr>
        <w:bottom w:val="single" w:sz="4" w:space="0" w:color="auto"/>
      </w:pBdr>
      <w:tabs>
        <w:tab w:val="clear" w:pos="4320"/>
        <w:tab w:val="left" w:pos="90"/>
        <w:tab w:val="left" w:pos="5532"/>
        <w:tab w:val="right" w:pos="10040"/>
      </w:tabs>
      <w:rPr>
        <w:rFonts w:ascii="Formata OTF" w:hAnsi="Formata OTF"/>
        <w:sz w:val="14"/>
        <w:szCs w:val="14"/>
      </w:rPr>
    </w:pPr>
    <w:r>
      <w:rPr>
        <w:noProof/>
      </w:rPr>
      <w:drawing>
        <wp:anchor distT="0" distB="0" distL="114300" distR="114300" simplePos="0" relativeHeight="251659264" behindDoc="1" locked="0" layoutInCell="1" allowOverlap="1" wp14:anchorId="24C8E2ED" wp14:editId="49B65AF0">
          <wp:simplePos x="0" y="0"/>
          <wp:positionH relativeFrom="margin">
            <wp:align>left</wp:align>
          </wp:positionH>
          <wp:positionV relativeFrom="paragraph">
            <wp:posOffset>6350</wp:posOffset>
          </wp:positionV>
          <wp:extent cx="717550" cy="689610"/>
          <wp:effectExtent l="0" t="0" r="6350" b="0"/>
          <wp:wrapSquare wrapText="bothSides"/>
          <wp:docPr id="860042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7550" cy="689610"/>
                  </a:xfrm>
                  <a:prstGeom prst="rect">
                    <a:avLst/>
                  </a:prstGeom>
                  <a:noFill/>
                  <a:ln>
                    <a:noFill/>
                  </a:ln>
                </pic:spPr>
              </pic:pic>
            </a:graphicData>
          </a:graphic>
        </wp:anchor>
      </w:drawing>
    </w:r>
    <w:r w:rsidRPr="00E748AA">
      <w:rPr>
        <w:rFonts w:ascii="Formata OTF" w:hAnsi="Formata OTF"/>
        <w:sz w:val="32"/>
        <w:szCs w:val="32"/>
      </w:rPr>
      <w:t>Journal of Institutional Research, Big Data Analytics and Innovation</w:t>
    </w:r>
    <w:r>
      <w:rPr>
        <w:rFonts w:ascii="Formata OTF" w:hAnsi="Formata OTF"/>
        <w:sz w:val="14"/>
        <w:szCs w:val="14"/>
      </w:rPr>
      <w:tab/>
    </w:r>
    <w:r>
      <w:rPr>
        <w:rFonts w:ascii="Formata OTF" w:hAnsi="Formata OTF"/>
        <w:sz w:val="14"/>
        <w:szCs w:val="14"/>
      </w:rPr>
      <w:tab/>
    </w:r>
    <w:r>
      <w:rPr>
        <w:rFonts w:ascii="Formata OTF" w:hAnsi="Formata OTF"/>
        <w:sz w:val="14"/>
        <w:szCs w:val="14"/>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6189" w14:textId="77777777" w:rsidR="00B73FF9" w:rsidRDefault="00B73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97982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334CBB"/>
    <w:multiLevelType w:val="multilevel"/>
    <w:tmpl w:val="2D789DBA"/>
    <w:lvl w:ilvl="0">
      <w:start w:val="2"/>
      <w:numFmt w:val="upperLetter"/>
      <w:pStyle w:val="H2Cont"/>
      <w:suff w:val="space"/>
      <w:lvlText w:val="%1."/>
      <w:lvlJc w:val="left"/>
      <w:pPr>
        <w:ind w:left="0" w:firstLine="0"/>
      </w:pPr>
      <w:rPr>
        <w:rFonts w:hint="default"/>
        <w:color w:val="8496B0" w:themeColor="text2" w:themeTint="9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40A1E8C"/>
    <w:multiLevelType w:val="hybridMultilevel"/>
    <w:tmpl w:val="90F0EC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07FDF"/>
    <w:multiLevelType w:val="multilevel"/>
    <w:tmpl w:val="CD96871E"/>
    <w:styleLink w:val="H2Restart"/>
    <w:lvl w:ilvl="0">
      <w:start w:val="1"/>
      <w:numFmt w:val="upperLetter"/>
      <w:suff w:val="space"/>
      <w:lvlText w:val="%1."/>
      <w:lvlJc w:val="left"/>
      <w:pPr>
        <w:ind w:left="18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6E735E"/>
    <w:multiLevelType w:val="multilevel"/>
    <w:tmpl w:val="CD96871E"/>
    <w:numStyleLink w:val="H2Restart"/>
  </w:abstractNum>
  <w:abstractNum w:abstractNumId="5" w15:restartNumberingAfterBreak="0">
    <w:nsid w:val="0DEA0F58"/>
    <w:multiLevelType w:val="multilevel"/>
    <w:tmpl w:val="A3CEC990"/>
    <w:styleLink w:val="H2afterH1New"/>
    <w:lvl w:ilvl="0">
      <w:start w:val="1"/>
      <w:numFmt w:val="upperLetter"/>
      <w:suff w:val="space"/>
      <w:lvlText w:val="%1."/>
      <w:lvlJc w:val="left"/>
      <w:pPr>
        <w:ind w:left="0" w:firstLine="0"/>
      </w:pPr>
      <w:rPr>
        <w:rFonts w:hint="default"/>
        <w:color w:val="58595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4232A68"/>
    <w:multiLevelType w:val="multilevel"/>
    <w:tmpl w:val="A3CEC990"/>
    <w:numStyleLink w:val="H2afterH1New"/>
  </w:abstractNum>
  <w:abstractNum w:abstractNumId="7" w15:restartNumberingAfterBreak="0">
    <w:nsid w:val="14360139"/>
    <w:multiLevelType w:val="multilevel"/>
    <w:tmpl w:val="CD96871E"/>
    <w:lvl w:ilvl="0">
      <w:start w:val="1"/>
      <w:numFmt w:val="upperLetter"/>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446B86"/>
    <w:multiLevelType w:val="hybridMultilevel"/>
    <w:tmpl w:val="8E1C65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E0EB3"/>
    <w:multiLevelType w:val="hybridMultilevel"/>
    <w:tmpl w:val="4A3A00A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8C6D2F"/>
    <w:multiLevelType w:val="hybridMultilevel"/>
    <w:tmpl w:val="B066D5A6"/>
    <w:lvl w:ilvl="0" w:tplc="695E97EC">
      <w:start w:val="3"/>
      <w:numFmt w:val="upperRoman"/>
      <w:lvlText w:val="%1."/>
      <w:lvlJc w:val="left"/>
      <w:pPr>
        <w:ind w:left="900" w:hanging="720"/>
      </w:pPr>
      <w:rPr>
        <w:rFonts w:ascii="Helvetica" w:hAnsi="Helvetica" w:cs="FormataOTF-Bold"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2AF8259E"/>
    <w:multiLevelType w:val="hybridMultilevel"/>
    <w:tmpl w:val="ED962C1A"/>
    <w:lvl w:ilvl="0" w:tplc="A94658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A6A77"/>
    <w:multiLevelType w:val="multilevel"/>
    <w:tmpl w:val="65C6CE4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823F14"/>
    <w:multiLevelType w:val="multilevel"/>
    <w:tmpl w:val="33823F1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CA0D19"/>
    <w:multiLevelType w:val="hybridMultilevel"/>
    <w:tmpl w:val="4CA24BD4"/>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3E4726D"/>
    <w:multiLevelType w:val="multilevel"/>
    <w:tmpl w:val="90B4B226"/>
    <w:lvl w:ilvl="0">
      <w:start w:val="1"/>
      <w:numFmt w:val="upperRoman"/>
      <w:suff w:val="space"/>
      <w:lvlText w:val="%1."/>
      <w:lvlJc w:val="left"/>
      <w:pPr>
        <w:ind w:left="540" w:hanging="360"/>
      </w:pPr>
      <w:rPr>
        <w:rFonts w:hint="default"/>
      </w:rPr>
    </w:lvl>
    <w:lvl w:ilvl="1">
      <w:start w:val="1"/>
      <w:numFmt w:val="lowerLetter"/>
      <w:lvlText w:val="%2."/>
      <w:lvlJc w:val="left"/>
      <w:pPr>
        <w:ind w:left="-90" w:hanging="360"/>
      </w:pPr>
      <w:rPr>
        <w:rFonts w:hint="default"/>
      </w:rPr>
    </w:lvl>
    <w:lvl w:ilvl="2">
      <w:start w:val="1"/>
      <w:numFmt w:val="lowerRoman"/>
      <w:lvlText w:val="%3."/>
      <w:lvlJc w:val="right"/>
      <w:pPr>
        <w:ind w:left="630" w:hanging="180"/>
      </w:pPr>
      <w:rPr>
        <w:rFonts w:hint="default"/>
      </w:rPr>
    </w:lvl>
    <w:lvl w:ilvl="3">
      <w:start w:val="1"/>
      <w:numFmt w:val="decimal"/>
      <w:lvlText w:val="%4."/>
      <w:lvlJc w:val="left"/>
      <w:pPr>
        <w:ind w:left="1350" w:hanging="360"/>
      </w:pPr>
      <w:rPr>
        <w:rFonts w:hint="default"/>
      </w:rPr>
    </w:lvl>
    <w:lvl w:ilvl="4">
      <w:start w:val="1"/>
      <w:numFmt w:val="lowerLetter"/>
      <w:lvlText w:val="%5."/>
      <w:lvlJc w:val="left"/>
      <w:pPr>
        <w:ind w:left="2070" w:hanging="360"/>
      </w:pPr>
      <w:rPr>
        <w:rFonts w:hint="default"/>
      </w:rPr>
    </w:lvl>
    <w:lvl w:ilvl="5">
      <w:start w:val="1"/>
      <w:numFmt w:val="lowerRoman"/>
      <w:lvlText w:val="%6."/>
      <w:lvlJc w:val="right"/>
      <w:pPr>
        <w:ind w:left="2790" w:hanging="180"/>
      </w:pPr>
      <w:rPr>
        <w:rFonts w:hint="default"/>
      </w:rPr>
    </w:lvl>
    <w:lvl w:ilvl="6">
      <w:start w:val="1"/>
      <w:numFmt w:val="decimal"/>
      <w:lvlText w:val="%7."/>
      <w:lvlJc w:val="left"/>
      <w:pPr>
        <w:ind w:left="3510" w:hanging="360"/>
      </w:pPr>
      <w:rPr>
        <w:rFonts w:hint="default"/>
      </w:rPr>
    </w:lvl>
    <w:lvl w:ilvl="7">
      <w:start w:val="1"/>
      <w:numFmt w:val="lowerLetter"/>
      <w:lvlText w:val="%8."/>
      <w:lvlJc w:val="left"/>
      <w:pPr>
        <w:ind w:left="4230" w:hanging="360"/>
      </w:pPr>
      <w:rPr>
        <w:rFonts w:hint="default"/>
      </w:rPr>
    </w:lvl>
    <w:lvl w:ilvl="8">
      <w:start w:val="1"/>
      <w:numFmt w:val="lowerRoman"/>
      <w:lvlText w:val="%9."/>
      <w:lvlJc w:val="right"/>
      <w:pPr>
        <w:ind w:left="4950" w:hanging="180"/>
      </w:pPr>
      <w:rPr>
        <w:rFonts w:hint="default"/>
      </w:rPr>
    </w:lvl>
  </w:abstractNum>
  <w:abstractNum w:abstractNumId="16" w15:restartNumberingAfterBreak="0">
    <w:nsid w:val="3A877D64"/>
    <w:multiLevelType w:val="singleLevel"/>
    <w:tmpl w:val="37E4B88C"/>
    <w:lvl w:ilvl="0">
      <w:start w:val="1"/>
      <w:numFmt w:val="decimal"/>
      <w:pStyle w:val="References"/>
      <w:lvlText w:val="[%1]"/>
      <w:lvlJc w:val="left"/>
      <w:pPr>
        <w:tabs>
          <w:tab w:val="num" w:pos="1170"/>
        </w:tabs>
        <w:ind w:left="1170" w:hanging="360"/>
      </w:pPr>
      <w:rPr>
        <w:i w:val="0"/>
      </w:rPr>
    </w:lvl>
  </w:abstractNum>
  <w:abstractNum w:abstractNumId="17" w15:restartNumberingAfterBreak="0">
    <w:nsid w:val="3B240BA4"/>
    <w:multiLevelType w:val="multilevel"/>
    <w:tmpl w:val="ACAAA3AA"/>
    <w:lvl w:ilvl="0">
      <w:start w:val="1"/>
      <w:numFmt w:val="decimal"/>
      <w:pStyle w:val="H3"/>
      <w:lvlText w:val="%1)"/>
      <w:lvlJc w:val="left"/>
      <w:pPr>
        <w:tabs>
          <w:tab w:val="num" w:pos="320"/>
        </w:tabs>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0ED1315"/>
    <w:multiLevelType w:val="multilevel"/>
    <w:tmpl w:val="CD96871E"/>
    <w:lvl w:ilvl="0">
      <w:start w:val="1"/>
      <w:numFmt w:val="upperLetter"/>
      <w:suff w:val="space"/>
      <w:lvlText w:val="%1."/>
      <w:lvlJc w:val="left"/>
      <w:pPr>
        <w:ind w:left="18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9A69CB"/>
    <w:multiLevelType w:val="hybridMultilevel"/>
    <w:tmpl w:val="C9066918"/>
    <w:lvl w:ilvl="0" w:tplc="4A6ECE3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273557"/>
    <w:multiLevelType w:val="hybridMultilevel"/>
    <w:tmpl w:val="0A92F9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47F2"/>
    <w:multiLevelType w:val="multilevel"/>
    <w:tmpl w:val="CD96871E"/>
    <w:numStyleLink w:val="H2Restart"/>
  </w:abstractNum>
  <w:abstractNum w:abstractNumId="22" w15:restartNumberingAfterBreak="0">
    <w:nsid w:val="61C20FDB"/>
    <w:multiLevelType w:val="multilevel"/>
    <w:tmpl w:val="02001964"/>
    <w:lvl w:ilvl="0">
      <w:start w:val="1"/>
      <w:numFmt w:val="decimal"/>
      <w:pStyle w:val="FigCaption"/>
      <w:lvlText w:val="FIGURE %1."/>
      <w:lvlJc w:val="left"/>
      <w:pPr>
        <w:tabs>
          <w:tab w:val="num" w:pos="760"/>
        </w:tabs>
        <w:ind w:left="0" w:firstLine="0"/>
      </w:pPr>
      <w:rPr>
        <w:rFonts w:hint="default"/>
        <w:color w:val="8496B0" w:themeColor="text2" w:themeTint="99"/>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6FF1D01"/>
    <w:multiLevelType w:val="hybridMultilevel"/>
    <w:tmpl w:val="6232A1F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FE4F79"/>
    <w:multiLevelType w:val="hybridMultilevel"/>
    <w:tmpl w:val="2E865934"/>
    <w:lvl w:ilvl="0" w:tplc="6B505B88">
      <w:start w:val="1"/>
      <w:numFmt w:val="upperLetter"/>
      <w:pStyle w:val="H2First"/>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92105756">
    <w:abstractNumId w:val="16"/>
  </w:num>
  <w:num w:numId="2" w16cid:durableId="1859658413">
    <w:abstractNumId w:val="15"/>
  </w:num>
  <w:num w:numId="3" w16cid:durableId="1990015038">
    <w:abstractNumId w:val="22"/>
  </w:num>
  <w:num w:numId="4" w16cid:durableId="1489520917">
    <w:abstractNumId w:val="17"/>
  </w:num>
  <w:num w:numId="5" w16cid:durableId="951740656">
    <w:abstractNumId w:val="5"/>
  </w:num>
  <w:num w:numId="6" w16cid:durableId="905840702">
    <w:abstractNumId w:val="21"/>
  </w:num>
  <w:num w:numId="7" w16cid:durableId="1404642592">
    <w:abstractNumId w:val="3"/>
  </w:num>
  <w:num w:numId="8" w16cid:durableId="1224411444">
    <w:abstractNumId w:val="4"/>
    <w:lvlOverride w:ilvl="0">
      <w:lvl w:ilvl="0">
        <w:start w:val="1"/>
        <w:numFmt w:val="upperLetter"/>
        <w:suff w:val="space"/>
        <w:lvlText w:val="%1."/>
        <w:lvlJc w:val="left"/>
        <w:pPr>
          <w:ind w:left="0" w:firstLine="0"/>
        </w:pPr>
        <w:rPr>
          <w:rFonts w:hint="default"/>
        </w:rPr>
      </w:lvl>
    </w:lvlOverride>
  </w:num>
  <w:num w:numId="9" w16cid:durableId="484509836">
    <w:abstractNumId w:val="24"/>
  </w:num>
  <w:num w:numId="10" w16cid:durableId="25956396">
    <w:abstractNumId w:val="6"/>
  </w:num>
  <w:num w:numId="11" w16cid:durableId="2052268360">
    <w:abstractNumId w:val="1"/>
  </w:num>
  <w:num w:numId="12" w16cid:durableId="1905871013">
    <w:abstractNumId w:val="7"/>
  </w:num>
  <w:num w:numId="13" w16cid:durableId="11101225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066950">
    <w:abstractNumId w:val="14"/>
  </w:num>
  <w:num w:numId="15" w16cid:durableId="1519152034">
    <w:abstractNumId w:val="15"/>
  </w:num>
  <w:num w:numId="16" w16cid:durableId="1815295029">
    <w:abstractNumId w:val="18"/>
  </w:num>
  <w:num w:numId="17" w16cid:durableId="1211264411">
    <w:abstractNumId w:val="19"/>
  </w:num>
  <w:num w:numId="18" w16cid:durableId="1771387183">
    <w:abstractNumId w:val="0"/>
  </w:num>
  <w:num w:numId="19" w16cid:durableId="1404527741">
    <w:abstractNumId w:val="13"/>
  </w:num>
  <w:num w:numId="20" w16cid:durableId="1374429944">
    <w:abstractNumId w:val="10"/>
  </w:num>
  <w:num w:numId="21" w16cid:durableId="14038729">
    <w:abstractNumId w:val="2"/>
  </w:num>
  <w:num w:numId="22" w16cid:durableId="480077681">
    <w:abstractNumId w:val="12"/>
  </w:num>
  <w:num w:numId="23" w16cid:durableId="1649940132">
    <w:abstractNumId w:val="20"/>
  </w:num>
  <w:num w:numId="24" w16cid:durableId="1818917663">
    <w:abstractNumId w:val="8"/>
  </w:num>
  <w:num w:numId="25" w16cid:durableId="2040350099">
    <w:abstractNumId w:val="23"/>
  </w:num>
  <w:num w:numId="26" w16cid:durableId="1625185656">
    <w:abstractNumId w:val="9"/>
  </w:num>
  <w:num w:numId="27" w16cid:durableId="14560209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540"/>
    <w:rsid w:val="00004C76"/>
    <w:rsid w:val="00005F8B"/>
    <w:rsid w:val="00092EB8"/>
    <w:rsid w:val="000B0C87"/>
    <w:rsid w:val="000C02CA"/>
    <w:rsid w:val="000E15D5"/>
    <w:rsid w:val="000F7E45"/>
    <w:rsid w:val="00105EBC"/>
    <w:rsid w:val="001401E9"/>
    <w:rsid w:val="00141D4D"/>
    <w:rsid w:val="00157163"/>
    <w:rsid w:val="0017203A"/>
    <w:rsid w:val="00187354"/>
    <w:rsid w:val="00197CE0"/>
    <w:rsid w:val="001D0DF3"/>
    <w:rsid w:val="001D5B2A"/>
    <w:rsid w:val="001E2B6D"/>
    <w:rsid w:val="0020117D"/>
    <w:rsid w:val="00206A3C"/>
    <w:rsid w:val="00225A02"/>
    <w:rsid w:val="00233047"/>
    <w:rsid w:val="00236577"/>
    <w:rsid w:val="00275F4A"/>
    <w:rsid w:val="002816FE"/>
    <w:rsid w:val="002969C1"/>
    <w:rsid w:val="002B503B"/>
    <w:rsid w:val="002E00A3"/>
    <w:rsid w:val="002E31AA"/>
    <w:rsid w:val="00302F21"/>
    <w:rsid w:val="0035628A"/>
    <w:rsid w:val="00372942"/>
    <w:rsid w:val="0038432E"/>
    <w:rsid w:val="003B459F"/>
    <w:rsid w:val="003C29B5"/>
    <w:rsid w:val="003C5432"/>
    <w:rsid w:val="003C66B9"/>
    <w:rsid w:val="003D045C"/>
    <w:rsid w:val="00411B74"/>
    <w:rsid w:val="00422D61"/>
    <w:rsid w:val="00430A95"/>
    <w:rsid w:val="00485473"/>
    <w:rsid w:val="00486979"/>
    <w:rsid w:val="004A74D2"/>
    <w:rsid w:val="004C4052"/>
    <w:rsid w:val="00523DDD"/>
    <w:rsid w:val="00544EEA"/>
    <w:rsid w:val="00573D46"/>
    <w:rsid w:val="005740B6"/>
    <w:rsid w:val="005A0A9C"/>
    <w:rsid w:val="005C545F"/>
    <w:rsid w:val="005D16A3"/>
    <w:rsid w:val="00603981"/>
    <w:rsid w:val="00606B12"/>
    <w:rsid w:val="00630FE2"/>
    <w:rsid w:val="00664DC7"/>
    <w:rsid w:val="006A4210"/>
    <w:rsid w:val="006D4DD3"/>
    <w:rsid w:val="006F6D18"/>
    <w:rsid w:val="00730FE3"/>
    <w:rsid w:val="0073797D"/>
    <w:rsid w:val="00745E36"/>
    <w:rsid w:val="00781950"/>
    <w:rsid w:val="007C671F"/>
    <w:rsid w:val="007D2539"/>
    <w:rsid w:val="007D5067"/>
    <w:rsid w:val="00805E06"/>
    <w:rsid w:val="00806496"/>
    <w:rsid w:val="00807DF0"/>
    <w:rsid w:val="00873B25"/>
    <w:rsid w:val="00892599"/>
    <w:rsid w:val="008B0538"/>
    <w:rsid w:val="008C2FC4"/>
    <w:rsid w:val="008C5936"/>
    <w:rsid w:val="008C7B7A"/>
    <w:rsid w:val="008D4567"/>
    <w:rsid w:val="008E6133"/>
    <w:rsid w:val="00916603"/>
    <w:rsid w:val="00953D25"/>
    <w:rsid w:val="009A384A"/>
    <w:rsid w:val="009A55AC"/>
    <w:rsid w:val="009B712B"/>
    <w:rsid w:val="009C0DDC"/>
    <w:rsid w:val="009D03E5"/>
    <w:rsid w:val="009D4B62"/>
    <w:rsid w:val="009D5292"/>
    <w:rsid w:val="009E6BCF"/>
    <w:rsid w:val="00A3109C"/>
    <w:rsid w:val="00A3663B"/>
    <w:rsid w:val="00A4058B"/>
    <w:rsid w:val="00A53F28"/>
    <w:rsid w:val="00A762BC"/>
    <w:rsid w:val="00A80918"/>
    <w:rsid w:val="00A8501E"/>
    <w:rsid w:val="00AD1325"/>
    <w:rsid w:val="00AD6AF1"/>
    <w:rsid w:val="00AE342D"/>
    <w:rsid w:val="00AF14D6"/>
    <w:rsid w:val="00B2108B"/>
    <w:rsid w:val="00B23466"/>
    <w:rsid w:val="00B31CAB"/>
    <w:rsid w:val="00B32118"/>
    <w:rsid w:val="00B73FF9"/>
    <w:rsid w:val="00BB124D"/>
    <w:rsid w:val="00BC420D"/>
    <w:rsid w:val="00BC7A08"/>
    <w:rsid w:val="00C071D6"/>
    <w:rsid w:val="00C63E31"/>
    <w:rsid w:val="00C9644A"/>
    <w:rsid w:val="00C97565"/>
    <w:rsid w:val="00CD2B96"/>
    <w:rsid w:val="00CE1083"/>
    <w:rsid w:val="00CE448A"/>
    <w:rsid w:val="00D30D3C"/>
    <w:rsid w:val="00D53F4D"/>
    <w:rsid w:val="00D6219B"/>
    <w:rsid w:val="00DC3304"/>
    <w:rsid w:val="00DE4DF3"/>
    <w:rsid w:val="00DE7A36"/>
    <w:rsid w:val="00E269A7"/>
    <w:rsid w:val="00E355B6"/>
    <w:rsid w:val="00E80682"/>
    <w:rsid w:val="00E834BC"/>
    <w:rsid w:val="00E866D8"/>
    <w:rsid w:val="00EC4411"/>
    <w:rsid w:val="00EE419E"/>
    <w:rsid w:val="00EF1540"/>
    <w:rsid w:val="00F06FE8"/>
    <w:rsid w:val="00F12473"/>
    <w:rsid w:val="00F27B73"/>
    <w:rsid w:val="00F46AE7"/>
    <w:rsid w:val="00FA4B21"/>
    <w:rsid w:val="00FD0D4C"/>
    <w:rsid w:val="00FD6E5E"/>
    <w:rsid w:val="00FE3AC5"/>
    <w:rsid w:val="00FF3DB2"/>
    <w:rsid w:val="00FF54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944A4"/>
  <w15:chartTrackingRefBased/>
  <w15:docId w15:val="{9879BDBD-1AD4-4FEC-B695-74C01FA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540"/>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rsid w:val="00EF1540"/>
    <w:pPr>
      <w:keepNext/>
      <w:spacing w:before="240" w:after="60" w:line="276" w:lineRule="auto"/>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EF1540"/>
    <w:rPr>
      <w:rFonts w:ascii="Calibri Light" w:eastAsia="Times New Roman" w:hAnsi="Calibri Light" w:cs="Times New Roman"/>
      <w:b/>
      <w:bCs/>
      <w:sz w:val="26"/>
      <w:szCs w:val="26"/>
    </w:rPr>
  </w:style>
  <w:style w:type="character" w:styleId="Hyperlink">
    <w:name w:val="Hyperlink"/>
    <w:uiPriority w:val="99"/>
    <w:rsid w:val="00EF1540"/>
    <w:rPr>
      <w:color w:val="0000FF"/>
      <w:u w:val="single"/>
    </w:rPr>
  </w:style>
  <w:style w:type="paragraph" w:customStyle="1" w:styleId="DOP">
    <w:name w:val="DOP"/>
    <w:basedOn w:val="Normal"/>
    <w:rsid w:val="00EF1540"/>
    <w:pPr>
      <w:spacing w:after="120"/>
    </w:pPr>
    <w:rPr>
      <w:rFonts w:ascii="Helvetica" w:hAnsi="Helvetica"/>
      <w:sz w:val="14"/>
      <w:szCs w:val="14"/>
    </w:rPr>
  </w:style>
  <w:style w:type="paragraph" w:customStyle="1" w:styleId="Abstract">
    <w:name w:val="Abstract"/>
    <w:basedOn w:val="Normal"/>
    <w:link w:val="AbstractChar"/>
    <w:rsid w:val="00EF1540"/>
    <w:pPr>
      <w:spacing w:after="340" w:line="240" w:lineRule="exact"/>
      <w:ind w:right="1380"/>
      <w:jc w:val="both"/>
    </w:pPr>
    <w:rPr>
      <w:sz w:val="20"/>
      <w:szCs w:val="20"/>
    </w:rPr>
  </w:style>
  <w:style w:type="paragraph" w:customStyle="1" w:styleId="H5">
    <w:name w:val="H5"/>
    <w:basedOn w:val="Abstract"/>
    <w:link w:val="H5CharChar"/>
    <w:rsid w:val="00EF1540"/>
    <w:rPr>
      <w:rFonts w:ascii="Helvetica" w:hAnsi="Helvetica"/>
      <w:b/>
      <w:color w:val="00629B"/>
    </w:rPr>
  </w:style>
  <w:style w:type="character" w:customStyle="1" w:styleId="AbstractChar">
    <w:name w:val="Abstract Char"/>
    <w:link w:val="Abstract"/>
    <w:rsid w:val="00EF1540"/>
    <w:rPr>
      <w:rFonts w:ascii="Times New Roman" w:eastAsia="Times New Roman" w:hAnsi="Times New Roman" w:cs="Times New Roman"/>
      <w:sz w:val="20"/>
      <w:szCs w:val="20"/>
    </w:rPr>
  </w:style>
  <w:style w:type="character" w:customStyle="1" w:styleId="H5CharChar">
    <w:name w:val="H5 Char Char"/>
    <w:link w:val="H5"/>
    <w:rsid w:val="00EF1540"/>
    <w:rPr>
      <w:rFonts w:ascii="Helvetica" w:eastAsia="Times New Roman" w:hAnsi="Helvetica" w:cs="Times New Roman"/>
      <w:b/>
      <w:color w:val="00629B"/>
      <w:sz w:val="20"/>
      <w:szCs w:val="20"/>
    </w:rPr>
  </w:style>
  <w:style w:type="paragraph" w:customStyle="1" w:styleId="IT">
    <w:name w:val="IT"/>
    <w:basedOn w:val="Normal"/>
    <w:rsid w:val="00EF1540"/>
    <w:pPr>
      <w:autoSpaceDE w:val="0"/>
      <w:autoSpaceDN w:val="0"/>
      <w:adjustRightInd w:val="0"/>
      <w:spacing w:after="520"/>
      <w:ind w:right="1380"/>
    </w:pPr>
    <w:rPr>
      <w:rFonts w:cs="TimesLTStd-Roman"/>
      <w:sz w:val="20"/>
      <w:szCs w:val="20"/>
    </w:rPr>
  </w:style>
  <w:style w:type="paragraph" w:customStyle="1" w:styleId="PARA">
    <w:name w:val="PARA"/>
    <w:basedOn w:val="Normal"/>
    <w:rsid w:val="00EF1540"/>
    <w:pPr>
      <w:suppressAutoHyphens/>
      <w:autoSpaceDE w:val="0"/>
      <w:autoSpaceDN w:val="0"/>
      <w:adjustRightInd w:val="0"/>
      <w:spacing w:line="240" w:lineRule="exact"/>
      <w:jc w:val="both"/>
    </w:pPr>
    <w:rPr>
      <w:rFonts w:cs="TimesLTStd-Roman"/>
      <w:spacing w:val="-2"/>
      <w:sz w:val="20"/>
      <w:szCs w:val="20"/>
    </w:rPr>
  </w:style>
  <w:style w:type="paragraph" w:customStyle="1" w:styleId="PARAIndent">
    <w:name w:val="PARA_Indent"/>
    <w:basedOn w:val="PARA"/>
    <w:rsid w:val="00EF1540"/>
    <w:pPr>
      <w:ind w:firstLine="200"/>
    </w:pPr>
  </w:style>
  <w:style w:type="character" w:customStyle="1" w:styleId="ITAL">
    <w:name w:val="ITAL"/>
    <w:rsid w:val="00EF1540"/>
    <w:rPr>
      <w:i/>
    </w:rPr>
  </w:style>
  <w:style w:type="paragraph" w:customStyle="1" w:styleId="AU">
    <w:name w:val="AU"/>
    <w:basedOn w:val="Normal"/>
    <w:rsid w:val="00EF1540"/>
    <w:pPr>
      <w:spacing w:after="100"/>
      <w:ind w:right="1380"/>
    </w:pPr>
    <w:rPr>
      <w:rFonts w:ascii="Helvetica" w:hAnsi="Helvetica"/>
      <w:b/>
      <w:sz w:val="20"/>
      <w:szCs w:val="20"/>
    </w:rPr>
  </w:style>
  <w:style w:type="paragraph" w:customStyle="1" w:styleId="PI">
    <w:name w:val="PI"/>
    <w:basedOn w:val="Normal"/>
    <w:rsid w:val="00EF1540"/>
    <w:pPr>
      <w:spacing w:after="540" w:line="180" w:lineRule="exact"/>
      <w:ind w:right="1600" w:firstLine="180"/>
    </w:pPr>
    <w:rPr>
      <w:sz w:val="15"/>
    </w:rPr>
  </w:style>
  <w:style w:type="paragraph" w:customStyle="1" w:styleId="PaperTitle">
    <w:name w:val="Paper Title"/>
    <w:basedOn w:val="Normal"/>
    <w:rsid w:val="00EF1540"/>
    <w:pPr>
      <w:spacing w:before="480" w:after="300"/>
    </w:pPr>
    <w:rPr>
      <w:rFonts w:ascii="Helvetica" w:hAnsi="Helvetica"/>
      <w:b/>
      <w:color w:val="00629B"/>
      <w:sz w:val="44"/>
      <w:szCs w:val="44"/>
    </w:rPr>
  </w:style>
  <w:style w:type="paragraph" w:customStyle="1" w:styleId="H1">
    <w:name w:val="H1"/>
    <w:basedOn w:val="Normal"/>
    <w:rsid w:val="00EF1540"/>
    <w:pPr>
      <w:autoSpaceDE w:val="0"/>
      <w:autoSpaceDN w:val="0"/>
      <w:adjustRightInd w:val="0"/>
      <w:spacing w:before="240"/>
    </w:pPr>
    <w:rPr>
      <w:rFonts w:ascii="Helvetica" w:hAnsi="Helvetica" w:cs="FormataOTF-Bold"/>
      <w:b/>
      <w:bCs/>
      <w:color w:val="00629B"/>
      <w:sz w:val="18"/>
      <w:szCs w:val="18"/>
    </w:rPr>
  </w:style>
  <w:style w:type="numbering" w:customStyle="1" w:styleId="H2Restart">
    <w:name w:val="H2_Restart"/>
    <w:rsid w:val="00EF1540"/>
    <w:pPr>
      <w:numPr>
        <w:numId w:val="7"/>
      </w:numPr>
    </w:pPr>
  </w:style>
  <w:style w:type="paragraph" w:customStyle="1" w:styleId="Equation">
    <w:name w:val="Equation"/>
    <w:basedOn w:val="Normal"/>
    <w:rsid w:val="00EF1540"/>
    <w:pPr>
      <w:tabs>
        <w:tab w:val="left" w:pos="4584"/>
      </w:tabs>
      <w:autoSpaceDE w:val="0"/>
      <w:autoSpaceDN w:val="0"/>
      <w:adjustRightInd w:val="0"/>
      <w:spacing w:before="120" w:after="120"/>
      <w:ind w:left="1600"/>
    </w:pPr>
    <w:rPr>
      <w:rFonts w:cs="MTSYN"/>
      <w:i/>
      <w:sz w:val="20"/>
      <w:szCs w:val="20"/>
    </w:rPr>
  </w:style>
  <w:style w:type="paragraph" w:customStyle="1" w:styleId="FigCaption">
    <w:name w:val="Fig Caption"/>
    <w:basedOn w:val="Normal"/>
    <w:rsid w:val="00EF1540"/>
    <w:pPr>
      <w:numPr>
        <w:numId w:val="3"/>
      </w:numPr>
      <w:autoSpaceDE w:val="0"/>
      <w:autoSpaceDN w:val="0"/>
      <w:adjustRightInd w:val="0"/>
      <w:spacing w:before="140"/>
    </w:pPr>
    <w:rPr>
      <w:rFonts w:ascii="Helvetica" w:hAnsi="Helvetica" w:cs="FormataOTF-Bold"/>
      <w:b/>
      <w:bCs/>
      <w:sz w:val="14"/>
      <w:szCs w:val="14"/>
    </w:rPr>
  </w:style>
  <w:style w:type="paragraph" w:customStyle="1" w:styleId="H3">
    <w:name w:val="H3"/>
    <w:basedOn w:val="Normal"/>
    <w:rsid w:val="00EF1540"/>
    <w:pPr>
      <w:numPr>
        <w:numId w:val="4"/>
      </w:numPr>
      <w:tabs>
        <w:tab w:val="clear" w:pos="320"/>
        <w:tab w:val="left" w:pos="240"/>
      </w:tabs>
      <w:autoSpaceDE w:val="0"/>
      <w:autoSpaceDN w:val="0"/>
      <w:adjustRightInd w:val="0"/>
      <w:spacing w:before="80"/>
    </w:pPr>
    <w:rPr>
      <w:rFonts w:ascii="Helvetica" w:hAnsi="Helvetica" w:cs="FormataOTF-Reg"/>
      <w:caps/>
      <w:color w:val="58595B"/>
      <w:sz w:val="18"/>
      <w:szCs w:val="18"/>
    </w:rPr>
  </w:style>
  <w:style w:type="paragraph" w:customStyle="1" w:styleId="H1ListNoSpace">
    <w:name w:val="H1_List (No Space)"/>
    <w:basedOn w:val="H1"/>
    <w:qFormat/>
    <w:rsid w:val="00EF1540"/>
    <w:pPr>
      <w:spacing w:before="0"/>
    </w:pPr>
  </w:style>
  <w:style w:type="paragraph" w:styleId="Header">
    <w:name w:val="header"/>
    <w:basedOn w:val="Normal"/>
    <w:link w:val="HeaderChar"/>
    <w:uiPriority w:val="99"/>
    <w:rsid w:val="00EF1540"/>
    <w:pPr>
      <w:tabs>
        <w:tab w:val="center" w:pos="4320"/>
        <w:tab w:val="right" w:pos="8640"/>
      </w:tabs>
    </w:pPr>
  </w:style>
  <w:style w:type="character" w:customStyle="1" w:styleId="HeaderChar">
    <w:name w:val="Header Char"/>
    <w:basedOn w:val="DefaultParagraphFont"/>
    <w:link w:val="Header"/>
    <w:uiPriority w:val="99"/>
    <w:rsid w:val="00EF1540"/>
    <w:rPr>
      <w:rFonts w:ascii="Times New Roman" w:eastAsia="Times New Roman" w:hAnsi="Times New Roman" w:cs="Times New Roman"/>
      <w:sz w:val="24"/>
      <w:szCs w:val="24"/>
    </w:rPr>
  </w:style>
  <w:style w:type="paragraph" w:styleId="Footer">
    <w:name w:val="footer"/>
    <w:basedOn w:val="Normal"/>
    <w:link w:val="FooterChar"/>
    <w:uiPriority w:val="99"/>
    <w:qFormat/>
    <w:rsid w:val="00EF1540"/>
    <w:pPr>
      <w:tabs>
        <w:tab w:val="center" w:pos="4320"/>
        <w:tab w:val="right" w:pos="8640"/>
      </w:tabs>
    </w:pPr>
  </w:style>
  <w:style w:type="character" w:customStyle="1" w:styleId="FooterChar">
    <w:name w:val="Footer Char"/>
    <w:basedOn w:val="DefaultParagraphFont"/>
    <w:link w:val="Footer"/>
    <w:uiPriority w:val="99"/>
    <w:rsid w:val="00EF1540"/>
    <w:rPr>
      <w:rFonts w:ascii="Times New Roman" w:eastAsia="Times New Roman" w:hAnsi="Times New Roman" w:cs="Times New Roman"/>
      <w:sz w:val="24"/>
      <w:szCs w:val="24"/>
    </w:rPr>
  </w:style>
  <w:style w:type="paragraph" w:customStyle="1" w:styleId="PINoSpace">
    <w:name w:val="PI_No Space"/>
    <w:basedOn w:val="PI"/>
    <w:rsid w:val="00EF1540"/>
    <w:pPr>
      <w:spacing w:after="0"/>
    </w:pPr>
  </w:style>
  <w:style w:type="character" w:customStyle="1" w:styleId="BodyText2">
    <w:name w:val="Body Text2"/>
    <w:rsid w:val="00EF1540"/>
    <w:rPr>
      <w:rFonts w:ascii="Verdana" w:hAnsi="Verdana" w:cs="Verdana"/>
      <w:color w:val="000000"/>
      <w:sz w:val="22"/>
      <w:szCs w:val="22"/>
    </w:rPr>
  </w:style>
  <w:style w:type="paragraph" w:styleId="FootnoteText">
    <w:name w:val="footnote text"/>
    <w:basedOn w:val="Normal"/>
    <w:link w:val="FootnoteTextChar"/>
    <w:semiHidden/>
    <w:rsid w:val="00EF1540"/>
    <w:pPr>
      <w:ind w:firstLine="202"/>
      <w:jc w:val="both"/>
    </w:pPr>
    <w:rPr>
      <w:sz w:val="16"/>
      <w:szCs w:val="16"/>
      <w:lang w:val="x-none" w:eastAsia="x-none"/>
    </w:rPr>
  </w:style>
  <w:style w:type="character" w:customStyle="1" w:styleId="FootnoteTextChar">
    <w:name w:val="Footnote Text Char"/>
    <w:basedOn w:val="DefaultParagraphFont"/>
    <w:link w:val="FootnoteText"/>
    <w:semiHidden/>
    <w:rsid w:val="00EF1540"/>
    <w:rPr>
      <w:rFonts w:ascii="Times New Roman" w:eastAsia="Times New Roman" w:hAnsi="Times New Roman" w:cs="Times New Roman"/>
      <w:sz w:val="16"/>
      <w:szCs w:val="16"/>
      <w:lang w:val="x-none" w:eastAsia="x-none"/>
    </w:rPr>
  </w:style>
  <w:style w:type="paragraph" w:customStyle="1" w:styleId="TableTitle">
    <w:name w:val="Table Title"/>
    <w:basedOn w:val="Normal"/>
    <w:rsid w:val="00EF1540"/>
    <w:pPr>
      <w:jc w:val="center"/>
    </w:pPr>
    <w:rPr>
      <w:smallCaps/>
      <w:sz w:val="16"/>
      <w:szCs w:val="16"/>
    </w:rPr>
  </w:style>
  <w:style w:type="paragraph" w:customStyle="1" w:styleId="References">
    <w:name w:val="References"/>
    <w:basedOn w:val="Normal"/>
    <w:rsid w:val="00EF1540"/>
    <w:pPr>
      <w:numPr>
        <w:numId w:val="1"/>
      </w:numPr>
      <w:ind w:left="360"/>
      <w:jc w:val="both"/>
    </w:pPr>
    <w:rPr>
      <w:sz w:val="16"/>
      <w:szCs w:val="16"/>
    </w:rPr>
  </w:style>
  <w:style w:type="paragraph" w:customStyle="1" w:styleId="FigureCaption">
    <w:name w:val="Figure Caption"/>
    <w:basedOn w:val="Normal"/>
    <w:rsid w:val="00EF1540"/>
    <w:pPr>
      <w:jc w:val="both"/>
    </w:pPr>
    <w:rPr>
      <w:sz w:val="16"/>
      <w:szCs w:val="16"/>
    </w:rPr>
  </w:style>
  <w:style w:type="paragraph" w:customStyle="1" w:styleId="H1ListSpace">
    <w:name w:val="H1_List (Space)"/>
    <w:basedOn w:val="H1ListNoSpace"/>
    <w:rsid w:val="00EF1540"/>
    <w:pPr>
      <w:spacing w:before="240"/>
      <w:ind w:left="280" w:hanging="280"/>
    </w:pPr>
    <w:rPr>
      <w:rFonts w:cs="Times New Roman"/>
      <w:szCs w:val="20"/>
    </w:rPr>
  </w:style>
  <w:style w:type="paragraph" w:customStyle="1" w:styleId="H2First">
    <w:name w:val="H2_First"/>
    <w:basedOn w:val="Normal"/>
    <w:qFormat/>
    <w:rsid w:val="00EF1540"/>
    <w:pPr>
      <w:numPr>
        <w:numId w:val="9"/>
      </w:numPr>
      <w:autoSpaceDE w:val="0"/>
      <w:autoSpaceDN w:val="0"/>
      <w:adjustRightInd w:val="0"/>
      <w:spacing w:before="260"/>
      <w:ind w:left="0" w:firstLine="0"/>
    </w:pPr>
    <w:rPr>
      <w:rFonts w:ascii="Helvetica" w:hAnsi="Helvetica" w:cs="FormataOTFMdIt"/>
      <w:b/>
      <w:i/>
      <w:color w:val="58595B"/>
      <w:sz w:val="18"/>
      <w:szCs w:val="18"/>
    </w:rPr>
  </w:style>
  <w:style w:type="numbering" w:customStyle="1" w:styleId="H2afterH1New">
    <w:name w:val="H2 after H1_New"/>
    <w:rsid w:val="00EF1540"/>
    <w:pPr>
      <w:numPr>
        <w:numId w:val="5"/>
      </w:numPr>
    </w:pPr>
  </w:style>
  <w:style w:type="paragraph" w:customStyle="1" w:styleId="H2Cont">
    <w:name w:val="H2_Cont"/>
    <w:rsid w:val="00EF1540"/>
    <w:pPr>
      <w:numPr>
        <w:numId w:val="11"/>
      </w:numPr>
      <w:spacing w:before="260" w:after="0" w:line="240" w:lineRule="auto"/>
    </w:pPr>
    <w:rPr>
      <w:rFonts w:ascii="Helvetica" w:eastAsia="Times New Roman" w:hAnsi="Helvetica" w:cs="Times New Roman"/>
      <w:b/>
      <w:bCs/>
      <w:i/>
      <w:iCs/>
      <w:color w:val="58595B"/>
      <w:sz w:val="18"/>
      <w:szCs w:val="20"/>
    </w:rPr>
  </w:style>
  <w:style w:type="paragraph" w:styleId="NormalWeb">
    <w:name w:val="Normal (Web)"/>
    <w:basedOn w:val="Normal"/>
    <w:uiPriority w:val="99"/>
    <w:unhideWhenUsed/>
    <w:rsid w:val="00EF1540"/>
    <w:pPr>
      <w:spacing w:before="100" w:beforeAutospacing="1" w:after="100" w:afterAutospacing="1"/>
    </w:pPr>
  </w:style>
  <w:style w:type="paragraph" w:styleId="ListParagraph">
    <w:name w:val="List Paragraph"/>
    <w:basedOn w:val="Normal"/>
    <w:uiPriority w:val="34"/>
    <w:qFormat/>
    <w:rsid w:val="00EF1540"/>
    <w:pPr>
      <w:ind w:left="720"/>
      <w:contextualSpacing/>
    </w:pPr>
  </w:style>
  <w:style w:type="paragraph" w:styleId="CommentText">
    <w:name w:val="annotation text"/>
    <w:basedOn w:val="Normal"/>
    <w:link w:val="CommentTextChar"/>
    <w:uiPriority w:val="99"/>
    <w:semiHidden/>
    <w:unhideWhenUsed/>
    <w:rsid w:val="00EF1540"/>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EF1540"/>
    <w:rPr>
      <w:sz w:val="20"/>
      <w:szCs w:val="20"/>
    </w:rPr>
  </w:style>
  <w:style w:type="character" w:styleId="CommentReference">
    <w:name w:val="annotation reference"/>
    <w:basedOn w:val="DefaultParagraphFont"/>
    <w:uiPriority w:val="99"/>
    <w:semiHidden/>
    <w:unhideWhenUsed/>
    <w:rsid w:val="00EF1540"/>
    <w:rPr>
      <w:sz w:val="16"/>
      <w:szCs w:val="16"/>
    </w:rPr>
  </w:style>
  <w:style w:type="character" w:styleId="FollowedHyperlink">
    <w:name w:val="FollowedHyperlink"/>
    <w:basedOn w:val="DefaultParagraphFont"/>
    <w:uiPriority w:val="99"/>
    <w:semiHidden/>
    <w:unhideWhenUsed/>
    <w:rsid w:val="00EF1540"/>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EF1540"/>
    <w:rPr>
      <w:b/>
      <w:bCs/>
    </w:rPr>
  </w:style>
  <w:style w:type="character" w:customStyle="1" w:styleId="CommentSubjectChar">
    <w:name w:val="Comment Subject Char"/>
    <w:basedOn w:val="CommentTextChar"/>
    <w:link w:val="CommentSubject"/>
    <w:uiPriority w:val="99"/>
    <w:semiHidden/>
    <w:rsid w:val="00EF1540"/>
    <w:rPr>
      <w:b/>
      <w:bCs/>
      <w:sz w:val="20"/>
      <w:szCs w:val="20"/>
    </w:rPr>
  </w:style>
  <w:style w:type="paragraph" w:styleId="BalloonText">
    <w:name w:val="Balloon Text"/>
    <w:basedOn w:val="Normal"/>
    <w:link w:val="BalloonTextChar"/>
    <w:uiPriority w:val="99"/>
    <w:unhideWhenUsed/>
    <w:rsid w:val="00EF1540"/>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rsid w:val="00EF1540"/>
    <w:rPr>
      <w:rFonts w:ascii="Segoe UI" w:hAnsi="Segoe UI" w:cs="Segoe UI"/>
      <w:sz w:val="18"/>
      <w:szCs w:val="18"/>
    </w:rPr>
  </w:style>
  <w:style w:type="paragraph" w:customStyle="1" w:styleId="Default">
    <w:name w:val="Default"/>
    <w:uiPriority w:val="99"/>
    <w:rsid w:val="00EF154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apleOutput1">
    <w:name w:val="Maple Output1"/>
    <w:uiPriority w:val="99"/>
    <w:rsid w:val="00EF1540"/>
    <w:pPr>
      <w:autoSpaceDE w:val="0"/>
      <w:autoSpaceDN w:val="0"/>
      <w:adjustRightInd w:val="0"/>
      <w:spacing w:after="0" w:line="312" w:lineRule="auto"/>
      <w:jc w:val="center"/>
    </w:pPr>
    <w:rPr>
      <w:rFonts w:ascii="Times New Roman" w:hAnsi="Times New Roman" w:cs="Times New Roman"/>
      <w:sz w:val="24"/>
      <w:szCs w:val="24"/>
    </w:rPr>
  </w:style>
  <w:style w:type="character" w:styleId="PlaceholderText">
    <w:name w:val="Placeholder Text"/>
    <w:basedOn w:val="DefaultParagraphFont"/>
    <w:uiPriority w:val="99"/>
    <w:semiHidden/>
    <w:rsid w:val="00EF1540"/>
    <w:rPr>
      <w:color w:val="808080"/>
    </w:rPr>
  </w:style>
  <w:style w:type="character" w:customStyle="1" w:styleId="BalloonTextChar1">
    <w:name w:val="Balloon Text Char1"/>
    <w:basedOn w:val="DefaultParagraphFont"/>
    <w:uiPriority w:val="99"/>
    <w:semiHidden/>
    <w:rsid w:val="00EF1540"/>
    <w:rPr>
      <w:rFonts w:ascii="Segoe UI" w:hAnsi="Segoe UI" w:cs="Segoe UI" w:hint="default"/>
      <w:sz w:val="18"/>
      <w:szCs w:val="18"/>
    </w:rPr>
  </w:style>
  <w:style w:type="character" w:customStyle="1" w:styleId="katex-mathml">
    <w:name w:val="katex-mathml"/>
    <w:basedOn w:val="DefaultParagraphFont"/>
    <w:rsid w:val="00EF1540"/>
  </w:style>
  <w:style w:type="character" w:customStyle="1" w:styleId="mord">
    <w:name w:val="mord"/>
    <w:basedOn w:val="DefaultParagraphFont"/>
    <w:rsid w:val="00EF1540"/>
  </w:style>
  <w:style w:type="character" w:customStyle="1" w:styleId="vlist-s">
    <w:name w:val="vlist-s"/>
    <w:basedOn w:val="DefaultParagraphFont"/>
    <w:rsid w:val="00EF1540"/>
  </w:style>
  <w:style w:type="character" w:customStyle="1" w:styleId="mopen">
    <w:name w:val="mopen"/>
    <w:basedOn w:val="DefaultParagraphFont"/>
    <w:rsid w:val="00EF1540"/>
  </w:style>
  <w:style w:type="character" w:customStyle="1" w:styleId="mclose">
    <w:name w:val="mclose"/>
    <w:basedOn w:val="DefaultParagraphFont"/>
    <w:rsid w:val="00EF1540"/>
  </w:style>
  <w:style w:type="character" w:customStyle="1" w:styleId="mpunct">
    <w:name w:val="mpunct"/>
    <w:basedOn w:val="DefaultParagraphFont"/>
    <w:rsid w:val="00EF1540"/>
  </w:style>
  <w:style w:type="character" w:customStyle="1" w:styleId="mrel">
    <w:name w:val="mrel"/>
    <w:basedOn w:val="DefaultParagraphFont"/>
    <w:rsid w:val="00EF1540"/>
  </w:style>
  <w:style w:type="character" w:customStyle="1" w:styleId="mop">
    <w:name w:val="mop"/>
    <w:basedOn w:val="DefaultParagraphFont"/>
    <w:rsid w:val="00EF1540"/>
  </w:style>
  <w:style w:type="character" w:customStyle="1" w:styleId="mbin">
    <w:name w:val="mbin"/>
    <w:basedOn w:val="DefaultParagraphFont"/>
    <w:rsid w:val="00EF1540"/>
  </w:style>
  <w:style w:type="character" w:customStyle="1" w:styleId="mtight">
    <w:name w:val="mtight"/>
    <w:basedOn w:val="DefaultParagraphFont"/>
    <w:rsid w:val="00EF1540"/>
  </w:style>
  <w:style w:type="character" w:customStyle="1" w:styleId="fontstyle01">
    <w:name w:val="fontstyle01"/>
    <w:basedOn w:val="DefaultParagraphFont"/>
    <w:rsid w:val="00EF1540"/>
    <w:rPr>
      <w:rFonts w:ascii="NimbusRomNo9L-Regu" w:hAnsi="NimbusRomNo9L-Regu" w:hint="default"/>
      <w:b w:val="0"/>
      <w:bCs w:val="0"/>
      <w:i w:val="0"/>
      <w:iCs w:val="0"/>
      <w:color w:val="000000"/>
      <w:sz w:val="24"/>
      <w:szCs w:val="24"/>
    </w:rPr>
  </w:style>
  <w:style w:type="character" w:customStyle="1" w:styleId="MapleInput">
    <w:name w:val="Maple Input"/>
    <w:uiPriority w:val="99"/>
    <w:rsid w:val="00EF1540"/>
    <w:rPr>
      <w:rFonts w:ascii="Courier New" w:hAnsi="Courier New" w:cs="Courier New" w:hint="default"/>
      <w:b/>
      <w:bCs/>
      <w:color w:val="FF0000"/>
    </w:rPr>
  </w:style>
  <w:style w:type="character" w:customStyle="1" w:styleId="2DOutput">
    <w:name w:val="2D Output"/>
    <w:uiPriority w:val="99"/>
    <w:rsid w:val="00EF1540"/>
    <w:rPr>
      <w:color w:val="0000FF"/>
    </w:rPr>
  </w:style>
  <w:style w:type="character" w:customStyle="1" w:styleId="Text">
    <w:name w:val="Text"/>
    <w:uiPriority w:val="99"/>
    <w:rsid w:val="00EF1540"/>
    <w:rPr>
      <w:color w:val="000000"/>
    </w:rPr>
  </w:style>
  <w:style w:type="table" w:styleId="TableGrid">
    <w:name w:val="Table Grid"/>
    <w:basedOn w:val="TableNormal"/>
    <w:uiPriority w:val="59"/>
    <w:qFormat/>
    <w:rsid w:val="00EF15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F1540"/>
    <w:rPr>
      <w:i/>
      <w:iCs/>
    </w:rPr>
  </w:style>
  <w:style w:type="character" w:customStyle="1" w:styleId="A6">
    <w:name w:val="A6"/>
    <w:uiPriority w:val="99"/>
    <w:rsid w:val="005740B6"/>
    <w:rPr>
      <w:rFonts w:cs="Cambria"/>
      <w:color w:val="000000"/>
      <w:sz w:val="18"/>
      <w:szCs w:val="18"/>
    </w:rPr>
  </w:style>
  <w:style w:type="character" w:customStyle="1" w:styleId="A13">
    <w:name w:val="A13"/>
    <w:uiPriority w:val="99"/>
    <w:rsid w:val="005740B6"/>
    <w:rPr>
      <w:rFonts w:cs="Verdana"/>
      <w:color w:val="000000"/>
      <w:sz w:val="9"/>
      <w:szCs w:val="9"/>
    </w:rPr>
  </w:style>
  <w:style w:type="character" w:styleId="Strong">
    <w:name w:val="Strong"/>
    <w:basedOn w:val="DefaultParagraphFont"/>
    <w:uiPriority w:val="22"/>
    <w:qFormat/>
    <w:rsid w:val="006A4210"/>
    <w:rPr>
      <w:b/>
      <w:bCs/>
    </w:rPr>
  </w:style>
  <w:style w:type="character" w:styleId="UnresolvedMention">
    <w:name w:val="Unresolved Mention"/>
    <w:basedOn w:val="DefaultParagraphFont"/>
    <w:uiPriority w:val="99"/>
    <w:semiHidden/>
    <w:unhideWhenUsed/>
    <w:rsid w:val="00140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4873">
      <w:bodyDiv w:val="1"/>
      <w:marLeft w:val="0"/>
      <w:marRight w:val="0"/>
      <w:marTop w:val="0"/>
      <w:marBottom w:val="0"/>
      <w:divBdr>
        <w:top w:val="none" w:sz="0" w:space="0" w:color="auto"/>
        <w:left w:val="none" w:sz="0" w:space="0" w:color="auto"/>
        <w:bottom w:val="none" w:sz="0" w:space="0" w:color="auto"/>
        <w:right w:val="none" w:sz="0" w:space="0" w:color="auto"/>
      </w:divBdr>
    </w:div>
    <w:div w:id="731736738">
      <w:bodyDiv w:val="1"/>
      <w:marLeft w:val="0"/>
      <w:marRight w:val="0"/>
      <w:marTop w:val="0"/>
      <w:marBottom w:val="0"/>
      <w:divBdr>
        <w:top w:val="none" w:sz="0" w:space="0" w:color="auto"/>
        <w:left w:val="none" w:sz="0" w:space="0" w:color="auto"/>
        <w:bottom w:val="none" w:sz="0" w:space="0" w:color="auto"/>
        <w:right w:val="none" w:sz="0" w:space="0" w:color="auto"/>
      </w:divBdr>
    </w:div>
    <w:div w:id="1256595328">
      <w:bodyDiv w:val="1"/>
      <w:marLeft w:val="0"/>
      <w:marRight w:val="0"/>
      <w:marTop w:val="0"/>
      <w:marBottom w:val="0"/>
      <w:divBdr>
        <w:top w:val="none" w:sz="0" w:space="0" w:color="auto"/>
        <w:left w:val="none" w:sz="0" w:space="0" w:color="auto"/>
        <w:bottom w:val="none" w:sz="0" w:space="0" w:color="auto"/>
        <w:right w:val="none" w:sz="0" w:space="0" w:color="auto"/>
      </w:divBdr>
    </w:div>
    <w:div w:id="189669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veducation.org/pvcdrom/effect-of-" TargetMode="External"/><Relationship Id="rId3" Type="http://schemas.openxmlformats.org/officeDocument/2006/relationships/settings" Target="settings.xml"/><Relationship Id="rId21" Type="http://schemas.openxmlformats.org/officeDocument/2006/relationships/hyperlink" Target="https://doi.org/10.3390/su14084792" TargetMode="External"/><Relationship Id="rId7" Type="http://schemas.openxmlformats.org/officeDocument/2006/relationships/hyperlink" Target="mailto:medina.umar@uniabuja.edu.ng" TargetMode="External"/><Relationship Id="rId12" Type="http://schemas.openxmlformats.org/officeDocument/2006/relationships/header" Target="header3.xml"/><Relationship Id="rId17" Type="http://schemas.openxmlformats.org/officeDocument/2006/relationships/chart" Target="charts/chart4.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3.xml"/><Relationship Id="rId20" Type="http://schemas.openxmlformats.org/officeDocument/2006/relationships/hyperlink" Target="https://doi.org/10.3390/su13241380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2.xm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dx.doi.org/10.4236/cweee.2016.54012"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hart" Target="charts/chart1.xml"/><Relationship Id="rId22" Type="http://schemas.openxmlformats.org/officeDocument/2006/relationships/hyperlink" Target="http://www.ren21.net/status-of-renewabl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'Abuja 21'!$E$1</c:f>
              <c:strCache>
                <c:ptCount val="1"/>
                <c:pt idx="0">
                  <c:v>MEAN TEMPERATURE (OC)</c:v>
                </c:pt>
              </c:strCache>
            </c:strRef>
          </c:tx>
          <c:spPr>
            <a:solidFill>
              <a:schemeClr val="accent1"/>
            </a:solidFill>
            <a:ln>
              <a:noFill/>
            </a:ln>
            <a:effectLst/>
          </c:spPr>
          <c:invertIfNegative val="0"/>
          <c:cat>
            <c:strRef>
              <c:f>'Abuja 21'!$D$2:$D$13</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'Abuja 21'!$E$2:$E$13</c:f>
              <c:numCache>
                <c:formatCode>General</c:formatCode>
                <c:ptCount val="12"/>
                <c:pt idx="0">
                  <c:v>27.64</c:v>
                </c:pt>
                <c:pt idx="1">
                  <c:v>31</c:v>
                </c:pt>
                <c:pt idx="2">
                  <c:v>32.96</c:v>
                </c:pt>
                <c:pt idx="3">
                  <c:v>29.78</c:v>
                </c:pt>
                <c:pt idx="4">
                  <c:v>28.47</c:v>
                </c:pt>
                <c:pt idx="5">
                  <c:v>26.98</c:v>
                </c:pt>
                <c:pt idx="6">
                  <c:v>26.27</c:v>
                </c:pt>
                <c:pt idx="7" formatCode="0.00_ ">
                  <c:v>26</c:v>
                </c:pt>
                <c:pt idx="8">
                  <c:v>26.22</c:v>
                </c:pt>
                <c:pt idx="9">
                  <c:v>26.45</c:v>
                </c:pt>
                <c:pt idx="10">
                  <c:v>26.81</c:v>
                </c:pt>
                <c:pt idx="11">
                  <c:v>26.53</c:v>
                </c:pt>
              </c:numCache>
            </c:numRef>
          </c:val>
          <c:extLst>
            <c:ext xmlns:c16="http://schemas.microsoft.com/office/drawing/2014/chart" uri="{C3380CC4-5D6E-409C-BE32-E72D297353CC}">
              <c16:uniqueId val="{00000000-0E57-2E4E-90AA-24961D26BC52}"/>
            </c:ext>
          </c:extLst>
        </c:ser>
        <c:dLbls>
          <c:showLegendKey val="0"/>
          <c:showVal val="0"/>
          <c:showCatName val="0"/>
          <c:showSerName val="0"/>
          <c:showPercent val="0"/>
          <c:showBubbleSize val="0"/>
        </c:dLbls>
        <c:gapWidth val="219"/>
        <c:axId val="391801528"/>
        <c:axId val="391802704"/>
      </c:barChart>
      <c:lineChart>
        <c:grouping val="standard"/>
        <c:varyColors val="0"/>
        <c:ser>
          <c:idx val="1"/>
          <c:order val="1"/>
          <c:tx>
            <c:strRef>
              <c:f>'Abuja 21'!$F$1</c:f>
              <c:strCache>
                <c:ptCount val="1"/>
                <c:pt idx="0">
                  <c:v>OUTPUT POWER (KWh)</c:v>
                </c:pt>
              </c:strCache>
            </c:strRef>
          </c:tx>
          <c:spPr>
            <a:ln w="28575" cap="rnd" cmpd="sng" algn="ctr">
              <a:solidFill>
                <a:schemeClr val="accent2"/>
              </a:solidFill>
              <a:prstDash val="solid"/>
              <a:round/>
            </a:ln>
            <a:effectLst/>
          </c:spPr>
          <c:marker>
            <c:symbol val="none"/>
          </c:marker>
          <c:cat>
            <c:strRef>
              <c:f>'Abuja 21'!$D$2:$D$13</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'Abuja 21'!$F$2:$F$13</c:f>
              <c:numCache>
                <c:formatCode>General</c:formatCode>
                <c:ptCount val="12"/>
                <c:pt idx="0">
                  <c:v>-27.8</c:v>
                </c:pt>
                <c:pt idx="1">
                  <c:v>-482.33</c:v>
                </c:pt>
                <c:pt idx="2">
                  <c:v>-744.71</c:v>
                </c:pt>
                <c:pt idx="3">
                  <c:v>-317.89999999999998</c:v>
                </c:pt>
                <c:pt idx="4">
                  <c:v>-184.4</c:v>
                </c:pt>
                <c:pt idx="5">
                  <c:v>61.38</c:v>
                </c:pt>
                <c:pt idx="6">
                  <c:v>156.63999999999999</c:v>
                </c:pt>
                <c:pt idx="7">
                  <c:v>193.47</c:v>
                </c:pt>
                <c:pt idx="8">
                  <c:v>164.93</c:v>
                </c:pt>
                <c:pt idx="9">
                  <c:v>132.94</c:v>
                </c:pt>
                <c:pt idx="10">
                  <c:v>84.29</c:v>
                </c:pt>
                <c:pt idx="11">
                  <c:v>122.55</c:v>
                </c:pt>
              </c:numCache>
            </c:numRef>
          </c:val>
          <c:smooth val="0"/>
          <c:extLst>
            <c:ext xmlns:c16="http://schemas.microsoft.com/office/drawing/2014/chart" uri="{C3380CC4-5D6E-409C-BE32-E72D297353CC}">
              <c16:uniqueId val="{00000001-0E57-2E4E-90AA-24961D26BC52}"/>
            </c:ext>
          </c:extLst>
        </c:ser>
        <c:dLbls>
          <c:showLegendKey val="0"/>
          <c:showVal val="0"/>
          <c:showCatName val="0"/>
          <c:showSerName val="0"/>
          <c:showPercent val="0"/>
          <c:showBubbleSize val="0"/>
        </c:dLbls>
        <c:marker val="1"/>
        <c:smooth val="0"/>
        <c:axId val="391805448"/>
        <c:axId val="391807016"/>
      </c:lineChart>
      <c:catAx>
        <c:axId val="391801528"/>
        <c:scaling>
          <c:orientation val="minMax"/>
        </c:scaling>
        <c:delete val="0"/>
        <c:axPos val="b"/>
        <c:title>
          <c:tx>
            <c:rich>
              <a:bodyPr rot="0" spcFirstLastPara="1" vertOverflow="ellipsis" vert="horz" wrap="square" anchor="ctr" anchorCtr="1"/>
              <a:lstStyle/>
              <a:p>
                <a:pPr>
                  <a:defRPr lang="en-GB" sz="1200" b="1"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r>
                  <a:rPr lang="en-US" b="1"/>
                  <a:t>Months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en-GB" sz="12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91802704"/>
        <c:crosses val="autoZero"/>
        <c:auto val="1"/>
        <c:lblAlgn val="ctr"/>
        <c:lblOffset val="100"/>
        <c:noMultiLvlLbl val="0"/>
      </c:catAx>
      <c:valAx>
        <c:axId val="391802704"/>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en-GB" sz="1200" b="1"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r>
                  <a:rPr lang="en-US" b="1"/>
                  <a:t>Mean Temperature (</a:t>
                </a:r>
                <a:r>
                  <a:rPr lang="en-US" b="1" baseline="30000"/>
                  <a:t>O</a:t>
                </a:r>
                <a:r>
                  <a:rPr lang="en-US" b="1"/>
                  <a:t>C)</a:t>
                </a:r>
              </a:p>
            </c:rich>
          </c:tx>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en-GB" sz="12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91801528"/>
        <c:crosses val="autoZero"/>
        <c:crossBetween val="between"/>
      </c:valAx>
      <c:catAx>
        <c:axId val="391805448"/>
        <c:scaling>
          <c:orientation val="minMax"/>
        </c:scaling>
        <c:delete val="1"/>
        <c:axPos val="b"/>
        <c:numFmt formatCode="General" sourceLinked="1"/>
        <c:majorTickMark val="out"/>
        <c:minorTickMark val="none"/>
        <c:tickLblPos val="nextTo"/>
        <c:crossAx val="391807016"/>
        <c:crosses val="autoZero"/>
        <c:auto val="1"/>
        <c:lblAlgn val="ctr"/>
        <c:lblOffset val="100"/>
        <c:noMultiLvlLbl val="0"/>
      </c:catAx>
      <c:valAx>
        <c:axId val="391807016"/>
        <c:scaling>
          <c:orientation val="minMax"/>
        </c:scaling>
        <c:delete val="0"/>
        <c:axPos val="r"/>
        <c:title>
          <c:tx>
            <c:rich>
              <a:bodyPr rot="-5400000" spcFirstLastPara="1" vertOverflow="ellipsis" vert="horz" wrap="square" anchor="ctr" anchorCtr="1"/>
              <a:lstStyle/>
              <a:p>
                <a:pPr>
                  <a:defRPr lang="en-GB" sz="1200" b="1"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r>
                  <a:rPr lang="en-US" b="1"/>
                  <a:t>Output Power (KWh)</a:t>
                </a:r>
              </a:p>
            </c:rich>
          </c:tx>
          <c:overlay val="0"/>
          <c:spPr>
            <a:noFill/>
            <a:ln>
              <a:noFill/>
            </a:ln>
            <a:effectLst/>
          </c:spPr>
        </c:title>
        <c:numFmt formatCode="General" sourceLinked="1"/>
        <c:majorTickMark val="out"/>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en-GB" sz="12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91805448"/>
        <c:crosses val="max"/>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lang="en-GB" sz="12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en-GB" sz="1200">
          <a:latin typeface="Times New Roman" panose="02020603050405020304" charset="0"/>
          <a:cs typeface="Times New Roman" panose="0202060305040502030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'Abuja 22'!$E$1</c:f>
              <c:strCache>
                <c:ptCount val="1"/>
                <c:pt idx="0">
                  <c:v>MEAN TEMPERATURE (OC)</c:v>
                </c:pt>
              </c:strCache>
            </c:strRef>
          </c:tx>
          <c:spPr>
            <a:solidFill>
              <a:schemeClr val="accent1"/>
            </a:solidFill>
            <a:ln>
              <a:noFill/>
            </a:ln>
            <a:effectLst/>
          </c:spPr>
          <c:invertIfNegative val="0"/>
          <c:cat>
            <c:strRef>
              <c:f>'Abuja 22'!$D$2:$D$13</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'Abuja 22'!$E$2:$E$13</c:f>
              <c:numCache>
                <c:formatCode>General</c:formatCode>
                <c:ptCount val="12"/>
                <c:pt idx="0">
                  <c:v>27.81</c:v>
                </c:pt>
                <c:pt idx="1">
                  <c:v>31.13</c:v>
                </c:pt>
                <c:pt idx="2">
                  <c:v>32.14</c:v>
                </c:pt>
                <c:pt idx="3">
                  <c:v>33.06</c:v>
                </c:pt>
                <c:pt idx="4">
                  <c:v>28.67</c:v>
                </c:pt>
                <c:pt idx="5">
                  <c:v>27</c:v>
                </c:pt>
                <c:pt idx="6">
                  <c:v>25.44</c:v>
                </c:pt>
                <c:pt idx="7">
                  <c:v>25.68</c:v>
                </c:pt>
                <c:pt idx="8">
                  <c:v>25.8</c:v>
                </c:pt>
                <c:pt idx="9">
                  <c:v>26.21</c:v>
                </c:pt>
                <c:pt idx="10">
                  <c:v>28.009</c:v>
                </c:pt>
                <c:pt idx="11" formatCode="0.00_ ">
                  <c:v>26.15</c:v>
                </c:pt>
              </c:numCache>
            </c:numRef>
          </c:val>
          <c:extLst>
            <c:ext xmlns:c16="http://schemas.microsoft.com/office/drawing/2014/chart" uri="{C3380CC4-5D6E-409C-BE32-E72D297353CC}">
              <c16:uniqueId val="{00000000-9951-AB43-AADA-D7BABF8F3094}"/>
            </c:ext>
          </c:extLst>
        </c:ser>
        <c:dLbls>
          <c:showLegendKey val="0"/>
          <c:showVal val="0"/>
          <c:showCatName val="0"/>
          <c:showSerName val="0"/>
          <c:showPercent val="0"/>
          <c:showBubbleSize val="0"/>
        </c:dLbls>
        <c:gapWidth val="219"/>
        <c:axId val="391809368"/>
        <c:axId val="391798392"/>
      </c:barChart>
      <c:lineChart>
        <c:grouping val="standard"/>
        <c:varyColors val="0"/>
        <c:ser>
          <c:idx val="1"/>
          <c:order val="1"/>
          <c:tx>
            <c:strRef>
              <c:f>'Abuja 22'!$F$1</c:f>
              <c:strCache>
                <c:ptCount val="1"/>
                <c:pt idx="0">
                  <c:v>OUTPUT POWER (KWh)</c:v>
                </c:pt>
              </c:strCache>
            </c:strRef>
          </c:tx>
          <c:spPr>
            <a:ln w="28575" cap="rnd" cmpd="sng" algn="ctr">
              <a:solidFill>
                <a:schemeClr val="accent2"/>
              </a:solidFill>
              <a:prstDash val="solid"/>
              <a:round/>
            </a:ln>
            <a:effectLst/>
          </c:spPr>
          <c:marker>
            <c:symbol val="none"/>
          </c:marker>
          <c:cat>
            <c:strRef>
              <c:f>'Abuja 22'!$D$2:$D$13</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'Abuja 22'!$F$2:$F$13</c:f>
              <c:numCache>
                <c:formatCode>General</c:formatCode>
                <c:ptCount val="12"/>
                <c:pt idx="0">
                  <c:v>-54.46</c:v>
                </c:pt>
                <c:pt idx="1">
                  <c:v>-500.69</c:v>
                </c:pt>
                <c:pt idx="2">
                  <c:v>-636.34</c:v>
                </c:pt>
                <c:pt idx="3">
                  <c:v>-760.78</c:v>
                </c:pt>
                <c:pt idx="4">
                  <c:v>-167.53</c:v>
                </c:pt>
                <c:pt idx="5">
                  <c:v>58.81</c:v>
                </c:pt>
                <c:pt idx="6">
                  <c:v>434.18</c:v>
                </c:pt>
                <c:pt idx="7">
                  <c:v>237.42</c:v>
                </c:pt>
                <c:pt idx="8">
                  <c:v>221.39</c:v>
                </c:pt>
                <c:pt idx="9">
                  <c:v>165.28</c:v>
                </c:pt>
                <c:pt idx="10">
                  <c:v>-77.11</c:v>
                </c:pt>
                <c:pt idx="11">
                  <c:v>172.04</c:v>
                </c:pt>
              </c:numCache>
            </c:numRef>
          </c:val>
          <c:smooth val="0"/>
          <c:extLst>
            <c:ext xmlns:c16="http://schemas.microsoft.com/office/drawing/2014/chart" uri="{C3380CC4-5D6E-409C-BE32-E72D297353CC}">
              <c16:uniqueId val="{00000001-9951-AB43-AADA-D7BABF8F3094}"/>
            </c:ext>
          </c:extLst>
        </c:ser>
        <c:dLbls>
          <c:showLegendKey val="0"/>
          <c:showVal val="0"/>
          <c:showCatName val="0"/>
          <c:showSerName val="0"/>
          <c:showPercent val="0"/>
          <c:showBubbleSize val="0"/>
        </c:dLbls>
        <c:marker val="1"/>
        <c:smooth val="0"/>
        <c:axId val="391811720"/>
        <c:axId val="402040176"/>
      </c:lineChart>
      <c:catAx>
        <c:axId val="391809368"/>
        <c:scaling>
          <c:orientation val="minMax"/>
        </c:scaling>
        <c:delete val="0"/>
        <c:axPos val="b"/>
        <c:title>
          <c:tx>
            <c:rich>
              <a:bodyPr rot="0" spcFirstLastPara="1" vertOverflow="ellipsis" vert="horz" wrap="square" anchor="ctr" anchorCtr="1"/>
              <a:lstStyle/>
              <a:p>
                <a:pPr>
                  <a:defRPr lang="en-GB" sz="1200" b="1"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r>
                  <a:rPr lang="en-US" b="1"/>
                  <a:t>Months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en-GB" sz="12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91798392"/>
        <c:crosses val="autoZero"/>
        <c:auto val="1"/>
        <c:lblAlgn val="ctr"/>
        <c:lblOffset val="100"/>
        <c:noMultiLvlLbl val="0"/>
      </c:catAx>
      <c:valAx>
        <c:axId val="39179839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en-GB" sz="1200" b="1"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r>
                  <a:rPr lang="en-US" b="1"/>
                  <a:t>Mean Temperature</a:t>
                </a:r>
                <a:r>
                  <a:rPr lang="en-US" b="1" baseline="0"/>
                  <a:t> (</a:t>
                </a:r>
                <a:r>
                  <a:rPr lang="en-US" b="1" baseline="30000"/>
                  <a:t>O</a:t>
                </a:r>
                <a:r>
                  <a:rPr lang="en-US" b="1" baseline="0"/>
                  <a:t>C)</a:t>
                </a:r>
                <a:endParaRPr lang="en-US" b="1"/>
              </a:p>
            </c:rich>
          </c:tx>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en-GB" sz="12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91809368"/>
        <c:crosses val="autoZero"/>
        <c:crossBetween val="between"/>
      </c:valAx>
      <c:catAx>
        <c:axId val="391811720"/>
        <c:scaling>
          <c:orientation val="minMax"/>
        </c:scaling>
        <c:delete val="1"/>
        <c:axPos val="b"/>
        <c:numFmt formatCode="General" sourceLinked="1"/>
        <c:majorTickMark val="out"/>
        <c:minorTickMark val="none"/>
        <c:tickLblPos val="nextTo"/>
        <c:crossAx val="402040176"/>
        <c:crosses val="autoZero"/>
        <c:auto val="1"/>
        <c:lblAlgn val="ctr"/>
        <c:lblOffset val="100"/>
        <c:noMultiLvlLbl val="0"/>
      </c:catAx>
      <c:valAx>
        <c:axId val="402040176"/>
        <c:scaling>
          <c:orientation val="minMax"/>
        </c:scaling>
        <c:delete val="0"/>
        <c:axPos val="r"/>
        <c:title>
          <c:tx>
            <c:rich>
              <a:bodyPr rot="-5400000" spcFirstLastPara="1" vertOverflow="ellipsis" vert="horz" wrap="square" anchor="ctr" anchorCtr="1"/>
              <a:lstStyle/>
              <a:p>
                <a:pPr>
                  <a:defRPr lang="en-GB" sz="1200" b="1"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r>
                  <a:rPr lang="en-US" b="1"/>
                  <a:t>Output Power (KWh)</a:t>
                </a:r>
              </a:p>
            </c:rich>
          </c:tx>
          <c:overlay val="0"/>
          <c:spPr>
            <a:noFill/>
            <a:ln>
              <a:noFill/>
            </a:ln>
            <a:effectLst/>
          </c:spPr>
        </c:title>
        <c:numFmt formatCode="General" sourceLinked="1"/>
        <c:majorTickMark val="out"/>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en-GB" sz="12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91811720"/>
        <c:crosses val="max"/>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lang="en-GB" sz="12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en-GB" sz="1200">
          <a:latin typeface="Times New Roman" panose="02020603050405020304" charset="0"/>
          <a:cs typeface="Times New Roman" panose="02020603050405020304" charset="0"/>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label 0</c:f>
              <c:strCache>
                <c:ptCount val="1"/>
                <c:pt idx="0">
                  <c:v>MEAN TEMPERATURE (OC)</c:v>
                </c:pt>
              </c:strCache>
            </c:strRef>
          </c:tx>
          <c:spPr>
            <a:solidFill>
              <a:srgbClr val="4F81BD"/>
            </a:solidFill>
            <a:ln>
              <a:noFill/>
            </a:ln>
          </c:spPr>
          <c:invertIfNegative val="0"/>
          <c:dLbls>
            <c:spPr>
              <a:noFill/>
              <a:ln>
                <a:noFill/>
              </a:ln>
              <a:effectLst/>
            </c:spPr>
            <c:txPr>
              <a:bodyPr rot="0" spcFirstLastPara="0" vertOverflow="ellipsis" vert="horz" wrap="square" lIns="38100" tIns="19050" rIns="38100" bIns="19050" anchor="ctr" anchorCtr="1"/>
              <a:lstStyle/>
              <a:p>
                <a:pPr>
                  <a:defRPr lang="en-GB" sz="1200" b="0" i="0" u="none" strike="noStrike" kern="1200" spc="-1" baseline="0">
                    <a:solidFill>
                      <a:srgbClr val="000000"/>
                    </a:solidFill>
                    <a:latin typeface="Times New Roman" panose="02020603050405020304"/>
                    <a:ea typeface="+mn-ea"/>
                    <a:cs typeface="+mn-cs"/>
                  </a:defRPr>
                </a:pPr>
                <a:endParaRPr lang="en-US"/>
              </a:p>
            </c:txPr>
            <c:dLblPos val="outEnd"/>
            <c:showLegendKey val="0"/>
            <c:showVal val="0"/>
            <c:showCatName val="0"/>
            <c:showSerName val="0"/>
            <c:showPercent val="0"/>
            <c:showBubbleSize val="1"/>
            <c:separator>; </c:separator>
            <c:showLeaderLines val="0"/>
            <c:extLst>
              <c:ext xmlns:c15="http://schemas.microsoft.com/office/drawing/2012/chart" uri="{CE6537A1-D6FC-4f65-9D91-7224C49458BB}">
                <c15:showLeaderLines val="0"/>
              </c:ext>
            </c:extLst>
          </c:dLbls>
          <c:cat>
            <c:strRef>
              <c:f>categories</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0</c:f>
              <c:numCache>
                <c:formatCode>General</c:formatCode>
                <c:ptCount val="12"/>
                <c:pt idx="0">
                  <c:v>27.64</c:v>
                </c:pt>
                <c:pt idx="1">
                  <c:v>31</c:v>
                </c:pt>
                <c:pt idx="2">
                  <c:v>32.96</c:v>
                </c:pt>
                <c:pt idx="3">
                  <c:v>29.78</c:v>
                </c:pt>
                <c:pt idx="4">
                  <c:v>28.47</c:v>
                </c:pt>
                <c:pt idx="5">
                  <c:v>26.98</c:v>
                </c:pt>
                <c:pt idx="6">
                  <c:v>26.27</c:v>
                </c:pt>
                <c:pt idx="7">
                  <c:v>26</c:v>
                </c:pt>
                <c:pt idx="8">
                  <c:v>26.22</c:v>
                </c:pt>
                <c:pt idx="9">
                  <c:v>26.45</c:v>
                </c:pt>
                <c:pt idx="10">
                  <c:v>26.81</c:v>
                </c:pt>
                <c:pt idx="11">
                  <c:v>26.53</c:v>
                </c:pt>
              </c:numCache>
            </c:numRef>
          </c:val>
          <c:extLst>
            <c:ext xmlns:c16="http://schemas.microsoft.com/office/drawing/2014/chart" uri="{C3380CC4-5D6E-409C-BE32-E72D297353CC}">
              <c16:uniqueId val="{00000000-4123-164A-9F72-7477647D08B5}"/>
            </c:ext>
          </c:extLst>
        </c:ser>
        <c:dLbls>
          <c:showLegendKey val="0"/>
          <c:showVal val="0"/>
          <c:showCatName val="0"/>
          <c:showSerName val="0"/>
          <c:showPercent val="0"/>
          <c:showBubbleSize val="0"/>
        </c:dLbls>
        <c:gapWidth val="219"/>
        <c:axId val="402037824"/>
        <c:axId val="402042528"/>
      </c:barChart>
      <c:lineChart>
        <c:grouping val="standard"/>
        <c:varyColors val="0"/>
        <c:ser>
          <c:idx val="1"/>
          <c:order val="1"/>
          <c:tx>
            <c:strRef>
              <c:f>label 1</c:f>
              <c:strCache>
                <c:ptCount val="1"/>
                <c:pt idx="0">
                  <c:v>OUTPUT VOLTAGE (V)</c:v>
                </c:pt>
              </c:strCache>
            </c:strRef>
          </c:tx>
          <c:marker>
            <c:symbol val="none"/>
          </c:marker>
          <c:dLbls>
            <c:spPr>
              <a:noFill/>
              <a:ln>
                <a:noFill/>
              </a:ln>
              <a:effectLst/>
            </c:spPr>
            <c:txPr>
              <a:bodyPr rot="0" spcFirstLastPara="0" vertOverflow="ellipsis" vert="horz" wrap="square" lIns="38100" tIns="19050" rIns="38100" bIns="19050" anchor="ctr" anchorCtr="1"/>
              <a:lstStyle/>
              <a:p>
                <a:pPr>
                  <a:defRPr lang="en-GB" sz="1200" b="0" i="0" u="none" strike="noStrike" kern="1200" spc="-1" baseline="0">
                    <a:solidFill>
                      <a:srgbClr val="000000"/>
                    </a:solidFill>
                    <a:latin typeface="Times New Roman" panose="020206030504050203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0"/>
              </c:ext>
            </c:extLst>
          </c:dLbls>
          <c:cat>
            <c:strRef>
              <c:f>categories</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1</c:f>
              <c:numCache>
                <c:formatCode>General</c:formatCode>
                <c:ptCount val="12"/>
                <c:pt idx="0">
                  <c:v>13.8</c:v>
                </c:pt>
                <c:pt idx="1">
                  <c:v>12.73</c:v>
                </c:pt>
                <c:pt idx="2">
                  <c:v>12.1</c:v>
                </c:pt>
                <c:pt idx="3">
                  <c:v>13.12</c:v>
                </c:pt>
                <c:pt idx="4">
                  <c:v>13.54</c:v>
                </c:pt>
                <c:pt idx="5">
                  <c:v>14.02</c:v>
                </c:pt>
                <c:pt idx="6">
                  <c:v>14.24</c:v>
                </c:pt>
                <c:pt idx="7">
                  <c:v>14.33</c:v>
                </c:pt>
                <c:pt idx="8">
                  <c:v>14.26</c:v>
                </c:pt>
                <c:pt idx="9">
                  <c:v>14.18</c:v>
                </c:pt>
                <c:pt idx="10">
                  <c:v>14.07</c:v>
                </c:pt>
                <c:pt idx="11">
                  <c:v>14.16</c:v>
                </c:pt>
              </c:numCache>
            </c:numRef>
          </c:val>
          <c:smooth val="0"/>
          <c:extLst>
            <c:ext xmlns:c16="http://schemas.microsoft.com/office/drawing/2014/chart" uri="{C3380CC4-5D6E-409C-BE32-E72D297353CC}">
              <c16:uniqueId val="{00000001-4123-164A-9F72-7477647D08B5}"/>
            </c:ext>
          </c:extLst>
        </c:ser>
        <c:dLbls>
          <c:showLegendKey val="0"/>
          <c:showVal val="0"/>
          <c:showCatName val="0"/>
          <c:showSerName val="0"/>
          <c:showPercent val="0"/>
          <c:showBubbleSize val="0"/>
        </c:dLbls>
        <c:hiLowLines>
          <c:spPr>
            <a:ln w="9525" cap="flat" cmpd="sng" algn="ctr">
              <a:noFill/>
              <a:prstDash val="solid"/>
              <a:round/>
            </a:ln>
          </c:spPr>
        </c:hiLowLines>
        <c:marker val="1"/>
        <c:smooth val="0"/>
        <c:axId val="402041352"/>
        <c:axId val="402037432"/>
      </c:lineChart>
      <c:catAx>
        <c:axId val="402037824"/>
        <c:scaling>
          <c:orientation val="minMax"/>
        </c:scaling>
        <c:delete val="0"/>
        <c:axPos val="b"/>
        <c:title>
          <c:tx>
            <c:rich>
              <a:bodyPr rot="0" spcFirstLastPara="0" vertOverflow="ellipsis" vert="horz" wrap="square" anchor="ctr" anchorCtr="1"/>
              <a:lstStyle/>
              <a:p>
                <a:pPr>
                  <a:defRPr lang="en-US" sz="1200" b="0" i="0" u="none" strike="noStrike" kern="1200" spc="-1" baseline="0">
                    <a:solidFill>
                      <a:srgbClr val="595959"/>
                    </a:solidFill>
                    <a:latin typeface="Times New Roman" panose="02020603050405020304"/>
                    <a:ea typeface="+mn-ea"/>
                    <a:cs typeface="+mn-cs"/>
                  </a:defRPr>
                </a:pPr>
                <a:r>
                  <a:rPr lang="en-US" sz="1200" b="0" strike="noStrike" spc="-1">
                    <a:solidFill>
                      <a:srgbClr val="595959"/>
                    </a:solidFill>
                    <a:latin typeface="Times New Roman" panose="02020603050405020304"/>
                  </a:rPr>
                  <a:t>Months</a:t>
                </a:r>
              </a:p>
            </c:rich>
          </c:tx>
          <c:overlay val="0"/>
          <c:spPr>
            <a:noFill/>
            <a:ln>
              <a:noFill/>
            </a:ln>
          </c:spPr>
        </c:title>
        <c:numFmt formatCode="General" sourceLinked="1"/>
        <c:majorTickMark val="none"/>
        <c:minorTickMark val="none"/>
        <c:tickLblPos val="nextTo"/>
        <c:spPr>
          <a:ln w="9360" cap="flat" cmpd="sng" algn="ctr">
            <a:solidFill>
              <a:srgbClr val="D9D9D9"/>
            </a:solidFill>
            <a:prstDash val="solid"/>
            <a:round/>
          </a:ln>
        </c:spPr>
        <c:txPr>
          <a:bodyPr rot="-60000000" spcFirstLastPara="0" vertOverflow="ellipsis" vert="horz" wrap="square" anchor="ctr" anchorCtr="1"/>
          <a:lstStyle/>
          <a:p>
            <a:pPr>
              <a:defRPr lang="en-GB" sz="1200" b="0" i="0" u="none" strike="noStrike" kern="1200" spc="-1" baseline="0">
                <a:solidFill>
                  <a:srgbClr val="595959"/>
                </a:solidFill>
                <a:latin typeface="Times New Roman" panose="02020603050405020304"/>
                <a:ea typeface="+mn-ea"/>
                <a:cs typeface="+mn-cs"/>
              </a:defRPr>
            </a:pPr>
            <a:endParaRPr lang="en-US"/>
          </a:p>
        </c:txPr>
        <c:crossAx val="402042528"/>
        <c:crosses val="autoZero"/>
        <c:auto val="1"/>
        <c:lblAlgn val="ctr"/>
        <c:lblOffset val="100"/>
        <c:noMultiLvlLbl val="0"/>
      </c:catAx>
      <c:valAx>
        <c:axId val="402042528"/>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200" b="0" i="0" u="none" strike="noStrike" kern="1200" spc="-1" baseline="0">
                    <a:solidFill>
                      <a:srgbClr val="595959"/>
                    </a:solidFill>
                    <a:latin typeface="Times New Roman" panose="02020603050405020304"/>
                    <a:ea typeface="+mn-ea"/>
                    <a:cs typeface="+mn-cs"/>
                  </a:defRPr>
                </a:pPr>
                <a:r>
                  <a:rPr lang="en-US" sz="1200" b="0" strike="noStrike" spc="-1">
                    <a:solidFill>
                      <a:srgbClr val="595959"/>
                    </a:solidFill>
                    <a:latin typeface="Times New Roman" panose="02020603050405020304"/>
                  </a:rPr>
                  <a:t>Temperature (OC)</a:t>
                </a:r>
              </a:p>
            </c:rich>
          </c:tx>
          <c:overlay val="0"/>
          <c:spPr>
            <a:noFill/>
            <a:ln>
              <a:noFill/>
            </a:ln>
          </c:spPr>
        </c:title>
        <c:numFmt formatCode="General" sourceLinked="0"/>
        <c:majorTickMark val="none"/>
        <c:minorTickMark val="none"/>
        <c:tickLblPos val="nextTo"/>
        <c:spPr>
          <a:ln w="9360" cap="flat" cmpd="sng" algn="ctr">
            <a:noFill/>
            <a:prstDash val="solid"/>
            <a:round/>
          </a:ln>
        </c:spPr>
        <c:txPr>
          <a:bodyPr rot="-60000000" spcFirstLastPara="0" vertOverflow="ellipsis" vert="horz" wrap="square" anchor="ctr" anchorCtr="1"/>
          <a:lstStyle/>
          <a:p>
            <a:pPr>
              <a:defRPr lang="en-GB" sz="1200" b="0" i="0" u="none" strike="noStrike" kern="1200" spc="-1" baseline="0">
                <a:solidFill>
                  <a:srgbClr val="595959"/>
                </a:solidFill>
                <a:latin typeface="Times New Roman" panose="02020603050405020304"/>
                <a:ea typeface="+mn-ea"/>
                <a:cs typeface="+mn-cs"/>
              </a:defRPr>
            </a:pPr>
            <a:endParaRPr lang="en-US"/>
          </a:p>
        </c:txPr>
        <c:crossAx val="402037824"/>
        <c:crosses val="autoZero"/>
        <c:crossBetween val="between"/>
      </c:valAx>
      <c:catAx>
        <c:axId val="402041352"/>
        <c:scaling>
          <c:orientation val="minMax"/>
        </c:scaling>
        <c:delete val="1"/>
        <c:axPos val="b"/>
        <c:numFmt formatCode="General" sourceLinked="1"/>
        <c:majorTickMark val="out"/>
        <c:minorTickMark val="none"/>
        <c:tickLblPos val="nextTo"/>
        <c:crossAx val="402037432"/>
        <c:crosses val="autoZero"/>
        <c:auto val="1"/>
        <c:lblAlgn val="ctr"/>
        <c:lblOffset val="100"/>
        <c:noMultiLvlLbl val="0"/>
      </c:catAx>
      <c:valAx>
        <c:axId val="402037432"/>
        <c:scaling>
          <c:orientation val="minMax"/>
        </c:scaling>
        <c:delete val="0"/>
        <c:axPos val="r"/>
        <c:title>
          <c:tx>
            <c:rich>
              <a:bodyPr rot="-5400000" spcFirstLastPara="0" vertOverflow="ellipsis" vert="horz" wrap="square" anchor="ctr" anchorCtr="1"/>
              <a:lstStyle/>
              <a:p>
                <a:pPr>
                  <a:defRPr lang="en-US" sz="1200" b="0" i="0" u="none" strike="noStrike" kern="1200" spc="-1" baseline="0">
                    <a:solidFill>
                      <a:srgbClr val="595959"/>
                    </a:solidFill>
                    <a:latin typeface="Times New Roman" panose="02020603050405020304"/>
                    <a:ea typeface="+mn-ea"/>
                    <a:cs typeface="+mn-cs"/>
                  </a:defRPr>
                </a:pPr>
                <a:r>
                  <a:rPr lang="en-US" sz="1200" b="0" strike="noStrike" spc="-1">
                    <a:solidFill>
                      <a:srgbClr val="595959"/>
                    </a:solidFill>
                    <a:latin typeface="Times New Roman" panose="02020603050405020304"/>
                  </a:rPr>
                  <a:t>Output Voltage (V)</a:t>
                </a:r>
              </a:p>
            </c:rich>
          </c:tx>
          <c:overlay val="0"/>
          <c:spPr>
            <a:noFill/>
            <a:ln>
              <a:noFill/>
            </a:ln>
          </c:spPr>
        </c:title>
        <c:numFmt formatCode="General" sourceLinked="0"/>
        <c:majorTickMark val="out"/>
        <c:minorTickMark val="none"/>
        <c:tickLblPos val="nextTo"/>
        <c:spPr>
          <a:ln w="9360" cap="flat" cmpd="sng" algn="ctr">
            <a:noFill/>
            <a:prstDash val="solid"/>
            <a:round/>
          </a:ln>
        </c:spPr>
        <c:txPr>
          <a:bodyPr rot="-60000000" spcFirstLastPara="0" vertOverflow="ellipsis" vert="horz" wrap="square" anchor="ctr" anchorCtr="1"/>
          <a:lstStyle/>
          <a:p>
            <a:pPr>
              <a:defRPr lang="en-GB" sz="1200" b="0" i="0" u="none" strike="noStrike" kern="1200" spc="-1" baseline="0">
                <a:solidFill>
                  <a:srgbClr val="595959"/>
                </a:solidFill>
                <a:latin typeface="Times New Roman" panose="02020603050405020304"/>
                <a:ea typeface="+mn-ea"/>
                <a:cs typeface="+mn-cs"/>
              </a:defRPr>
            </a:pPr>
            <a:endParaRPr lang="en-US"/>
          </a:p>
        </c:txPr>
        <c:crossAx val="402041352"/>
        <c:crosses val="max"/>
        <c:crossBetween val="between"/>
      </c:valAx>
      <c:spPr>
        <a:noFill/>
        <a:ln>
          <a:noFill/>
        </a:ln>
      </c:spPr>
    </c:plotArea>
    <c:legend>
      <c:legendPos val="t"/>
      <c:overlay val="0"/>
      <c:spPr>
        <a:noFill/>
        <a:ln>
          <a:noFill/>
        </a:ln>
      </c:spPr>
      <c:txPr>
        <a:bodyPr rot="0" spcFirstLastPara="0" vertOverflow="ellipsis" vert="horz" wrap="square" anchor="ctr" anchorCtr="1"/>
        <a:lstStyle/>
        <a:p>
          <a:pPr>
            <a:defRPr lang="en-GB" sz="1200" b="0" i="0" u="none" strike="noStrike" kern="1200" spc="-1" baseline="0">
              <a:solidFill>
                <a:srgbClr val="595959"/>
              </a:solidFill>
              <a:latin typeface="Times New Roman" panose="020206030504050203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en-GB"/>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label 0</c:f>
              <c:strCache>
                <c:ptCount val="1"/>
                <c:pt idx="0">
                  <c:v>MEAN TEMPERATURE (OC)</c:v>
                </c:pt>
              </c:strCache>
            </c:strRef>
          </c:tx>
          <c:spPr>
            <a:solidFill>
              <a:srgbClr val="4F81BD"/>
            </a:solidFill>
            <a:ln>
              <a:noFill/>
            </a:ln>
          </c:spPr>
          <c:invertIfNegative val="0"/>
          <c:dLbls>
            <c:spPr>
              <a:noFill/>
              <a:ln>
                <a:noFill/>
              </a:ln>
              <a:effectLst/>
            </c:spPr>
            <c:txPr>
              <a:bodyPr rot="0" spcFirstLastPara="0" vertOverflow="ellipsis" vert="horz" wrap="square" lIns="38100" tIns="19050" rIns="38100" bIns="19050" anchor="ctr" anchorCtr="1"/>
              <a:lstStyle/>
              <a:p>
                <a:pPr>
                  <a:defRPr lang="en-GB" sz="1200" b="0" i="0" u="none" strike="noStrike" kern="1200" spc="-1" baseline="0">
                    <a:solidFill>
                      <a:srgbClr val="000000"/>
                    </a:solidFill>
                    <a:latin typeface="Times New Roman" panose="02020603050405020304"/>
                    <a:ea typeface="+mn-ea"/>
                    <a:cs typeface="+mn-cs"/>
                  </a:defRPr>
                </a:pPr>
                <a:endParaRPr lang="en-US"/>
              </a:p>
            </c:txPr>
            <c:dLblPos val="outEnd"/>
            <c:showLegendKey val="0"/>
            <c:showVal val="0"/>
            <c:showCatName val="0"/>
            <c:showSerName val="0"/>
            <c:showPercent val="0"/>
            <c:showBubbleSize val="1"/>
            <c:separator>; </c:separator>
            <c:showLeaderLines val="0"/>
            <c:extLst>
              <c:ext xmlns:c15="http://schemas.microsoft.com/office/drawing/2012/chart" uri="{CE6537A1-D6FC-4f65-9D91-7224C49458BB}">
                <c15:showLeaderLines val="0"/>
              </c:ext>
            </c:extLst>
          </c:dLbls>
          <c:cat>
            <c:strRef>
              <c:f>categories</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0</c:f>
              <c:numCache>
                <c:formatCode>General</c:formatCode>
                <c:ptCount val="12"/>
                <c:pt idx="0">
                  <c:v>27.81</c:v>
                </c:pt>
                <c:pt idx="1">
                  <c:v>31.13</c:v>
                </c:pt>
                <c:pt idx="2">
                  <c:v>32.14</c:v>
                </c:pt>
                <c:pt idx="3">
                  <c:v>33.06</c:v>
                </c:pt>
                <c:pt idx="4">
                  <c:v>28.67</c:v>
                </c:pt>
                <c:pt idx="5">
                  <c:v>27</c:v>
                </c:pt>
                <c:pt idx="6">
                  <c:v>25.44</c:v>
                </c:pt>
                <c:pt idx="7">
                  <c:v>25.68</c:v>
                </c:pt>
                <c:pt idx="8">
                  <c:v>25.8</c:v>
                </c:pt>
                <c:pt idx="9">
                  <c:v>26.21</c:v>
                </c:pt>
                <c:pt idx="10">
                  <c:v>28.009</c:v>
                </c:pt>
                <c:pt idx="11">
                  <c:v>26.15</c:v>
                </c:pt>
              </c:numCache>
            </c:numRef>
          </c:val>
          <c:extLst>
            <c:ext xmlns:c16="http://schemas.microsoft.com/office/drawing/2014/chart" uri="{C3380CC4-5D6E-409C-BE32-E72D297353CC}">
              <c16:uniqueId val="{00000000-6E62-1C41-89EA-47EF9BCDC51F}"/>
            </c:ext>
          </c:extLst>
        </c:ser>
        <c:dLbls>
          <c:showLegendKey val="0"/>
          <c:showVal val="0"/>
          <c:showCatName val="0"/>
          <c:showSerName val="0"/>
          <c:showPercent val="0"/>
          <c:showBubbleSize val="0"/>
        </c:dLbls>
        <c:gapWidth val="219"/>
        <c:axId val="402041744"/>
        <c:axId val="402036256"/>
      </c:barChart>
      <c:lineChart>
        <c:grouping val="standard"/>
        <c:varyColors val="0"/>
        <c:ser>
          <c:idx val="1"/>
          <c:order val="1"/>
          <c:tx>
            <c:strRef>
              <c:f>label 1</c:f>
              <c:strCache>
                <c:ptCount val="1"/>
                <c:pt idx="0">
                  <c:v>OUTPUT VOLTAGE (V)</c:v>
                </c:pt>
              </c:strCache>
            </c:strRef>
          </c:tx>
          <c:spPr>
            <a:ln w="28440" cap="rnd" cmpd="sng" algn="ctr">
              <a:solidFill>
                <a:srgbClr val="C0504D"/>
              </a:solidFill>
              <a:prstDash val="solid"/>
              <a:round/>
            </a:ln>
          </c:spPr>
          <c:marker>
            <c:symbol val="none"/>
          </c:marker>
          <c:dLbls>
            <c:spPr>
              <a:noFill/>
              <a:ln>
                <a:noFill/>
              </a:ln>
              <a:effectLst/>
            </c:spPr>
            <c:txPr>
              <a:bodyPr rot="0" spcFirstLastPara="0" vertOverflow="ellipsis" vert="horz" wrap="square" lIns="38100" tIns="19050" rIns="38100" bIns="19050" anchor="ctr" anchorCtr="1"/>
              <a:lstStyle/>
              <a:p>
                <a:pPr>
                  <a:defRPr lang="en-GB" sz="1200" b="0" i="0" u="none" strike="noStrike" kern="1200" spc="-1" baseline="0">
                    <a:solidFill>
                      <a:srgbClr val="000000"/>
                    </a:solidFill>
                    <a:latin typeface="Times New Roman" panose="020206030504050203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0"/>
              </c:ext>
            </c:extLst>
          </c:dLbls>
          <c:cat>
            <c:strRef>
              <c:f>categories</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1</c:f>
              <c:numCache>
                <c:formatCode>General</c:formatCode>
                <c:ptCount val="12"/>
                <c:pt idx="0">
                  <c:v>13.75</c:v>
                </c:pt>
                <c:pt idx="1">
                  <c:v>12.69</c:v>
                </c:pt>
                <c:pt idx="2">
                  <c:v>12.37</c:v>
                </c:pt>
                <c:pt idx="3">
                  <c:v>12.07</c:v>
                </c:pt>
                <c:pt idx="4">
                  <c:v>13.47</c:v>
                </c:pt>
                <c:pt idx="5">
                  <c:v>14.01</c:v>
                </c:pt>
                <c:pt idx="6">
                  <c:v>14.51</c:v>
                </c:pt>
                <c:pt idx="7">
                  <c:v>14.43</c:v>
                </c:pt>
                <c:pt idx="8">
                  <c:v>14.39</c:v>
                </c:pt>
                <c:pt idx="9">
                  <c:v>14.26</c:v>
                </c:pt>
                <c:pt idx="10">
                  <c:v>13.69</c:v>
                </c:pt>
                <c:pt idx="11">
                  <c:v>14.28</c:v>
                </c:pt>
              </c:numCache>
            </c:numRef>
          </c:val>
          <c:smooth val="0"/>
          <c:extLst>
            <c:ext xmlns:c16="http://schemas.microsoft.com/office/drawing/2014/chart" uri="{C3380CC4-5D6E-409C-BE32-E72D297353CC}">
              <c16:uniqueId val="{00000001-6E62-1C41-89EA-47EF9BCDC51F}"/>
            </c:ext>
          </c:extLst>
        </c:ser>
        <c:dLbls>
          <c:showLegendKey val="0"/>
          <c:showVal val="0"/>
          <c:showCatName val="0"/>
          <c:showSerName val="0"/>
          <c:showPercent val="0"/>
          <c:showBubbleSize val="0"/>
        </c:dLbls>
        <c:hiLowLines>
          <c:spPr>
            <a:ln w="9525" cap="flat" cmpd="sng" algn="ctr">
              <a:noFill/>
              <a:prstDash val="solid"/>
              <a:round/>
            </a:ln>
          </c:spPr>
        </c:hiLowLines>
        <c:marker val="1"/>
        <c:smooth val="0"/>
        <c:axId val="306413856"/>
        <c:axId val="306414248"/>
      </c:lineChart>
      <c:catAx>
        <c:axId val="402041744"/>
        <c:scaling>
          <c:orientation val="minMax"/>
        </c:scaling>
        <c:delete val="0"/>
        <c:axPos val="b"/>
        <c:title>
          <c:tx>
            <c:rich>
              <a:bodyPr rot="0" spcFirstLastPara="0" vertOverflow="ellipsis" vert="horz" wrap="square" anchor="ctr" anchorCtr="1"/>
              <a:lstStyle/>
              <a:p>
                <a:pPr>
                  <a:defRPr lang="en-US" sz="1200" b="0" i="0" u="none" strike="noStrike" kern="1200" spc="-1" baseline="0">
                    <a:solidFill>
                      <a:srgbClr val="595959"/>
                    </a:solidFill>
                    <a:latin typeface="Times New Roman" panose="02020603050405020304"/>
                    <a:ea typeface="+mn-ea"/>
                    <a:cs typeface="+mn-cs"/>
                  </a:defRPr>
                </a:pPr>
                <a:r>
                  <a:rPr lang="en-US" sz="1200" b="0" strike="noStrike" spc="-1">
                    <a:solidFill>
                      <a:srgbClr val="595959"/>
                    </a:solidFill>
                    <a:latin typeface="Times New Roman" panose="02020603050405020304"/>
                  </a:rPr>
                  <a:t>Monthly</a:t>
                </a:r>
              </a:p>
            </c:rich>
          </c:tx>
          <c:overlay val="0"/>
          <c:spPr>
            <a:noFill/>
            <a:ln>
              <a:noFill/>
            </a:ln>
          </c:spPr>
        </c:title>
        <c:numFmt formatCode="General" sourceLinked="1"/>
        <c:majorTickMark val="none"/>
        <c:minorTickMark val="none"/>
        <c:tickLblPos val="nextTo"/>
        <c:spPr>
          <a:ln w="9360" cap="flat" cmpd="sng" algn="ctr">
            <a:solidFill>
              <a:srgbClr val="D9D9D9"/>
            </a:solidFill>
            <a:prstDash val="solid"/>
            <a:round/>
          </a:ln>
        </c:spPr>
        <c:txPr>
          <a:bodyPr rot="-60000000" spcFirstLastPara="0" vertOverflow="ellipsis" vert="horz" wrap="square" anchor="ctr" anchorCtr="1"/>
          <a:lstStyle/>
          <a:p>
            <a:pPr>
              <a:defRPr lang="en-GB" sz="1200" b="0" i="0" u="none" strike="noStrike" kern="1200" spc="-1" baseline="0">
                <a:solidFill>
                  <a:srgbClr val="595959"/>
                </a:solidFill>
                <a:latin typeface="Times New Roman" panose="02020603050405020304"/>
                <a:ea typeface="+mn-ea"/>
                <a:cs typeface="+mn-cs"/>
              </a:defRPr>
            </a:pPr>
            <a:endParaRPr lang="en-US"/>
          </a:p>
        </c:txPr>
        <c:crossAx val="402036256"/>
        <c:crosses val="autoZero"/>
        <c:auto val="1"/>
        <c:lblAlgn val="ctr"/>
        <c:lblOffset val="100"/>
        <c:noMultiLvlLbl val="0"/>
      </c:catAx>
      <c:valAx>
        <c:axId val="402036256"/>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200" b="0" i="0" u="none" strike="noStrike" kern="1200" spc="-1" baseline="0">
                    <a:solidFill>
                      <a:srgbClr val="595959"/>
                    </a:solidFill>
                    <a:latin typeface="Times New Roman" panose="02020603050405020304"/>
                    <a:ea typeface="+mn-ea"/>
                    <a:cs typeface="+mn-cs"/>
                  </a:defRPr>
                </a:pPr>
                <a:r>
                  <a:rPr lang="en-US" sz="1200" b="0" strike="noStrike" spc="-1">
                    <a:solidFill>
                      <a:srgbClr val="595959"/>
                    </a:solidFill>
                    <a:latin typeface="Times New Roman" panose="02020603050405020304"/>
                  </a:rPr>
                  <a:t>Temperature (OC)</a:t>
                </a:r>
              </a:p>
            </c:rich>
          </c:tx>
          <c:overlay val="0"/>
          <c:spPr>
            <a:noFill/>
            <a:ln>
              <a:noFill/>
            </a:ln>
          </c:spPr>
        </c:title>
        <c:numFmt formatCode="General" sourceLinked="0"/>
        <c:majorTickMark val="none"/>
        <c:minorTickMark val="none"/>
        <c:tickLblPos val="nextTo"/>
        <c:spPr>
          <a:ln w="9360" cap="flat" cmpd="sng" algn="ctr">
            <a:noFill/>
            <a:prstDash val="solid"/>
            <a:round/>
          </a:ln>
        </c:spPr>
        <c:txPr>
          <a:bodyPr rot="-60000000" spcFirstLastPara="0" vertOverflow="ellipsis" vert="horz" wrap="square" anchor="ctr" anchorCtr="1"/>
          <a:lstStyle/>
          <a:p>
            <a:pPr>
              <a:defRPr lang="en-GB" sz="1200" b="0" i="0" u="none" strike="noStrike" kern="1200" spc="-1" baseline="0">
                <a:solidFill>
                  <a:srgbClr val="595959"/>
                </a:solidFill>
                <a:latin typeface="Times New Roman" panose="02020603050405020304"/>
                <a:ea typeface="+mn-ea"/>
                <a:cs typeface="+mn-cs"/>
              </a:defRPr>
            </a:pPr>
            <a:endParaRPr lang="en-US"/>
          </a:p>
        </c:txPr>
        <c:crossAx val="402041744"/>
        <c:crosses val="autoZero"/>
        <c:crossBetween val="between"/>
      </c:valAx>
      <c:catAx>
        <c:axId val="306413856"/>
        <c:scaling>
          <c:orientation val="minMax"/>
        </c:scaling>
        <c:delete val="1"/>
        <c:axPos val="b"/>
        <c:numFmt formatCode="General" sourceLinked="1"/>
        <c:majorTickMark val="out"/>
        <c:minorTickMark val="none"/>
        <c:tickLblPos val="nextTo"/>
        <c:crossAx val="306414248"/>
        <c:crosses val="autoZero"/>
        <c:auto val="1"/>
        <c:lblAlgn val="ctr"/>
        <c:lblOffset val="100"/>
        <c:noMultiLvlLbl val="0"/>
      </c:catAx>
      <c:valAx>
        <c:axId val="306414248"/>
        <c:scaling>
          <c:orientation val="minMax"/>
        </c:scaling>
        <c:delete val="0"/>
        <c:axPos val="r"/>
        <c:title>
          <c:tx>
            <c:rich>
              <a:bodyPr rot="-5400000" spcFirstLastPara="0" vertOverflow="ellipsis" vert="horz" wrap="square" anchor="ctr" anchorCtr="1"/>
              <a:lstStyle/>
              <a:p>
                <a:pPr>
                  <a:defRPr lang="en-US" sz="1200" b="0" i="0" u="none" strike="noStrike" kern="1200" spc="-1" baseline="0">
                    <a:solidFill>
                      <a:srgbClr val="595959"/>
                    </a:solidFill>
                    <a:latin typeface="Times New Roman" panose="02020603050405020304"/>
                    <a:ea typeface="+mn-ea"/>
                    <a:cs typeface="+mn-cs"/>
                  </a:defRPr>
                </a:pPr>
                <a:r>
                  <a:rPr lang="en-US" sz="1200" b="0" strike="noStrike" spc="-1">
                    <a:solidFill>
                      <a:srgbClr val="595959"/>
                    </a:solidFill>
                    <a:latin typeface="Times New Roman" panose="02020603050405020304"/>
                  </a:rPr>
                  <a:t>Output Voltage (V)</a:t>
                </a:r>
              </a:p>
            </c:rich>
          </c:tx>
          <c:overlay val="0"/>
          <c:spPr>
            <a:noFill/>
            <a:ln>
              <a:noFill/>
            </a:ln>
          </c:spPr>
        </c:title>
        <c:numFmt formatCode="General" sourceLinked="0"/>
        <c:majorTickMark val="out"/>
        <c:minorTickMark val="none"/>
        <c:tickLblPos val="nextTo"/>
        <c:spPr>
          <a:ln w="9360" cap="flat" cmpd="sng" algn="ctr">
            <a:noFill/>
            <a:prstDash val="solid"/>
            <a:round/>
          </a:ln>
        </c:spPr>
        <c:txPr>
          <a:bodyPr rot="-60000000" spcFirstLastPara="0" vertOverflow="ellipsis" vert="horz" wrap="square" anchor="ctr" anchorCtr="1"/>
          <a:lstStyle/>
          <a:p>
            <a:pPr>
              <a:defRPr lang="en-GB" sz="1200" b="0" i="0" u="none" strike="noStrike" kern="1200" spc="-1" baseline="0">
                <a:solidFill>
                  <a:srgbClr val="595959"/>
                </a:solidFill>
                <a:latin typeface="Times New Roman" panose="02020603050405020304"/>
                <a:ea typeface="+mn-ea"/>
                <a:cs typeface="+mn-cs"/>
              </a:defRPr>
            </a:pPr>
            <a:endParaRPr lang="en-US"/>
          </a:p>
        </c:txPr>
        <c:crossAx val="306413856"/>
        <c:crosses val="max"/>
        <c:crossBetween val="between"/>
      </c:valAx>
      <c:spPr>
        <a:noFill/>
        <a:ln>
          <a:noFill/>
        </a:ln>
      </c:spPr>
    </c:plotArea>
    <c:legend>
      <c:legendPos val="t"/>
      <c:overlay val="0"/>
      <c:spPr>
        <a:noFill/>
        <a:ln>
          <a:noFill/>
        </a:ln>
      </c:spPr>
      <c:txPr>
        <a:bodyPr rot="0" spcFirstLastPara="0" vertOverflow="ellipsis" vert="horz" wrap="square" anchor="ctr" anchorCtr="1"/>
        <a:lstStyle/>
        <a:p>
          <a:pPr>
            <a:defRPr lang="en-GB" sz="1200" b="0" i="0" u="none" strike="noStrike" kern="1200" spc="-1" baseline="0">
              <a:solidFill>
                <a:srgbClr val="595959"/>
              </a:solidFill>
              <a:latin typeface="Times New Roman" panose="020206030504050203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en-GB"/>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17</TotalTime>
  <Pages>7</Pages>
  <Words>3516</Words>
  <Characters>20043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JIRBDAI EDITORIALS</cp:lastModifiedBy>
  <cp:revision>6</cp:revision>
  <dcterms:created xsi:type="dcterms:W3CDTF">2025-09-14T13:37:00Z</dcterms:created>
  <dcterms:modified xsi:type="dcterms:W3CDTF">2025-09-14T13:48:00Z</dcterms:modified>
</cp:coreProperties>
</file>