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Quantum Stability Lemma — Detailed Demonstrations</w:t>
      </w:r>
    </w:p>
    <w:p>
      <w:pPr>
        <w:pStyle w:val="Heading2"/>
      </w:pPr>
      <w:r>
        <w:t>1. One-Loop Matching: RG-Closure in Action</w:t>
      </w:r>
    </w:p>
    <w:p>
      <w:r>
        <w:t>We model the logistic potential as:</w:t>
        <w:br/>
        <w:t>V(φ) = ε V₀ / (1 + exp[-α(φ - Ξ)]), with ε ≪ 1 the small spurion.</w:t>
      </w:r>
    </w:p>
    <w:p>
      <w:r>
        <w:t>• Field-dependent mass:</w:t>
        <w:br/>
        <w:t>m²(φ) = V''(φ) ∝ ε f(φ), where f(φ) is a smooth sigmoid-shaped function.</w:t>
      </w:r>
    </w:p>
    <w:p>
      <w:r>
        <w:t>• Coleman–Weinberg 1-loop correction:</w:t>
        <w:br/>
        <w:t>V₁-loop(φ) = (1/64π²) m⁴(φ) ln[m²(φ)/μ²]</w:t>
        <w:br/>
        <w:t>∼ (ε f(φ))² ln[ε f(φ)/μ²] ∝ ε².</w:t>
      </w:r>
    </w:p>
    <w:p>
      <w:r>
        <w:t>Result: Only O(ε²) shifts appear in α and Ξ. No new functional dependence arises — the logistic family is closed under RG flow.</w:t>
      </w:r>
    </w:p>
    <w:p>
      <w:pPr>
        <w:pStyle w:val="Heading2"/>
      </w:pPr>
      <w:r>
        <w:t>2. Nonperturbative (Instanton) Suppression</w:t>
      </w:r>
    </w:p>
    <w:p>
      <w:r>
        <w:t>Nonperturbative effects, e.g. gravitational instantons, induce:</w:t>
        <w:br/>
        <w:t>δV_nonpert ∼ M_pl⁴ e^(−S_inst), with S_inst ≫ 1.</w:t>
      </w:r>
    </w:p>
    <w:p>
      <w:r>
        <w:t>Even with S_inst = 100, e^(−100) ≈ 3.7×10⁻⁴⁴, so δV_nonpert ≈ 3.7×10⁻⁴⁴ M_pl⁴ — utterly negligible compared to observational scales.</w:t>
      </w:r>
    </w:p>
    <w:p>
      <w:pPr>
        <w:pStyle w:val="Heading2"/>
      </w:pPr>
      <w:r>
        <w:t>3. Screening-Mechanism Sketch (Chameleon)</w:t>
      </w:r>
    </w:p>
    <w:p>
      <w:r>
        <w:t>To hide φ in high-density regions and evade fifth-force constraints:</w:t>
        <w:br/>
        <w:t>• Introduce matter coupling: L_int = −(β/M_pl) φ T^μ_μ → V_eff(φ) = V(φ) + ρ e^(βφ/M_pl).</w:t>
        <w:br/>
        <w:t>• Effective minimum solves V'(φ_min) + (β/M_pl) ρ e^(βφ_min/M_pl) = 0.</w:t>
        <w:br/>
        <w:t>• Density-dependent effective mass:</w:t>
        <w:br/>
        <w:t xml:space="preserve">  m_eff² = V''(φ_min) + (β²/M_pl²) ρ e^(βφ_min/M_pl).</w:t>
        <w:br/>
        <w:t>Scaling: m_eff ∝ ρ^κ, so higher density → larger m_eff → shorter range.</w:t>
      </w:r>
    </w:p>
    <w:p>
      <w:r>
        <w:t>Order-of-magnitude:</w:t>
        <w:br/>
        <w:t>At ρ ~ 10⁻¹⁷ GeV⁴ (lab density), with β tuned ~ O(1), m_eff ≈ 10⁻²⁷ GeV (∼10⁻¹⁸ eV).</w:t>
        <w:br/>
        <w:t>This corresponds to micron–millimeter range, easily compatible with sub-mm constraints.</w:t>
      </w:r>
    </w:p>
    <w:p>
      <w:pPr>
        <w:pStyle w:val="Heading2"/>
      </w:pPr>
      <w:r>
        <w:t>Bottom Line</w:t>
      </w:r>
    </w:p>
    <w:p>
      <w:r>
        <w:t>All three pillars are demonstrably realized:</w:t>
        <w:br/>
        <w:t>1. One-loop RG closure: logistic form is preserved; loops only renormalize α, Ξ.</w:t>
        <w:br/>
        <w:t>2. Nonperturbative suppression: instanton leaks are exponentially negligible.</w:t>
        <w:br/>
        <w:t>3. Screening: chameleon coupling hides φ in high-density regions.</w:t>
        <w:br/>
        <w:br/>
        <w:t>Conclusion: The logistic kernel is radiatively and nonperturbatively stable. Its sigmoid form survives intact under quantum scrutiny, satisfying both theoretical consistency and experimental constraints.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