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1"/>
        </w:numPr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 w:eastAsia="it-IT"/>
        </w:rPr>
        <w:t xml:space="preserve">Beauregard, M., St-Pierre, É. L., Rayburn, G., &amp; Demers, P. (2012). Conscious mental activity during a deep hypothermic cardiocirculatory arrest?. </w:t>
      </w:r>
      <w:r>
        <w:rPr>
          <w:rFonts w:eastAsia="Times New Roman" w:cs="Times New Roman" w:ascii="Times New Roman" w:hAnsi="Times New Roman"/>
          <w:i/>
          <w:iCs/>
          <w:sz w:val="24"/>
          <w:szCs w:val="24"/>
          <w:lang w:val="en-US" w:eastAsia="it-IT"/>
        </w:rPr>
        <w:t>Resuscitation</w:t>
      </w:r>
      <w:r>
        <w:rPr>
          <w:rFonts w:eastAsia="Times New Roman" w:cs="Times New Roman" w:ascii="Times New Roman" w:hAnsi="Times New Roman"/>
          <w:sz w:val="24"/>
          <w:szCs w:val="24"/>
          <w:lang w:val="en-US" w:eastAsia="it-IT"/>
        </w:rPr>
        <w:t xml:space="preserve">, </w:t>
      </w:r>
      <w:r>
        <w:rPr>
          <w:rFonts w:eastAsia="Times New Roman" w:cs="Times New Roman" w:ascii="Times New Roman" w:hAnsi="Times New Roman"/>
          <w:i/>
          <w:iCs/>
          <w:sz w:val="24"/>
          <w:szCs w:val="24"/>
          <w:lang w:val="en-US" w:eastAsia="it-IT"/>
        </w:rPr>
        <w:t>83</w:t>
      </w:r>
      <w:r>
        <w:rPr>
          <w:rFonts w:eastAsia="Times New Roman" w:cs="Times New Roman" w:ascii="Times New Roman" w:hAnsi="Times New Roman"/>
          <w:sz w:val="24"/>
          <w:szCs w:val="24"/>
          <w:lang w:val="en-US" w:eastAsia="it-IT"/>
        </w:rPr>
        <w:t xml:space="preserve">(1), e19. Doi: </w:t>
      </w:r>
      <w:hyperlink r:id="rId2" w:tgtFrame="_blank">
        <w:r>
          <w:rPr>
            <w:rStyle w:val="Hyperlink"/>
            <w:rFonts w:eastAsia="Times New Roman" w:cs="Times New Roman" w:ascii="Times New Roman" w:hAnsi="Times New Roman"/>
            <w:sz w:val="24"/>
            <w:szCs w:val="24"/>
            <w:lang w:val="en-US" w:eastAsia="it-IT"/>
          </w:rPr>
          <w:t>10.1016/j.resuscitation.2011.09.027</w:t>
        </w:r>
      </w:hyperlink>
      <w:r>
        <w:rPr>
          <w:rFonts w:eastAsia="Times New Roman" w:cs="Times New Roman" w:ascii="Times New Roman" w:hAnsi="Times New Roman"/>
          <w:sz w:val="24"/>
          <w:szCs w:val="24"/>
          <w:lang w:val="en-US" w:eastAsia="it-IT"/>
        </w:rPr>
        <w:t xml:space="preserve">  </w:t>
      </w:r>
    </w:p>
    <w:p>
      <w:pPr>
        <w:pStyle w:val="Normal"/>
        <w:numPr>
          <w:ilvl w:val="0"/>
          <w:numId w:val="0"/>
        </w:numPr>
        <w:ind w:hanging="0" w:start="72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en-US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val="en-US" w:eastAsia="it-IT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 w:eastAsia="it-IT"/>
        </w:rPr>
        <w:t xml:space="preserve">Cook, E. W., Greyson, B., &amp; Stevenson, I. (1998). Do any near-death experiences provide evidence for the survival of human personality after death? Relevant features and illustrative case reports. </w:t>
      </w:r>
      <w:r>
        <w:rPr>
          <w:rFonts w:eastAsia="Times New Roman" w:cs="Times New Roman" w:ascii="Times New Roman" w:hAnsi="Times New Roman"/>
          <w:i/>
          <w:sz w:val="24"/>
          <w:szCs w:val="24"/>
          <w:lang w:val="en-US" w:eastAsia="it-IT"/>
        </w:rPr>
        <w:t>Journal of Scientific Exploration</w:t>
      </w:r>
      <w:r>
        <w:rPr>
          <w:rFonts w:eastAsia="Times New Roman" w:cs="Times New Roman" w:ascii="Times New Roman" w:hAnsi="Times New Roman"/>
          <w:sz w:val="24"/>
          <w:szCs w:val="24"/>
          <w:lang w:val="en-US" w:eastAsia="it-IT"/>
        </w:rPr>
        <w:t xml:space="preserve">, </w:t>
      </w:r>
      <w:r>
        <w:rPr>
          <w:rFonts w:eastAsia="Times New Roman" w:cs="Times New Roman" w:ascii="Times New Roman" w:hAnsi="Times New Roman"/>
          <w:i/>
          <w:sz w:val="24"/>
          <w:szCs w:val="24"/>
          <w:lang w:val="en-US" w:eastAsia="it-IT"/>
        </w:rPr>
        <w:t>12</w:t>
      </w:r>
      <w:r>
        <w:rPr>
          <w:rFonts w:eastAsia="Times New Roman" w:cs="Times New Roman" w:ascii="Times New Roman" w:hAnsi="Times New Roman"/>
          <w:sz w:val="24"/>
          <w:szCs w:val="24"/>
          <w:lang w:val="en-US" w:eastAsia="it-IT"/>
        </w:rPr>
        <w:t xml:space="preserve">(3), 377-406. </w:t>
      </w:r>
      <w:r>
        <w:rPr>
          <w:rFonts w:eastAsia="Times New Roman" w:cs="Times New Roman" w:ascii="Times New Roman" w:hAnsi="Times New Roman"/>
          <w:b/>
          <w:bCs/>
          <w:color w:val="FF0000"/>
          <w:sz w:val="24"/>
          <w:szCs w:val="24"/>
          <w:lang w:val="en-US" w:eastAsia="it-IT"/>
        </w:rPr>
        <w:t>[only the 7 new cases: Linda McKnight, Jean Morrow, Jennifer Edwards, Peggy Raso, Stefan von Jankivich, Rose Heath, Al Sullivan]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start="720"/>
        <w:rPr>
          <w:rFonts w:ascii="Times New Roman" w:hAnsi="Times New Roman" w:eastAsia="Times New Roman" w:cs="Times New Roman"/>
          <w:sz w:val="24"/>
          <w:szCs w:val="24"/>
          <w:lang w:val="en-US" w:eastAsia="it-IT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 w:eastAsia="it-IT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 w:eastAsia="it-IT"/>
        </w:rPr>
        <w:t xml:space="preserve">Parnia, S., Spearpoint, K., De Vos, G., Fenwick, P., Goldberg, D., Yang, J., ... &amp; Schoenfeld, E. R. (2014). AWARE—AWAreness during REsuscitation—A prospective study. </w:t>
      </w:r>
      <w:r>
        <w:rPr>
          <w:rFonts w:eastAsia="Times New Roman" w:cs="Times New Roman" w:ascii="Times New Roman" w:hAnsi="Times New Roman"/>
          <w:i/>
          <w:iCs/>
          <w:sz w:val="24"/>
          <w:szCs w:val="24"/>
          <w:lang w:val="en-US" w:eastAsia="it-IT"/>
        </w:rPr>
        <w:t>Resuscitation</w:t>
      </w:r>
      <w:r>
        <w:rPr>
          <w:rFonts w:eastAsia="Times New Roman" w:cs="Times New Roman" w:ascii="Times New Roman" w:hAnsi="Times New Roman"/>
          <w:sz w:val="24"/>
          <w:szCs w:val="24"/>
          <w:lang w:val="en-US" w:eastAsia="it-IT"/>
        </w:rPr>
        <w:t xml:space="preserve">, </w:t>
      </w:r>
      <w:r>
        <w:rPr>
          <w:rFonts w:eastAsia="Times New Roman" w:cs="Times New Roman" w:ascii="Times New Roman" w:hAnsi="Times New Roman"/>
          <w:i/>
          <w:iCs/>
          <w:sz w:val="24"/>
          <w:szCs w:val="24"/>
          <w:lang w:val="en-US" w:eastAsia="it-IT"/>
        </w:rPr>
        <w:t>85</w:t>
      </w:r>
      <w:r>
        <w:rPr>
          <w:rFonts w:eastAsia="Times New Roman" w:cs="Times New Roman" w:ascii="Times New Roman" w:hAnsi="Times New Roman"/>
          <w:sz w:val="24"/>
          <w:szCs w:val="24"/>
          <w:lang w:val="en-US" w:eastAsia="it-IT"/>
        </w:rPr>
        <w:t xml:space="preserve">(12), 1799-1805.  </w:t>
      </w:r>
      <w:hyperlink r:id="rId3" w:tgtFrame="_blank">
        <w:r>
          <w:rPr>
            <w:rStyle w:val="Hyperlink"/>
            <w:rFonts w:eastAsia="Times New Roman" w:cs="Times New Roman" w:ascii="Times New Roman" w:hAnsi="Times New Roman"/>
            <w:sz w:val="24"/>
            <w:szCs w:val="24"/>
            <w:lang w:val="en-US" w:eastAsia="it-IT"/>
          </w:rPr>
          <w:t>https://doi.org/10.1016/j.resuscitation.2014.09.004</w:t>
        </w:r>
      </w:hyperlink>
      <w:r>
        <w:rPr>
          <w:rFonts w:eastAsia="Times New Roman" w:cs="Times New Roman" w:ascii="Times New Roman" w:hAnsi="Times New Roman"/>
          <w:sz w:val="24"/>
          <w:szCs w:val="24"/>
          <w:lang w:val="en-US" w:eastAsia="it-IT"/>
        </w:rPr>
        <w:t xml:space="preserve">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start="720"/>
        <w:rPr>
          <w:rFonts w:ascii="Times New Roman" w:hAnsi="Times New Roman" w:eastAsia="Times New Roman" w:cs="Times New Roman"/>
          <w:sz w:val="24"/>
          <w:szCs w:val="24"/>
          <w:lang w:val="en-US" w:eastAsia="it-IT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 w:eastAsia="it-IT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rPr/>
      </w:pPr>
      <w:r>
        <w:rPr>
          <w:lang w:val="en-US"/>
        </w:rPr>
        <w:t xml:space="preserve">Sartori, P, Badham, P. &amp; Fenwich, P. (2006). A prospectively studied near-death experience with corroborated out-of-body perceptions and unexplained healing. </w:t>
      </w:r>
      <w:r>
        <w:rPr>
          <w:i/>
          <w:iCs/>
          <w:lang w:val="en-US"/>
        </w:rPr>
        <w:t>Journal of Near-Death Studies</w:t>
      </w:r>
      <w:r>
        <w:rPr>
          <w:lang w:val="en-US"/>
        </w:rPr>
        <w:t xml:space="preserve">, </w:t>
      </w:r>
      <w:r>
        <w:rPr>
          <w:i/>
          <w:iCs/>
          <w:lang w:val="en-US"/>
        </w:rPr>
        <w:t>25</w:t>
      </w:r>
      <w:r>
        <w:rPr>
          <w:lang w:val="en-US"/>
        </w:rPr>
        <w:t>, 69-84.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start="720"/>
        <w:rPr>
          <w:lang w:val="en-US"/>
        </w:rPr>
      </w:pPr>
      <w:r>
        <w:rPr>
          <w:lang w:val="en-US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 w:eastAsia="it-IT"/>
        </w:rPr>
        <w:t xml:space="preserve">Ring, K., &amp; Lawrence, M. (1993). Further evidence for veridical perception during near-death experiences. </w:t>
      </w:r>
      <w:r>
        <w:rPr>
          <w:rFonts w:eastAsia="Times New Roman" w:cs="Times New Roman" w:ascii="Times New Roman" w:hAnsi="Times New Roman"/>
          <w:i/>
          <w:iCs/>
          <w:sz w:val="24"/>
          <w:szCs w:val="24"/>
          <w:lang w:val="en-US" w:eastAsia="it-IT"/>
        </w:rPr>
        <w:t>Journal of Near-Death Studies</w:t>
      </w:r>
      <w:r>
        <w:rPr>
          <w:rFonts w:eastAsia="Times New Roman" w:cs="Times New Roman" w:ascii="Times New Roman" w:hAnsi="Times New Roman"/>
          <w:sz w:val="24"/>
          <w:szCs w:val="24"/>
          <w:lang w:val="en-US" w:eastAsia="it-IT"/>
        </w:rPr>
        <w:t>, 11(4), 223-229. [</w:t>
      </w:r>
      <w:r>
        <w:rPr>
          <w:rFonts w:eastAsia="Times New Roman" w:cs="Times New Roman" w:ascii="Times New Roman" w:hAnsi="Times New Roman"/>
          <w:b/>
          <w:bCs/>
          <w:color w:val="FF0000"/>
          <w:sz w:val="24"/>
          <w:szCs w:val="24"/>
          <w:lang w:val="en-US" w:eastAsia="it-IT"/>
        </w:rPr>
        <w:t>Case One, Case Two, Case Three</w:t>
      </w:r>
      <w:r>
        <w:rPr>
          <w:rFonts w:eastAsia="Times New Roman" w:cs="Times New Roman" w:ascii="Times New Roman" w:hAnsi="Times New Roman"/>
          <w:sz w:val="24"/>
          <w:szCs w:val="24"/>
          <w:lang w:val="en-US" w:eastAsia="it-IT"/>
        </w:rPr>
        <w:t>]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start="720"/>
        <w:rPr>
          <w:rFonts w:ascii="Times New Roman" w:hAnsi="Times New Roman" w:eastAsia="Times New Roman" w:cs="Times New Roman"/>
          <w:sz w:val="24"/>
          <w:szCs w:val="24"/>
          <w:lang w:val="en-US" w:eastAsia="it-IT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 w:eastAsia="it-IT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 w:eastAsia="it-IT"/>
        </w:rPr>
        <w:t xml:space="preserve">Rivas, T., &amp; Smit, R. H. (2013). A near-death experience with veridical perception described by a famous heart surgeon and confirmed by his assistant surgeon. </w:t>
      </w:r>
      <w:r>
        <w:rPr>
          <w:rFonts w:eastAsia="Times New Roman" w:cs="Times New Roman" w:ascii="Times New Roman" w:hAnsi="Times New Roman"/>
          <w:i/>
          <w:iCs/>
          <w:sz w:val="24"/>
          <w:szCs w:val="24"/>
          <w:lang w:val="en-US" w:eastAsia="it-IT"/>
        </w:rPr>
        <w:t>Journal of Near-Death Studies</w:t>
      </w:r>
      <w:r>
        <w:rPr>
          <w:rFonts w:eastAsia="Times New Roman" w:cs="Times New Roman" w:ascii="Times New Roman" w:hAnsi="Times New Roman"/>
          <w:sz w:val="24"/>
          <w:szCs w:val="24"/>
          <w:lang w:val="en-US" w:eastAsia="it-IT"/>
        </w:rPr>
        <w:t xml:space="preserve">, </w:t>
      </w:r>
      <w:r>
        <w:rPr>
          <w:rFonts w:eastAsia="Times New Roman" w:cs="Times New Roman" w:ascii="Times New Roman" w:hAnsi="Times New Roman"/>
          <w:i/>
          <w:iCs/>
          <w:sz w:val="24"/>
          <w:szCs w:val="24"/>
          <w:lang w:val="en-US" w:eastAsia="it-IT"/>
        </w:rPr>
        <w:t>31</w:t>
      </w:r>
      <w:r>
        <w:rPr>
          <w:rFonts w:eastAsia="Times New Roman" w:cs="Times New Roman" w:ascii="Times New Roman" w:hAnsi="Times New Roman"/>
          <w:sz w:val="24"/>
          <w:szCs w:val="24"/>
          <w:lang w:val="en-US" w:eastAsia="it-IT"/>
        </w:rPr>
        <w:t>(3), 179-186.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start="720"/>
        <w:rPr>
          <w:rFonts w:ascii="Times New Roman" w:hAnsi="Times New Roman" w:eastAsia="Times New Roman" w:cs="Times New Roman"/>
          <w:sz w:val="24"/>
          <w:szCs w:val="24"/>
          <w:lang w:val="en-US" w:eastAsia="it-IT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 w:eastAsia="it-IT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 w:eastAsia="it-IT"/>
        </w:rPr>
        <w:t xml:space="preserve">Smit, R. H. (2008). Corroboration of the dentures anecdote involving veridical perception in a near-death experience. </w:t>
      </w:r>
      <w:r>
        <w:rPr>
          <w:rFonts w:eastAsia="Times New Roman" w:cs="Times New Roman" w:ascii="Times New Roman" w:hAnsi="Times New Roman"/>
          <w:i/>
          <w:iCs/>
          <w:sz w:val="24"/>
          <w:szCs w:val="24"/>
          <w:lang w:val="en-US" w:eastAsia="it-IT"/>
        </w:rPr>
        <w:t>Journal of Near-Death Studies</w:t>
      </w:r>
      <w:r>
        <w:rPr>
          <w:rFonts w:eastAsia="Times New Roman" w:cs="Times New Roman" w:ascii="Times New Roman" w:hAnsi="Times New Roman"/>
          <w:sz w:val="24"/>
          <w:szCs w:val="24"/>
          <w:lang w:val="en-US" w:eastAsia="it-IT"/>
        </w:rPr>
        <w:t>, 27(1), 47-61.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start="720"/>
        <w:rPr>
          <w:rFonts w:ascii="Times New Roman" w:hAnsi="Times New Roman" w:eastAsia="Times New Roman" w:cs="Times New Roman"/>
          <w:sz w:val="24"/>
          <w:szCs w:val="24"/>
          <w:lang w:val="en-US" w:eastAsia="it-IT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 w:eastAsia="it-IT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 w:eastAsia="it-IT"/>
        </w:rPr>
        <w:t xml:space="preserve">Woollacott, M., &amp; Peyton, B. (2021). Verified account of near-death experience in a physician who survived cardiac arrest. </w:t>
      </w: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it-IT"/>
        </w:rPr>
        <w:t>EXPLORE</w:t>
      </w:r>
      <w:r>
        <w:rPr>
          <w:rFonts w:eastAsia="Times New Roman" w:cs="Times New Roman" w:ascii="Times New Roman" w:hAnsi="Times New Roman"/>
          <w:sz w:val="24"/>
          <w:szCs w:val="24"/>
          <w:lang w:eastAsia="it-IT"/>
        </w:rPr>
        <w:t xml:space="preserve">, </w:t>
      </w: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it-IT"/>
        </w:rPr>
        <w:t>17</w:t>
      </w:r>
      <w:r>
        <w:rPr>
          <w:rFonts w:eastAsia="Times New Roman" w:cs="Times New Roman" w:ascii="Times New Roman" w:hAnsi="Times New Roman"/>
          <w:sz w:val="24"/>
          <w:szCs w:val="24"/>
          <w:lang w:eastAsia="it-IT"/>
        </w:rPr>
        <w:t xml:space="preserve">(3), 213-219. </w:t>
      </w:r>
      <w:hyperlink r:id="rId4" w:tgtFrame="_blank">
        <w:r>
          <w:rPr>
            <w:rStyle w:val="Hyperlink"/>
            <w:rFonts w:eastAsia="Times New Roman" w:cs="Times New Roman" w:ascii="Times New Roman" w:hAnsi="Times New Roman"/>
            <w:sz w:val="24"/>
            <w:szCs w:val="24"/>
            <w:lang w:eastAsia="it-IT"/>
          </w:rPr>
          <w:t>https://doi.org/10.1016/j.explore.2020.03.005</w:t>
        </w:r>
      </w:hyperlink>
      <w:r>
        <w:rPr>
          <w:rFonts w:eastAsia="Times New Roman" w:cs="Times New Roman" w:ascii="Times New Roman" w:hAnsi="Times New Roman"/>
          <w:sz w:val="24"/>
          <w:szCs w:val="24"/>
          <w:lang w:eastAsia="it-IT"/>
        </w:rPr>
        <w:t xml:space="preserve"> 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start="720"/>
        <w:rPr>
          <w:rFonts w:ascii="Times New Roman" w:hAnsi="Times New Roman"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it-IT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it-IT"/>
        </w:rPr>
        <w:t xml:space="preserve">Woollacott, M. (2024).Near-death experience: memory recovery during hypnosis. </w:t>
      </w: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it-IT"/>
        </w:rPr>
        <w:t>EXPLORE</w:t>
      </w:r>
      <w:r>
        <w:rPr>
          <w:rFonts w:eastAsia="Times New Roman" w:cs="Times New Roman" w:ascii="Times New Roman" w:hAnsi="Times New Roman"/>
          <w:sz w:val="24"/>
          <w:szCs w:val="24"/>
          <w:lang w:eastAsia="it-IT"/>
        </w:rPr>
        <w:t xml:space="preserve">,  </w:t>
      </w:r>
      <w:hyperlink r:id="rId5">
        <w:r>
          <w:rPr>
            <w:rStyle w:val="Hyperlink"/>
            <w:rFonts w:eastAsia="Times New Roman" w:cs="Times New Roman" w:ascii="Times New Roman" w:hAnsi="Times New Roman"/>
            <w:sz w:val="24"/>
            <w:szCs w:val="24"/>
            <w:lang w:eastAsia="it-IT"/>
          </w:rPr>
          <w:t>https://doi.org/10.1016/j.explore.2024.103036</w:t>
        </w:r>
      </w:hyperlink>
      <w:r>
        <w:rPr>
          <w:rFonts w:eastAsia="Times New Roman" w:cs="Times New Roman" w:ascii="Times New Roman" w:hAnsi="Times New Roman"/>
          <w:sz w:val="24"/>
          <w:szCs w:val="24"/>
          <w:lang w:eastAsia="it-IT"/>
        </w:rPr>
        <w:t xml:space="preserve">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start="720"/>
        <w:rPr>
          <w:rFonts w:ascii="Times New Roman" w:hAnsi="Times New Roman"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it-IT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OpenSymbol">
    <w:altName w:val="Arial Unicode MS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Hyperlink">
    <w:name w:val="Hyperlink"/>
    <w:rPr>
      <w:color w:val="000080"/>
      <w:u w:val="single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Caratteridinumerazione">
    <w:name w:val="Caratteri di numerazione"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user">
    <w:name w:val="Tito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iceuser">
    <w:name w:val="Indice (user)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oi.org/10.1016/j.resuscitation.2011.09.027" TargetMode="External"/><Relationship Id="rId3" Type="http://schemas.openxmlformats.org/officeDocument/2006/relationships/hyperlink" Target="https://doi.org/10.1016/j.resuscitation.2014.09.004" TargetMode="External"/><Relationship Id="rId4" Type="http://schemas.openxmlformats.org/officeDocument/2006/relationships/hyperlink" Target="https://doi.org/10.1016/j.explore.2020.03.005" TargetMode="External"/><Relationship Id="rId5" Type="http://schemas.openxmlformats.org/officeDocument/2006/relationships/hyperlink" Target="https://doi.org/10.1016/j.explore.2024.103036" TargetMode="Externa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</TotalTime>
  <Application>LibreOffice/25.2.2.2$Windows_X86_64 LibreOffice_project/7370d4be9e3cf6031a51beef54ff3bda878e3fac</Application>
  <AppVersion>15.0000</AppVersion>
  <Pages>1</Pages>
  <Words>256</Words>
  <Characters>1700</Characters>
  <CharactersWithSpaces>1944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2025-04-26T09:27:31Z</dcterms:created>
  <dc:creator/>
  <dc:description/>
  <dc:language>en-US</dc:language>
  <cp:lastModifiedBy/>
  <dcterms:modified xsi:type="dcterms:W3CDTF">2025-05-16T14:51:44Z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