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6962A4" w:rsidRPr="00D15753" w:rsidRDefault="006962A4" w:rsidP="006962A4">
      <w:pPr>
        <w:spacing w:before="240" w:after="0"/>
        <w:jc w:val="both"/>
        <w:rPr>
          <w:color w:val="1F497D"/>
          <w:sz w:val="44"/>
          <w:szCs w:val="44"/>
        </w:rPr>
      </w:pPr>
      <w:r>
        <w:rPr>
          <w:rFonts w:ascii="Times New Roman" w:hAnsi="Times New Roman"/>
          <w:b/>
          <w:noProof/>
          <w:color w:val="1F497D"/>
          <w:sz w:val="44"/>
          <w:szCs w:val="44"/>
        </w:rPr>
        <w:drawing>
          <wp:inline distT="0" distB="0" distL="0" distR="0" wp14:anchorId="0707AA23" wp14:editId="4C16C799">
            <wp:extent cx="333375" cy="333375"/>
            <wp:effectExtent l="0" t="0" r="9525" b="9525"/>
            <wp:docPr id="1" name="Picture 0" descr="add_2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add_25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75" cy="333375"/>
                    </a:xfrm>
                    <a:prstGeom prst="rect">
                      <a:avLst/>
                    </a:prstGeom>
                    <a:noFill/>
                    <a:ln>
                      <a:noFill/>
                    </a:ln>
                  </pic:spPr>
                </pic:pic>
              </a:graphicData>
            </a:graphic>
          </wp:inline>
        </w:drawing>
      </w:r>
      <w:r w:rsidRPr="00D15753">
        <w:rPr>
          <w:rFonts w:ascii="Times New Roman" w:hAnsi="Times New Roman"/>
          <w:b/>
          <w:color w:val="1F497D"/>
          <w:sz w:val="44"/>
          <w:szCs w:val="44"/>
        </w:rPr>
        <w:t>IJESRT</w:t>
      </w:r>
    </w:p>
    <w:p w:rsidR="006962A4" w:rsidRPr="0093769F" w:rsidRDefault="006962A4" w:rsidP="006962A4">
      <w:pPr>
        <w:spacing w:after="0"/>
        <w:jc w:val="center"/>
        <w:rPr>
          <w:rFonts w:ascii="Arial" w:hAnsi="Arial" w:cs="Arial"/>
          <w:b/>
          <w:caps/>
          <w:color w:val="000000"/>
          <w:sz w:val="24"/>
          <w:szCs w:val="24"/>
        </w:rPr>
      </w:pPr>
      <w:r w:rsidRPr="00BC77B3">
        <w:rPr>
          <w:rFonts w:ascii="Arial" w:hAnsi="Arial" w:cs="Arial"/>
          <w:b/>
          <w:caps/>
          <w:color w:val="000000"/>
          <w:sz w:val="24"/>
          <w:szCs w:val="24"/>
        </w:rPr>
        <w:t>International Journal of Engineering Sciences &amp; Research Technology</w:t>
      </w:r>
    </w:p>
    <w:p w:rsidR="006962A4" w:rsidRPr="00EE607D" w:rsidRDefault="00816676" w:rsidP="006962A4">
      <w:pPr>
        <w:spacing w:after="0" w:line="240" w:lineRule="auto"/>
        <w:jc w:val="center"/>
        <w:rPr>
          <w:rFonts w:ascii="Times New Roman" w:hAnsi="Times New Roman"/>
          <w:b/>
          <w:color w:val="44546A" w:themeColor="text2"/>
          <w:sz w:val="24"/>
          <w:szCs w:val="24"/>
        </w:rPr>
      </w:pPr>
      <w:r w:rsidRPr="00816676">
        <w:rPr>
          <w:rFonts w:ascii="Times New Roman" w:hAnsi="Times New Roman"/>
          <w:b/>
          <w:color w:val="44546A" w:themeColor="text2"/>
          <w:sz w:val="24"/>
          <w:szCs w:val="24"/>
        </w:rPr>
        <w:t>MIFIS CONCEPT: A PRINCIPAL INVESTIGATION FOR BLOW-OUT RECOVERY</w:t>
      </w:r>
    </w:p>
    <w:p w:rsidR="006962A4" w:rsidRDefault="00816676" w:rsidP="006962A4">
      <w:pPr>
        <w:spacing w:after="0" w:line="240" w:lineRule="auto"/>
        <w:jc w:val="center"/>
        <w:rPr>
          <w:rFonts w:ascii="Times New Roman" w:hAnsi="Times New Roman"/>
          <w:b/>
          <w:color w:val="000000"/>
        </w:rPr>
      </w:pPr>
      <w:r w:rsidRPr="00816676">
        <w:rPr>
          <w:rFonts w:ascii="Times New Roman" w:hAnsi="Times New Roman"/>
          <w:b/>
          <w:color w:val="000000"/>
        </w:rPr>
        <w:t>D.</w:t>
      </w:r>
      <w:r>
        <w:rPr>
          <w:rFonts w:ascii="Times New Roman" w:hAnsi="Times New Roman"/>
          <w:b/>
          <w:color w:val="000000"/>
        </w:rPr>
        <w:t xml:space="preserve"> </w:t>
      </w:r>
      <w:r w:rsidRPr="00816676">
        <w:rPr>
          <w:rFonts w:ascii="Times New Roman" w:hAnsi="Times New Roman"/>
          <w:b/>
          <w:color w:val="000000"/>
        </w:rPr>
        <w:t>E.</w:t>
      </w:r>
      <w:r>
        <w:rPr>
          <w:rFonts w:ascii="Times New Roman" w:hAnsi="Times New Roman"/>
          <w:b/>
          <w:color w:val="000000"/>
        </w:rPr>
        <w:t xml:space="preserve"> </w:t>
      </w:r>
      <w:r w:rsidRPr="00816676">
        <w:rPr>
          <w:rFonts w:ascii="Times New Roman" w:hAnsi="Times New Roman"/>
          <w:b/>
          <w:color w:val="000000"/>
        </w:rPr>
        <w:t>Mazarakos*, F. Andritsos, V.</w:t>
      </w:r>
      <w:r>
        <w:rPr>
          <w:rFonts w:ascii="Times New Roman" w:hAnsi="Times New Roman"/>
          <w:b/>
          <w:color w:val="000000"/>
        </w:rPr>
        <w:t xml:space="preserve"> </w:t>
      </w:r>
      <w:r w:rsidRPr="00816676">
        <w:rPr>
          <w:rFonts w:ascii="Times New Roman" w:hAnsi="Times New Roman"/>
          <w:b/>
          <w:color w:val="000000"/>
        </w:rPr>
        <w:t>Kostopoulos</w:t>
      </w:r>
    </w:p>
    <w:p w:rsidR="00816676" w:rsidRPr="00816676" w:rsidRDefault="006962A4" w:rsidP="00816676">
      <w:pPr>
        <w:spacing w:after="0" w:line="240" w:lineRule="auto"/>
        <w:jc w:val="center"/>
        <w:rPr>
          <w:rFonts w:ascii="Times New Roman" w:hAnsi="Times New Roman"/>
          <w:color w:val="000000"/>
        </w:rPr>
      </w:pPr>
      <w:r>
        <w:rPr>
          <w:rFonts w:ascii="Times New Roman" w:hAnsi="Times New Roman"/>
          <w:color w:val="000000"/>
          <w:vertAlign w:val="superscript"/>
        </w:rPr>
        <w:t xml:space="preserve">* </w:t>
      </w:r>
      <w:r w:rsidR="00816676" w:rsidRPr="00816676">
        <w:rPr>
          <w:rFonts w:ascii="Times New Roman" w:hAnsi="Times New Roman"/>
          <w:color w:val="000000"/>
        </w:rPr>
        <w:t>Applied Mechanics Laboratory, Department of Mechanical Engineering &amp; Aeronautics, University of Patras, Patras University Campus, Greece</w:t>
      </w:r>
    </w:p>
    <w:p w:rsidR="0013458F" w:rsidRPr="0013458F" w:rsidRDefault="00816676" w:rsidP="00816676">
      <w:pPr>
        <w:spacing w:after="0" w:line="240" w:lineRule="auto"/>
        <w:jc w:val="center"/>
        <w:rPr>
          <w:rFonts w:ascii="Times New Roman" w:hAnsi="Times New Roman"/>
          <w:color w:val="000000"/>
        </w:rPr>
      </w:pPr>
      <w:r w:rsidRPr="00816676">
        <w:rPr>
          <w:rFonts w:ascii="Times New Roman" w:hAnsi="Times New Roman"/>
          <w:color w:val="000000"/>
        </w:rPr>
        <w:t>Joint Research Center (JRC), Ispra, Italy</w:t>
      </w:r>
    </w:p>
    <w:p w:rsidR="006962A4" w:rsidRDefault="006962A4" w:rsidP="006962A4">
      <w:pPr>
        <w:spacing w:after="0" w:line="240" w:lineRule="auto"/>
        <w:rPr>
          <w:rFonts w:ascii="Times New Roman" w:hAnsi="Times New Roman"/>
          <w:color w:val="000000"/>
        </w:rPr>
      </w:pPr>
    </w:p>
    <w:p w:rsidR="006962A4" w:rsidRDefault="006962A4" w:rsidP="00A95514">
      <w:pPr>
        <w:pBdr>
          <w:bottom w:val="single" w:sz="4" w:space="1" w:color="000000" w:themeColor="text1"/>
        </w:pBdr>
        <w:spacing w:after="0" w:line="240" w:lineRule="auto"/>
        <w:rPr>
          <w:rFonts w:ascii="Times New Roman" w:hAnsi="Times New Roman"/>
          <w:color w:val="000000"/>
        </w:rPr>
      </w:pPr>
      <w:r w:rsidRPr="004A2609">
        <w:rPr>
          <w:rFonts w:ascii="Times New Roman" w:hAnsi="Times New Roman"/>
          <w:b/>
          <w:color w:val="000000"/>
        </w:rPr>
        <w:t>DOI</w:t>
      </w:r>
      <w:r>
        <w:rPr>
          <w:rFonts w:ascii="Times New Roman" w:hAnsi="Times New Roman"/>
          <w:color w:val="000000"/>
        </w:rPr>
        <w:t xml:space="preserve">: </w:t>
      </w:r>
      <w:bookmarkStart w:id="0" w:name="_GoBack"/>
      <w:bookmarkEnd w:id="0"/>
    </w:p>
    <w:p w:rsidR="003F6F2B" w:rsidRDefault="003F6F2B" w:rsidP="006962A4">
      <w:pPr>
        <w:spacing w:after="0" w:line="240" w:lineRule="auto"/>
        <w:jc w:val="center"/>
        <w:rPr>
          <w:rFonts w:ascii="Times New Roman" w:hAnsi="Times New Roman"/>
          <w:b/>
          <w:color w:val="1F497D"/>
        </w:rPr>
      </w:pPr>
    </w:p>
    <w:p w:rsidR="006962A4" w:rsidRPr="003A2EA8" w:rsidRDefault="006962A4" w:rsidP="006962A4">
      <w:pPr>
        <w:spacing w:after="0" w:line="240" w:lineRule="auto"/>
        <w:jc w:val="center"/>
        <w:rPr>
          <w:rFonts w:ascii="Times New Roman" w:hAnsi="Times New Roman"/>
          <w:b/>
          <w:color w:val="1F497D"/>
        </w:rPr>
      </w:pPr>
      <w:r w:rsidRPr="003A2EA8">
        <w:rPr>
          <w:rFonts w:ascii="Times New Roman" w:hAnsi="Times New Roman"/>
          <w:b/>
          <w:color w:val="1F497D"/>
        </w:rPr>
        <w:t>ABSTRACT</w:t>
      </w:r>
    </w:p>
    <w:p w:rsidR="00D35506" w:rsidRPr="008A5C8F" w:rsidRDefault="00816676" w:rsidP="007115CE">
      <w:pPr>
        <w:autoSpaceDE w:val="0"/>
        <w:autoSpaceDN w:val="0"/>
        <w:adjustRightInd w:val="0"/>
        <w:spacing w:after="0" w:line="240" w:lineRule="auto"/>
        <w:jc w:val="both"/>
        <w:rPr>
          <w:rFonts w:ascii="Times New Roman" w:hAnsi="Times New Roman" w:cs="Times New Roman"/>
          <w:sz w:val="20"/>
          <w:szCs w:val="20"/>
        </w:rPr>
      </w:pPr>
      <w:r w:rsidRPr="00816676">
        <w:rPr>
          <w:rFonts w:ascii="Times New Roman" w:hAnsi="Times New Roman" w:cs="Times New Roman"/>
          <w:sz w:val="20"/>
          <w:szCs w:val="20"/>
        </w:rPr>
        <w:t>In the present work, a method for the prompt and remediation of offshore Blowouts and seabed hydrates’ intervention is presented. The method is a modified version of DIFIS System, an EU FP6 proposed solution for the oil recovery from tankers wreck. It relies on gravity to channel the blow-out mixture towards the surface. Two (2) components are used for the oil/water/gas separation (PG-BBS) and oil/water storage (BB). These components are placed a 300 m and 30 meters below the sea surface respectively, unaffected by the weather conditions. This is achieved by a quickly deployable flexible structure (MIFIS) that should stay in place until the well is emptied or appropriate sealed in order to eliminate the pollution threat. The PG-BBS and BB reservoirs are provided with standard equipment through which shuttle vessels can recover the oil and gas rapidly, using standard offshore/subsea equipment. As an innovative system, the principal investigation (operational environment, system components’ description, structural requirements/specifications, design guidelines) was carried out. The parameters were used for the Technical Feasibility study where the concept was evaluated. The final results can be used for the implementation of new innovative research projects and solutions in Offshore/Subsea industry.</w:t>
      </w:r>
    </w:p>
    <w:p w:rsidR="006962A4" w:rsidRDefault="006962A4" w:rsidP="006962A4">
      <w:pPr>
        <w:spacing w:after="0" w:line="240" w:lineRule="auto"/>
        <w:jc w:val="both"/>
        <w:rPr>
          <w:rFonts w:ascii="Times New Roman" w:hAnsi="Times New Roman"/>
          <w:sz w:val="20"/>
          <w:szCs w:val="20"/>
        </w:rPr>
      </w:pPr>
    </w:p>
    <w:p w:rsidR="00DD3299" w:rsidRPr="003F1763" w:rsidRDefault="006962A4" w:rsidP="00E360CE">
      <w:pPr>
        <w:spacing w:after="0" w:line="240" w:lineRule="auto"/>
        <w:jc w:val="both"/>
      </w:pPr>
      <w:r w:rsidRPr="00055253">
        <w:rPr>
          <w:rFonts w:ascii="Times New Roman" w:hAnsi="Times New Roman"/>
          <w:b/>
          <w:sz w:val="20"/>
          <w:szCs w:val="20"/>
        </w:rPr>
        <w:t>KEYWORDS</w:t>
      </w:r>
      <w:r w:rsidR="006E6365">
        <w:rPr>
          <w:rFonts w:ascii="Times New Roman" w:hAnsi="Times New Roman"/>
          <w:b/>
          <w:sz w:val="20"/>
          <w:szCs w:val="20"/>
        </w:rPr>
        <w:t>:</w:t>
      </w:r>
      <w:r w:rsidR="00E360CE">
        <w:rPr>
          <w:rFonts w:ascii="Times New Roman" w:hAnsi="Times New Roman"/>
          <w:b/>
          <w:sz w:val="20"/>
          <w:szCs w:val="20"/>
        </w:rPr>
        <w:t xml:space="preserve"> </w:t>
      </w:r>
      <w:r w:rsidR="00816676" w:rsidRPr="00816676">
        <w:rPr>
          <w:rFonts w:ascii="Times New Roman" w:hAnsi="Times New Roman" w:cs="Times New Roman"/>
          <w:sz w:val="20"/>
          <w:szCs w:val="20"/>
        </w:rPr>
        <w:t>Hydrates, DIFIS, Blow-out, deep sea operation, pollution intervention</w:t>
      </w:r>
      <w:r w:rsidR="00816676">
        <w:rPr>
          <w:rFonts w:ascii="Times New Roman" w:hAnsi="Times New Roman" w:cs="Times New Roman"/>
          <w:sz w:val="20"/>
          <w:szCs w:val="20"/>
        </w:rPr>
        <w:t>.</w:t>
      </w:r>
    </w:p>
    <w:p w:rsidR="00056304" w:rsidRDefault="00056304" w:rsidP="00BB49CD">
      <w:pPr>
        <w:pBdr>
          <w:bottom w:val="single" w:sz="4" w:space="1" w:color="000000" w:themeColor="text1"/>
        </w:pBdr>
        <w:spacing w:after="0"/>
        <w:jc w:val="both"/>
        <w:rPr>
          <w:rFonts w:asciiTheme="majorBidi" w:hAnsiTheme="majorBidi" w:cstheme="majorBidi"/>
          <w:sz w:val="20"/>
          <w:szCs w:val="20"/>
        </w:rPr>
      </w:pPr>
    </w:p>
    <w:p w:rsidR="00C5653F" w:rsidRPr="00C5653F" w:rsidRDefault="00C5653F" w:rsidP="00C5653F">
      <w:pPr>
        <w:spacing w:after="0" w:line="240" w:lineRule="auto"/>
        <w:rPr>
          <w:rFonts w:ascii="Times New Roman" w:hAnsi="Times New Roman"/>
          <w:b/>
          <w:color w:val="44546A" w:themeColor="text2"/>
        </w:rPr>
      </w:pPr>
      <w:r w:rsidRPr="00C5653F">
        <w:rPr>
          <w:rFonts w:ascii="Times New Roman" w:hAnsi="Times New Roman"/>
          <w:b/>
          <w:color w:val="44546A" w:themeColor="text2"/>
        </w:rPr>
        <w:t>INTRODUCTION</w:t>
      </w:r>
    </w:p>
    <w:p w:rsidR="00DA04DC" w:rsidRPr="00DA04DC" w:rsidRDefault="00DA04DC" w:rsidP="00DA04DC">
      <w:pPr>
        <w:spacing w:after="0" w:line="240" w:lineRule="auto"/>
        <w:jc w:val="both"/>
        <w:rPr>
          <w:rFonts w:ascii="Times New Roman" w:hAnsi="Times New Roman" w:cs="Times New Roman"/>
          <w:sz w:val="20"/>
          <w:szCs w:val="20"/>
        </w:rPr>
      </w:pPr>
      <w:r w:rsidRPr="00DA04DC">
        <w:rPr>
          <w:rFonts w:ascii="Times New Roman" w:hAnsi="Times New Roman" w:cs="Times New Roman"/>
          <w:sz w:val="20"/>
          <w:szCs w:val="20"/>
        </w:rPr>
        <w:t xml:space="preserve">The offshore oil rig operations in deepwater ocean led to major accidents during the last fifty (50) years.  The most notable accidents are: Union Oil Platform Alpha Well A-21 (1969), Ekofisk Bravo Platform (1977), Sedco 135F and the IXTOC-1 Well (1979), Funiwa No. 5 Well (1980), Hasbah Platform Well 6 (1980) and Deepwater Horizon (2010). More than four (4) million barrels of oil were released to the ocean, causing extreme water pollution to the regions and killing the working staff on the platform. </w:t>
      </w:r>
    </w:p>
    <w:p w:rsidR="00DA04DC" w:rsidRDefault="00DA04DC" w:rsidP="00DA04DC">
      <w:pPr>
        <w:spacing w:after="0" w:line="240" w:lineRule="auto"/>
        <w:jc w:val="both"/>
        <w:rPr>
          <w:rFonts w:ascii="Times New Roman" w:hAnsi="Times New Roman" w:cs="Times New Roman"/>
          <w:sz w:val="20"/>
          <w:szCs w:val="20"/>
        </w:rPr>
      </w:pPr>
    </w:p>
    <w:p w:rsidR="00DA04DC" w:rsidRPr="00DA04DC" w:rsidRDefault="00DA04DC" w:rsidP="00DA04DC">
      <w:pPr>
        <w:spacing w:after="0" w:line="240" w:lineRule="auto"/>
        <w:jc w:val="both"/>
        <w:rPr>
          <w:rFonts w:ascii="Times New Roman" w:hAnsi="Times New Roman" w:cs="Times New Roman"/>
          <w:sz w:val="20"/>
          <w:szCs w:val="20"/>
        </w:rPr>
      </w:pPr>
      <w:r w:rsidRPr="00DA04DC">
        <w:rPr>
          <w:rFonts w:ascii="Times New Roman" w:hAnsi="Times New Roman" w:cs="Times New Roman"/>
          <w:sz w:val="20"/>
          <w:szCs w:val="20"/>
        </w:rPr>
        <w:t xml:space="preserve">At the recent accident of the Deep water Horizon (2010), during the final phases of drilling the exploratory well at Macondo, a geyser of seawater erupted from the marine riser onto the rig, shooting 240 ft (73 m) into the air. This was soon followed by the eruption of a slushy combination of mud, methane gas, and water. The gas component of the slushy material quickly transitioned into a fully gaseous state and then ignited into a series of explosions and then a firestorm. An attempt was made to activate the blowout preventer, but it failed. The final defense to prevent an oil spill, a device known as a blind shear ram, was activated but failed to plug the well. At the time of the explosion, there were 126 crew on board. Eleven workers were presumed killed in the initial explosion. The rig was evacuated, with injured workers airlifted to medical facilities. After 36 hours, Deepwater Horizon sank on 22 April 2010. The rig remains were located resting on the seafloor approximately 5,000 ft (1,500 m) deep at that location, and about 1,300 ft (400 m) (quarter of a mile) northwest of the well. (Wikipedia, 2010) </w:t>
      </w:r>
    </w:p>
    <w:p w:rsidR="00DA04DC" w:rsidRPr="00DA04DC" w:rsidRDefault="00DA04DC" w:rsidP="00DA04DC">
      <w:pPr>
        <w:spacing w:after="0" w:line="240" w:lineRule="auto"/>
        <w:jc w:val="both"/>
        <w:rPr>
          <w:rFonts w:ascii="Times New Roman" w:hAnsi="Times New Roman" w:cs="Times New Roman"/>
          <w:sz w:val="20"/>
          <w:szCs w:val="20"/>
        </w:rPr>
      </w:pPr>
      <w:r w:rsidRPr="00DA04DC">
        <w:rPr>
          <w:rFonts w:ascii="Times New Roman" w:hAnsi="Times New Roman" w:cs="Times New Roman"/>
          <w:sz w:val="20"/>
          <w:szCs w:val="20"/>
        </w:rPr>
        <w:t xml:space="preserve">The resultant oil spill continued until 15 July when it was closed by a cap. This involved placing a 125-tonne (276,000 lb) dome over the largest of the well leaks and piping it to a storage vessel on the surface. This option had the potential to collect some 85% of the leaking oil but was previously untested at such depths. BP deployed the system on May 7–8, but it failed due to buildup of methane clathrate inside the dome; with its low density of approximately 0.9 g/cm3 the methane hydrates accumulated in the dome, adding buoyancy and obstructing flow.  Relief valves were used to permanently seal the well, which was declared "effectively dead" on 19 September </w:t>
      </w:r>
      <w:r w:rsidRPr="00DA04DC">
        <w:rPr>
          <w:rFonts w:ascii="Times New Roman" w:hAnsi="Times New Roman" w:cs="Times New Roman"/>
          <w:sz w:val="20"/>
          <w:szCs w:val="20"/>
        </w:rPr>
        <w:lastRenderedPageBreak/>
        <w:t xml:space="preserve">2010. BP was forced to spend more than 20 billion dollars to pay the claims to Federal Government and to clean up the oil spill, leading the company to a manageable sum for the next 15 years. </w:t>
      </w:r>
    </w:p>
    <w:p w:rsidR="00DA04DC" w:rsidRDefault="00DA04DC" w:rsidP="00DA04DC">
      <w:pPr>
        <w:spacing w:after="0" w:line="240" w:lineRule="auto"/>
        <w:jc w:val="both"/>
        <w:rPr>
          <w:rFonts w:ascii="Times New Roman" w:hAnsi="Times New Roman" w:cs="Times New Roman"/>
          <w:sz w:val="20"/>
          <w:szCs w:val="20"/>
        </w:rPr>
      </w:pPr>
    </w:p>
    <w:p w:rsidR="00DA04DC" w:rsidRPr="00DA04DC" w:rsidRDefault="00DA04DC" w:rsidP="00DA04DC">
      <w:pPr>
        <w:spacing w:after="0" w:line="240" w:lineRule="auto"/>
        <w:jc w:val="both"/>
        <w:rPr>
          <w:rFonts w:ascii="Times New Roman" w:hAnsi="Times New Roman" w:cs="Times New Roman"/>
          <w:sz w:val="20"/>
          <w:szCs w:val="20"/>
        </w:rPr>
      </w:pPr>
      <w:r w:rsidRPr="00DA04DC">
        <w:rPr>
          <w:rFonts w:ascii="Times New Roman" w:hAnsi="Times New Roman" w:cs="Times New Roman"/>
          <w:sz w:val="20"/>
          <w:szCs w:val="20"/>
        </w:rPr>
        <w:t>In the aftermath of the Deepwater Horizon disaster, an innovative concept for the direct intervention at the blowout well was introduced by the JRC following the experience by the EU FP6 DIFIS Project [REFF]. The principal investigation and the feasibility study of this concept were assigned to Scientific Laboratories in Greece in order to prove the sustainability of the proposed solution. The results of this work were the operational limits and the structural requirements of the MIFIS System which can be implemented to deal with Offshore Blowouts and Hydrate intervention.</w:t>
      </w:r>
    </w:p>
    <w:p w:rsidR="00DA04DC" w:rsidRDefault="00DA04DC" w:rsidP="00DA04DC">
      <w:pPr>
        <w:spacing w:after="0" w:line="240" w:lineRule="auto"/>
        <w:jc w:val="both"/>
        <w:rPr>
          <w:rFonts w:ascii="Times New Roman" w:hAnsi="Times New Roman" w:cs="Times New Roman"/>
          <w:sz w:val="20"/>
          <w:szCs w:val="20"/>
        </w:rPr>
      </w:pPr>
    </w:p>
    <w:p w:rsidR="00DA04DC" w:rsidRPr="00DA04DC" w:rsidRDefault="00DA04DC" w:rsidP="00DA04DC">
      <w:pPr>
        <w:spacing w:after="0" w:line="240" w:lineRule="auto"/>
        <w:jc w:val="both"/>
        <w:rPr>
          <w:rFonts w:ascii="Times New Roman" w:hAnsi="Times New Roman" w:cs="Times New Roman"/>
          <w:b/>
        </w:rPr>
      </w:pPr>
      <w:r w:rsidRPr="00DA04DC">
        <w:rPr>
          <w:rFonts w:ascii="Times New Roman" w:hAnsi="Times New Roman" w:cs="Times New Roman"/>
          <w:b/>
          <w:color w:val="44546A" w:themeColor="text2"/>
        </w:rPr>
        <w:t>OPERATIONAL ENVIRONMENT</w:t>
      </w:r>
      <w:r w:rsidRPr="00DA04DC">
        <w:rPr>
          <w:rFonts w:ascii="Times New Roman" w:hAnsi="Times New Roman" w:cs="Times New Roman"/>
          <w:b/>
        </w:rPr>
        <w:t xml:space="preserve"> </w:t>
      </w:r>
    </w:p>
    <w:p w:rsidR="00DA04DC" w:rsidRPr="00DA04DC" w:rsidRDefault="00DA04DC" w:rsidP="00DA04DC">
      <w:pPr>
        <w:spacing w:after="0" w:line="240" w:lineRule="auto"/>
        <w:jc w:val="both"/>
        <w:rPr>
          <w:rFonts w:ascii="Times New Roman" w:hAnsi="Times New Roman" w:cs="Times New Roman"/>
          <w:sz w:val="20"/>
          <w:szCs w:val="20"/>
        </w:rPr>
      </w:pPr>
      <w:r w:rsidRPr="00DA04DC">
        <w:rPr>
          <w:rFonts w:ascii="Times New Roman" w:hAnsi="Times New Roman" w:cs="Times New Roman"/>
          <w:sz w:val="20"/>
          <w:szCs w:val="20"/>
        </w:rPr>
        <w:t>A blowout is the uncontrolled release of crude oil and/or natural gas from an oil well or gas well after pressure control systems have failed. Prior to the advent of pressure control equipment in the 1920s, the uncontrolled release of oil and gas from a well while drilling was common and was known as an oil gusher, gusher or wild well. An accidental spark during a blowout can lead to a catastrophic oil or gas fire (Holand, 1997).</w:t>
      </w:r>
    </w:p>
    <w:p w:rsidR="00DA04DC" w:rsidRDefault="00DA04DC" w:rsidP="00DA04DC">
      <w:pPr>
        <w:spacing w:after="0" w:line="240" w:lineRule="auto"/>
        <w:jc w:val="both"/>
        <w:rPr>
          <w:rFonts w:ascii="Times New Roman" w:hAnsi="Times New Roman" w:cs="Times New Roman"/>
          <w:sz w:val="20"/>
          <w:szCs w:val="20"/>
        </w:rPr>
      </w:pPr>
    </w:p>
    <w:p w:rsidR="00555FD2" w:rsidRDefault="00DA04DC" w:rsidP="00DA04DC">
      <w:pPr>
        <w:spacing w:after="0" w:line="240" w:lineRule="auto"/>
        <w:jc w:val="both"/>
        <w:rPr>
          <w:rFonts w:ascii="Times New Roman" w:hAnsi="Times New Roman" w:cs="Times New Roman"/>
          <w:sz w:val="20"/>
          <w:szCs w:val="20"/>
        </w:rPr>
      </w:pPr>
      <w:r w:rsidRPr="00DA04DC">
        <w:rPr>
          <w:rFonts w:ascii="Times New Roman" w:hAnsi="Times New Roman" w:cs="Times New Roman"/>
          <w:sz w:val="20"/>
          <w:szCs w:val="20"/>
        </w:rPr>
        <w:t>Nowadays (2015), it is very difficult to deal with a blowout in very deep water because of the remoteness and limited experience with this type of situation (Figure 1).</w:t>
      </w:r>
    </w:p>
    <w:p w:rsidR="00DA04DC" w:rsidRDefault="00DA04DC" w:rsidP="00DA04DC">
      <w:pPr>
        <w:spacing w:after="0" w:line="240" w:lineRule="auto"/>
        <w:jc w:val="both"/>
        <w:rPr>
          <w:rFonts w:ascii="Times New Roman" w:hAnsi="Times New Roman" w:cs="Times New Roman"/>
          <w:sz w:val="20"/>
          <w:szCs w:val="20"/>
        </w:rPr>
      </w:pPr>
    </w:p>
    <w:p w:rsidR="00E006C0" w:rsidRPr="00E006C0" w:rsidRDefault="00E006C0" w:rsidP="00E006C0">
      <w:pPr>
        <w:keepNext/>
        <w:spacing w:after="0" w:line="240" w:lineRule="auto"/>
        <w:jc w:val="center"/>
        <w:rPr>
          <w:i/>
          <w:sz w:val="20"/>
          <w:szCs w:val="20"/>
        </w:rPr>
      </w:pPr>
      <w:r w:rsidRPr="00E006C0">
        <w:rPr>
          <w:i/>
          <w:noProof/>
          <w:sz w:val="20"/>
          <w:szCs w:val="20"/>
        </w:rPr>
        <w:drawing>
          <wp:inline distT="0" distB="0" distL="0" distR="0" wp14:anchorId="66340161" wp14:editId="7425E5C3">
            <wp:extent cx="1669542" cy="2340017"/>
            <wp:effectExtent l="19050" t="0" r="6858" b="0"/>
            <wp:docPr id="9" name="Εικόνα 1" descr="http://www.sintef.no/globalassets/upload/materialer_kjemi/prosjekter/s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sintef.no/globalassets/upload/materialer_kjemi/prosjekter/sure.png"/>
                    <pic:cNvPicPr>
                      <a:picLocks noChangeAspect="1" noChangeArrowheads="1"/>
                    </pic:cNvPicPr>
                  </pic:nvPicPr>
                  <pic:blipFill>
                    <a:blip r:embed="rId9" cstate="print"/>
                    <a:srcRect/>
                    <a:stretch>
                      <a:fillRect/>
                    </a:stretch>
                  </pic:blipFill>
                  <pic:spPr bwMode="auto">
                    <a:xfrm>
                      <a:off x="0" y="0"/>
                      <a:ext cx="1673016" cy="2344887"/>
                    </a:xfrm>
                    <a:prstGeom prst="rect">
                      <a:avLst/>
                    </a:prstGeom>
                    <a:noFill/>
                    <a:ln w="9525">
                      <a:noFill/>
                      <a:miter lim="800000"/>
                      <a:headEnd/>
                      <a:tailEnd/>
                    </a:ln>
                  </pic:spPr>
                </pic:pic>
              </a:graphicData>
            </a:graphic>
          </wp:inline>
        </w:drawing>
      </w:r>
    </w:p>
    <w:p w:rsidR="00E006C0" w:rsidRPr="00E006C0" w:rsidRDefault="00E006C0" w:rsidP="00E006C0">
      <w:pPr>
        <w:pStyle w:val="Caption"/>
        <w:jc w:val="center"/>
        <w:rPr>
          <w:rFonts w:cs="Palatino-Roman"/>
          <w:i/>
          <w:sz w:val="20"/>
          <w:szCs w:val="20"/>
        </w:rPr>
      </w:pPr>
      <w:r w:rsidRPr="00E006C0">
        <w:rPr>
          <w:i/>
          <w:sz w:val="20"/>
          <w:szCs w:val="20"/>
        </w:rPr>
        <w:t xml:space="preserve">Figure </w:t>
      </w:r>
      <w:r w:rsidRPr="00E006C0">
        <w:rPr>
          <w:i/>
          <w:sz w:val="20"/>
          <w:szCs w:val="20"/>
        </w:rPr>
        <w:fldChar w:fldCharType="begin"/>
      </w:r>
      <w:r w:rsidRPr="00E006C0">
        <w:rPr>
          <w:i/>
          <w:sz w:val="20"/>
          <w:szCs w:val="20"/>
        </w:rPr>
        <w:instrText xml:space="preserve"> SEQ Figure \* ARABIC </w:instrText>
      </w:r>
      <w:r w:rsidRPr="00E006C0">
        <w:rPr>
          <w:i/>
          <w:sz w:val="20"/>
          <w:szCs w:val="20"/>
        </w:rPr>
        <w:fldChar w:fldCharType="separate"/>
      </w:r>
      <w:r w:rsidRPr="00E006C0">
        <w:rPr>
          <w:i/>
          <w:noProof/>
          <w:sz w:val="20"/>
          <w:szCs w:val="20"/>
        </w:rPr>
        <w:t>1</w:t>
      </w:r>
      <w:r w:rsidRPr="00E006C0">
        <w:rPr>
          <w:i/>
          <w:sz w:val="20"/>
          <w:szCs w:val="20"/>
        </w:rPr>
        <w:fldChar w:fldCharType="end"/>
      </w:r>
      <w:r w:rsidRPr="00E006C0">
        <w:rPr>
          <w:i/>
          <w:sz w:val="20"/>
          <w:szCs w:val="20"/>
        </w:rPr>
        <w:t>: Gas Blowout for low pressure and high temperature conditions</w:t>
      </w:r>
    </w:p>
    <w:p w:rsidR="00DA04DC" w:rsidRDefault="00DA04DC" w:rsidP="00DA04DC">
      <w:pPr>
        <w:spacing w:after="0" w:line="240" w:lineRule="auto"/>
        <w:jc w:val="both"/>
        <w:rPr>
          <w:rFonts w:ascii="Times New Roman" w:hAnsi="Times New Roman" w:cs="Times New Roman"/>
          <w:sz w:val="20"/>
          <w:szCs w:val="20"/>
        </w:rPr>
      </w:pPr>
    </w:p>
    <w:p w:rsidR="00046A8C" w:rsidRPr="00046A8C" w:rsidRDefault="00046A8C" w:rsidP="00046A8C">
      <w:pPr>
        <w:spacing w:after="0" w:line="240" w:lineRule="auto"/>
        <w:jc w:val="both"/>
        <w:rPr>
          <w:rFonts w:ascii="Times New Roman" w:hAnsi="Times New Roman" w:cs="Times New Roman"/>
          <w:sz w:val="20"/>
          <w:szCs w:val="20"/>
        </w:rPr>
      </w:pPr>
      <w:r w:rsidRPr="00046A8C">
        <w:rPr>
          <w:rFonts w:ascii="Times New Roman" w:hAnsi="Times New Roman" w:cs="Times New Roman"/>
          <w:sz w:val="20"/>
          <w:szCs w:val="20"/>
        </w:rPr>
        <w:t>At sufficient depths, methane complexes directly with water to form methane hydrates, as was observed during the Deepwater Horizon oil spill in 2010. Methane clathrate (CH4•5.75H2O), also called methane hydrates, is a solid clathrate compound (more specifically, a clathrate hydrate) in which a large amount of methane is trapped within a crystal structure of water, forming a solid similar to ice (Bollavaram,2002; Demirbas, 2010; Hardage and Roberts, 2006;Huo et al., 2011; Sloan and Koh, 2008). The equilibrium of the methane hydrate solid compound is depended on sea depth (hydrostatic pressure) and sea temperature. As the hydrostatic pressure decreases and temperature increases reaching the sea surface, the hydrates rapidly decompose realizing the gas. The gas further expands its volume leading to a surface/degassing zone. This zone contacts the atmospheric air changing the environmental conditions (Devinder et al., 2007; Mazarakos and Kostopoulos Part 1,2015).</w:t>
      </w:r>
    </w:p>
    <w:p w:rsidR="00046A8C" w:rsidRDefault="00046A8C" w:rsidP="00046A8C">
      <w:pPr>
        <w:spacing w:after="0" w:line="240" w:lineRule="auto"/>
        <w:jc w:val="both"/>
        <w:rPr>
          <w:rFonts w:ascii="Times New Roman" w:hAnsi="Times New Roman" w:cs="Times New Roman"/>
          <w:sz w:val="20"/>
          <w:szCs w:val="20"/>
        </w:rPr>
      </w:pPr>
    </w:p>
    <w:p w:rsidR="00E006C0" w:rsidRDefault="00046A8C" w:rsidP="00046A8C">
      <w:pPr>
        <w:spacing w:after="0" w:line="240" w:lineRule="auto"/>
        <w:jc w:val="both"/>
        <w:rPr>
          <w:rFonts w:ascii="Times New Roman" w:hAnsi="Times New Roman" w:cs="Times New Roman"/>
          <w:sz w:val="20"/>
          <w:szCs w:val="20"/>
        </w:rPr>
      </w:pPr>
      <w:r w:rsidRPr="00046A8C">
        <w:rPr>
          <w:rFonts w:ascii="Times New Roman" w:hAnsi="Times New Roman" w:cs="Times New Roman"/>
          <w:sz w:val="20"/>
          <w:szCs w:val="20"/>
        </w:rPr>
        <w:t>The hydrates behavior can be predicted using Phase Diagrams of gas-hydrates. These are calculated using van der Waals and Platteeuw’s model with a Kihara spherical-core potential for the interaction between water and the guest molecule (Lundgaard and Mollerup, 1992).</w:t>
      </w:r>
    </w:p>
    <w:p w:rsidR="00046A8C" w:rsidRDefault="00046A8C" w:rsidP="00046A8C">
      <w:pPr>
        <w:spacing w:after="0" w:line="240" w:lineRule="auto"/>
        <w:jc w:val="both"/>
        <w:rPr>
          <w:rFonts w:ascii="Times New Roman" w:hAnsi="Times New Roman" w:cs="Times New Roman"/>
          <w:sz w:val="20"/>
          <w:szCs w:val="20"/>
        </w:rPr>
      </w:pPr>
    </w:p>
    <w:p w:rsidR="00F45366" w:rsidRPr="00F45366" w:rsidRDefault="00F45366" w:rsidP="00F45366">
      <w:pPr>
        <w:pStyle w:val="NormalWeb"/>
        <w:keepNext/>
        <w:shd w:val="clear" w:color="auto" w:fill="FFFFFF"/>
        <w:spacing w:before="0" w:beforeAutospacing="0" w:after="0" w:afterAutospacing="0"/>
        <w:jc w:val="center"/>
        <w:rPr>
          <w:i/>
          <w:sz w:val="20"/>
          <w:szCs w:val="20"/>
        </w:rPr>
      </w:pPr>
      <w:r w:rsidRPr="00F45366">
        <w:rPr>
          <w:rFonts w:ascii="Arial" w:hAnsi="Arial" w:cs="Arial"/>
          <w:i/>
          <w:noProof/>
          <w:color w:val="222222"/>
          <w:sz w:val="20"/>
          <w:szCs w:val="20"/>
          <w:shd w:val="clear" w:color="auto" w:fill="FFFFFF"/>
        </w:rPr>
        <w:drawing>
          <wp:inline distT="0" distB="0" distL="0" distR="0" wp14:anchorId="791323D0" wp14:editId="6E51D87F">
            <wp:extent cx="2340102" cy="2241165"/>
            <wp:effectExtent l="19050" t="0" r="3048" b="0"/>
            <wp:docPr id="84"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342006" cy="2242989"/>
                    </a:xfrm>
                    <a:prstGeom prst="rect">
                      <a:avLst/>
                    </a:prstGeom>
                    <a:noFill/>
                    <a:ln w="9525">
                      <a:noFill/>
                      <a:miter lim="800000"/>
                      <a:headEnd/>
                      <a:tailEnd/>
                    </a:ln>
                  </pic:spPr>
                </pic:pic>
              </a:graphicData>
            </a:graphic>
          </wp:inline>
        </w:drawing>
      </w:r>
    </w:p>
    <w:p w:rsidR="00F45366" w:rsidRPr="00F45366" w:rsidRDefault="00F45366" w:rsidP="00F45366">
      <w:pPr>
        <w:pStyle w:val="Caption"/>
        <w:jc w:val="center"/>
        <w:rPr>
          <w:rFonts w:ascii="Arial" w:hAnsi="Arial" w:cs="Arial"/>
          <w:i/>
          <w:color w:val="222222"/>
          <w:sz w:val="20"/>
          <w:szCs w:val="20"/>
          <w:shd w:val="clear" w:color="auto" w:fill="FFFFFF"/>
        </w:rPr>
      </w:pPr>
      <w:r w:rsidRPr="00F45366">
        <w:rPr>
          <w:i/>
          <w:sz w:val="20"/>
          <w:szCs w:val="20"/>
        </w:rPr>
        <w:t xml:space="preserve">Figure </w:t>
      </w:r>
      <w:r w:rsidRPr="00F45366">
        <w:rPr>
          <w:i/>
          <w:sz w:val="20"/>
          <w:szCs w:val="20"/>
        </w:rPr>
        <w:fldChar w:fldCharType="begin"/>
      </w:r>
      <w:r w:rsidRPr="00F45366">
        <w:rPr>
          <w:i/>
          <w:sz w:val="20"/>
          <w:szCs w:val="20"/>
        </w:rPr>
        <w:instrText xml:space="preserve"> SEQ Figure \* ARABIC </w:instrText>
      </w:r>
      <w:r w:rsidRPr="00F45366">
        <w:rPr>
          <w:i/>
          <w:sz w:val="20"/>
          <w:szCs w:val="20"/>
        </w:rPr>
        <w:fldChar w:fldCharType="separate"/>
      </w:r>
      <w:r w:rsidRPr="00F45366">
        <w:rPr>
          <w:i/>
          <w:noProof/>
          <w:sz w:val="20"/>
          <w:szCs w:val="20"/>
        </w:rPr>
        <w:t>2</w:t>
      </w:r>
      <w:r w:rsidRPr="00F45366">
        <w:rPr>
          <w:i/>
          <w:sz w:val="20"/>
          <w:szCs w:val="20"/>
        </w:rPr>
        <w:fldChar w:fldCharType="end"/>
      </w:r>
      <w:r w:rsidRPr="00F45366">
        <w:rPr>
          <w:i/>
          <w:sz w:val="20"/>
          <w:szCs w:val="20"/>
        </w:rPr>
        <w:t>: Hydrates' phase diagram depending on Pressure and Temperature</w:t>
      </w:r>
    </w:p>
    <w:p w:rsidR="00046A8C" w:rsidRPr="00555FD2" w:rsidRDefault="00046A8C" w:rsidP="00046A8C">
      <w:pPr>
        <w:spacing w:after="0" w:line="240" w:lineRule="auto"/>
        <w:jc w:val="both"/>
        <w:rPr>
          <w:rFonts w:ascii="Times New Roman" w:hAnsi="Times New Roman" w:cs="Times New Roman"/>
          <w:sz w:val="20"/>
          <w:szCs w:val="20"/>
        </w:rPr>
      </w:pPr>
    </w:p>
    <w:p w:rsidR="00EF2DE8" w:rsidRPr="00EF2DE8" w:rsidRDefault="00EF2DE8" w:rsidP="00EF2DE8">
      <w:pPr>
        <w:spacing w:after="0" w:line="240" w:lineRule="auto"/>
        <w:jc w:val="both"/>
        <w:rPr>
          <w:rFonts w:ascii="Times New Roman" w:hAnsi="Times New Roman" w:cs="Times New Roman"/>
          <w:sz w:val="20"/>
          <w:szCs w:val="20"/>
        </w:rPr>
      </w:pPr>
      <w:r w:rsidRPr="00EF2DE8">
        <w:rPr>
          <w:rFonts w:ascii="Times New Roman" w:hAnsi="Times New Roman" w:cs="Times New Roman"/>
          <w:sz w:val="20"/>
          <w:szCs w:val="20"/>
        </w:rPr>
        <w:t>The blue line in Figure 2 illustrates the pressure &amp; temperature limits for a sea depth of 2000 meters in conjunction with the methane hydrate phase diagram. The maximum pressure (2E+04 kPa) and low temperature zone (275K) is corresponding  to the seabed (2000 meters) and the minimum pressure (100kPa) and high temperature (300K) zone is corresponding to the sea surface (Figure 2). These limits are expressed to the sea depth in order to specify the threshold point and the decomposition depth of the methane hydrates.</w:t>
      </w:r>
    </w:p>
    <w:p w:rsidR="00EF2DE8" w:rsidRDefault="00EF2DE8" w:rsidP="00EF2DE8">
      <w:pPr>
        <w:spacing w:after="0" w:line="240" w:lineRule="auto"/>
        <w:jc w:val="both"/>
        <w:rPr>
          <w:rFonts w:ascii="Times New Roman" w:hAnsi="Times New Roman" w:cs="Times New Roman"/>
          <w:sz w:val="20"/>
          <w:szCs w:val="20"/>
        </w:rPr>
      </w:pPr>
    </w:p>
    <w:p w:rsidR="00EF2DE8" w:rsidRPr="00EF2DE8" w:rsidRDefault="00EF2DE8" w:rsidP="00EF2DE8">
      <w:pPr>
        <w:spacing w:after="0" w:line="240" w:lineRule="auto"/>
        <w:jc w:val="both"/>
        <w:rPr>
          <w:rFonts w:ascii="Times New Roman" w:hAnsi="Times New Roman" w:cs="Times New Roman"/>
          <w:sz w:val="20"/>
          <w:szCs w:val="20"/>
        </w:rPr>
      </w:pPr>
      <w:r w:rsidRPr="00EF2DE8">
        <w:rPr>
          <w:rFonts w:ascii="Times New Roman" w:hAnsi="Times New Roman" w:cs="Times New Roman"/>
          <w:sz w:val="20"/>
          <w:szCs w:val="20"/>
        </w:rPr>
        <w:t>The decomposition’s depth estimation is important in order to specify the position of the MIFIS System’s components. The hydrate solid compounds can lead to “Plug Blockage” in pipes, risers and valves. This condition is insufficient and dangerous for the Subsea Equipment. To prevent plug, additional inhibitors have to be included such as methanol, heat or salt solutions. These parameters are important for each subsystem’s mass, inertia, cost and operation.</w:t>
      </w:r>
    </w:p>
    <w:p w:rsidR="00EF2DE8" w:rsidRDefault="00EF2DE8" w:rsidP="00EF2DE8">
      <w:pPr>
        <w:spacing w:after="0" w:line="240" w:lineRule="auto"/>
        <w:jc w:val="both"/>
        <w:rPr>
          <w:rFonts w:ascii="Times New Roman" w:hAnsi="Times New Roman" w:cs="Times New Roman"/>
          <w:sz w:val="20"/>
          <w:szCs w:val="20"/>
        </w:rPr>
      </w:pPr>
    </w:p>
    <w:p w:rsidR="00EF2DE8" w:rsidRPr="00EF2DE8" w:rsidRDefault="00EF2DE8" w:rsidP="00EF2DE8">
      <w:pPr>
        <w:spacing w:after="0" w:line="240" w:lineRule="auto"/>
        <w:jc w:val="both"/>
        <w:rPr>
          <w:rFonts w:ascii="Times New Roman" w:hAnsi="Times New Roman" w:cs="Times New Roman"/>
          <w:b/>
        </w:rPr>
      </w:pPr>
      <w:r w:rsidRPr="00EF2DE8">
        <w:rPr>
          <w:rFonts w:ascii="Times New Roman" w:hAnsi="Times New Roman" w:cs="Times New Roman"/>
          <w:b/>
          <w:color w:val="44546A" w:themeColor="text2"/>
        </w:rPr>
        <w:t>THE MIFIS CONCEPT-A MODIFIED DIFIS SYSTEM</w:t>
      </w:r>
    </w:p>
    <w:p w:rsidR="00EF2DE8" w:rsidRDefault="00EF2DE8" w:rsidP="00EF2DE8">
      <w:pPr>
        <w:spacing w:after="0" w:line="240" w:lineRule="auto"/>
        <w:jc w:val="both"/>
        <w:rPr>
          <w:rFonts w:ascii="Times New Roman" w:hAnsi="Times New Roman" w:cs="Times New Roman"/>
          <w:sz w:val="20"/>
          <w:szCs w:val="20"/>
        </w:rPr>
      </w:pPr>
      <w:r w:rsidRPr="00EF2DE8">
        <w:rPr>
          <w:rFonts w:ascii="Times New Roman" w:hAnsi="Times New Roman" w:cs="Times New Roman"/>
          <w:sz w:val="20"/>
          <w:szCs w:val="20"/>
        </w:rPr>
        <w:t>DIFIS is a system for a prompt underwater intervention on deep shipwrecks, conceived at JRC soon after the PRESTIGE accident. It relies on gravity forces to collect the leaking mix (water and oil) by means of a large fabric dome solidly anchored around the wreck and channel it through a large (typically Ø 2m) riser tube towards the sea surface. However, instead of recovering the oil directly at the surface (resulting in a system sensitive to adverse surface weather conditions), the flow of oil water mix is channeled to a large bell shaped buffer/separator reservoir, 30  m  below  the  sea surface, where the oil occupies the upper part while the water escapes from the open bottom. The Buffer Bell, through its buoyancy, keeps the whole system in tension. A shuttle tanker, provided with standard offshore equipment, periodically empties the buffer bell according to the leakage rates and the weather conditions. A strong anchoring system keeps the whole system anchored to the seabed (Figure 3).</w:t>
      </w:r>
    </w:p>
    <w:p w:rsidR="00F3075E" w:rsidRDefault="00F3075E" w:rsidP="00EF2DE8">
      <w:pPr>
        <w:spacing w:after="0" w:line="240" w:lineRule="auto"/>
        <w:jc w:val="both"/>
        <w:rPr>
          <w:rFonts w:ascii="Times New Roman" w:hAnsi="Times New Roman" w:cs="Times New Roman"/>
          <w:sz w:val="20"/>
          <w:szCs w:val="20"/>
        </w:rPr>
      </w:pPr>
    </w:p>
    <w:p w:rsidR="00EF2DE8" w:rsidRPr="00F3075E" w:rsidRDefault="00F3075E" w:rsidP="00F3075E">
      <w:pPr>
        <w:spacing w:after="0" w:line="240" w:lineRule="auto"/>
        <w:jc w:val="center"/>
        <w:rPr>
          <w:rFonts w:ascii="Times New Roman" w:hAnsi="Times New Roman" w:cs="Times New Roman"/>
          <w:i/>
          <w:sz w:val="20"/>
          <w:szCs w:val="20"/>
        </w:rPr>
      </w:pPr>
      <w:r w:rsidRPr="00F3075E">
        <w:rPr>
          <w:rFonts w:ascii="Times New Roman" w:hAnsi="Times New Roman" w:cs="Times New Roman"/>
          <w:i/>
          <w:noProof/>
          <w:sz w:val="20"/>
          <w:szCs w:val="20"/>
        </w:rPr>
        <w:drawing>
          <wp:inline distT="0" distB="0" distL="0" distR="0">
            <wp:extent cx="4693285" cy="2333619"/>
            <wp:effectExtent l="0" t="0" r="0" b="0"/>
            <wp:docPr id="87" name="Picture 87" descr="F:\Gjesrm\ScreenHunter_1353 Oct. 26 12.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descr="F:\Gjesrm\ScreenHunter_1353 Oct. 26 12.17.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724706" cy="2349242"/>
                    </a:xfrm>
                    <a:prstGeom prst="rect">
                      <a:avLst/>
                    </a:prstGeom>
                    <a:noFill/>
                    <a:ln>
                      <a:noFill/>
                    </a:ln>
                  </pic:spPr>
                </pic:pic>
              </a:graphicData>
            </a:graphic>
          </wp:inline>
        </w:drawing>
      </w:r>
    </w:p>
    <w:p w:rsidR="00F3075E" w:rsidRPr="00F3075E" w:rsidRDefault="00F3075E" w:rsidP="00F3075E">
      <w:pPr>
        <w:pStyle w:val="Caption"/>
        <w:jc w:val="center"/>
        <w:rPr>
          <w:rFonts w:ascii="Arial" w:hAnsi="Arial" w:cs="Arial"/>
          <w:i/>
          <w:color w:val="222222"/>
          <w:sz w:val="20"/>
          <w:szCs w:val="20"/>
          <w:shd w:val="clear" w:color="auto" w:fill="FFFFFF"/>
        </w:rPr>
      </w:pPr>
      <w:r w:rsidRPr="00F3075E">
        <w:rPr>
          <w:i/>
          <w:sz w:val="20"/>
          <w:szCs w:val="20"/>
        </w:rPr>
        <w:t xml:space="preserve">Figure </w:t>
      </w:r>
      <w:r w:rsidRPr="00F3075E">
        <w:rPr>
          <w:i/>
          <w:sz w:val="20"/>
          <w:szCs w:val="20"/>
        </w:rPr>
        <w:fldChar w:fldCharType="begin"/>
      </w:r>
      <w:r w:rsidRPr="00F3075E">
        <w:rPr>
          <w:i/>
          <w:sz w:val="20"/>
          <w:szCs w:val="20"/>
        </w:rPr>
        <w:instrText xml:space="preserve"> SEQ Figure \* ARABIC </w:instrText>
      </w:r>
      <w:r w:rsidRPr="00F3075E">
        <w:rPr>
          <w:i/>
          <w:sz w:val="20"/>
          <w:szCs w:val="20"/>
        </w:rPr>
        <w:fldChar w:fldCharType="separate"/>
      </w:r>
      <w:r w:rsidRPr="00F3075E">
        <w:rPr>
          <w:i/>
          <w:noProof/>
          <w:sz w:val="20"/>
          <w:szCs w:val="20"/>
        </w:rPr>
        <w:t>3</w:t>
      </w:r>
      <w:r w:rsidRPr="00F3075E">
        <w:rPr>
          <w:i/>
          <w:sz w:val="20"/>
          <w:szCs w:val="20"/>
        </w:rPr>
        <w:fldChar w:fldCharType="end"/>
      </w:r>
      <w:r w:rsidRPr="00F3075E">
        <w:rPr>
          <w:i/>
          <w:sz w:val="20"/>
          <w:szCs w:val="20"/>
        </w:rPr>
        <w:t>: The DIFIS System (left) for oil recovery in comparison with the MIFIS Concept (right)</w:t>
      </w:r>
    </w:p>
    <w:p w:rsidR="00F3075E" w:rsidRPr="00F3075E" w:rsidRDefault="00F3075E" w:rsidP="00F3075E">
      <w:pPr>
        <w:spacing w:after="0" w:line="240" w:lineRule="auto"/>
        <w:jc w:val="both"/>
        <w:rPr>
          <w:rFonts w:ascii="Times New Roman" w:hAnsi="Times New Roman" w:cs="Times New Roman"/>
          <w:sz w:val="20"/>
          <w:szCs w:val="20"/>
        </w:rPr>
      </w:pPr>
      <w:r w:rsidRPr="00F3075E">
        <w:rPr>
          <w:rFonts w:ascii="Times New Roman" w:hAnsi="Times New Roman" w:cs="Times New Roman"/>
          <w:sz w:val="20"/>
          <w:szCs w:val="20"/>
        </w:rPr>
        <w:t xml:space="preserve">MIFIS is a modular modification of DIFIS System, concerning the handling of the gas and the hydrates. In MIFIS, the water-oil-gas-hydrate mixture collected in the funnel, shaped dome, instead of being channeled directly to the Buffer Bell, passes through a cascade of bell-shaped gas separators that extract whatever gas is present or is generated from the hydrate dissociation, before it can accumulate speed and cause stability problems. The number, placement and capacity of the bell-shaped gas separators depend on the expected quantities of gas, oil and hydrates and on the environmental conditions (Andritsos and Cozijn, 2011).  </w:t>
      </w:r>
    </w:p>
    <w:p w:rsidR="00F3075E" w:rsidRDefault="00F3075E" w:rsidP="00F3075E">
      <w:pPr>
        <w:spacing w:after="0" w:line="240" w:lineRule="auto"/>
        <w:jc w:val="both"/>
        <w:rPr>
          <w:rFonts w:ascii="Times New Roman" w:hAnsi="Times New Roman" w:cs="Times New Roman"/>
          <w:sz w:val="20"/>
          <w:szCs w:val="20"/>
        </w:rPr>
      </w:pPr>
    </w:p>
    <w:p w:rsidR="00F3075E" w:rsidRPr="00F3075E" w:rsidRDefault="00F3075E" w:rsidP="00F3075E">
      <w:pPr>
        <w:spacing w:after="0" w:line="240" w:lineRule="auto"/>
        <w:jc w:val="both"/>
        <w:rPr>
          <w:rFonts w:ascii="Times New Roman" w:hAnsi="Times New Roman" w:cs="Times New Roman"/>
          <w:b/>
        </w:rPr>
      </w:pPr>
      <w:r w:rsidRPr="00F3075E">
        <w:rPr>
          <w:rFonts w:ascii="Times New Roman" w:hAnsi="Times New Roman" w:cs="Times New Roman"/>
          <w:b/>
          <w:color w:val="44546A" w:themeColor="text2"/>
        </w:rPr>
        <w:t>THE MIFIS POC DESIGN PROCESS</w:t>
      </w:r>
      <w:r w:rsidRPr="00F3075E">
        <w:rPr>
          <w:rFonts w:ascii="Times New Roman" w:hAnsi="Times New Roman" w:cs="Times New Roman"/>
          <w:b/>
        </w:rPr>
        <w:t xml:space="preserve"> </w:t>
      </w:r>
    </w:p>
    <w:p w:rsidR="00F3075E" w:rsidRDefault="00F3075E" w:rsidP="00F3075E">
      <w:pPr>
        <w:spacing w:after="0" w:line="240" w:lineRule="auto"/>
        <w:jc w:val="both"/>
        <w:rPr>
          <w:rFonts w:ascii="Times New Roman" w:hAnsi="Times New Roman" w:cs="Times New Roman"/>
          <w:sz w:val="20"/>
          <w:szCs w:val="20"/>
        </w:rPr>
      </w:pPr>
      <w:r w:rsidRPr="00F3075E">
        <w:rPr>
          <w:rFonts w:ascii="Times New Roman" w:hAnsi="Times New Roman" w:cs="Times New Roman"/>
          <w:sz w:val="20"/>
          <w:szCs w:val="20"/>
        </w:rPr>
        <w:t>For the deepwater operations (Mazarakos and Kostopoulos Part 2, 2015), the MIFIS PoC design process introduces 9 main components: 1) the Buffer Bell (BB) (1) for oil/water temporarily storage, 2) the Upper Riser tube  (RTCu) (2), parts of riser tubes  where the oil/water mixture is guided to BB from the LGS, 3) the Lower Riser tube  (RTCl) (2), parts of riser tubes  where the oil/water/gas/hydrates are guided to LGS/PG-BBS  from the Dome 4) the stiffening rings (SR) (3), a similar to DIFIS structure which connects the RTC upper and the RTC lower parts with the mooring system, 5) the Liquid/Gas Separator (LGS/PG-BBS) (4) where the liquid (oil/water) will be separated from the gas, 5) the Dome Interface Unit,(DIU) (5) a similar to DIFIS structure that connects the dome with RTCl, 6) the dome (D) (6) a flexible conical cloth, that covers the well and guides the mixture to the RTCl, 7) the  Mooring/Anchoring System (ML/AS) (7), which support the RT column running through their periphery, transfers the components’ hydrodynamic/inertia loads to the anchoring system at the seabed, and 8) the heating/inhibitor device (HID) (8), located on the SR structure that which prevent the RTCl parts’ blockage by the hydrate agglomeration and plugging. The components are presented in Figure 4.</w:t>
      </w:r>
    </w:p>
    <w:p w:rsidR="00F3075E" w:rsidRDefault="00F3075E" w:rsidP="00F3075E">
      <w:pPr>
        <w:spacing w:after="0" w:line="240" w:lineRule="auto"/>
        <w:jc w:val="both"/>
        <w:rPr>
          <w:rFonts w:ascii="Times New Roman" w:hAnsi="Times New Roman" w:cs="Times New Roman"/>
          <w:sz w:val="20"/>
          <w:szCs w:val="20"/>
        </w:rPr>
      </w:pPr>
    </w:p>
    <w:p w:rsidR="00D428D3" w:rsidRPr="00D428D3" w:rsidRDefault="00D428D3" w:rsidP="00D428D3">
      <w:pPr>
        <w:spacing w:after="0" w:line="240" w:lineRule="auto"/>
        <w:jc w:val="center"/>
        <w:rPr>
          <w:i/>
          <w:sz w:val="20"/>
          <w:szCs w:val="20"/>
        </w:rPr>
      </w:pPr>
      <w:r w:rsidRPr="00D428D3">
        <w:rPr>
          <w:i/>
          <w:noProof/>
          <w:sz w:val="20"/>
          <w:szCs w:val="20"/>
        </w:rPr>
        <w:drawing>
          <wp:inline distT="0" distB="0" distL="0" distR="0" wp14:anchorId="5F7940EF" wp14:editId="49BCEC3D">
            <wp:extent cx="1876806" cy="3028973"/>
            <wp:effectExtent l="19050" t="0" r="9144" b="0"/>
            <wp:docPr id="4" name="Εικόνα 2" descr="C:\Users\ΔΗΜΗΤΡΗΣ\Desktop\MIFI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ΔΗΜΗΤΡΗΣ\Desktop\MIFIS.png"/>
                    <pic:cNvPicPr>
                      <a:picLocks noChangeAspect="1" noChangeArrowheads="1"/>
                    </pic:cNvPicPr>
                  </pic:nvPicPr>
                  <pic:blipFill>
                    <a:blip r:embed="rId12" cstate="print"/>
                    <a:srcRect/>
                    <a:stretch>
                      <a:fillRect/>
                    </a:stretch>
                  </pic:blipFill>
                  <pic:spPr bwMode="auto">
                    <a:xfrm>
                      <a:off x="0" y="0"/>
                      <a:ext cx="1879384" cy="3033133"/>
                    </a:xfrm>
                    <a:prstGeom prst="rect">
                      <a:avLst/>
                    </a:prstGeom>
                    <a:noFill/>
                    <a:ln w="9525">
                      <a:noFill/>
                      <a:miter lim="800000"/>
                      <a:headEnd/>
                      <a:tailEnd/>
                    </a:ln>
                  </pic:spPr>
                </pic:pic>
              </a:graphicData>
            </a:graphic>
          </wp:inline>
        </w:drawing>
      </w:r>
      <w:r w:rsidRPr="00D428D3">
        <w:rPr>
          <w:i/>
          <w:noProof/>
          <w:sz w:val="20"/>
          <w:szCs w:val="20"/>
        </w:rPr>
        <w:drawing>
          <wp:inline distT="0" distB="0" distL="0" distR="0" wp14:anchorId="6FBFAAB6" wp14:editId="2704FE0E">
            <wp:extent cx="2522982" cy="2379577"/>
            <wp:effectExtent l="19050" t="0" r="0" b="0"/>
            <wp:docPr id="22"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srcRect/>
                    <a:stretch>
                      <a:fillRect/>
                    </a:stretch>
                  </pic:blipFill>
                  <pic:spPr bwMode="auto">
                    <a:xfrm>
                      <a:off x="0" y="0"/>
                      <a:ext cx="2529366" cy="2385598"/>
                    </a:xfrm>
                    <a:prstGeom prst="rect">
                      <a:avLst/>
                    </a:prstGeom>
                    <a:noFill/>
                    <a:ln w="9525">
                      <a:noFill/>
                      <a:miter lim="800000"/>
                      <a:headEnd/>
                      <a:tailEnd/>
                    </a:ln>
                  </pic:spPr>
                </pic:pic>
              </a:graphicData>
            </a:graphic>
          </wp:inline>
        </w:drawing>
      </w:r>
    </w:p>
    <w:p w:rsidR="00D428D3" w:rsidRPr="00D428D3" w:rsidRDefault="00D428D3" w:rsidP="00D428D3">
      <w:pPr>
        <w:pStyle w:val="Caption"/>
        <w:jc w:val="center"/>
        <w:rPr>
          <w:i/>
          <w:sz w:val="20"/>
          <w:szCs w:val="20"/>
        </w:rPr>
      </w:pPr>
      <w:r w:rsidRPr="00D428D3">
        <w:rPr>
          <w:i/>
          <w:sz w:val="20"/>
          <w:szCs w:val="20"/>
        </w:rPr>
        <w:t xml:space="preserve">Figure </w:t>
      </w:r>
      <w:r w:rsidRPr="00D428D3">
        <w:rPr>
          <w:i/>
          <w:sz w:val="20"/>
          <w:szCs w:val="20"/>
        </w:rPr>
        <w:fldChar w:fldCharType="begin"/>
      </w:r>
      <w:r w:rsidRPr="00D428D3">
        <w:rPr>
          <w:i/>
          <w:sz w:val="20"/>
          <w:szCs w:val="20"/>
        </w:rPr>
        <w:instrText xml:space="preserve"> SEQ Figure \* ARABIC </w:instrText>
      </w:r>
      <w:r w:rsidRPr="00D428D3">
        <w:rPr>
          <w:i/>
          <w:sz w:val="20"/>
          <w:szCs w:val="20"/>
        </w:rPr>
        <w:fldChar w:fldCharType="separate"/>
      </w:r>
      <w:r w:rsidRPr="00D428D3">
        <w:rPr>
          <w:i/>
          <w:noProof/>
          <w:sz w:val="20"/>
          <w:szCs w:val="20"/>
        </w:rPr>
        <w:t>4</w:t>
      </w:r>
      <w:r w:rsidRPr="00D428D3">
        <w:rPr>
          <w:i/>
          <w:sz w:val="20"/>
          <w:szCs w:val="20"/>
        </w:rPr>
        <w:fldChar w:fldCharType="end"/>
      </w:r>
      <w:r w:rsidRPr="00D428D3">
        <w:rPr>
          <w:i/>
          <w:sz w:val="20"/>
          <w:szCs w:val="20"/>
        </w:rPr>
        <w:t>: MIFIS components location at the operational phase (left) and the hydrodynamic loads on the MIFIS structure (right)</w:t>
      </w:r>
    </w:p>
    <w:p w:rsidR="00F3075E" w:rsidRPr="00555FD2" w:rsidRDefault="00F3075E" w:rsidP="00F3075E">
      <w:pPr>
        <w:spacing w:after="0" w:line="240" w:lineRule="auto"/>
        <w:jc w:val="both"/>
        <w:rPr>
          <w:rFonts w:ascii="Times New Roman" w:hAnsi="Times New Roman" w:cs="Times New Roman"/>
          <w:sz w:val="20"/>
          <w:szCs w:val="20"/>
        </w:rPr>
      </w:pPr>
    </w:p>
    <w:p w:rsidR="00555FD2" w:rsidRDefault="00E10F48" w:rsidP="00555FD2">
      <w:pPr>
        <w:spacing w:after="0" w:line="240" w:lineRule="auto"/>
        <w:jc w:val="both"/>
        <w:rPr>
          <w:rFonts w:ascii="Times New Roman" w:hAnsi="Times New Roman" w:cs="Times New Roman"/>
          <w:sz w:val="20"/>
          <w:szCs w:val="20"/>
        </w:rPr>
      </w:pPr>
      <w:r w:rsidRPr="00E10F48">
        <w:rPr>
          <w:rFonts w:ascii="Times New Roman" w:hAnsi="Times New Roman" w:cs="Times New Roman"/>
          <w:sz w:val="20"/>
          <w:szCs w:val="20"/>
        </w:rPr>
        <w:t>The Proof of Concept (PoC) design process is based on the previous experience of the DIFIS System. The DIFIS parametric preliminary and the detailed calculations were extrapolated in order to include the mass and inertia changes for the MIFIS loads’ estimations (Figure 5).</w:t>
      </w:r>
    </w:p>
    <w:p w:rsidR="00E10F48" w:rsidRDefault="00E10F48" w:rsidP="00555FD2">
      <w:pPr>
        <w:spacing w:after="0" w:line="240" w:lineRule="auto"/>
        <w:jc w:val="both"/>
        <w:rPr>
          <w:rFonts w:ascii="Times New Roman" w:hAnsi="Times New Roman" w:cs="Times New Roman"/>
          <w:sz w:val="20"/>
          <w:szCs w:val="20"/>
        </w:rPr>
      </w:pPr>
    </w:p>
    <w:p w:rsidR="00976B1D" w:rsidRPr="00976B1D" w:rsidRDefault="00976B1D" w:rsidP="00976B1D">
      <w:pPr>
        <w:spacing w:after="0" w:line="240" w:lineRule="auto"/>
        <w:jc w:val="center"/>
        <w:rPr>
          <w:i/>
          <w:sz w:val="20"/>
          <w:szCs w:val="20"/>
        </w:rPr>
      </w:pPr>
      <w:r w:rsidRPr="00976B1D">
        <w:rPr>
          <w:i/>
          <w:noProof/>
          <w:sz w:val="20"/>
          <w:szCs w:val="20"/>
        </w:rPr>
        <w:drawing>
          <wp:inline distT="0" distB="0" distL="0" distR="0" wp14:anchorId="71240118" wp14:editId="0D4AEA03">
            <wp:extent cx="5292700" cy="4962144"/>
            <wp:effectExtent l="19050" t="0" r="3200" b="0"/>
            <wp:docPr id="88"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srcRect/>
                    <a:stretch>
                      <a:fillRect/>
                    </a:stretch>
                  </pic:blipFill>
                  <pic:spPr bwMode="auto">
                    <a:xfrm>
                      <a:off x="0" y="0"/>
                      <a:ext cx="5296562" cy="4965765"/>
                    </a:xfrm>
                    <a:prstGeom prst="rect">
                      <a:avLst/>
                    </a:prstGeom>
                    <a:noFill/>
                    <a:ln w="9525">
                      <a:noFill/>
                      <a:miter lim="800000"/>
                      <a:headEnd/>
                      <a:tailEnd/>
                    </a:ln>
                  </pic:spPr>
                </pic:pic>
              </a:graphicData>
            </a:graphic>
          </wp:inline>
        </w:drawing>
      </w:r>
    </w:p>
    <w:p w:rsidR="00976B1D" w:rsidRPr="00976B1D" w:rsidRDefault="00976B1D" w:rsidP="00976B1D">
      <w:pPr>
        <w:pStyle w:val="Caption"/>
        <w:ind w:left="360"/>
        <w:jc w:val="center"/>
        <w:rPr>
          <w:i/>
          <w:sz w:val="20"/>
          <w:szCs w:val="20"/>
        </w:rPr>
      </w:pPr>
      <w:r w:rsidRPr="00976B1D">
        <w:rPr>
          <w:i/>
          <w:sz w:val="20"/>
          <w:szCs w:val="20"/>
        </w:rPr>
        <w:t xml:space="preserve">Figure </w:t>
      </w:r>
      <w:r w:rsidRPr="00976B1D">
        <w:rPr>
          <w:i/>
          <w:sz w:val="20"/>
          <w:szCs w:val="20"/>
        </w:rPr>
        <w:fldChar w:fldCharType="begin"/>
      </w:r>
      <w:r w:rsidRPr="00976B1D">
        <w:rPr>
          <w:i/>
          <w:sz w:val="20"/>
          <w:szCs w:val="20"/>
        </w:rPr>
        <w:instrText xml:space="preserve"> SEQ Figure \* ARABIC </w:instrText>
      </w:r>
      <w:r w:rsidRPr="00976B1D">
        <w:rPr>
          <w:i/>
          <w:sz w:val="20"/>
          <w:szCs w:val="20"/>
        </w:rPr>
        <w:fldChar w:fldCharType="separate"/>
      </w:r>
      <w:r w:rsidRPr="00976B1D">
        <w:rPr>
          <w:i/>
          <w:noProof/>
          <w:sz w:val="20"/>
          <w:szCs w:val="20"/>
        </w:rPr>
        <w:t>5</w:t>
      </w:r>
      <w:r w:rsidRPr="00976B1D">
        <w:rPr>
          <w:i/>
          <w:sz w:val="20"/>
          <w:szCs w:val="20"/>
        </w:rPr>
        <w:fldChar w:fldCharType="end"/>
      </w:r>
      <w:r w:rsidRPr="00976B1D">
        <w:rPr>
          <w:i/>
          <w:sz w:val="20"/>
          <w:szCs w:val="20"/>
        </w:rPr>
        <w:t>: MIFIS System proof of concept design process</w:t>
      </w:r>
    </w:p>
    <w:p w:rsidR="00E10F48" w:rsidRPr="00555FD2" w:rsidRDefault="00E10F48" w:rsidP="00555FD2">
      <w:pPr>
        <w:spacing w:after="0" w:line="240" w:lineRule="auto"/>
        <w:jc w:val="both"/>
        <w:rPr>
          <w:rFonts w:ascii="Times New Roman" w:hAnsi="Times New Roman" w:cs="Times New Roman"/>
          <w:sz w:val="20"/>
          <w:szCs w:val="20"/>
        </w:rPr>
      </w:pPr>
    </w:p>
    <w:p w:rsidR="00555FD2" w:rsidRDefault="007216AD" w:rsidP="00555FD2">
      <w:pPr>
        <w:spacing w:after="0" w:line="240" w:lineRule="auto"/>
        <w:jc w:val="both"/>
        <w:rPr>
          <w:rFonts w:ascii="Times New Roman" w:hAnsi="Times New Roman" w:cs="Times New Roman"/>
          <w:sz w:val="20"/>
          <w:szCs w:val="20"/>
        </w:rPr>
      </w:pPr>
      <w:r w:rsidRPr="007216AD">
        <w:rPr>
          <w:rFonts w:ascii="Times New Roman" w:hAnsi="Times New Roman" w:cs="Times New Roman"/>
          <w:sz w:val="20"/>
          <w:szCs w:val="20"/>
        </w:rPr>
        <w:t>The PoC methodology was introduced during the DIFIS System design and testing process. It was fully proposed as a PhD Design Methodology and Evaluation process (Mazarakos, 2012) .The methodology includes a full parametric-loop process using the dimensions of each component. Selecting the main dimensions, the material and the applied load, the mass/inertia and buoyancy force are estimated.  The estimation is based on a preliminary design calculation tool (MATLAB numerical code) and CFD/FEA modeling, developed for the DIFIS System (Mazarakos et al, 2012). These analyses (Mazarakos and Kostopoulos Part 2, 2015), include parametric structural considerations (tensile strength) as a function of the component’s mass/inertia (material selection &amp; dimensions), the applied load (differential pressure, buckling force, bending moments etc), and the buoyancy (displaced volume). This procedure is presented in Figure 6.</w:t>
      </w:r>
    </w:p>
    <w:p w:rsidR="007216AD" w:rsidRDefault="007216AD" w:rsidP="00555FD2">
      <w:pPr>
        <w:spacing w:after="0" w:line="240" w:lineRule="auto"/>
        <w:jc w:val="both"/>
        <w:rPr>
          <w:rFonts w:ascii="Times New Roman" w:hAnsi="Times New Roman" w:cs="Times New Roman"/>
          <w:sz w:val="20"/>
          <w:szCs w:val="20"/>
        </w:rPr>
      </w:pPr>
    </w:p>
    <w:p w:rsidR="00F701B2" w:rsidRPr="00F701B2" w:rsidRDefault="00F701B2" w:rsidP="00F701B2">
      <w:pPr>
        <w:spacing w:after="0" w:line="240" w:lineRule="auto"/>
        <w:jc w:val="center"/>
        <w:rPr>
          <w:i/>
          <w:sz w:val="20"/>
          <w:szCs w:val="20"/>
        </w:rPr>
      </w:pPr>
      <w:r w:rsidRPr="00F701B2">
        <w:rPr>
          <w:i/>
          <w:noProof/>
          <w:sz w:val="20"/>
          <w:szCs w:val="20"/>
        </w:rPr>
        <w:drawing>
          <wp:inline distT="0" distB="0" distL="0" distR="0" wp14:anchorId="48C68617" wp14:editId="03130E5B">
            <wp:extent cx="5683267" cy="4821936"/>
            <wp:effectExtent l="19050" t="0" r="0" b="0"/>
            <wp:docPr id="89"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srcRect/>
                    <a:stretch>
                      <a:fillRect/>
                    </a:stretch>
                  </pic:blipFill>
                  <pic:spPr bwMode="auto">
                    <a:xfrm>
                      <a:off x="0" y="0"/>
                      <a:ext cx="5686839" cy="4824967"/>
                    </a:xfrm>
                    <a:prstGeom prst="rect">
                      <a:avLst/>
                    </a:prstGeom>
                    <a:noFill/>
                    <a:ln w="9525">
                      <a:noFill/>
                      <a:miter lim="800000"/>
                      <a:headEnd/>
                      <a:tailEnd/>
                    </a:ln>
                  </pic:spPr>
                </pic:pic>
              </a:graphicData>
            </a:graphic>
          </wp:inline>
        </w:drawing>
      </w:r>
    </w:p>
    <w:p w:rsidR="00F701B2" w:rsidRPr="00F701B2" w:rsidRDefault="00F701B2" w:rsidP="00F701B2">
      <w:pPr>
        <w:pStyle w:val="Caption"/>
        <w:ind w:left="360"/>
        <w:jc w:val="center"/>
        <w:rPr>
          <w:i/>
          <w:sz w:val="20"/>
          <w:szCs w:val="20"/>
        </w:rPr>
      </w:pPr>
      <w:r w:rsidRPr="00F701B2">
        <w:rPr>
          <w:i/>
          <w:sz w:val="20"/>
          <w:szCs w:val="20"/>
        </w:rPr>
        <w:t xml:space="preserve">Figure </w:t>
      </w:r>
      <w:r w:rsidRPr="00F701B2">
        <w:rPr>
          <w:i/>
          <w:sz w:val="20"/>
          <w:szCs w:val="20"/>
        </w:rPr>
        <w:fldChar w:fldCharType="begin"/>
      </w:r>
      <w:r w:rsidRPr="00F701B2">
        <w:rPr>
          <w:i/>
          <w:sz w:val="20"/>
          <w:szCs w:val="20"/>
        </w:rPr>
        <w:instrText xml:space="preserve"> SEQ Figure \* ARABIC </w:instrText>
      </w:r>
      <w:r w:rsidRPr="00F701B2">
        <w:rPr>
          <w:i/>
          <w:sz w:val="20"/>
          <w:szCs w:val="20"/>
        </w:rPr>
        <w:fldChar w:fldCharType="separate"/>
      </w:r>
      <w:r w:rsidRPr="00F701B2">
        <w:rPr>
          <w:i/>
          <w:noProof/>
          <w:sz w:val="20"/>
          <w:szCs w:val="20"/>
        </w:rPr>
        <w:t>6</w:t>
      </w:r>
      <w:r w:rsidRPr="00F701B2">
        <w:rPr>
          <w:i/>
          <w:sz w:val="20"/>
          <w:szCs w:val="20"/>
        </w:rPr>
        <w:fldChar w:fldCharType="end"/>
      </w:r>
      <w:r w:rsidRPr="00F701B2">
        <w:rPr>
          <w:i/>
          <w:sz w:val="20"/>
          <w:szCs w:val="20"/>
        </w:rPr>
        <w:t>: MIFIS Concept PoC methodology</w:t>
      </w:r>
    </w:p>
    <w:p w:rsidR="007216AD" w:rsidRDefault="007216AD" w:rsidP="00555FD2">
      <w:pPr>
        <w:spacing w:after="0" w:line="240" w:lineRule="auto"/>
        <w:jc w:val="both"/>
        <w:rPr>
          <w:rFonts w:ascii="Times New Roman" w:hAnsi="Times New Roman" w:cs="Times New Roman"/>
          <w:sz w:val="20"/>
          <w:szCs w:val="20"/>
        </w:rPr>
      </w:pPr>
    </w:p>
    <w:p w:rsidR="007A30A8" w:rsidRPr="007A30A8" w:rsidRDefault="007A30A8" w:rsidP="007A30A8">
      <w:pPr>
        <w:spacing w:after="0" w:line="240" w:lineRule="auto"/>
        <w:jc w:val="both"/>
        <w:rPr>
          <w:rFonts w:ascii="Times New Roman" w:hAnsi="Times New Roman" w:cs="Times New Roman"/>
          <w:sz w:val="20"/>
          <w:szCs w:val="20"/>
        </w:rPr>
      </w:pPr>
      <w:r w:rsidRPr="007A30A8">
        <w:rPr>
          <w:rFonts w:ascii="Times New Roman" w:hAnsi="Times New Roman" w:cs="Times New Roman"/>
          <w:sz w:val="20"/>
          <w:szCs w:val="20"/>
        </w:rPr>
        <w:t>The final outcomes from these analyses are the dimensions and the mass properties of each component based on the applied loads. These output results are used for the structural requirements specifications and the Feasibility analysis study (Mazarakos and Kostopoulos Part 3, 2015).</w:t>
      </w:r>
    </w:p>
    <w:p w:rsidR="007A30A8" w:rsidRDefault="007A30A8" w:rsidP="007A30A8">
      <w:pPr>
        <w:spacing w:after="0" w:line="240" w:lineRule="auto"/>
        <w:jc w:val="both"/>
        <w:rPr>
          <w:rFonts w:ascii="Times New Roman" w:hAnsi="Times New Roman" w:cs="Times New Roman"/>
          <w:sz w:val="20"/>
          <w:szCs w:val="20"/>
        </w:rPr>
      </w:pPr>
    </w:p>
    <w:p w:rsidR="007A30A8" w:rsidRPr="007A30A8" w:rsidRDefault="007A30A8" w:rsidP="007A30A8">
      <w:pPr>
        <w:spacing w:after="0" w:line="240" w:lineRule="auto"/>
        <w:jc w:val="both"/>
        <w:rPr>
          <w:rFonts w:ascii="Times New Roman" w:hAnsi="Times New Roman" w:cs="Times New Roman"/>
          <w:b/>
        </w:rPr>
      </w:pPr>
      <w:r w:rsidRPr="007A30A8">
        <w:rPr>
          <w:rFonts w:ascii="Times New Roman" w:hAnsi="Times New Roman" w:cs="Times New Roman"/>
          <w:b/>
          <w:color w:val="44546A" w:themeColor="text2"/>
        </w:rPr>
        <w:t>MIFIS COMPONENTS STRUCTURAL REQUIREMENTS/SPECIFICATIONS</w:t>
      </w:r>
    </w:p>
    <w:p w:rsidR="007A30A8" w:rsidRPr="007A30A8" w:rsidRDefault="007A30A8" w:rsidP="007A30A8">
      <w:pPr>
        <w:spacing w:after="0" w:line="240" w:lineRule="auto"/>
        <w:jc w:val="both"/>
        <w:rPr>
          <w:rFonts w:ascii="Times New Roman" w:hAnsi="Times New Roman" w:cs="Times New Roman"/>
          <w:sz w:val="20"/>
          <w:szCs w:val="20"/>
        </w:rPr>
      </w:pPr>
      <w:r w:rsidRPr="007A30A8">
        <w:rPr>
          <w:rFonts w:ascii="Times New Roman" w:hAnsi="Times New Roman" w:cs="Times New Roman"/>
          <w:sz w:val="20"/>
          <w:szCs w:val="20"/>
        </w:rPr>
        <w:t>The MIFIS’s structural requirements are used for the functional specifications of each component. The proposed design guidelines are procedures that connect the preliminary design with the detail design. For each of the components, the structural limits are presented regarding the PoC methodology.</w:t>
      </w:r>
    </w:p>
    <w:p w:rsidR="007A30A8" w:rsidRDefault="007A30A8" w:rsidP="007A30A8">
      <w:pPr>
        <w:spacing w:after="0" w:line="240" w:lineRule="auto"/>
        <w:jc w:val="both"/>
        <w:rPr>
          <w:rFonts w:ascii="Times New Roman" w:hAnsi="Times New Roman" w:cs="Times New Roman"/>
          <w:sz w:val="20"/>
          <w:szCs w:val="20"/>
        </w:rPr>
      </w:pPr>
    </w:p>
    <w:p w:rsidR="007A30A8" w:rsidRPr="007A30A8" w:rsidRDefault="007A30A8" w:rsidP="007A30A8">
      <w:pPr>
        <w:spacing w:after="0" w:line="240" w:lineRule="auto"/>
        <w:jc w:val="both"/>
        <w:rPr>
          <w:rFonts w:ascii="Times New Roman" w:hAnsi="Times New Roman" w:cs="Times New Roman"/>
          <w:b/>
          <w:sz w:val="20"/>
          <w:szCs w:val="20"/>
        </w:rPr>
      </w:pPr>
      <w:r w:rsidRPr="007A30A8">
        <w:rPr>
          <w:rFonts w:ascii="Times New Roman" w:hAnsi="Times New Roman" w:cs="Times New Roman"/>
          <w:b/>
          <w:sz w:val="20"/>
          <w:szCs w:val="20"/>
        </w:rPr>
        <w:t>Buffer Bell Structural Requirements</w:t>
      </w:r>
    </w:p>
    <w:p w:rsidR="00DA04DC" w:rsidRDefault="007A30A8" w:rsidP="007A30A8">
      <w:pPr>
        <w:spacing w:after="0" w:line="240" w:lineRule="auto"/>
        <w:jc w:val="both"/>
        <w:rPr>
          <w:rFonts w:ascii="Times New Roman" w:hAnsi="Times New Roman" w:cs="Times New Roman"/>
          <w:sz w:val="20"/>
          <w:szCs w:val="20"/>
        </w:rPr>
      </w:pPr>
      <w:r w:rsidRPr="007A30A8">
        <w:rPr>
          <w:rFonts w:ascii="Times New Roman" w:hAnsi="Times New Roman" w:cs="Times New Roman"/>
          <w:sz w:val="20"/>
          <w:szCs w:val="20"/>
        </w:rPr>
        <w:t>The Buffer Bell (BB) is located at the top of the structure and it is filled with oil and seawater coming from the LGS/PG-BBS and passing through the upper RTC (Figure 7). The BB selection is based on the capacitor’s volume and the floater’s buoyancy (Table 1). The parametric analysis combines the structural integrity with the applied pressure and the component’s weight/buoyancy balance force.</w:t>
      </w:r>
    </w:p>
    <w:p w:rsidR="007A30A8" w:rsidRDefault="007A30A8" w:rsidP="007A30A8">
      <w:pPr>
        <w:spacing w:after="0" w:line="240" w:lineRule="auto"/>
        <w:jc w:val="both"/>
        <w:rPr>
          <w:rFonts w:ascii="Times New Roman" w:hAnsi="Times New Roman" w:cs="Times New Roman"/>
          <w:sz w:val="20"/>
          <w:szCs w:val="20"/>
        </w:rPr>
      </w:pPr>
    </w:p>
    <w:p w:rsidR="000E3B3F" w:rsidRPr="000E3B3F" w:rsidRDefault="000E3B3F" w:rsidP="000E3B3F">
      <w:pPr>
        <w:spacing w:after="0" w:line="240" w:lineRule="auto"/>
        <w:jc w:val="center"/>
        <w:rPr>
          <w:i/>
          <w:sz w:val="20"/>
          <w:szCs w:val="20"/>
        </w:rPr>
      </w:pPr>
      <w:r w:rsidRPr="000E3B3F">
        <w:rPr>
          <w:i/>
          <w:noProof/>
          <w:sz w:val="20"/>
          <w:szCs w:val="20"/>
        </w:rPr>
        <w:drawing>
          <wp:inline distT="0" distB="0" distL="0" distR="0" wp14:anchorId="707F2696" wp14:editId="58F83D61">
            <wp:extent cx="2705862" cy="2778804"/>
            <wp:effectExtent l="19050" t="0" r="0" b="0"/>
            <wp:docPr id="90" name="Εικόνα 4" descr="C:\Users\ΔΗΜΗΤΡΗΣ\Desktop\MIFIS\MIFIS_Project Consultancy_Deliverables\ΜΙΦΙΣ_del 3.Photos\BB_dimens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ΔΗΜΗΤΡΗΣ\Desktop\MIFIS\MIFIS_Project Consultancy_Deliverables\ΜΙΦΙΣ_del 3.Photos\BB_dimensions.png"/>
                    <pic:cNvPicPr>
                      <a:picLocks noChangeAspect="1" noChangeArrowheads="1"/>
                    </pic:cNvPicPr>
                  </pic:nvPicPr>
                  <pic:blipFill>
                    <a:blip r:embed="rId16" cstate="print"/>
                    <a:srcRect/>
                    <a:stretch>
                      <a:fillRect/>
                    </a:stretch>
                  </pic:blipFill>
                  <pic:spPr bwMode="auto">
                    <a:xfrm>
                      <a:off x="0" y="0"/>
                      <a:ext cx="2706848" cy="2779817"/>
                    </a:xfrm>
                    <a:prstGeom prst="rect">
                      <a:avLst/>
                    </a:prstGeom>
                    <a:noFill/>
                    <a:ln w="9525">
                      <a:noFill/>
                      <a:miter lim="800000"/>
                      <a:headEnd/>
                      <a:tailEnd/>
                    </a:ln>
                  </pic:spPr>
                </pic:pic>
              </a:graphicData>
            </a:graphic>
          </wp:inline>
        </w:drawing>
      </w:r>
      <w:r w:rsidRPr="000E3B3F">
        <w:rPr>
          <w:i/>
          <w:noProof/>
          <w:sz w:val="20"/>
          <w:szCs w:val="20"/>
        </w:rPr>
        <w:drawing>
          <wp:inline distT="0" distB="0" distL="0" distR="0" wp14:anchorId="465799DD" wp14:editId="29B69525">
            <wp:extent cx="2378866" cy="2670048"/>
            <wp:effectExtent l="19050" t="0" r="2384" b="0"/>
            <wp:docPr id="91" name="Εικόνα 3" descr="C:\Users\ΔΗΜΗΤΡΗΣ\Desktop\BACKUP\USER\Desktop\von Masark files\Pictures_DIFIS_model_02\BufferBe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ΔΗΜΗΤΡΗΣ\Desktop\BACKUP\USER\Desktop\von Masark files\Pictures_DIFIS_model_02\BufferBell.jpg"/>
                    <pic:cNvPicPr>
                      <a:picLocks noChangeAspect="1" noChangeArrowheads="1"/>
                    </pic:cNvPicPr>
                  </pic:nvPicPr>
                  <pic:blipFill>
                    <a:blip r:embed="rId17" cstate="print"/>
                    <a:srcRect/>
                    <a:stretch>
                      <a:fillRect/>
                    </a:stretch>
                  </pic:blipFill>
                  <pic:spPr bwMode="auto">
                    <a:xfrm>
                      <a:off x="0" y="0"/>
                      <a:ext cx="2382213" cy="2673805"/>
                    </a:xfrm>
                    <a:prstGeom prst="rect">
                      <a:avLst/>
                    </a:prstGeom>
                    <a:noFill/>
                    <a:ln w="9525">
                      <a:noFill/>
                      <a:miter lim="800000"/>
                      <a:headEnd/>
                      <a:tailEnd/>
                    </a:ln>
                  </pic:spPr>
                </pic:pic>
              </a:graphicData>
            </a:graphic>
          </wp:inline>
        </w:drawing>
      </w:r>
    </w:p>
    <w:p w:rsidR="00D81AD8" w:rsidRPr="00D81AD8" w:rsidRDefault="000E3B3F" w:rsidP="00D81AD8">
      <w:pPr>
        <w:pStyle w:val="Caption"/>
        <w:jc w:val="center"/>
        <w:rPr>
          <w:i/>
          <w:sz w:val="20"/>
          <w:szCs w:val="20"/>
        </w:rPr>
      </w:pPr>
      <w:r w:rsidRPr="000E3B3F">
        <w:rPr>
          <w:i/>
          <w:sz w:val="20"/>
          <w:szCs w:val="20"/>
        </w:rPr>
        <w:t xml:space="preserve">Figure </w:t>
      </w:r>
      <w:r w:rsidRPr="000E3B3F">
        <w:rPr>
          <w:i/>
          <w:sz w:val="20"/>
          <w:szCs w:val="20"/>
        </w:rPr>
        <w:fldChar w:fldCharType="begin"/>
      </w:r>
      <w:r w:rsidRPr="000E3B3F">
        <w:rPr>
          <w:i/>
          <w:sz w:val="20"/>
          <w:szCs w:val="20"/>
        </w:rPr>
        <w:instrText xml:space="preserve"> SEQ Figure \* ARABIC </w:instrText>
      </w:r>
      <w:r w:rsidRPr="000E3B3F">
        <w:rPr>
          <w:i/>
          <w:sz w:val="20"/>
          <w:szCs w:val="20"/>
        </w:rPr>
        <w:fldChar w:fldCharType="separate"/>
      </w:r>
      <w:r w:rsidRPr="000E3B3F">
        <w:rPr>
          <w:i/>
          <w:noProof/>
          <w:sz w:val="20"/>
          <w:szCs w:val="20"/>
        </w:rPr>
        <w:t>7</w:t>
      </w:r>
      <w:r w:rsidRPr="000E3B3F">
        <w:rPr>
          <w:i/>
          <w:sz w:val="20"/>
          <w:szCs w:val="20"/>
        </w:rPr>
        <w:fldChar w:fldCharType="end"/>
      </w:r>
      <w:r w:rsidRPr="000E3B3F">
        <w:rPr>
          <w:i/>
          <w:sz w:val="20"/>
          <w:szCs w:val="20"/>
        </w:rPr>
        <w:t>: MIFIS concept BB conceptual view (left) and DIFIS System BB (right) detailed view</w:t>
      </w:r>
    </w:p>
    <w:p w:rsidR="007A30A8" w:rsidRDefault="007A30A8" w:rsidP="007A30A8">
      <w:pPr>
        <w:spacing w:after="0" w:line="240" w:lineRule="auto"/>
        <w:jc w:val="both"/>
        <w:rPr>
          <w:rFonts w:ascii="Times New Roman" w:hAnsi="Times New Roman" w:cs="Times New Roman"/>
          <w:sz w:val="20"/>
          <w:szCs w:val="20"/>
        </w:rPr>
      </w:pPr>
    </w:p>
    <w:p w:rsidR="00D81AD8" w:rsidRPr="00D81AD8" w:rsidRDefault="00D81AD8" w:rsidP="00D81AD8">
      <w:pPr>
        <w:spacing w:after="0" w:line="240" w:lineRule="auto"/>
        <w:jc w:val="center"/>
        <w:rPr>
          <w:rFonts w:ascii="Times New Roman" w:hAnsi="Times New Roman" w:cs="Times New Roman"/>
          <w:b/>
          <w:i/>
          <w:sz w:val="20"/>
          <w:szCs w:val="20"/>
        </w:rPr>
      </w:pPr>
      <w:r w:rsidRPr="00D81AD8">
        <w:rPr>
          <w:rFonts w:ascii="Times New Roman" w:hAnsi="Times New Roman" w:cs="Times New Roman"/>
          <w:b/>
          <w:i/>
          <w:sz w:val="20"/>
          <w:szCs w:val="20"/>
        </w:rPr>
        <w:t>Table 1: MIFIS Concept’s Buffer Bell (BB) Design Structural Requirements.</w:t>
      </w:r>
    </w:p>
    <w:tbl>
      <w:tblPr>
        <w:tblStyle w:val="TableGrid0"/>
        <w:tblW w:w="8606" w:type="dxa"/>
        <w:jc w:val="center"/>
        <w:tblLook w:val="04A0" w:firstRow="1" w:lastRow="0" w:firstColumn="1" w:lastColumn="0" w:noHBand="0" w:noVBand="1"/>
      </w:tblPr>
      <w:tblGrid>
        <w:gridCol w:w="4303"/>
        <w:gridCol w:w="4303"/>
      </w:tblGrid>
      <w:tr w:rsidR="00D81AD8" w:rsidRPr="00D81AD8" w:rsidTr="00D81AD8">
        <w:trPr>
          <w:trHeight w:val="261"/>
          <w:jc w:val="center"/>
        </w:trPr>
        <w:tc>
          <w:tcPr>
            <w:tcW w:w="8605" w:type="dxa"/>
            <w:gridSpan w:val="2"/>
          </w:tcPr>
          <w:p w:rsidR="00D81AD8" w:rsidRPr="00D81AD8" w:rsidRDefault="00D81AD8" w:rsidP="00D81AD8">
            <w:pPr>
              <w:rPr>
                <w:rFonts w:ascii="Times New Roman" w:hAnsi="Times New Roman" w:cs="Times New Roman"/>
                <w:b/>
                <w:sz w:val="20"/>
                <w:szCs w:val="20"/>
                <w:lang w:val="en-US"/>
              </w:rPr>
            </w:pPr>
            <w:r w:rsidRPr="00D81AD8">
              <w:rPr>
                <w:rFonts w:ascii="Times New Roman" w:hAnsi="Times New Roman" w:cs="Times New Roman"/>
                <w:b/>
                <w:sz w:val="20"/>
                <w:szCs w:val="20"/>
                <w:lang w:val="en-US"/>
              </w:rPr>
              <w:t xml:space="preserve">BB  Structural Requirements </w:t>
            </w:r>
          </w:p>
        </w:tc>
      </w:tr>
      <w:tr w:rsidR="00D81AD8" w:rsidRPr="00D81AD8" w:rsidTr="00D81AD8">
        <w:trPr>
          <w:trHeight w:val="269"/>
          <w:jc w:val="center"/>
        </w:trPr>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Maximum capacitor’s volume (m</w:t>
            </w:r>
            <w:r w:rsidRPr="00D81AD8">
              <w:rPr>
                <w:rFonts w:ascii="Times New Roman" w:hAnsi="Times New Roman" w:cs="Times New Roman"/>
                <w:sz w:val="20"/>
                <w:szCs w:val="20"/>
                <w:vertAlign w:val="superscript"/>
                <w:lang w:val="en-US"/>
              </w:rPr>
              <w:t>3</w:t>
            </w:r>
            <w:r w:rsidRPr="00D81AD8">
              <w:rPr>
                <w:rFonts w:ascii="Times New Roman" w:hAnsi="Times New Roman" w:cs="Times New Roman"/>
                <w:sz w:val="20"/>
                <w:szCs w:val="20"/>
                <w:lang w:val="en-US"/>
              </w:rPr>
              <w:t xml:space="preserve">) </w:t>
            </w:r>
          </w:p>
        </w:tc>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5800</w:t>
            </w:r>
          </w:p>
        </w:tc>
      </w:tr>
      <w:tr w:rsidR="00D81AD8" w:rsidRPr="00D81AD8" w:rsidTr="00D81AD8">
        <w:trPr>
          <w:trHeight w:val="269"/>
          <w:jc w:val="center"/>
        </w:trPr>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Dimensions</w:t>
            </w:r>
          </w:p>
        </w:tc>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Diameter: 12 meters</w:t>
            </w:r>
          </w:p>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Length: 52 meters</w:t>
            </w:r>
          </w:p>
        </w:tc>
      </w:tr>
      <w:tr w:rsidR="00D81AD8" w:rsidRPr="00D81AD8" w:rsidTr="00D81AD8">
        <w:trPr>
          <w:trHeight w:val="269"/>
          <w:jc w:val="center"/>
        </w:trPr>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Maximum floater’s buoyancy  (tons)</w:t>
            </w:r>
          </w:p>
        </w:tc>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3000</w:t>
            </w:r>
          </w:p>
        </w:tc>
      </w:tr>
      <w:tr w:rsidR="00D81AD8" w:rsidRPr="00D81AD8" w:rsidTr="00D81AD8">
        <w:trPr>
          <w:trHeight w:val="269"/>
          <w:jc w:val="center"/>
        </w:trPr>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Material properties</w:t>
            </w:r>
          </w:p>
        </w:tc>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 xml:space="preserve">Steel structure or GFRP </w:t>
            </w:r>
          </w:p>
        </w:tc>
      </w:tr>
      <w:tr w:rsidR="00D81AD8" w:rsidRPr="00D81AD8" w:rsidTr="00D81AD8">
        <w:trPr>
          <w:trHeight w:val="269"/>
          <w:jc w:val="center"/>
        </w:trPr>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Mass in air (tons)</w:t>
            </w:r>
          </w:p>
        </w:tc>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Not exceeding  900 tons</w:t>
            </w:r>
          </w:p>
        </w:tc>
      </w:tr>
      <w:tr w:rsidR="00D81AD8" w:rsidRPr="00D81AD8" w:rsidTr="00D81AD8">
        <w:trPr>
          <w:trHeight w:val="269"/>
          <w:jc w:val="center"/>
        </w:trPr>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Chemical corrosion resistance</w:t>
            </w:r>
          </w:p>
        </w:tc>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Seawater  (&gt;35 ppt)</w:t>
            </w:r>
          </w:p>
          <w:p w:rsidR="00D81AD8" w:rsidRPr="00D81AD8" w:rsidRDefault="00D81AD8" w:rsidP="00D81AD8">
            <w:pPr>
              <w:rPr>
                <w:rFonts w:ascii="Times New Roman" w:hAnsi="Times New Roman" w:cs="Times New Roman"/>
                <w:sz w:val="20"/>
                <w:szCs w:val="20"/>
                <w:lang w:val="en-US"/>
              </w:rPr>
            </w:pPr>
          </w:p>
        </w:tc>
      </w:tr>
      <w:tr w:rsidR="00D81AD8" w:rsidRPr="00D81AD8" w:rsidTr="00D81AD8">
        <w:trPr>
          <w:trHeight w:val="269"/>
          <w:jc w:val="center"/>
        </w:trPr>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Minimum depth position (m)</w:t>
            </w:r>
          </w:p>
        </w:tc>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 xml:space="preserve">30 meters below the sea surface </w:t>
            </w:r>
          </w:p>
        </w:tc>
      </w:tr>
      <w:tr w:rsidR="00D81AD8" w:rsidRPr="00D81AD8" w:rsidTr="00D81AD8">
        <w:trPr>
          <w:trHeight w:val="269"/>
          <w:jc w:val="center"/>
        </w:trPr>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 xml:space="preserve">Operational Temperature </w:t>
            </w:r>
          </w:p>
        </w:tc>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20</w:t>
            </w:r>
            <w:r w:rsidRPr="00D81AD8">
              <w:rPr>
                <w:rFonts w:ascii="Times New Roman" w:hAnsi="Times New Roman" w:cs="Times New Roman"/>
                <w:sz w:val="20"/>
                <w:szCs w:val="20"/>
                <w:vertAlign w:val="superscript"/>
                <w:lang w:val="en-US"/>
              </w:rPr>
              <w:t>o</w:t>
            </w:r>
            <w:r w:rsidRPr="00D81AD8">
              <w:rPr>
                <w:rFonts w:ascii="Times New Roman" w:hAnsi="Times New Roman" w:cs="Times New Roman"/>
                <w:sz w:val="20"/>
                <w:szCs w:val="20"/>
                <w:lang w:val="en-US"/>
              </w:rPr>
              <w:t>C</w:t>
            </w:r>
          </w:p>
        </w:tc>
      </w:tr>
      <w:tr w:rsidR="00D81AD8" w:rsidRPr="00D81AD8" w:rsidTr="00D81AD8">
        <w:trPr>
          <w:trHeight w:val="269"/>
          <w:jc w:val="center"/>
        </w:trPr>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 xml:space="preserve">Structural loads </w:t>
            </w:r>
          </w:p>
        </w:tc>
        <w:tc>
          <w:tcPr>
            <w:tcW w:w="4303" w:type="dxa"/>
          </w:tcPr>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 xml:space="preserve">-Floater: Hydrostatic pressure of 70 meters </w:t>
            </w:r>
          </w:p>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(7 bars)</w:t>
            </w:r>
          </w:p>
          <w:p w:rsidR="00D81AD8" w:rsidRPr="00D81AD8" w:rsidRDefault="00D81AD8" w:rsidP="00D81AD8">
            <w:pPr>
              <w:rPr>
                <w:rFonts w:ascii="Times New Roman" w:hAnsi="Times New Roman" w:cs="Times New Roman"/>
                <w:sz w:val="20"/>
                <w:szCs w:val="20"/>
                <w:lang w:val="en-US"/>
              </w:rPr>
            </w:pPr>
            <w:r w:rsidRPr="00D81AD8">
              <w:rPr>
                <w:rFonts w:ascii="Times New Roman" w:hAnsi="Times New Roman" w:cs="Times New Roman"/>
                <w:sz w:val="20"/>
                <w:szCs w:val="20"/>
                <w:lang w:val="en-US"/>
              </w:rPr>
              <w:t>- Capacitor: Dynamic pressure due to sea currents velocity (0.7 m/s)</w:t>
            </w:r>
          </w:p>
        </w:tc>
      </w:tr>
    </w:tbl>
    <w:p w:rsidR="00D81AD8" w:rsidRDefault="00D81AD8" w:rsidP="007A30A8">
      <w:pPr>
        <w:spacing w:after="0" w:line="240" w:lineRule="auto"/>
        <w:jc w:val="both"/>
        <w:rPr>
          <w:rFonts w:ascii="Times New Roman" w:hAnsi="Times New Roman" w:cs="Times New Roman"/>
          <w:sz w:val="20"/>
          <w:szCs w:val="20"/>
        </w:rPr>
      </w:pPr>
    </w:p>
    <w:p w:rsidR="00085BE2" w:rsidRPr="00085BE2" w:rsidRDefault="00085BE2" w:rsidP="00085BE2">
      <w:pPr>
        <w:spacing w:after="0" w:line="240" w:lineRule="auto"/>
        <w:jc w:val="both"/>
        <w:rPr>
          <w:rFonts w:ascii="Times New Roman" w:hAnsi="Times New Roman" w:cs="Times New Roman"/>
          <w:sz w:val="20"/>
          <w:szCs w:val="20"/>
        </w:rPr>
      </w:pPr>
      <w:r w:rsidRPr="00085BE2">
        <w:rPr>
          <w:rFonts w:ascii="Times New Roman" w:hAnsi="Times New Roman" w:cs="Times New Roman"/>
          <w:sz w:val="20"/>
          <w:szCs w:val="20"/>
        </w:rPr>
        <w:t>Comparing to DIFIS System, the MIFIS’s BB is the same. Furthermore, the weight optimization can be achieved using Finite Element analysis following the DIFIS System Design and Development procedure.</w:t>
      </w:r>
    </w:p>
    <w:p w:rsidR="00085BE2" w:rsidRDefault="00085BE2" w:rsidP="00085BE2">
      <w:pPr>
        <w:spacing w:after="0" w:line="240" w:lineRule="auto"/>
        <w:jc w:val="both"/>
        <w:rPr>
          <w:rFonts w:ascii="Times New Roman" w:hAnsi="Times New Roman" w:cs="Times New Roman"/>
          <w:sz w:val="20"/>
          <w:szCs w:val="20"/>
        </w:rPr>
      </w:pPr>
    </w:p>
    <w:p w:rsidR="00085BE2" w:rsidRPr="00085BE2" w:rsidRDefault="00085BE2" w:rsidP="00085BE2">
      <w:pPr>
        <w:spacing w:after="0" w:line="240" w:lineRule="auto"/>
        <w:jc w:val="both"/>
        <w:rPr>
          <w:rFonts w:ascii="Times New Roman" w:hAnsi="Times New Roman" w:cs="Times New Roman"/>
          <w:b/>
          <w:sz w:val="20"/>
          <w:szCs w:val="20"/>
        </w:rPr>
      </w:pPr>
      <w:r w:rsidRPr="00085BE2">
        <w:rPr>
          <w:rFonts w:ascii="Times New Roman" w:hAnsi="Times New Roman" w:cs="Times New Roman"/>
          <w:b/>
          <w:sz w:val="20"/>
          <w:szCs w:val="20"/>
        </w:rPr>
        <w:t>Riser Tube Structural Requirements</w:t>
      </w:r>
    </w:p>
    <w:p w:rsidR="00D81AD8" w:rsidRDefault="00085BE2" w:rsidP="00085BE2">
      <w:pPr>
        <w:spacing w:after="0" w:line="240" w:lineRule="auto"/>
        <w:jc w:val="both"/>
        <w:rPr>
          <w:rFonts w:ascii="Times New Roman" w:hAnsi="Times New Roman" w:cs="Times New Roman"/>
          <w:sz w:val="20"/>
          <w:szCs w:val="20"/>
        </w:rPr>
      </w:pPr>
      <w:r w:rsidRPr="00085BE2">
        <w:rPr>
          <w:rFonts w:ascii="Times New Roman" w:hAnsi="Times New Roman" w:cs="Times New Roman"/>
          <w:sz w:val="20"/>
          <w:szCs w:val="20"/>
        </w:rPr>
        <w:t>The RTC connects the LGS/PG-BBS with the DIU (lower part) and the LGS/PG-BBS with BB (upper part). It also transfers the multiphase mixture from Dome to LGS and oil/water from LGS to BB (Figure 8). The RTC is stressed by the sea currents’ dynamic pressure load. Using the Flow calculations analysis the multiphase mixture does not affect the internal pressure. Thus, the differential pressure neglected, similar to DIFIS System. For structural reasons, only for the lower part, a qualification burst pressure of 5 bars was set, due to the oil/gas/hydrate internal flow (Table 2).</w:t>
      </w:r>
    </w:p>
    <w:p w:rsidR="00085BE2" w:rsidRDefault="00085BE2" w:rsidP="00085BE2">
      <w:pPr>
        <w:spacing w:after="0" w:line="240" w:lineRule="auto"/>
        <w:jc w:val="both"/>
        <w:rPr>
          <w:rFonts w:ascii="Times New Roman" w:hAnsi="Times New Roman" w:cs="Times New Roman"/>
          <w:sz w:val="20"/>
          <w:szCs w:val="20"/>
        </w:rPr>
      </w:pPr>
    </w:p>
    <w:p w:rsidR="005F1A0D" w:rsidRPr="005F1A0D" w:rsidRDefault="005F1A0D" w:rsidP="005F1A0D">
      <w:pPr>
        <w:spacing w:after="0" w:line="240" w:lineRule="auto"/>
        <w:jc w:val="center"/>
        <w:rPr>
          <w:i/>
          <w:sz w:val="20"/>
          <w:szCs w:val="20"/>
        </w:rPr>
      </w:pPr>
      <w:r w:rsidRPr="005F1A0D">
        <w:rPr>
          <w:i/>
          <w:noProof/>
          <w:sz w:val="20"/>
          <w:szCs w:val="20"/>
        </w:rPr>
        <w:drawing>
          <wp:inline distT="0" distB="0" distL="0" distR="0" wp14:anchorId="641B0DA6" wp14:editId="7CE77C5B">
            <wp:extent cx="2099254" cy="4032400"/>
            <wp:effectExtent l="19050" t="0" r="0" b="0"/>
            <wp:docPr id="92" name="Εικόνα 9" descr="C:\Users\ΔΗΜΗΤΡΗΣ\Desktop\MIFIS\MIFIS_Project Consultancy_Deliverables\ΜΙΦΙΣ_del 3.Photos\RTCM_dimens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ΔΗΜΗΤΡΗΣ\Desktop\MIFIS\MIFIS_Project Consultancy_Deliverables\ΜΙΦΙΣ_del 3.Photos\RTCM_dimensions.png"/>
                    <pic:cNvPicPr>
                      <a:picLocks noChangeAspect="1" noChangeArrowheads="1"/>
                    </pic:cNvPicPr>
                  </pic:nvPicPr>
                  <pic:blipFill>
                    <a:blip r:embed="rId18" cstate="print"/>
                    <a:srcRect/>
                    <a:stretch>
                      <a:fillRect/>
                    </a:stretch>
                  </pic:blipFill>
                  <pic:spPr bwMode="auto">
                    <a:xfrm>
                      <a:off x="0" y="0"/>
                      <a:ext cx="2100289" cy="4034389"/>
                    </a:xfrm>
                    <a:prstGeom prst="rect">
                      <a:avLst/>
                    </a:prstGeom>
                    <a:noFill/>
                    <a:ln w="9525">
                      <a:noFill/>
                      <a:miter lim="800000"/>
                      <a:headEnd/>
                      <a:tailEnd/>
                    </a:ln>
                  </pic:spPr>
                </pic:pic>
              </a:graphicData>
            </a:graphic>
          </wp:inline>
        </w:drawing>
      </w:r>
      <w:r w:rsidRPr="005F1A0D">
        <w:rPr>
          <w:i/>
          <w:noProof/>
          <w:sz w:val="20"/>
          <w:szCs w:val="20"/>
        </w:rPr>
        <w:drawing>
          <wp:inline distT="0" distB="0" distL="0" distR="0" wp14:anchorId="579AB434" wp14:editId="6500268D">
            <wp:extent cx="2705862" cy="4030557"/>
            <wp:effectExtent l="19050" t="0" r="0" b="0"/>
            <wp:docPr id="93" name="Εικόνα 4" descr="C:\Users\ΔΗΜΗΤΡΗΣ\Desktop\BACKUP\USER\Desktop\von Masark files\Pictures_DIFIS_model_02\RiserTub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ΔΗΜΗΤΡΗΣ\Desktop\BACKUP\USER\Desktop\von Masark files\Pictures_DIFIS_model_02\RiserTube.jpg"/>
                    <pic:cNvPicPr>
                      <a:picLocks noChangeAspect="1" noChangeArrowheads="1"/>
                    </pic:cNvPicPr>
                  </pic:nvPicPr>
                  <pic:blipFill>
                    <a:blip r:embed="rId19" cstate="print"/>
                    <a:srcRect/>
                    <a:stretch>
                      <a:fillRect/>
                    </a:stretch>
                  </pic:blipFill>
                  <pic:spPr bwMode="auto">
                    <a:xfrm>
                      <a:off x="0" y="0"/>
                      <a:ext cx="2709682" cy="4036247"/>
                    </a:xfrm>
                    <a:prstGeom prst="rect">
                      <a:avLst/>
                    </a:prstGeom>
                    <a:noFill/>
                    <a:ln w="9525">
                      <a:noFill/>
                      <a:miter lim="800000"/>
                      <a:headEnd/>
                      <a:tailEnd/>
                    </a:ln>
                  </pic:spPr>
                </pic:pic>
              </a:graphicData>
            </a:graphic>
          </wp:inline>
        </w:drawing>
      </w:r>
    </w:p>
    <w:p w:rsidR="005F1A0D" w:rsidRPr="005F1A0D" w:rsidRDefault="005F1A0D" w:rsidP="005F1A0D">
      <w:pPr>
        <w:pStyle w:val="Caption"/>
        <w:jc w:val="center"/>
        <w:rPr>
          <w:i/>
          <w:sz w:val="20"/>
          <w:szCs w:val="20"/>
        </w:rPr>
      </w:pPr>
      <w:r w:rsidRPr="005F1A0D">
        <w:rPr>
          <w:i/>
          <w:sz w:val="20"/>
          <w:szCs w:val="20"/>
        </w:rPr>
        <w:t xml:space="preserve">Figure </w:t>
      </w:r>
      <w:r w:rsidRPr="005F1A0D">
        <w:rPr>
          <w:i/>
          <w:sz w:val="20"/>
          <w:szCs w:val="20"/>
        </w:rPr>
        <w:fldChar w:fldCharType="begin"/>
      </w:r>
      <w:r w:rsidRPr="005F1A0D">
        <w:rPr>
          <w:i/>
          <w:sz w:val="20"/>
          <w:szCs w:val="20"/>
        </w:rPr>
        <w:instrText xml:space="preserve"> SEQ Figure \* ARABIC </w:instrText>
      </w:r>
      <w:r w:rsidRPr="005F1A0D">
        <w:rPr>
          <w:i/>
          <w:sz w:val="20"/>
          <w:szCs w:val="20"/>
        </w:rPr>
        <w:fldChar w:fldCharType="separate"/>
      </w:r>
      <w:r w:rsidRPr="005F1A0D">
        <w:rPr>
          <w:i/>
          <w:noProof/>
          <w:sz w:val="20"/>
          <w:szCs w:val="20"/>
        </w:rPr>
        <w:t>8</w:t>
      </w:r>
      <w:r w:rsidRPr="005F1A0D">
        <w:rPr>
          <w:i/>
          <w:sz w:val="20"/>
          <w:szCs w:val="20"/>
        </w:rPr>
        <w:fldChar w:fldCharType="end"/>
      </w:r>
      <w:r w:rsidRPr="005F1A0D">
        <w:rPr>
          <w:i/>
          <w:sz w:val="20"/>
          <w:szCs w:val="20"/>
        </w:rPr>
        <w:t>: MIFIS Concept Riser Tube Column part (left) and DIFIS System Detailed design part (right)</w:t>
      </w:r>
    </w:p>
    <w:p w:rsidR="006F2C45" w:rsidRDefault="006F2C45" w:rsidP="006F2C45">
      <w:pPr>
        <w:spacing w:after="0" w:line="240" w:lineRule="auto"/>
        <w:jc w:val="center"/>
        <w:rPr>
          <w:rFonts w:ascii="Times New Roman" w:hAnsi="Times New Roman" w:cs="Times New Roman"/>
          <w:b/>
          <w:i/>
          <w:sz w:val="20"/>
          <w:szCs w:val="20"/>
        </w:rPr>
      </w:pPr>
    </w:p>
    <w:p w:rsidR="00085BE2" w:rsidRPr="006F2C45" w:rsidRDefault="006F2C45" w:rsidP="006F2C45">
      <w:pPr>
        <w:spacing w:after="0" w:line="240" w:lineRule="auto"/>
        <w:jc w:val="center"/>
        <w:rPr>
          <w:rFonts w:ascii="Times New Roman" w:hAnsi="Times New Roman" w:cs="Times New Roman"/>
          <w:b/>
          <w:i/>
          <w:sz w:val="20"/>
          <w:szCs w:val="20"/>
        </w:rPr>
      </w:pPr>
      <w:r w:rsidRPr="006F2C45">
        <w:rPr>
          <w:rFonts w:ascii="Times New Roman" w:hAnsi="Times New Roman" w:cs="Times New Roman"/>
          <w:b/>
          <w:i/>
          <w:sz w:val="20"/>
          <w:szCs w:val="20"/>
        </w:rPr>
        <w:t>Table 2: MIFIS Concept Riser Tube Column mixture (RTC) Design Structural Requirements.</w:t>
      </w:r>
    </w:p>
    <w:tbl>
      <w:tblPr>
        <w:tblStyle w:val="TableGrid0"/>
        <w:tblW w:w="8570" w:type="dxa"/>
        <w:jc w:val="center"/>
        <w:tblLook w:val="04A0" w:firstRow="1" w:lastRow="0" w:firstColumn="1" w:lastColumn="0" w:noHBand="0" w:noVBand="1"/>
      </w:tblPr>
      <w:tblGrid>
        <w:gridCol w:w="4284"/>
        <w:gridCol w:w="4286"/>
      </w:tblGrid>
      <w:tr w:rsidR="00214126" w:rsidRPr="00214126" w:rsidTr="00214126">
        <w:trPr>
          <w:trHeight w:val="257"/>
          <w:jc w:val="center"/>
        </w:trPr>
        <w:tc>
          <w:tcPr>
            <w:tcW w:w="8570" w:type="dxa"/>
            <w:gridSpan w:val="2"/>
          </w:tcPr>
          <w:p w:rsidR="00214126" w:rsidRPr="00214126" w:rsidRDefault="00214126" w:rsidP="00214126">
            <w:pPr>
              <w:rPr>
                <w:rFonts w:ascii="Times New Roman" w:hAnsi="Times New Roman" w:cs="Times New Roman"/>
                <w:b/>
                <w:sz w:val="20"/>
                <w:szCs w:val="20"/>
                <w:lang w:val="en-US"/>
              </w:rPr>
            </w:pPr>
            <w:r w:rsidRPr="00214126">
              <w:rPr>
                <w:rFonts w:ascii="Times New Roman" w:hAnsi="Times New Roman" w:cs="Times New Roman"/>
                <w:b/>
                <w:sz w:val="20"/>
                <w:szCs w:val="20"/>
                <w:lang w:val="en-US"/>
              </w:rPr>
              <w:t xml:space="preserve">RTC Structural Requirements </w:t>
            </w:r>
          </w:p>
        </w:tc>
      </w:tr>
      <w:tr w:rsidR="00214126" w:rsidRPr="00214126" w:rsidTr="00214126">
        <w:trPr>
          <w:trHeight w:val="265"/>
          <w:jc w:val="center"/>
        </w:trPr>
        <w:tc>
          <w:tcPr>
            <w:tcW w:w="4284" w:type="dxa"/>
          </w:tcPr>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Material properties</w:t>
            </w:r>
          </w:p>
        </w:tc>
        <w:tc>
          <w:tcPr>
            <w:tcW w:w="4286" w:type="dxa"/>
          </w:tcPr>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 xml:space="preserve"> GFRP , CFRP or PE</w:t>
            </w:r>
          </w:p>
        </w:tc>
      </w:tr>
      <w:tr w:rsidR="00214126" w:rsidRPr="00214126" w:rsidTr="00214126">
        <w:trPr>
          <w:trHeight w:val="265"/>
          <w:jc w:val="center"/>
        </w:trPr>
        <w:tc>
          <w:tcPr>
            <w:tcW w:w="4284" w:type="dxa"/>
          </w:tcPr>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Wall thickness (mm)</w:t>
            </w:r>
          </w:p>
        </w:tc>
        <w:tc>
          <w:tcPr>
            <w:tcW w:w="4286" w:type="dxa"/>
          </w:tcPr>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&gt; 200 mm for PE</w:t>
            </w:r>
          </w:p>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&gt; 2.5mm for GFRP,CFRP</w:t>
            </w:r>
          </w:p>
        </w:tc>
      </w:tr>
      <w:tr w:rsidR="00214126" w:rsidRPr="00214126" w:rsidTr="00214126">
        <w:trPr>
          <w:trHeight w:val="265"/>
          <w:jc w:val="center"/>
        </w:trPr>
        <w:tc>
          <w:tcPr>
            <w:tcW w:w="4284" w:type="dxa"/>
          </w:tcPr>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Maximum length (m)</w:t>
            </w:r>
          </w:p>
        </w:tc>
        <w:tc>
          <w:tcPr>
            <w:tcW w:w="4286" w:type="dxa"/>
          </w:tcPr>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25</w:t>
            </w:r>
          </w:p>
        </w:tc>
      </w:tr>
      <w:tr w:rsidR="00214126" w:rsidRPr="00214126" w:rsidTr="00214126">
        <w:trPr>
          <w:trHeight w:val="265"/>
          <w:jc w:val="center"/>
        </w:trPr>
        <w:tc>
          <w:tcPr>
            <w:tcW w:w="4284" w:type="dxa"/>
          </w:tcPr>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Mass in air (tons)</w:t>
            </w:r>
          </w:p>
        </w:tc>
        <w:tc>
          <w:tcPr>
            <w:tcW w:w="4286" w:type="dxa"/>
          </w:tcPr>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Not exceeding 20 tons per part</w:t>
            </w:r>
          </w:p>
        </w:tc>
      </w:tr>
      <w:tr w:rsidR="00214126" w:rsidRPr="00214126" w:rsidTr="00214126">
        <w:trPr>
          <w:trHeight w:val="265"/>
          <w:jc w:val="center"/>
        </w:trPr>
        <w:tc>
          <w:tcPr>
            <w:tcW w:w="4284" w:type="dxa"/>
          </w:tcPr>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Chemical corrosion resistance</w:t>
            </w:r>
          </w:p>
        </w:tc>
        <w:tc>
          <w:tcPr>
            <w:tcW w:w="4286" w:type="dxa"/>
          </w:tcPr>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-Withstand the seawater corrosion (&gt;35 ppt)</w:t>
            </w:r>
          </w:p>
          <w:p w:rsidR="00214126" w:rsidRPr="00214126" w:rsidRDefault="00214126" w:rsidP="00214126">
            <w:pPr>
              <w:rPr>
                <w:rFonts w:ascii="Times New Roman" w:hAnsi="Times New Roman" w:cs="Times New Roman"/>
                <w:sz w:val="20"/>
                <w:szCs w:val="20"/>
                <w:lang w:val="en-US"/>
              </w:rPr>
            </w:pPr>
          </w:p>
        </w:tc>
      </w:tr>
      <w:tr w:rsidR="00214126" w:rsidRPr="00214126" w:rsidTr="00214126">
        <w:trPr>
          <w:trHeight w:val="265"/>
          <w:jc w:val="center"/>
        </w:trPr>
        <w:tc>
          <w:tcPr>
            <w:tcW w:w="4284" w:type="dxa"/>
          </w:tcPr>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 xml:space="preserve">Operational Temperature </w:t>
            </w:r>
          </w:p>
        </w:tc>
        <w:tc>
          <w:tcPr>
            <w:tcW w:w="4286" w:type="dxa"/>
          </w:tcPr>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2</w:t>
            </w:r>
            <w:r w:rsidRPr="00214126">
              <w:rPr>
                <w:rFonts w:ascii="Times New Roman" w:hAnsi="Times New Roman" w:cs="Times New Roman"/>
                <w:sz w:val="20"/>
                <w:szCs w:val="20"/>
                <w:vertAlign w:val="superscript"/>
                <w:lang w:val="en-US"/>
              </w:rPr>
              <w:t>o</w:t>
            </w:r>
            <w:r w:rsidRPr="00214126">
              <w:rPr>
                <w:rFonts w:ascii="Times New Roman" w:hAnsi="Times New Roman" w:cs="Times New Roman"/>
                <w:sz w:val="20"/>
                <w:szCs w:val="20"/>
                <w:lang w:val="en-US"/>
              </w:rPr>
              <w:t>C</w:t>
            </w:r>
          </w:p>
        </w:tc>
      </w:tr>
      <w:tr w:rsidR="00214126" w:rsidRPr="00214126" w:rsidTr="00214126">
        <w:trPr>
          <w:trHeight w:val="265"/>
          <w:jc w:val="center"/>
        </w:trPr>
        <w:tc>
          <w:tcPr>
            <w:tcW w:w="4284" w:type="dxa"/>
          </w:tcPr>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HID subsystem for the lower part of RTC</w:t>
            </w:r>
          </w:p>
        </w:tc>
        <w:tc>
          <w:tcPr>
            <w:tcW w:w="4286" w:type="dxa"/>
          </w:tcPr>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-Produce 300W of heating power at least.</w:t>
            </w:r>
          </w:p>
        </w:tc>
      </w:tr>
      <w:tr w:rsidR="00214126" w:rsidRPr="00214126" w:rsidTr="00214126">
        <w:trPr>
          <w:trHeight w:val="265"/>
          <w:jc w:val="center"/>
        </w:trPr>
        <w:tc>
          <w:tcPr>
            <w:tcW w:w="4284" w:type="dxa"/>
          </w:tcPr>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Structural loads</w:t>
            </w:r>
          </w:p>
        </w:tc>
        <w:tc>
          <w:tcPr>
            <w:tcW w:w="4286" w:type="dxa"/>
          </w:tcPr>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 xml:space="preserve">-Each part has to withstand the sea currents’ dynamic pressure (0.1 m/s to 0.7 m/s). </w:t>
            </w:r>
          </w:p>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-Qualification load: Burst pressure of 5 bars.</w:t>
            </w:r>
          </w:p>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-Local Buckling due to SR mass. Qualification load &gt;510 kN</w:t>
            </w:r>
          </w:p>
          <w:p w:rsidR="00214126" w:rsidRPr="00214126" w:rsidRDefault="00214126" w:rsidP="00214126">
            <w:pPr>
              <w:rPr>
                <w:rFonts w:ascii="Times New Roman" w:hAnsi="Times New Roman" w:cs="Times New Roman"/>
                <w:sz w:val="20"/>
                <w:szCs w:val="20"/>
                <w:lang w:val="en-US"/>
              </w:rPr>
            </w:pPr>
            <w:r w:rsidRPr="00214126">
              <w:rPr>
                <w:rFonts w:ascii="Times New Roman" w:hAnsi="Times New Roman" w:cs="Times New Roman"/>
                <w:sz w:val="20"/>
                <w:szCs w:val="20"/>
                <w:lang w:val="en-US"/>
              </w:rPr>
              <w:t>-Temperature increase:  From 2</w:t>
            </w:r>
            <w:r w:rsidRPr="00214126">
              <w:rPr>
                <w:rFonts w:ascii="Times New Roman" w:hAnsi="Times New Roman" w:cs="Times New Roman"/>
                <w:sz w:val="20"/>
                <w:szCs w:val="20"/>
                <w:vertAlign w:val="superscript"/>
                <w:lang w:val="en-US"/>
              </w:rPr>
              <w:t>o</w:t>
            </w:r>
            <w:r w:rsidRPr="00214126">
              <w:rPr>
                <w:rFonts w:ascii="Times New Roman" w:hAnsi="Times New Roman" w:cs="Times New Roman"/>
                <w:sz w:val="20"/>
                <w:szCs w:val="20"/>
                <w:lang w:val="en-US"/>
              </w:rPr>
              <w:t>C to 27</w:t>
            </w:r>
            <w:r w:rsidRPr="00214126">
              <w:rPr>
                <w:rFonts w:ascii="Times New Roman" w:hAnsi="Times New Roman" w:cs="Times New Roman"/>
                <w:sz w:val="20"/>
                <w:szCs w:val="20"/>
                <w:vertAlign w:val="superscript"/>
                <w:lang w:val="en-US"/>
              </w:rPr>
              <w:t>o</w:t>
            </w:r>
            <w:r w:rsidRPr="00214126">
              <w:rPr>
                <w:rFonts w:ascii="Times New Roman" w:hAnsi="Times New Roman" w:cs="Times New Roman"/>
                <w:sz w:val="20"/>
                <w:szCs w:val="20"/>
                <w:lang w:val="en-US"/>
              </w:rPr>
              <w:t>C  (RTC</w:t>
            </w:r>
            <w:r w:rsidRPr="00214126">
              <w:rPr>
                <w:rFonts w:ascii="Times New Roman" w:hAnsi="Times New Roman" w:cs="Times New Roman"/>
                <w:sz w:val="20"/>
                <w:szCs w:val="20"/>
                <w:vertAlign w:val="subscript"/>
                <w:lang w:val="en-US"/>
              </w:rPr>
              <w:t xml:space="preserve">l  </w:t>
            </w:r>
            <w:r w:rsidRPr="00214126">
              <w:rPr>
                <w:rFonts w:ascii="Times New Roman" w:hAnsi="Times New Roman" w:cs="Times New Roman"/>
                <w:sz w:val="20"/>
                <w:szCs w:val="20"/>
                <w:lang w:val="en-US"/>
              </w:rPr>
              <w:t xml:space="preserve">only) </w:t>
            </w:r>
          </w:p>
        </w:tc>
      </w:tr>
    </w:tbl>
    <w:p w:rsidR="005F1A0D" w:rsidRDefault="005F1A0D" w:rsidP="00085BE2">
      <w:pPr>
        <w:spacing w:after="0" w:line="240" w:lineRule="auto"/>
        <w:jc w:val="both"/>
        <w:rPr>
          <w:rFonts w:ascii="Times New Roman" w:hAnsi="Times New Roman" w:cs="Times New Roman"/>
          <w:sz w:val="20"/>
          <w:szCs w:val="20"/>
        </w:rPr>
      </w:pPr>
    </w:p>
    <w:p w:rsidR="007B5828" w:rsidRPr="007B5828" w:rsidRDefault="007B5828" w:rsidP="007B5828">
      <w:pPr>
        <w:spacing w:after="0" w:line="240" w:lineRule="auto"/>
        <w:jc w:val="both"/>
        <w:rPr>
          <w:rFonts w:ascii="Times New Roman" w:hAnsi="Times New Roman" w:cs="Times New Roman"/>
          <w:b/>
          <w:sz w:val="20"/>
          <w:szCs w:val="20"/>
        </w:rPr>
      </w:pPr>
      <w:r w:rsidRPr="007B5828">
        <w:rPr>
          <w:rFonts w:ascii="Times New Roman" w:hAnsi="Times New Roman" w:cs="Times New Roman"/>
          <w:b/>
          <w:sz w:val="20"/>
          <w:szCs w:val="20"/>
        </w:rPr>
        <w:t>Stiffening Rings Structural Requirements</w:t>
      </w:r>
    </w:p>
    <w:p w:rsidR="00F701B2" w:rsidRDefault="007B5828" w:rsidP="007B5828">
      <w:pPr>
        <w:spacing w:after="0" w:line="240" w:lineRule="auto"/>
        <w:jc w:val="both"/>
        <w:rPr>
          <w:rFonts w:ascii="Times New Roman" w:hAnsi="Times New Roman" w:cs="Times New Roman"/>
          <w:sz w:val="20"/>
          <w:szCs w:val="20"/>
        </w:rPr>
      </w:pPr>
      <w:r w:rsidRPr="007B5828">
        <w:rPr>
          <w:rFonts w:ascii="Times New Roman" w:hAnsi="Times New Roman" w:cs="Times New Roman"/>
          <w:sz w:val="20"/>
          <w:szCs w:val="20"/>
        </w:rPr>
        <w:t>The stiffening rings connect both, the RTCu and the RTCl parts; transfer the Riser Tube’s lateral loads to the Mooring lines (Figure 9, Table 3)</w:t>
      </w:r>
    </w:p>
    <w:p w:rsidR="001D7AFF" w:rsidRDefault="001D7AFF" w:rsidP="007B5828">
      <w:pPr>
        <w:spacing w:after="0" w:line="240" w:lineRule="auto"/>
        <w:jc w:val="both"/>
        <w:rPr>
          <w:rFonts w:ascii="Times New Roman" w:hAnsi="Times New Roman" w:cs="Times New Roman"/>
          <w:sz w:val="20"/>
          <w:szCs w:val="20"/>
        </w:rPr>
      </w:pPr>
    </w:p>
    <w:p w:rsidR="001D7AFF" w:rsidRDefault="001D7AFF" w:rsidP="007B5828">
      <w:pPr>
        <w:spacing w:after="0" w:line="240" w:lineRule="auto"/>
        <w:jc w:val="both"/>
        <w:rPr>
          <w:rFonts w:ascii="Times New Roman" w:hAnsi="Times New Roman" w:cs="Times New Roman"/>
          <w:sz w:val="20"/>
          <w:szCs w:val="20"/>
        </w:rPr>
      </w:pPr>
    </w:p>
    <w:p w:rsidR="001D7AFF" w:rsidRDefault="001D7AFF" w:rsidP="007B5828">
      <w:pPr>
        <w:spacing w:after="0" w:line="240" w:lineRule="auto"/>
        <w:jc w:val="both"/>
        <w:rPr>
          <w:rFonts w:ascii="Times New Roman" w:hAnsi="Times New Roman" w:cs="Times New Roman"/>
          <w:sz w:val="20"/>
          <w:szCs w:val="20"/>
        </w:rPr>
      </w:pPr>
    </w:p>
    <w:p w:rsidR="00222E9F" w:rsidRDefault="00222E9F" w:rsidP="00222E9F">
      <w:pPr>
        <w:spacing w:after="0" w:line="240" w:lineRule="auto"/>
        <w:jc w:val="center"/>
        <w:rPr>
          <w:rFonts w:ascii="Times New Roman" w:hAnsi="Times New Roman" w:cs="Times New Roman"/>
          <w:b/>
          <w:i/>
          <w:sz w:val="20"/>
          <w:szCs w:val="20"/>
        </w:rPr>
      </w:pPr>
    </w:p>
    <w:p w:rsidR="00214126" w:rsidRPr="00222E9F" w:rsidRDefault="00222E9F" w:rsidP="00222E9F">
      <w:pPr>
        <w:spacing w:after="0" w:line="240" w:lineRule="auto"/>
        <w:jc w:val="center"/>
        <w:rPr>
          <w:rFonts w:ascii="Times New Roman" w:hAnsi="Times New Roman" w:cs="Times New Roman"/>
          <w:b/>
          <w:i/>
          <w:sz w:val="20"/>
          <w:szCs w:val="20"/>
        </w:rPr>
      </w:pPr>
      <w:r w:rsidRPr="00222E9F">
        <w:rPr>
          <w:rFonts w:ascii="Times New Roman" w:hAnsi="Times New Roman" w:cs="Times New Roman"/>
          <w:b/>
          <w:i/>
          <w:sz w:val="20"/>
          <w:szCs w:val="20"/>
        </w:rPr>
        <w:t>Table 3: MIFIS Stiffening Ring (SR) Design Structural Requirements.</w:t>
      </w:r>
    </w:p>
    <w:tbl>
      <w:tblPr>
        <w:tblStyle w:val="TableGrid0"/>
        <w:tblW w:w="0" w:type="auto"/>
        <w:jc w:val="center"/>
        <w:tblLook w:val="04A0" w:firstRow="1" w:lastRow="0" w:firstColumn="1" w:lastColumn="0" w:noHBand="0" w:noVBand="1"/>
      </w:tblPr>
      <w:tblGrid>
        <w:gridCol w:w="4205"/>
        <w:gridCol w:w="4205"/>
      </w:tblGrid>
      <w:tr w:rsidR="001D7AFF" w:rsidRPr="001D7AFF" w:rsidTr="001D7AFF">
        <w:trPr>
          <w:trHeight w:val="268"/>
          <w:jc w:val="center"/>
        </w:trPr>
        <w:tc>
          <w:tcPr>
            <w:tcW w:w="8410" w:type="dxa"/>
            <w:gridSpan w:val="2"/>
          </w:tcPr>
          <w:p w:rsidR="001D7AFF" w:rsidRPr="001D7AFF" w:rsidRDefault="001D7AFF" w:rsidP="001D7AFF">
            <w:pPr>
              <w:rPr>
                <w:rFonts w:ascii="Times New Roman" w:hAnsi="Times New Roman" w:cs="Times New Roman"/>
                <w:b/>
                <w:sz w:val="20"/>
                <w:szCs w:val="20"/>
                <w:lang w:val="en-US"/>
              </w:rPr>
            </w:pPr>
            <w:r w:rsidRPr="001D7AFF">
              <w:rPr>
                <w:rFonts w:ascii="Times New Roman" w:hAnsi="Times New Roman" w:cs="Times New Roman"/>
                <w:b/>
                <w:sz w:val="20"/>
                <w:szCs w:val="20"/>
                <w:lang w:val="en-US"/>
              </w:rPr>
              <w:t xml:space="preserve">SR Structural Requirements </w:t>
            </w:r>
          </w:p>
        </w:tc>
      </w:tr>
      <w:tr w:rsidR="001D7AFF" w:rsidRPr="001D7AFF" w:rsidTr="001D7AFF">
        <w:trPr>
          <w:trHeight w:val="277"/>
          <w:jc w:val="center"/>
        </w:trPr>
        <w:tc>
          <w:tcPr>
            <w:tcW w:w="4205" w:type="dxa"/>
          </w:tcPr>
          <w:p w:rsidR="001D7AFF" w:rsidRPr="001D7AFF" w:rsidRDefault="001D7AFF" w:rsidP="001D7AFF">
            <w:pPr>
              <w:rPr>
                <w:rFonts w:ascii="Times New Roman" w:hAnsi="Times New Roman" w:cs="Times New Roman"/>
                <w:sz w:val="20"/>
                <w:szCs w:val="20"/>
                <w:lang w:val="en-US"/>
              </w:rPr>
            </w:pPr>
            <w:r w:rsidRPr="001D7AFF">
              <w:rPr>
                <w:rFonts w:ascii="Times New Roman" w:hAnsi="Times New Roman" w:cs="Times New Roman"/>
                <w:sz w:val="20"/>
                <w:szCs w:val="20"/>
                <w:lang w:val="en-US"/>
              </w:rPr>
              <w:t>Dimensions</w:t>
            </w:r>
          </w:p>
        </w:tc>
        <w:tc>
          <w:tcPr>
            <w:tcW w:w="4205" w:type="dxa"/>
          </w:tcPr>
          <w:p w:rsidR="001D7AFF" w:rsidRPr="001D7AFF" w:rsidRDefault="001D7AFF" w:rsidP="001D7AFF">
            <w:pPr>
              <w:rPr>
                <w:rFonts w:ascii="Times New Roman" w:hAnsi="Times New Roman" w:cs="Times New Roman"/>
                <w:sz w:val="20"/>
                <w:szCs w:val="20"/>
                <w:lang w:val="en-US"/>
              </w:rPr>
            </w:pPr>
            <w:r w:rsidRPr="001D7AFF">
              <w:rPr>
                <w:rFonts w:ascii="Times New Roman" w:hAnsi="Times New Roman" w:cs="Times New Roman"/>
                <w:sz w:val="20"/>
                <w:szCs w:val="20"/>
                <w:lang w:val="en-US"/>
              </w:rPr>
              <w:t>External Diameter:3 meters</w:t>
            </w:r>
          </w:p>
          <w:p w:rsidR="001D7AFF" w:rsidRPr="001D7AFF" w:rsidRDefault="001D7AFF" w:rsidP="001D7AFF">
            <w:pPr>
              <w:rPr>
                <w:rFonts w:ascii="Times New Roman" w:hAnsi="Times New Roman" w:cs="Times New Roman"/>
                <w:sz w:val="20"/>
                <w:szCs w:val="20"/>
                <w:lang w:val="en-US"/>
              </w:rPr>
            </w:pPr>
            <w:r w:rsidRPr="001D7AFF">
              <w:rPr>
                <w:rFonts w:ascii="Times New Roman" w:hAnsi="Times New Roman" w:cs="Times New Roman"/>
                <w:sz w:val="20"/>
                <w:szCs w:val="20"/>
                <w:lang w:val="en-US"/>
              </w:rPr>
              <w:t>Internal Diameters: 2 meters</w:t>
            </w:r>
          </w:p>
        </w:tc>
      </w:tr>
      <w:tr w:rsidR="001D7AFF" w:rsidRPr="001D7AFF" w:rsidTr="001D7AFF">
        <w:trPr>
          <w:trHeight w:val="277"/>
          <w:jc w:val="center"/>
        </w:trPr>
        <w:tc>
          <w:tcPr>
            <w:tcW w:w="4205" w:type="dxa"/>
          </w:tcPr>
          <w:p w:rsidR="001D7AFF" w:rsidRPr="001D7AFF" w:rsidRDefault="001D7AFF" w:rsidP="001D7AFF">
            <w:pPr>
              <w:rPr>
                <w:rFonts w:ascii="Times New Roman" w:hAnsi="Times New Roman" w:cs="Times New Roman"/>
                <w:sz w:val="20"/>
                <w:szCs w:val="20"/>
                <w:lang w:val="en-US"/>
              </w:rPr>
            </w:pPr>
            <w:r w:rsidRPr="001D7AFF">
              <w:rPr>
                <w:rFonts w:ascii="Times New Roman" w:hAnsi="Times New Roman" w:cs="Times New Roman"/>
                <w:sz w:val="20"/>
                <w:szCs w:val="20"/>
                <w:lang w:val="en-US"/>
              </w:rPr>
              <w:t>Material properties</w:t>
            </w:r>
          </w:p>
        </w:tc>
        <w:tc>
          <w:tcPr>
            <w:tcW w:w="4205" w:type="dxa"/>
          </w:tcPr>
          <w:p w:rsidR="001D7AFF" w:rsidRPr="001D7AFF" w:rsidRDefault="001D7AFF" w:rsidP="001D7AFF">
            <w:pPr>
              <w:rPr>
                <w:rFonts w:ascii="Times New Roman" w:hAnsi="Times New Roman" w:cs="Times New Roman"/>
                <w:sz w:val="20"/>
                <w:szCs w:val="20"/>
                <w:lang w:val="en-US"/>
              </w:rPr>
            </w:pPr>
            <w:r w:rsidRPr="001D7AFF">
              <w:rPr>
                <w:rFonts w:ascii="Times New Roman" w:hAnsi="Times New Roman" w:cs="Times New Roman"/>
                <w:sz w:val="20"/>
                <w:szCs w:val="20"/>
                <w:lang w:val="en-US"/>
              </w:rPr>
              <w:t xml:space="preserve">Aluminum  or GFRP </w:t>
            </w:r>
          </w:p>
        </w:tc>
      </w:tr>
      <w:tr w:rsidR="001D7AFF" w:rsidRPr="001D7AFF" w:rsidTr="001D7AFF">
        <w:trPr>
          <w:trHeight w:val="277"/>
          <w:jc w:val="center"/>
        </w:trPr>
        <w:tc>
          <w:tcPr>
            <w:tcW w:w="4205" w:type="dxa"/>
          </w:tcPr>
          <w:p w:rsidR="001D7AFF" w:rsidRPr="001D7AFF" w:rsidRDefault="001D7AFF" w:rsidP="001D7AFF">
            <w:pPr>
              <w:rPr>
                <w:rFonts w:ascii="Times New Roman" w:hAnsi="Times New Roman" w:cs="Times New Roman"/>
                <w:sz w:val="20"/>
                <w:szCs w:val="20"/>
                <w:lang w:val="en-US"/>
              </w:rPr>
            </w:pPr>
            <w:r w:rsidRPr="001D7AFF">
              <w:rPr>
                <w:rFonts w:ascii="Times New Roman" w:hAnsi="Times New Roman" w:cs="Times New Roman"/>
                <w:sz w:val="20"/>
                <w:szCs w:val="20"/>
                <w:lang w:val="en-US"/>
              </w:rPr>
              <w:t>Mass in air (tons)</w:t>
            </w:r>
          </w:p>
        </w:tc>
        <w:tc>
          <w:tcPr>
            <w:tcW w:w="4205" w:type="dxa"/>
          </w:tcPr>
          <w:p w:rsidR="001D7AFF" w:rsidRPr="001D7AFF" w:rsidRDefault="001D7AFF" w:rsidP="001D7AFF">
            <w:pPr>
              <w:rPr>
                <w:rFonts w:ascii="Times New Roman" w:hAnsi="Times New Roman" w:cs="Times New Roman"/>
                <w:sz w:val="20"/>
                <w:szCs w:val="20"/>
                <w:lang w:val="en-US"/>
              </w:rPr>
            </w:pPr>
            <w:r w:rsidRPr="001D7AFF">
              <w:rPr>
                <w:rFonts w:ascii="Times New Roman" w:hAnsi="Times New Roman" w:cs="Times New Roman"/>
                <w:sz w:val="20"/>
                <w:szCs w:val="20"/>
                <w:lang w:val="en-US"/>
              </w:rPr>
              <w:t>Not exceeding 750 kg per SR</w:t>
            </w:r>
          </w:p>
        </w:tc>
      </w:tr>
      <w:tr w:rsidR="001D7AFF" w:rsidRPr="001D7AFF" w:rsidTr="001D7AFF">
        <w:trPr>
          <w:trHeight w:val="277"/>
          <w:jc w:val="center"/>
        </w:trPr>
        <w:tc>
          <w:tcPr>
            <w:tcW w:w="4205" w:type="dxa"/>
          </w:tcPr>
          <w:p w:rsidR="001D7AFF" w:rsidRPr="001D7AFF" w:rsidRDefault="001D7AFF" w:rsidP="001D7AFF">
            <w:pPr>
              <w:rPr>
                <w:rFonts w:ascii="Times New Roman" w:hAnsi="Times New Roman" w:cs="Times New Roman"/>
                <w:sz w:val="20"/>
                <w:szCs w:val="20"/>
                <w:lang w:val="en-US"/>
              </w:rPr>
            </w:pPr>
            <w:r w:rsidRPr="001D7AFF">
              <w:rPr>
                <w:rFonts w:ascii="Times New Roman" w:hAnsi="Times New Roman" w:cs="Times New Roman"/>
                <w:sz w:val="20"/>
                <w:szCs w:val="20"/>
                <w:lang w:val="en-US"/>
              </w:rPr>
              <w:t>Chemical corrosion resistance</w:t>
            </w:r>
          </w:p>
        </w:tc>
        <w:tc>
          <w:tcPr>
            <w:tcW w:w="4205" w:type="dxa"/>
          </w:tcPr>
          <w:p w:rsidR="001D7AFF" w:rsidRPr="001D7AFF" w:rsidRDefault="001D7AFF" w:rsidP="001D7AFF">
            <w:pPr>
              <w:rPr>
                <w:rFonts w:ascii="Times New Roman" w:hAnsi="Times New Roman" w:cs="Times New Roman"/>
                <w:sz w:val="20"/>
                <w:szCs w:val="20"/>
                <w:lang w:val="en-US"/>
              </w:rPr>
            </w:pPr>
            <w:r w:rsidRPr="001D7AFF">
              <w:rPr>
                <w:rFonts w:ascii="Times New Roman" w:hAnsi="Times New Roman" w:cs="Times New Roman"/>
                <w:sz w:val="20"/>
                <w:szCs w:val="20"/>
                <w:lang w:val="en-US"/>
              </w:rPr>
              <w:t>- seawater  (&gt;35 ppt)</w:t>
            </w:r>
          </w:p>
          <w:p w:rsidR="001D7AFF" w:rsidRPr="001D7AFF" w:rsidRDefault="001D7AFF" w:rsidP="001D7AFF">
            <w:pPr>
              <w:rPr>
                <w:rFonts w:ascii="Times New Roman" w:hAnsi="Times New Roman" w:cs="Times New Roman"/>
                <w:sz w:val="20"/>
                <w:szCs w:val="20"/>
                <w:lang w:val="en-US"/>
              </w:rPr>
            </w:pPr>
            <w:r w:rsidRPr="001D7AFF">
              <w:rPr>
                <w:rFonts w:ascii="Times New Roman" w:hAnsi="Times New Roman" w:cs="Times New Roman"/>
                <w:sz w:val="20"/>
                <w:szCs w:val="20"/>
                <w:lang w:val="en-US"/>
              </w:rPr>
              <w:t xml:space="preserve">- crude oil corrosion and toxicity </w:t>
            </w:r>
          </w:p>
        </w:tc>
      </w:tr>
      <w:tr w:rsidR="001D7AFF" w:rsidRPr="001D7AFF" w:rsidTr="001D7AFF">
        <w:trPr>
          <w:trHeight w:val="277"/>
          <w:jc w:val="center"/>
        </w:trPr>
        <w:tc>
          <w:tcPr>
            <w:tcW w:w="4205" w:type="dxa"/>
          </w:tcPr>
          <w:p w:rsidR="001D7AFF" w:rsidRPr="001D7AFF" w:rsidRDefault="001D7AFF" w:rsidP="001D7AFF">
            <w:pPr>
              <w:rPr>
                <w:rFonts w:ascii="Times New Roman" w:hAnsi="Times New Roman" w:cs="Times New Roman"/>
                <w:sz w:val="20"/>
                <w:szCs w:val="20"/>
                <w:lang w:val="en-US"/>
              </w:rPr>
            </w:pPr>
            <w:r w:rsidRPr="001D7AFF">
              <w:rPr>
                <w:rFonts w:ascii="Times New Roman" w:hAnsi="Times New Roman" w:cs="Times New Roman"/>
                <w:sz w:val="20"/>
                <w:szCs w:val="20"/>
                <w:lang w:val="en-US"/>
              </w:rPr>
              <w:t xml:space="preserve">Operational Temperature </w:t>
            </w:r>
          </w:p>
        </w:tc>
        <w:tc>
          <w:tcPr>
            <w:tcW w:w="4205" w:type="dxa"/>
          </w:tcPr>
          <w:p w:rsidR="001D7AFF" w:rsidRPr="001D7AFF" w:rsidRDefault="001D7AFF" w:rsidP="001D7AFF">
            <w:pPr>
              <w:rPr>
                <w:rFonts w:ascii="Times New Roman" w:hAnsi="Times New Roman" w:cs="Times New Roman"/>
                <w:sz w:val="20"/>
                <w:szCs w:val="20"/>
                <w:lang w:val="en-US"/>
              </w:rPr>
            </w:pPr>
            <w:r w:rsidRPr="001D7AFF">
              <w:rPr>
                <w:rFonts w:ascii="Times New Roman" w:hAnsi="Times New Roman" w:cs="Times New Roman"/>
                <w:sz w:val="20"/>
                <w:szCs w:val="20"/>
                <w:lang w:val="en-US"/>
              </w:rPr>
              <w:t xml:space="preserve">5 </w:t>
            </w:r>
            <w:r w:rsidRPr="001D7AFF">
              <w:rPr>
                <w:rFonts w:ascii="Times New Roman" w:hAnsi="Times New Roman" w:cs="Times New Roman"/>
                <w:sz w:val="20"/>
                <w:szCs w:val="20"/>
                <w:vertAlign w:val="superscript"/>
                <w:lang w:val="en-US"/>
              </w:rPr>
              <w:t>o</w:t>
            </w:r>
            <w:r w:rsidRPr="001D7AFF">
              <w:rPr>
                <w:rFonts w:ascii="Times New Roman" w:hAnsi="Times New Roman" w:cs="Times New Roman"/>
                <w:sz w:val="20"/>
                <w:szCs w:val="20"/>
                <w:lang w:val="en-US"/>
              </w:rPr>
              <w:t>C</w:t>
            </w:r>
          </w:p>
        </w:tc>
      </w:tr>
      <w:tr w:rsidR="001D7AFF" w:rsidRPr="001D7AFF" w:rsidTr="001D7AFF">
        <w:trPr>
          <w:trHeight w:val="277"/>
          <w:jc w:val="center"/>
        </w:trPr>
        <w:tc>
          <w:tcPr>
            <w:tcW w:w="4205" w:type="dxa"/>
          </w:tcPr>
          <w:p w:rsidR="001D7AFF" w:rsidRPr="001D7AFF" w:rsidRDefault="001D7AFF" w:rsidP="001D7AFF">
            <w:pPr>
              <w:rPr>
                <w:rFonts w:ascii="Times New Roman" w:hAnsi="Times New Roman" w:cs="Times New Roman"/>
                <w:sz w:val="20"/>
                <w:szCs w:val="20"/>
                <w:lang w:val="en-US"/>
              </w:rPr>
            </w:pPr>
            <w:r w:rsidRPr="001D7AFF">
              <w:rPr>
                <w:rFonts w:ascii="Times New Roman" w:hAnsi="Times New Roman" w:cs="Times New Roman"/>
                <w:sz w:val="20"/>
                <w:szCs w:val="20"/>
                <w:lang w:val="en-US"/>
              </w:rPr>
              <w:t xml:space="preserve">Structural loads </w:t>
            </w:r>
          </w:p>
        </w:tc>
        <w:tc>
          <w:tcPr>
            <w:tcW w:w="4205" w:type="dxa"/>
          </w:tcPr>
          <w:p w:rsidR="001D7AFF" w:rsidRPr="001D7AFF" w:rsidRDefault="001D7AFF" w:rsidP="001D7AFF">
            <w:pPr>
              <w:rPr>
                <w:rFonts w:ascii="Times New Roman" w:hAnsi="Times New Roman" w:cs="Times New Roman"/>
                <w:sz w:val="20"/>
                <w:szCs w:val="20"/>
                <w:lang w:val="en-US"/>
              </w:rPr>
            </w:pPr>
            <w:r w:rsidRPr="001D7AFF">
              <w:rPr>
                <w:rFonts w:ascii="Times New Roman" w:hAnsi="Times New Roman" w:cs="Times New Roman"/>
                <w:sz w:val="20"/>
                <w:szCs w:val="20"/>
                <w:lang w:val="en-US"/>
              </w:rPr>
              <w:t xml:space="preserve"> lateral loads equal with 15kN</w:t>
            </w:r>
          </w:p>
        </w:tc>
      </w:tr>
    </w:tbl>
    <w:p w:rsidR="007B5828" w:rsidRDefault="007B5828" w:rsidP="00555FD2">
      <w:pPr>
        <w:spacing w:after="0" w:line="240" w:lineRule="auto"/>
        <w:jc w:val="both"/>
        <w:rPr>
          <w:rFonts w:ascii="Times New Roman" w:hAnsi="Times New Roman" w:cs="Times New Roman"/>
          <w:sz w:val="20"/>
          <w:szCs w:val="20"/>
        </w:rPr>
      </w:pPr>
    </w:p>
    <w:p w:rsidR="00551A94" w:rsidRPr="00551A94" w:rsidRDefault="00551A94" w:rsidP="00551A94">
      <w:pPr>
        <w:spacing w:after="0" w:line="240" w:lineRule="auto"/>
        <w:jc w:val="center"/>
        <w:rPr>
          <w:i/>
          <w:sz w:val="20"/>
          <w:szCs w:val="20"/>
        </w:rPr>
      </w:pPr>
      <w:r w:rsidRPr="00551A94">
        <w:rPr>
          <w:i/>
          <w:noProof/>
          <w:sz w:val="20"/>
          <w:szCs w:val="20"/>
        </w:rPr>
        <w:drawing>
          <wp:inline distT="0" distB="0" distL="0" distR="0" wp14:anchorId="24FBE8FB" wp14:editId="6F25AB3D">
            <wp:extent cx="2413254" cy="1430931"/>
            <wp:effectExtent l="19050" t="0" r="6096" b="0"/>
            <wp:docPr id="94" name="Εικόνα 7" descr="C:\Users\ΔΗΜΗΤΡΗΣ\Desktop\MIFIS\MIFIS_Project Consultancy_Deliverables\ΜΙΦΙΣ_del 3.Photos\SR_dimens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ΔΗΜΗΤΡΗΣ\Desktop\MIFIS\MIFIS_Project Consultancy_Deliverables\ΜΙΦΙΣ_del 3.Photos\SR_dimensions.png"/>
                    <pic:cNvPicPr>
                      <a:picLocks noChangeAspect="1" noChangeArrowheads="1"/>
                    </pic:cNvPicPr>
                  </pic:nvPicPr>
                  <pic:blipFill>
                    <a:blip r:embed="rId20" cstate="print"/>
                    <a:srcRect/>
                    <a:stretch>
                      <a:fillRect/>
                    </a:stretch>
                  </pic:blipFill>
                  <pic:spPr bwMode="auto">
                    <a:xfrm>
                      <a:off x="0" y="0"/>
                      <a:ext cx="2412092" cy="1430242"/>
                    </a:xfrm>
                    <a:prstGeom prst="rect">
                      <a:avLst/>
                    </a:prstGeom>
                    <a:noFill/>
                    <a:ln w="9525">
                      <a:noFill/>
                      <a:miter lim="800000"/>
                      <a:headEnd/>
                      <a:tailEnd/>
                    </a:ln>
                  </pic:spPr>
                </pic:pic>
              </a:graphicData>
            </a:graphic>
          </wp:inline>
        </w:drawing>
      </w:r>
      <w:r w:rsidRPr="00551A94">
        <w:rPr>
          <w:i/>
          <w:noProof/>
          <w:sz w:val="20"/>
          <w:szCs w:val="20"/>
        </w:rPr>
        <w:drawing>
          <wp:inline distT="0" distB="0" distL="0" distR="0" wp14:anchorId="13273CFF" wp14:editId="635BC399">
            <wp:extent cx="1626870" cy="1438182"/>
            <wp:effectExtent l="19050" t="0" r="0" b="0"/>
            <wp:docPr id="95" name="Εικόνα 4" descr="C:\Users\ΔΗΜΗΤΡΗΣ\Desktop\BACKUP\USER\My Documents\SIGGRAFI PhD\Kefalaio 8\daktilio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ΔΗΜΗΤΡΗΣ\Desktop\BACKUP\USER\My Documents\SIGGRAFI PhD\Kefalaio 8\daktilios.JPG"/>
                    <pic:cNvPicPr>
                      <a:picLocks noChangeAspect="1" noChangeArrowheads="1"/>
                    </pic:cNvPicPr>
                  </pic:nvPicPr>
                  <pic:blipFill>
                    <a:blip r:embed="rId21" cstate="print"/>
                    <a:srcRect/>
                    <a:stretch>
                      <a:fillRect/>
                    </a:stretch>
                  </pic:blipFill>
                  <pic:spPr bwMode="auto">
                    <a:xfrm>
                      <a:off x="0" y="0"/>
                      <a:ext cx="1629694" cy="1440679"/>
                    </a:xfrm>
                    <a:prstGeom prst="rect">
                      <a:avLst/>
                    </a:prstGeom>
                    <a:noFill/>
                    <a:ln w="9525">
                      <a:noFill/>
                      <a:miter lim="800000"/>
                      <a:headEnd/>
                      <a:tailEnd/>
                    </a:ln>
                  </pic:spPr>
                </pic:pic>
              </a:graphicData>
            </a:graphic>
          </wp:inline>
        </w:drawing>
      </w:r>
    </w:p>
    <w:p w:rsidR="00551A94" w:rsidRPr="00551A94" w:rsidRDefault="00551A94" w:rsidP="00551A94">
      <w:pPr>
        <w:pStyle w:val="Caption"/>
        <w:jc w:val="center"/>
        <w:rPr>
          <w:i/>
          <w:sz w:val="20"/>
          <w:szCs w:val="20"/>
        </w:rPr>
      </w:pPr>
      <w:r w:rsidRPr="00551A94">
        <w:rPr>
          <w:i/>
          <w:sz w:val="20"/>
          <w:szCs w:val="20"/>
        </w:rPr>
        <w:t xml:space="preserve">Figure </w:t>
      </w:r>
      <w:r w:rsidRPr="00551A94">
        <w:rPr>
          <w:i/>
          <w:sz w:val="20"/>
          <w:szCs w:val="20"/>
        </w:rPr>
        <w:fldChar w:fldCharType="begin"/>
      </w:r>
      <w:r w:rsidRPr="00551A94">
        <w:rPr>
          <w:i/>
          <w:sz w:val="20"/>
          <w:szCs w:val="20"/>
        </w:rPr>
        <w:instrText xml:space="preserve"> SEQ Figure \* ARABIC </w:instrText>
      </w:r>
      <w:r w:rsidRPr="00551A94">
        <w:rPr>
          <w:i/>
          <w:sz w:val="20"/>
          <w:szCs w:val="20"/>
        </w:rPr>
        <w:fldChar w:fldCharType="separate"/>
      </w:r>
      <w:r w:rsidRPr="00551A94">
        <w:rPr>
          <w:i/>
          <w:noProof/>
          <w:sz w:val="20"/>
          <w:szCs w:val="20"/>
        </w:rPr>
        <w:t>9</w:t>
      </w:r>
      <w:r w:rsidRPr="00551A94">
        <w:rPr>
          <w:i/>
          <w:sz w:val="20"/>
          <w:szCs w:val="20"/>
        </w:rPr>
        <w:fldChar w:fldCharType="end"/>
      </w:r>
      <w:r w:rsidRPr="00551A94">
        <w:rPr>
          <w:i/>
          <w:sz w:val="20"/>
          <w:szCs w:val="20"/>
        </w:rPr>
        <w:t>: MIFIS Concept conceptual Stiffening Ring part (left) and DIFIS System detailed design part (right).</w:t>
      </w:r>
    </w:p>
    <w:p w:rsidR="001D7AFF" w:rsidRDefault="001D7AFF" w:rsidP="00555FD2">
      <w:pPr>
        <w:spacing w:after="0" w:line="240" w:lineRule="auto"/>
        <w:jc w:val="both"/>
        <w:rPr>
          <w:rFonts w:ascii="Times New Roman" w:hAnsi="Times New Roman" w:cs="Times New Roman"/>
          <w:sz w:val="20"/>
          <w:szCs w:val="20"/>
        </w:rPr>
      </w:pPr>
    </w:p>
    <w:p w:rsidR="006D4D0A" w:rsidRPr="006D4D0A" w:rsidRDefault="006D4D0A" w:rsidP="006D4D0A">
      <w:pPr>
        <w:spacing w:after="0" w:line="240" w:lineRule="auto"/>
        <w:jc w:val="both"/>
        <w:rPr>
          <w:rFonts w:ascii="Times New Roman" w:hAnsi="Times New Roman" w:cs="Times New Roman"/>
          <w:sz w:val="20"/>
          <w:szCs w:val="20"/>
        </w:rPr>
      </w:pPr>
      <w:r w:rsidRPr="006D4D0A">
        <w:rPr>
          <w:rFonts w:ascii="Times New Roman" w:hAnsi="Times New Roman" w:cs="Times New Roman"/>
          <w:sz w:val="20"/>
          <w:szCs w:val="20"/>
        </w:rPr>
        <w:t xml:space="preserve">These components are similar to DIFIS’s SR. </w:t>
      </w:r>
    </w:p>
    <w:p w:rsidR="006D4D0A" w:rsidRDefault="006D4D0A" w:rsidP="006D4D0A">
      <w:pPr>
        <w:spacing w:after="0" w:line="240" w:lineRule="auto"/>
        <w:jc w:val="both"/>
        <w:rPr>
          <w:rFonts w:ascii="Times New Roman" w:hAnsi="Times New Roman" w:cs="Times New Roman"/>
          <w:sz w:val="20"/>
          <w:szCs w:val="20"/>
        </w:rPr>
      </w:pPr>
    </w:p>
    <w:p w:rsidR="006D4D0A" w:rsidRPr="006D4D0A" w:rsidRDefault="006D4D0A" w:rsidP="006D4D0A">
      <w:pPr>
        <w:spacing w:after="0" w:line="240" w:lineRule="auto"/>
        <w:jc w:val="both"/>
        <w:rPr>
          <w:rFonts w:ascii="Times New Roman" w:hAnsi="Times New Roman" w:cs="Times New Roman"/>
          <w:b/>
          <w:sz w:val="20"/>
          <w:szCs w:val="20"/>
        </w:rPr>
      </w:pPr>
      <w:r w:rsidRPr="006D4D0A">
        <w:rPr>
          <w:rFonts w:ascii="Times New Roman" w:hAnsi="Times New Roman" w:cs="Times New Roman"/>
          <w:b/>
          <w:sz w:val="20"/>
          <w:szCs w:val="20"/>
        </w:rPr>
        <w:t>Heat Induced Device Structural Requirements</w:t>
      </w:r>
    </w:p>
    <w:p w:rsidR="00551A94" w:rsidRDefault="006D4D0A" w:rsidP="006D4D0A">
      <w:pPr>
        <w:spacing w:after="0" w:line="240" w:lineRule="auto"/>
        <w:jc w:val="both"/>
        <w:rPr>
          <w:rFonts w:ascii="Times New Roman" w:hAnsi="Times New Roman" w:cs="Times New Roman"/>
          <w:sz w:val="20"/>
          <w:szCs w:val="20"/>
        </w:rPr>
      </w:pPr>
      <w:r w:rsidRPr="006D4D0A">
        <w:rPr>
          <w:rFonts w:ascii="Times New Roman" w:hAnsi="Times New Roman" w:cs="Times New Roman"/>
          <w:sz w:val="20"/>
          <w:szCs w:val="20"/>
        </w:rPr>
        <w:t>The HID is an optional device for the MIFIS System (Figure 10). It protects the RTCl walls from plug formation (Bai, 2010). It is based on an electric circuit with subsea Batteries (DC current) and heating elements (Subtech, 2009). The produced heat increases the RTC wall temperature, transferring heat energy to the seawater inside the riser. Following this procedure, the water temperature increases and can lead to hydrate decomposition near the walls. This process secures the continuous upward flow in the pipeline. The Structural Requirements and the main design guidelines are summarized in Table 4:</w:t>
      </w:r>
    </w:p>
    <w:p w:rsidR="006D4D0A" w:rsidRDefault="006D4D0A" w:rsidP="006D4D0A">
      <w:pPr>
        <w:spacing w:after="0" w:line="240" w:lineRule="auto"/>
        <w:jc w:val="both"/>
        <w:rPr>
          <w:rFonts w:ascii="Times New Roman" w:hAnsi="Times New Roman" w:cs="Times New Roman"/>
          <w:sz w:val="20"/>
          <w:szCs w:val="20"/>
        </w:rPr>
      </w:pPr>
    </w:p>
    <w:p w:rsidR="006D4D0A" w:rsidRDefault="008F2D7B" w:rsidP="008F2D7B">
      <w:pPr>
        <w:spacing w:after="0" w:line="240" w:lineRule="auto"/>
        <w:jc w:val="center"/>
        <w:rPr>
          <w:rFonts w:ascii="Times New Roman" w:hAnsi="Times New Roman" w:cs="Times New Roman"/>
          <w:b/>
          <w:i/>
          <w:sz w:val="20"/>
          <w:szCs w:val="20"/>
        </w:rPr>
      </w:pPr>
      <w:r w:rsidRPr="008F2D7B">
        <w:rPr>
          <w:rFonts w:ascii="Times New Roman" w:hAnsi="Times New Roman" w:cs="Times New Roman"/>
          <w:b/>
          <w:i/>
          <w:sz w:val="20"/>
          <w:szCs w:val="20"/>
        </w:rPr>
        <w:t>Table 4: Heat inhibitor device (HID) Design Structural Requirements.</w:t>
      </w:r>
    </w:p>
    <w:tbl>
      <w:tblPr>
        <w:tblStyle w:val="TableGrid0"/>
        <w:tblW w:w="0" w:type="auto"/>
        <w:jc w:val="center"/>
        <w:tblLook w:val="04A0" w:firstRow="1" w:lastRow="0" w:firstColumn="1" w:lastColumn="0" w:noHBand="0" w:noVBand="1"/>
      </w:tblPr>
      <w:tblGrid>
        <w:gridCol w:w="4003"/>
        <w:gridCol w:w="4003"/>
      </w:tblGrid>
      <w:tr w:rsidR="008F2D7B" w:rsidRPr="008F2D7B" w:rsidTr="008F2D7B">
        <w:trPr>
          <w:trHeight w:val="260"/>
          <w:jc w:val="center"/>
        </w:trPr>
        <w:tc>
          <w:tcPr>
            <w:tcW w:w="8005" w:type="dxa"/>
            <w:gridSpan w:val="2"/>
          </w:tcPr>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 xml:space="preserve">HID Structural Requirements </w:t>
            </w:r>
          </w:p>
        </w:tc>
      </w:tr>
      <w:tr w:rsidR="008F2D7B" w:rsidRPr="008F2D7B" w:rsidTr="008F2D7B">
        <w:trPr>
          <w:trHeight w:val="268"/>
          <w:jc w:val="center"/>
        </w:trPr>
        <w:tc>
          <w:tcPr>
            <w:tcW w:w="4003" w:type="dxa"/>
          </w:tcPr>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Dimensions (mm)</w:t>
            </w:r>
          </w:p>
        </w:tc>
        <w:tc>
          <w:tcPr>
            <w:tcW w:w="4003" w:type="dxa"/>
          </w:tcPr>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 xml:space="preserve">400 x 150 x 150 </w:t>
            </w:r>
          </w:p>
        </w:tc>
      </w:tr>
      <w:tr w:rsidR="008F2D7B" w:rsidRPr="008F2D7B" w:rsidTr="008F2D7B">
        <w:trPr>
          <w:trHeight w:val="268"/>
          <w:jc w:val="center"/>
        </w:trPr>
        <w:tc>
          <w:tcPr>
            <w:tcW w:w="4003" w:type="dxa"/>
          </w:tcPr>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Material properties</w:t>
            </w:r>
          </w:p>
        </w:tc>
        <w:tc>
          <w:tcPr>
            <w:tcW w:w="4003" w:type="dxa"/>
          </w:tcPr>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Steel structure</w:t>
            </w:r>
          </w:p>
        </w:tc>
      </w:tr>
      <w:tr w:rsidR="008F2D7B" w:rsidRPr="008F2D7B" w:rsidTr="008F2D7B">
        <w:trPr>
          <w:trHeight w:val="268"/>
          <w:jc w:val="center"/>
        </w:trPr>
        <w:tc>
          <w:tcPr>
            <w:tcW w:w="4003" w:type="dxa"/>
          </w:tcPr>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Mass in air (tons)</w:t>
            </w:r>
          </w:p>
        </w:tc>
        <w:tc>
          <w:tcPr>
            <w:tcW w:w="4003" w:type="dxa"/>
          </w:tcPr>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Max 20 kg per pack</w:t>
            </w:r>
          </w:p>
        </w:tc>
      </w:tr>
      <w:tr w:rsidR="008F2D7B" w:rsidRPr="008F2D7B" w:rsidTr="008F2D7B">
        <w:trPr>
          <w:trHeight w:val="268"/>
          <w:jc w:val="center"/>
        </w:trPr>
        <w:tc>
          <w:tcPr>
            <w:tcW w:w="4003" w:type="dxa"/>
          </w:tcPr>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Chemical corrosion resistance</w:t>
            </w:r>
          </w:p>
        </w:tc>
        <w:tc>
          <w:tcPr>
            <w:tcW w:w="4003" w:type="dxa"/>
          </w:tcPr>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 seawater corrosion (&gt;35 ppt)</w:t>
            </w:r>
          </w:p>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 xml:space="preserve">- the crude oil corrosion and toxicity </w:t>
            </w:r>
          </w:p>
          <w:p w:rsidR="008F2D7B" w:rsidRPr="008F2D7B" w:rsidRDefault="008F2D7B" w:rsidP="008F2D7B">
            <w:pPr>
              <w:rPr>
                <w:rFonts w:ascii="Times New Roman" w:hAnsi="Times New Roman" w:cs="Times New Roman"/>
                <w:sz w:val="20"/>
                <w:szCs w:val="20"/>
                <w:lang w:val="en-US"/>
              </w:rPr>
            </w:pPr>
          </w:p>
        </w:tc>
      </w:tr>
      <w:tr w:rsidR="008F2D7B" w:rsidRPr="008F2D7B" w:rsidTr="008F2D7B">
        <w:trPr>
          <w:trHeight w:val="268"/>
          <w:jc w:val="center"/>
        </w:trPr>
        <w:tc>
          <w:tcPr>
            <w:tcW w:w="4003" w:type="dxa"/>
          </w:tcPr>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 xml:space="preserve">Operational Temperature </w:t>
            </w:r>
          </w:p>
        </w:tc>
        <w:tc>
          <w:tcPr>
            <w:tcW w:w="4003" w:type="dxa"/>
          </w:tcPr>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 xml:space="preserve">At least 5 </w:t>
            </w:r>
            <w:r w:rsidRPr="008F2D7B">
              <w:rPr>
                <w:rFonts w:ascii="Times New Roman" w:hAnsi="Times New Roman" w:cs="Times New Roman"/>
                <w:sz w:val="20"/>
                <w:szCs w:val="20"/>
                <w:vertAlign w:val="superscript"/>
                <w:lang w:val="en-US"/>
              </w:rPr>
              <w:t>o</w:t>
            </w:r>
            <w:r w:rsidRPr="008F2D7B">
              <w:rPr>
                <w:rFonts w:ascii="Times New Roman" w:hAnsi="Times New Roman" w:cs="Times New Roman"/>
                <w:sz w:val="20"/>
                <w:szCs w:val="20"/>
                <w:lang w:val="en-US"/>
              </w:rPr>
              <w:t>C</w:t>
            </w:r>
          </w:p>
        </w:tc>
      </w:tr>
      <w:tr w:rsidR="008F2D7B" w:rsidRPr="008F2D7B" w:rsidTr="008F2D7B">
        <w:trPr>
          <w:trHeight w:val="268"/>
          <w:jc w:val="center"/>
        </w:trPr>
        <w:tc>
          <w:tcPr>
            <w:tcW w:w="4003" w:type="dxa"/>
          </w:tcPr>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 xml:space="preserve">Structural loads </w:t>
            </w:r>
          </w:p>
        </w:tc>
        <w:tc>
          <w:tcPr>
            <w:tcW w:w="4003" w:type="dxa"/>
          </w:tcPr>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 xml:space="preserve"> Hydrostatic pressure of 2000 meters (200 bars)</w:t>
            </w:r>
          </w:p>
        </w:tc>
      </w:tr>
      <w:tr w:rsidR="008F2D7B" w:rsidRPr="008F2D7B" w:rsidTr="008F2D7B">
        <w:trPr>
          <w:trHeight w:val="268"/>
          <w:jc w:val="center"/>
        </w:trPr>
        <w:tc>
          <w:tcPr>
            <w:tcW w:w="4003" w:type="dxa"/>
          </w:tcPr>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Heated Water film thickness</w:t>
            </w:r>
          </w:p>
        </w:tc>
        <w:tc>
          <w:tcPr>
            <w:tcW w:w="4003" w:type="dxa"/>
          </w:tcPr>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 xml:space="preserve">-At least 10 mm </w:t>
            </w:r>
          </w:p>
          <w:p w:rsidR="008F2D7B" w:rsidRPr="008F2D7B" w:rsidRDefault="008F2D7B" w:rsidP="008F2D7B">
            <w:pPr>
              <w:rPr>
                <w:rFonts w:ascii="Times New Roman" w:hAnsi="Times New Roman" w:cs="Times New Roman"/>
                <w:sz w:val="20"/>
                <w:szCs w:val="20"/>
                <w:lang w:val="en-US"/>
              </w:rPr>
            </w:pPr>
            <w:r w:rsidRPr="008F2D7B">
              <w:rPr>
                <w:rFonts w:ascii="Times New Roman" w:hAnsi="Times New Roman" w:cs="Times New Roman"/>
                <w:sz w:val="20"/>
                <w:szCs w:val="20"/>
                <w:lang w:val="en-US"/>
              </w:rPr>
              <w:t>The wall temperature has to be increased from 2</w:t>
            </w:r>
            <w:r w:rsidRPr="008F2D7B">
              <w:rPr>
                <w:rFonts w:ascii="Times New Roman" w:hAnsi="Times New Roman" w:cs="Times New Roman"/>
                <w:sz w:val="20"/>
                <w:szCs w:val="20"/>
                <w:vertAlign w:val="superscript"/>
                <w:lang w:val="en-US"/>
              </w:rPr>
              <w:t>o</w:t>
            </w:r>
            <w:r w:rsidRPr="008F2D7B">
              <w:rPr>
                <w:rFonts w:ascii="Times New Roman" w:hAnsi="Times New Roman" w:cs="Times New Roman"/>
                <w:sz w:val="20"/>
                <w:szCs w:val="20"/>
                <w:lang w:val="en-US"/>
              </w:rPr>
              <w:t>C to 27</w:t>
            </w:r>
            <w:r w:rsidRPr="008F2D7B">
              <w:rPr>
                <w:rFonts w:ascii="Times New Roman" w:hAnsi="Times New Roman" w:cs="Times New Roman"/>
                <w:sz w:val="20"/>
                <w:szCs w:val="20"/>
                <w:vertAlign w:val="superscript"/>
                <w:lang w:val="en-US"/>
              </w:rPr>
              <w:t>o</w:t>
            </w:r>
            <w:r w:rsidRPr="008F2D7B">
              <w:rPr>
                <w:rFonts w:ascii="Times New Roman" w:hAnsi="Times New Roman" w:cs="Times New Roman"/>
                <w:sz w:val="20"/>
                <w:szCs w:val="20"/>
                <w:lang w:val="en-US"/>
              </w:rPr>
              <w:t>C.</w:t>
            </w:r>
          </w:p>
        </w:tc>
      </w:tr>
    </w:tbl>
    <w:p w:rsidR="008F2D7B" w:rsidRPr="008F2D7B" w:rsidRDefault="008F2D7B" w:rsidP="008F2D7B">
      <w:pPr>
        <w:spacing w:after="0" w:line="240" w:lineRule="auto"/>
        <w:jc w:val="center"/>
        <w:rPr>
          <w:rFonts w:ascii="Times New Roman" w:hAnsi="Times New Roman" w:cs="Times New Roman"/>
          <w:b/>
          <w:i/>
          <w:sz w:val="20"/>
          <w:szCs w:val="20"/>
        </w:rPr>
      </w:pPr>
    </w:p>
    <w:p w:rsidR="00704986" w:rsidRPr="00704986" w:rsidRDefault="00704986" w:rsidP="00704986">
      <w:pPr>
        <w:spacing w:after="0" w:line="240" w:lineRule="auto"/>
        <w:jc w:val="center"/>
        <w:rPr>
          <w:i/>
          <w:sz w:val="20"/>
          <w:szCs w:val="20"/>
        </w:rPr>
      </w:pPr>
      <w:r w:rsidRPr="00704986">
        <w:rPr>
          <w:i/>
          <w:noProof/>
          <w:sz w:val="20"/>
          <w:szCs w:val="20"/>
        </w:rPr>
        <w:drawing>
          <wp:inline distT="0" distB="0" distL="0" distR="0" wp14:anchorId="7B9C0139" wp14:editId="2AE7F2A0">
            <wp:extent cx="3069590" cy="1760242"/>
            <wp:effectExtent l="19050" t="0" r="0" b="0"/>
            <wp:docPr id="8" name="Εικόνα 8" descr="C:\Users\ΔΗΜΗΤΡΗΣ\Desktop\MIFIS\MIFIS_Project Consultancy_Deliverables\ΜΙΦΙΣ_del 3.Photos\HI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ΔΗΜΗΤΡΗΣ\Desktop\MIFIS\MIFIS_Project Consultancy_Deliverables\ΜΙΦΙΣ_del 3.Photos\HID.PNG"/>
                    <pic:cNvPicPr>
                      <a:picLocks noChangeAspect="1" noChangeArrowheads="1"/>
                    </pic:cNvPicPr>
                  </pic:nvPicPr>
                  <pic:blipFill>
                    <a:blip r:embed="rId22" cstate="print"/>
                    <a:srcRect/>
                    <a:stretch>
                      <a:fillRect/>
                    </a:stretch>
                  </pic:blipFill>
                  <pic:spPr bwMode="auto">
                    <a:xfrm>
                      <a:off x="0" y="0"/>
                      <a:ext cx="3071549" cy="1761365"/>
                    </a:xfrm>
                    <a:prstGeom prst="rect">
                      <a:avLst/>
                    </a:prstGeom>
                    <a:noFill/>
                    <a:ln w="9525">
                      <a:noFill/>
                      <a:miter lim="800000"/>
                      <a:headEnd/>
                      <a:tailEnd/>
                    </a:ln>
                  </pic:spPr>
                </pic:pic>
              </a:graphicData>
            </a:graphic>
          </wp:inline>
        </w:drawing>
      </w:r>
    </w:p>
    <w:p w:rsidR="00704986" w:rsidRPr="00704986" w:rsidRDefault="00704986" w:rsidP="00704986">
      <w:pPr>
        <w:pStyle w:val="Caption"/>
        <w:jc w:val="center"/>
        <w:rPr>
          <w:i/>
          <w:sz w:val="20"/>
          <w:szCs w:val="20"/>
        </w:rPr>
      </w:pPr>
      <w:r w:rsidRPr="00704986">
        <w:rPr>
          <w:i/>
          <w:sz w:val="20"/>
          <w:szCs w:val="20"/>
        </w:rPr>
        <w:t xml:space="preserve">Figure </w:t>
      </w:r>
      <w:r w:rsidRPr="00704986">
        <w:rPr>
          <w:i/>
          <w:sz w:val="20"/>
          <w:szCs w:val="20"/>
        </w:rPr>
        <w:fldChar w:fldCharType="begin"/>
      </w:r>
      <w:r w:rsidRPr="00704986">
        <w:rPr>
          <w:i/>
          <w:sz w:val="20"/>
          <w:szCs w:val="20"/>
        </w:rPr>
        <w:instrText xml:space="preserve"> SEQ Figure \* ARABIC </w:instrText>
      </w:r>
      <w:r w:rsidRPr="00704986">
        <w:rPr>
          <w:i/>
          <w:sz w:val="20"/>
          <w:szCs w:val="20"/>
        </w:rPr>
        <w:fldChar w:fldCharType="separate"/>
      </w:r>
      <w:r w:rsidRPr="00704986">
        <w:rPr>
          <w:i/>
          <w:noProof/>
          <w:sz w:val="20"/>
          <w:szCs w:val="20"/>
        </w:rPr>
        <w:t>10</w:t>
      </w:r>
      <w:r w:rsidRPr="00704986">
        <w:rPr>
          <w:i/>
          <w:sz w:val="20"/>
          <w:szCs w:val="20"/>
        </w:rPr>
        <w:fldChar w:fldCharType="end"/>
      </w:r>
      <w:r w:rsidRPr="00704986">
        <w:rPr>
          <w:i/>
          <w:sz w:val="20"/>
          <w:szCs w:val="20"/>
        </w:rPr>
        <w:t>: Heat/Inhibitor Device Location on the SR structure</w:t>
      </w:r>
    </w:p>
    <w:p w:rsidR="00214126" w:rsidRDefault="00214126" w:rsidP="00555FD2">
      <w:pPr>
        <w:spacing w:after="0" w:line="240" w:lineRule="auto"/>
        <w:jc w:val="both"/>
        <w:rPr>
          <w:rFonts w:ascii="Times New Roman" w:hAnsi="Times New Roman" w:cs="Times New Roman"/>
          <w:sz w:val="20"/>
          <w:szCs w:val="20"/>
        </w:rPr>
      </w:pPr>
    </w:p>
    <w:p w:rsidR="00386B89" w:rsidRPr="00386B89" w:rsidRDefault="00386B89" w:rsidP="00386B89">
      <w:p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 xml:space="preserve">The HID units are included to the MIFIS System as additional components for specific use and are supplied by EU manufacturers.   </w:t>
      </w:r>
    </w:p>
    <w:p w:rsidR="00386B89" w:rsidRDefault="00386B89" w:rsidP="00386B89">
      <w:pPr>
        <w:pStyle w:val="Heading3"/>
        <w:spacing w:before="0" w:line="240" w:lineRule="auto"/>
        <w:jc w:val="both"/>
        <w:rPr>
          <w:rFonts w:ascii="Times New Roman" w:hAnsi="Times New Roman" w:cs="Times New Roman"/>
          <w:sz w:val="20"/>
          <w:szCs w:val="20"/>
        </w:rPr>
      </w:pPr>
    </w:p>
    <w:p w:rsidR="00386B89" w:rsidRPr="00386B89" w:rsidRDefault="00386B89" w:rsidP="00386B89">
      <w:pPr>
        <w:pStyle w:val="Heading3"/>
        <w:spacing w:before="0" w:line="240" w:lineRule="auto"/>
        <w:jc w:val="both"/>
        <w:rPr>
          <w:rFonts w:ascii="Times New Roman" w:hAnsi="Times New Roman" w:cs="Times New Roman"/>
          <w:b/>
          <w:sz w:val="20"/>
          <w:szCs w:val="20"/>
        </w:rPr>
      </w:pPr>
      <w:r w:rsidRPr="00386B89">
        <w:rPr>
          <w:rFonts w:ascii="Times New Roman" w:hAnsi="Times New Roman" w:cs="Times New Roman"/>
          <w:b/>
          <w:color w:val="000000" w:themeColor="text1"/>
          <w:sz w:val="20"/>
          <w:szCs w:val="20"/>
        </w:rPr>
        <w:t>Pressure-Gravitational Buffer Bell Separator Structural Requirements</w:t>
      </w:r>
    </w:p>
    <w:p w:rsidR="00386B89" w:rsidRDefault="00386B89" w:rsidP="00386B89">
      <w:p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PG-BBS functions (Mazarakos and Kostopoulos Part 3, 2015) are based on the gas pressure and the stratified gravitational separation. The advantage of the PG-BBS is that can operate at open bottom sea conditions under the hydrostatic depth pressure. It is an innovative and patented structure. The PG-BBS is consisted of 7 main parts, as are presented in Figure 11:</w:t>
      </w:r>
    </w:p>
    <w:p w:rsidR="00386B89" w:rsidRPr="00386B89" w:rsidRDefault="00386B89" w:rsidP="00386B89">
      <w:pPr>
        <w:spacing w:after="0" w:line="240" w:lineRule="auto"/>
        <w:jc w:val="both"/>
        <w:rPr>
          <w:rFonts w:ascii="Times New Roman" w:hAnsi="Times New Roman" w:cs="Times New Roman"/>
          <w:sz w:val="20"/>
          <w:szCs w:val="20"/>
        </w:rPr>
      </w:pPr>
    </w:p>
    <w:p w:rsidR="00386B89" w:rsidRPr="00386B89" w:rsidRDefault="00386B89" w:rsidP="00386B89">
      <w:pPr>
        <w:keepNext/>
        <w:spacing w:after="0" w:line="240" w:lineRule="auto"/>
        <w:jc w:val="center"/>
        <w:rPr>
          <w:rFonts w:ascii="Times New Roman" w:hAnsi="Times New Roman" w:cs="Times New Roman"/>
          <w:i/>
          <w:sz w:val="20"/>
          <w:szCs w:val="20"/>
        </w:rPr>
      </w:pPr>
      <w:r w:rsidRPr="00386B89">
        <w:rPr>
          <w:rFonts w:ascii="Times New Roman" w:hAnsi="Times New Roman" w:cs="Times New Roman"/>
          <w:i/>
          <w:noProof/>
          <w:sz w:val="20"/>
          <w:szCs w:val="20"/>
        </w:rPr>
        <w:drawing>
          <wp:inline distT="0" distB="0" distL="0" distR="0" wp14:anchorId="2961D256" wp14:editId="28CEF793">
            <wp:extent cx="5175357" cy="3883674"/>
            <wp:effectExtent l="19050" t="0" r="6243" b="0"/>
            <wp:docPr id="96" name="Εικόνα 3" descr="C:\Users\ΔΗΜΗΤΡΗΣ\Desktop\MIFIS\MIFIS Preliminary Design\PG-BBS\Διαφάνεια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ΔΗΜΗΤΡΗΣ\Desktop\MIFIS\MIFIS Preliminary Design\PG-BBS\Διαφάνεια6.JPG"/>
                    <pic:cNvPicPr>
                      <a:picLocks noChangeAspect="1" noChangeArrowheads="1"/>
                    </pic:cNvPicPr>
                  </pic:nvPicPr>
                  <pic:blipFill>
                    <a:blip r:embed="rId23" cstate="print"/>
                    <a:srcRect/>
                    <a:stretch>
                      <a:fillRect/>
                    </a:stretch>
                  </pic:blipFill>
                  <pic:spPr bwMode="auto">
                    <a:xfrm>
                      <a:off x="0" y="0"/>
                      <a:ext cx="5176928" cy="3884853"/>
                    </a:xfrm>
                    <a:prstGeom prst="rect">
                      <a:avLst/>
                    </a:prstGeom>
                    <a:noFill/>
                    <a:ln w="9525">
                      <a:noFill/>
                      <a:miter lim="800000"/>
                      <a:headEnd/>
                      <a:tailEnd/>
                    </a:ln>
                  </pic:spPr>
                </pic:pic>
              </a:graphicData>
            </a:graphic>
          </wp:inline>
        </w:drawing>
      </w:r>
    </w:p>
    <w:p w:rsidR="00386B89" w:rsidRPr="00386B89" w:rsidRDefault="00386B89" w:rsidP="00386B89">
      <w:pPr>
        <w:pStyle w:val="Caption"/>
        <w:jc w:val="center"/>
        <w:rPr>
          <w:i/>
          <w:sz w:val="20"/>
          <w:szCs w:val="20"/>
        </w:rPr>
      </w:pPr>
      <w:r w:rsidRPr="00386B89">
        <w:rPr>
          <w:i/>
          <w:sz w:val="20"/>
          <w:szCs w:val="20"/>
        </w:rPr>
        <w:t xml:space="preserve">Figure </w:t>
      </w:r>
      <w:r w:rsidRPr="00386B89">
        <w:rPr>
          <w:i/>
          <w:sz w:val="20"/>
          <w:szCs w:val="20"/>
        </w:rPr>
        <w:fldChar w:fldCharType="begin"/>
      </w:r>
      <w:r w:rsidRPr="00386B89">
        <w:rPr>
          <w:i/>
          <w:sz w:val="20"/>
          <w:szCs w:val="20"/>
        </w:rPr>
        <w:instrText xml:space="preserve"> SEQ Figure \* ARABIC </w:instrText>
      </w:r>
      <w:r w:rsidRPr="00386B89">
        <w:rPr>
          <w:i/>
          <w:sz w:val="20"/>
          <w:szCs w:val="20"/>
        </w:rPr>
        <w:fldChar w:fldCharType="separate"/>
      </w:r>
      <w:r w:rsidRPr="00386B89">
        <w:rPr>
          <w:i/>
          <w:noProof/>
          <w:sz w:val="20"/>
          <w:szCs w:val="20"/>
        </w:rPr>
        <w:t>11</w:t>
      </w:r>
      <w:r w:rsidRPr="00386B89">
        <w:rPr>
          <w:i/>
          <w:sz w:val="20"/>
          <w:szCs w:val="20"/>
        </w:rPr>
        <w:fldChar w:fldCharType="end"/>
      </w:r>
      <w:r w:rsidRPr="00386B89">
        <w:rPr>
          <w:i/>
          <w:sz w:val="20"/>
          <w:szCs w:val="20"/>
        </w:rPr>
        <w:t>: Cross-Section of the PG-BBS with the main parts</w:t>
      </w:r>
    </w:p>
    <w:p w:rsidR="00386B89" w:rsidRPr="00386B89" w:rsidRDefault="00386B89" w:rsidP="00386B89">
      <w:p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 xml:space="preserve">The main parts are: </w:t>
      </w:r>
    </w:p>
    <w:p w:rsidR="00386B89" w:rsidRPr="00386B89" w:rsidRDefault="00386B89" w:rsidP="00386B89">
      <w:pPr>
        <w:pStyle w:val="ListParagraph"/>
        <w:numPr>
          <w:ilvl w:val="0"/>
          <w:numId w:val="37"/>
        </w:num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external hull (1) where the seawater and the separated oil from the mixture are temporary stored in order to pass through the upper riser tube (6)</w:t>
      </w:r>
    </w:p>
    <w:p w:rsidR="00386B89" w:rsidRPr="00386B89" w:rsidRDefault="00386B89" w:rsidP="00386B89">
      <w:pPr>
        <w:pStyle w:val="ListParagraph"/>
        <w:numPr>
          <w:ilvl w:val="0"/>
          <w:numId w:val="37"/>
        </w:num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chamber (2) where the mixture is separated.</w:t>
      </w:r>
    </w:p>
    <w:p w:rsidR="00386B89" w:rsidRPr="00386B89" w:rsidRDefault="00386B89" w:rsidP="00386B89">
      <w:pPr>
        <w:pStyle w:val="ListParagraph"/>
        <w:numPr>
          <w:ilvl w:val="0"/>
          <w:numId w:val="37"/>
        </w:num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End Stop links (3) that control the maximum position that can be reached by the piston ram (8). Similar end stops there are at the lower part of the chamber controlling the minimum position of the piston ram.</w:t>
      </w:r>
    </w:p>
    <w:p w:rsidR="00386B89" w:rsidRPr="00386B89" w:rsidRDefault="00386B89" w:rsidP="00386B89">
      <w:pPr>
        <w:pStyle w:val="ListParagraph"/>
        <w:numPr>
          <w:ilvl w:val="0"/>
          <w:numId w:val="37"/>
        </w:num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Connection Rings which are structural parts and connect the external hull with the chamber (4). They also secure that the PG-BBS can act as continuous structure.</w:t>
      </w:r>
    </w:p>
    <w:p w:rsidR="00386B89" w:rsidRPr="00386B89" w:rsidRDefault="00386B89" w:rsidP="00386B89">
      <w:pPr>
        <w:pStyle w:val="ListParagraph"/>
        <w:numPr>
          <w:ilvl w:val="0"/>
          <w:numId w:val="37"/>
        </w:num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Gas Regulator Valve (5), which controls the gas release from the chamber to a storing unit (FPSO, DP platform etc) through an umbilical flexible riser tube.</w:t>
      </w:r>
    </w:p>
    <w:p w:rsidR="00386B89" w:rsidRPr="00386B89" w:rsidRDefault="00386B89" w:rsidP="00386B89">
      <w:pPr>
        <w:pStyle w:val="ListParagraph"/>
        <w:numPr>
          <w:ilvl w:val="0"/>
          <w:numId w:val="37"/>
        </w:num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Riser Tube Column (RTC) (6) where: a) the oil/water separated mixture (upper RTC) is guided to the Buffer Bell and b) the blow-out mixture (lower RTC) is gathered and guided to the PG-BBS. The lower RTC is supported inside the Chamber using the RTC support.</w:t>
      </w:r>
    </w:p>
    <w:p w:rsidR="00386B89" w:rsidRPr="00386B89" w:rsidRDefault="00386B89" w:rsidP="00386B89">
      <w:pPr>
        <w:pStyle w:val="ListParagraph"/>
        <w:numPr>
          <w:ilvl w:val="0"/>
          <w:numId w:val="37"/>
        </w:num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Oil Regulator Valve (7), which controls the oil release from the chamber to the seawater internally to the PG-BBS (between the external hull and the chamber).</w:t>
      </w:r>
    </w:p>
    <w:p w:rsidR="00386B89" w:rsidRPr="00386B89" w:rsidRDefault="00386B89" w:rsidP="00386B89">
      <w:pPr>
        <w:pStyle w:val="ListParagraph"/>
        <w:numPr>
          <w:ilvl w:val="0"/>
          <w:numId w:val="37"/>
        </w:num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Ram piston (8) which controls the volume that is occupied by seawater and oil using the gas pressure.</w:t>
      </w:r>
    </w:p>
    <w:p w:rsidR="00386B89" w:rsidRDefault="00386B89" w:rsidP="00386B89">
      <w:pPr>
        <w:spacing w:after="0" w:line="240" w:lineRule="auto"/>
        <w:jc w:val="both"/>
        <w:rPr>
          <w:rFonts w:ascii="Times New Roman" w:hAnsi="Times New Roman" w:cs="Times New Roman"/>
          <w:sz w:val="20"/>
          <w:szCs w:val="20"/>
        </w:rPr>
      </w:pPr>
    </w:p>
    <w:p w:rsidR="00386B89" w:rsidRPr="00386B89" w:rsidRDefault="00386B89" w:rsidP="00386B89">
      <w:p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structural requirements and the design guidelines for PG-BBS (Figure 12) are presented on Table 5:</w:t>
      </w:r>
    </w:p>
    <w:tbl>
      <w:tblPr>
        <w:tblStyle w:val="TableGrid0"/>
        <w:tblW w:w="0" w:type="auto"/>
        <w:jc w:val="center"/>
        <w:tblLook w:val="04A0" w:firstRow="1" w:lastRow="0" w:firstColumn="1" w:lastColumn="0" w:noHBand="0" w:noVBand="1"/>
      </w:tblPr>
      <w:tblGrid>
        <w:gridCol w:w="4185"/>
        <w:gridCol w:w="4186"/>
      </w:tblGrid>
      <w:tr w:rsidR="00386B89" w:rsidRPr="00386B89" w:rsidTr="00386B89">
        <w:trPr>
          <w:trHeight w:val="256"/>
          <w:jc w:val="center"/>
        </w:trPr>
        <w:tc>
          <w:tcPr>
            <w:tcW w:w="8371" w:type="dxa"/>
            <w:gridSpan w:val="2"/>
          </w:tcPr>
          <w:p w:rsidR="00386B89" w:rsidRPr="00386B89" w:rsidRDefault="00386B89" w:rsidP="00386B89">
            <w:pPr>
              <w:jc w:val="both"/>
              <w:rPr>
                <w:rFonts w:ascii="Times New Roman" w:hAnsi="Times New Roman" w:cs="Times New Roman"/>
                <w:b/>
                <w:sz w:val="20"/>
                <w:szCs w:val="20"/>
                <w:lang w:val="en-US"/>
              </w:rPr>
            </w:pPr>
            <w:r w:rsidRPr="00386B89">
              <w:rPr>
                <w:rFonts w:ascii="Times New Roman" w:hAnsi="Times New Roman" w:cs="Times New Roman"/>
                <w:b/>
                <w:sz w:val="20"/>
                <w:szCs w:val="20"/>
                <w:lang w:val="en-US"/>
              </w:rPr>
              <w:t xml:space="preserve">PG-BBS  Structural Requirements </w:t>
            </w:r>
          </w:p>
        </w:tc>
      </w:tr>
      <w:tr w:rsidR="00386B89" w:rsidRPr="00386B89" w:rsidTr="00386B89">
        <w:trPr>
          <w:trHeight w:val="264"/>
          <w:jc w:val="center"/>
        </w:trPr>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Maximum PG-BBS volume (m</w:t>
            </w:r>
            <w:r w:rsidRPr="00386B89">
              <w:rPr>
                <w:rFonts w:ascii="Times New Roman" w:hAnsi="Times New Roman" w:cs="Times New Roman"/>
                <w:sz w:val="20"/>
                <w:szCs w:val="20"/>
                <w:vertAlign w:val="superscript"/>
                <w:lang w:val="en-US"/>
              </w:rPr>
              <w:t>3</w:t>
            </w:r>
            <w:r w:rsidRPr="00386B89">
              <w:rPr>
                <w:rFonts w:ascii="Times New Roman" w:hAnsi="Times New Roman" w:cs="Times New Roman"/>
                <w:sz w:val="20"/>
                <w:szCs w:val="20"/>
                <w:lang w:val="en-US"/>
              </w:rPr>
              <w:t xml:space="preserve">) </w:t>
            </w:r>
          </w:p>
          <w:p w:rsidR="00386B89" w:rsidRPr="00386B89" w:rsidRDefault="00386B89" w:rsidP="00386B89">
            <w:pPr>
              <w:jc w:val="both"/>
              <w:rPr>
                <w:rFonts w:ascii="Times New Roman" w:hAnsi="Times New Roman" w:cs="Times New Roman"/>
                <w:sz w:val="20"/>
                <w:szCs w:val="20"/>
                <w:lang w:val="en-US"/>
              </w:rPr>
            </w:pPr>
          </w:p>
        </w:tc>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5800</w:t>
            </w:r>
          </w:p>
        </w:tc>
      </w:tr>
      <w:tr w:rsidR="00386B89" w:rsidRPr="00386B89" w:rsidTr="00386B89">
        <w:trPr>
          <w:trHeight w:val="535"/>
          <w:jc w:val="center"/>
        </w:trPr>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Dimensions for External Hull</w:t>
            </w:r>
          </w:p>
        </w:tc>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Diameter: 18 meters</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Length: 40 meters</w:t>
            </w:r>
          </w:p>
        </w:tc>
      </w:tr>
      <w:tr w:rsidR="00386B89" w:rsidRPr="00386B89" w:rsidTr="00386B89">
        <w:trPr>
          <w:trHeight w:val="534"/>
          <w:jc w:val="center"/>
        </w:trPr>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Dimensions for Chamber</w:t>
            </w:r>
          </w:p>
        </w:tc>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Diameter: 10 meters</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Length: 22 meters</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Volume: 950 m</w:t>
            </w:r>
            <w:r w:rsidRPr="00386B89">
              <w:rPr>
                <w:rFonts w:ascii="Times New Roman" w:hAnsi="Times New Roman" w:cs="Times New Roman"/>
                <w:sz w:val="20"/>
                <w:szCs w:val="20"/>
                <w:vertAlign w:val="superscript"/>
                <w:lang w:val="en-US"/>
              </w:rPr>
              <w:t>3</w:t>
            </w:r>
          </w:p>
        </w:tc>
      </w:tr>
      <w:tr w:rsidR="00386B89" w:rsidRPr="00386B89" w:rsidTr="00386B89">
        <w:trPr>
          <w:trHeight w:val="534"/>
          <w:jc w:val="center"/>
        </w:trPr>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Connecting Rings</w:t>
            </w:r>
          </w:p>
        </w:tc>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-Lightweight structure</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-Connecting and Supporting the external hull with chamber</w:t>
            </w:r>
          </w:p>
        </w:tc>
      </w:tr>
      <w:tr w:rsidR="00386B89" w:rsidRPr="00386B89" w:rsidTr="00386B89">
        <w:trPr>
          <w:trHeight w:val="534"/>
          <w:jc w:val="center"/>
        </w:trPr>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End Stops</w:t>
            </w:r>
          </w:p>
        </w:tc>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-Light Weight structure</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-Securing the Ram-Piston max/min position</w:t>
            </w:r>
          </w:p>
        </w:tc>
      </w:tr>
      <w:tr w:rsidR="00386B89" w:rsidRPr="00386B89" w:rsidTr="00386B89">
        <w:trPr>
          <w:trHeight w:val="534"/>
          <w:jc w:val="center"/>
        </w:trPr>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Ram-Piston</w:t>
            </w:r>
          </w:p>
        </w:tc>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-Light Weight structure</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-Assembled with RTC</w:t>
            </w:r>
          </w:p>
          <w:p w:rsidR="00386B89" w:rsidRPr="00386B89" w:rsidRDefault="00386B89" w:rsidP="00386B89">
            <w:pPr>
              <w:jc w:val="both"/>
              <w:rPr>
                <w:rFonts w:ascii="Times New Roman" w:hAnsi="Times New Roman" w:cs="Times New Roman"/>
                <w:sz w:val="20"/>
                <w:szCs w:val="20"/>
                <w:lang w:val="en-US"/>
              </w:rPr>
            </w:pPr>
          </w:p>
        </w:tc>
      </w:tr>
      <w:tr w:rsidR="00386B89" w:rsidRPr="00386B89" w:rsidTr="00386B89">
        <w:trPr>
          <w:trHeight w:val="534"/>
          <w:jc w:val="center"/>
        </w:trPr>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RTC Support</w:t>
            </w:r>
          </w:p>
        </w:tc>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-Light Weight structure</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-Assembled with RTC</w:t>
            </w:r>
          </w:p>
        </w:tc>
      </w:tr>
      <w:tr w:rsidR="00386B89" w:rsidRPr="00386B89" w:rsidTr="00386B89">
        <w:trPr>
          <w:trHeight w:val="264"/>
          <w:jc w:val="center"/>
        </w:trPr>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Maximum floater’s buoyancy  (tons)</w:t>
            </w:r>
          </w:p>
        </w:tc>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3000</w:t>
            </w:r>
          </w:p>
        </w:tc>
      </w:tr>
      <w:tr w:rsidR="00386B89" w:rsidRPr="00386B89" w:rsidTr="00386B89">
        <w:trPr>
          <w:trHeight w:val="264"/>
          <w:jc w:val="center"/>
        </w:trPr>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Material properties</w:t>
            </w:r>
          </w:p>
        </w:tc>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Steel structure or GFRP </w:t>
            </w:r>
          </w:p>
        </w:tc>
      </w:tr>
      <w:tr w:rsidR="00386B89" w:rsidRPr="00386B89" w:rsidTr="00386B89">
        <w:trPr>
          <w:trHeight w:val="264"/>
          <w:jc w:val="center"/>
        </w:trPr>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Mass in air (tons)</w:t>
            </w:r>
          </w:p>
        </w:tc>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Not exceeding 2200 tons</w:t>
            </w:r>
          </w:p>
        </w:tc>
      </w:tr>
      <w:tr w:rsidR="00386B89" w:rsidRPr="00386B89" w:rsidTr="00386B89">
        <w:trPr>
          <w:trHeight w:val="264"/>
          <w:jc w:val="center"/>
        </w:trPr>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Chemical corrosion resistance</w:t>
            </w:r>
          </w:p>
        </w:tc>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seawater corrosion (&gt;35 ppt)</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-crude oil corrosion and toxicity </w:t>
            </w:r>
          </w:p>
          <w:p w:rsidR="00386B89" w:rsidRPr="00386B89" w:rsidRDefault="00386B89" w:rsidP="00386B89">
            <w:pPr>
              <w:jc w:val="both"/>
              <w:rPr>
                <w:rFonts w:ascii="Times New Roman" w:hAnsi="Times New Roman" w:cs="Times New Roman"/>
                <w:sz w:val="20"/>
                <w:szCs w:val="20"/>
                <w:lang w:val="en-US"/>
              </w:rPr>
            </w:pPr>
          </w:p>
        </w:tc>
      </w:tr>
      <w:tr w:rsidR="00386B89" w:rsidRPr="00386B89" w:rsidTr="00386B89">
        <w:trPr>
          <w:trHeight w:val="264"/>
          <w:jc w:val="center"/>
        </w:trPr>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Maximum depth position (m)</w:t>
            </w:r>
          </w:p>
        </w:tc>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300 meters below the sea surface </w:t>
            </w:r>
          </w:p>
        </w:tc>
      </w:tr>
      <w:tr w:rsidR="00386B89" w:rsidRPr="00386B89" w:rsidTr="00386B89">
        <w:trPr>
          <w:trHeight w:val="264"/>
          <w:jc w:val="center"/>
        </w:trPr>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Operational Temperature </w:t>
            </w:r>
          </w:p>
        </w:tc>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5-20</w:t>
            </w:r>
            <w:r w:rsidRPr="00386B89">
              <w:rPr>
                <w:rFonts w:ascii="Times New Roman" w:hAnsi="Times New Roman" w:cs="Times New Roman"/>
                <w:sz w:val="20"/>
                <w:szCs w:val="20"/>
                <w:vertAlign w:val="superscript"/>
                <w:lang w:val="en-US"/>
              </w:rPr>
              <w:t>o</w:t>
            </w:r>
            <w:r w:rsidRPr="00386B89">
              <w:rPr>
                <w:rFonts w:ascii="Times New Roman" w:hAnsi="Times New Roman" w:cs="Times New Roman"/>
                <w:sz w:val="20"/>
                <w:szCs w:val="20"/>
                <w:lang w:val="en-US"/>
              </w:rPr>
              <w:t>C</w:t>
            </w:r>
          </w:p>
        </w:tc>
      </w:tr>
      <w:tr w:rsidR="00386B89" w:rsidRPr="00386B89" w:rsidTr="00386B89">
        <w:trPr>
          <w:trHeight w:val="264"/>
          <w:jc w:val="center"/>
        </w:trPr>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Structural loads </w:t>
            </w:r>
          </w:p>
        </w:tc>
        <w:tc>
          <w:tcPr>
            <w:tcW w:w="4185"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-Floater: Hydrostatic pressure of 300 meters (30 bars)</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-External Hull: Dynamic pressure due to sea currents velocity (0.6 m/s).</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 Chamber: a) Differential pressure of 5 bars due to separation. </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b) Fatigue load due to alternative filling/offloading gas procedure </w:t>
            </w:r>
          </w:p>
        </w:tc>
      </w:tr>
    </w:tbl>
    <w:p w:rsidR="00386B89" w:rsidRPr="00386B89" w:rsidRDefault="00386B89" w:rsidP="00386B89">
      <w:pPr>
        <w:pStyle w:val="Caption"/>
        <w:ind w:left="720"/>
        <w:jc w:val="center"/>
        <w:rPr>
          <w:i/>
          <w:sz w:val="20"/>
          <w:szCs w:val="20"/>
        </w:rPr>
      </w:pPr>
      <w:r w:rsidRPr="00386B89">
        <w:rPr>
          <w:i/>
          <w:sz w:val="20"/>
          <w:szCs w:val="20"/>
        </w:rPr>
        <w:t xml:space="preserve">Table </w:t>
      </w:r>
      <w:r w:rsidRPr="00386B89">
        <w:rPr>
          <w:i/>
          <w:sz w:val="20"/>
          <w:szCs w:val="20"/>
        </w:rPr>
        <w:fldChar w:fldCharType="begin"/>
      </w:r>
      <w:r w:rsidRPr="00386B89">
        <w:rPr>
          <w:i/>
          <w:sz w:val="20"/>
          <w:szCs w:val="20"/>
        </w:rPr>
        <w:instrText xml:space="preserve"> SEQ Πίνακας \* ARABIC </w:instrText>
      </w:r>
      <w:r w:rsidRPr="00386B89">
        <w:rPr>
          <w:i/>
          <w:sz w:val="20"/>
          <w:szCs w:val="20"/>
        </w:rPr>
        <w:fldChar w:fldCharType="separate"/>
      </w:r>
      <w:r w:rsidRPr="00386B89">
        <w:rPr>
          <w:i/>
          <w:noProof/>
          <w:sz w:val="20"/>
          <w:szCs w:val="20"/>
        </w:rPr>
        <w:t>5</w:t>
      </w:r>
      <w:r w:rsidRPr="00386B89">
        <w:rPr>
          <w:i/>
          <w:sz w:val="20"/>
          <w:szCs w:val="20"/>
        </w:rPr>
        <w:fldChar w:fldCharType="end"/>
      </w:r>
      <w:r w:rsidRPr="00386B89">
        <w:rPr>
          <w:i/>
          <w:sz w:val="20"/>
          <w:szCs w:val="20"/>
        </w:rPr>
        <w:t>: Pressure-Gravitational Buffer Bell Separator (PG-BBS) Design Structural Requirements.</w:t>
      </w:r>
    </w:p>
    <w:p w:rsidR="00386B89" w:rsidRPr="00386B89" w:rsidRDefault="00386B89" w:rsidP="00386B89">
      <w:pPr>
        <w:spacing w:after="0" w:line="240" w:lineRule="auto"/>
        <w:jc w:val="both"/>
        <w:rPr>
          <w:rFonts w:ascii="Times New Roman" w:hAnsi="Times New Roman" w:cs="Times New Roman"/>
          <w:sz w:val="20"/>
          <w:szCs w:val="20"/>
        </w:rPr>
      </w:pPr>
    </w:p>
    <w:p w:rsidR="00386B89" w:rsidRPr="00386B89" w:rsidRDefault="00386B89" w:rsidP="00386B89">
      <w:pPr>
        <w:spacing w:after="0" w:line="240" w:lineRule="auto"/>
        <w:jc w:val="center"/>
        <w:rPr>
          <w:rFonts w:ascii="Times New Roman" w:hAnsi="Times New Roman" w:cs="Times New Roman"/>
          <w:i/>
          <w:sz w:val="20"/>
          <w:szCs w:val="20"/>
        </w:rPr>
      </w:pPr>
      <w:r w:rsidRPr="00386B89">
        <w:rPr>
          <w:rFonts w:ascii="Times New Roman" w:hAnsi="Times New Roman" w:cs="Times New Roman"/>
          <w:i/>
          <w:noProof/>
          <w:sz w:val="20"/>
          <w:szCs w:val="20"/>
        </w:rPr>
        <w:drawing>
          <wp:inline distT="0" distB="0" distL="0" distR="0" wp14:anchorId="26FC7D13" wp14:editId="3F56FDFF">
            <wp:extent cx="5274310" cy="3036967"/>
            <wp:effectExtent l="19050" t="0" r="2540" b="0"/>
            <wp:docPr id="97" name="Εικόνα 2" descr="C:\Users\ΔΗΜΗΤΡΗΣ\Desktop\PG-BBS-AIR_operat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ΔΗΜΗΤΡΗΣ\Desktop\PG-BBS-AIR_operation.PNG"/>
                    <pic:cNvPicPr>
                      <a:picLocks noChangeAspect="1" noChangeArrowheads="1"/>
                    </pic:cNvPicPr>
                  </pic:nvPicPr>
                  <pic:blipFill>
                    <a:blip r:embed="rId24" cstate="print"/>
                    <a:srcRect/>
                    <a:stretch>
                      <a:fillRect/>
                    </a:stretch>
                  </pic:blipFill>
                  <pic:spPr bwMode="auto">
                    <a:xfrm>
                      <a:off x="0" y="0"/>
                      <a:ext cx="5274310" cy="3036967"/>
                    </a:xfrm>
                    <a:prstGeom prst="rect">
                      <a:avLst/>
                    </a:prstGeom>
                    <a:noFill/>
                    <a:ln w="9525">
                      <a:noFill/>
                      <a:miter lim="800000"/>
                      <a:headEnd/>
                      <a:tailEnd/>
                    </a:ln>
                  </pic:spPr>
                </pic:pic>
              </a:graphicData>
            </a:graphic>
          </wp:inline>
        </w:drawing>
      </w:r>
    </w:p>
    <w:p w:rsidR="00386B89" w:rsidRPr="00386B89" w:rsidRDefault="00386B89" w:rsidP="00386B89">
      <w:pPr>
        <w:pStyle w:val="Caption"/>
        <w:jc w:val="center"/>
        <w:rPr>
          <w:i/>
          <w:sz w:val="20"/>
          <w:szCs w:val="20"/>
        </w:rPr>
      </w:pPr>
      <w:r w:rsidRPr="00386B89">
        <w:rPr>
          <w:i/>
          <w:sz w:val="20"/>
          <w:szCs w:val="20"/>
        </w:rPr>
        <w:t xml:space="preserve">Figure </w:t>
      </w:r>
      <w:r w:rsidRPr="00386B89">
        <w:rPr>
          <w:i/>
          <w:sz w:val="20"/>
          <w:szCs w:val="20"/>
        </w:rPr>
        <w:fldChar w:fldCharType="begin"/>
      </w:r>
      <w:r w:rsidRPr="00386B89">
        <w:rPr>
          <w:i/>
          <w:sz w:val="20"/>
          <w:szCs w:val="20"/>
        </w:rPr>
        <w:instrText xml:space="preserve"> SEQ Figure \* ARABIC </w:instrText>
      </w:r>
      <w:r w:rsidRPr="00386B89">
        <w:rPr>
          <w:i/>
          <w:sz w:val="20"/>
          <w:szCs w:val="20"/>
        </w:rPr>
        <w:fldChar w:fldCharType="separate"/>
      </w:r>
      <w:r w:rsidRPr="00386B89">
        <w:rPr>
          <w:i/>
          <w:noProof/>
          <w:sz w:val="20"/>
          <w:szCs w:val="20"/>
        </w:rPr>
        <w:t>12</w:t>
      </w:r>
      <w:r w:rsidRPr="00386B89">
        <w:rPr>
          <w:i/>
          <w:sz w:val="20"/>
          <w:szCs w:val="20"/>
        </w:rPr>
        <w:fldChar w:fldCharType="end"/>
      </w:r>
      <w:r w:rsidRPr="00386B89">
        <w:rPr>
          <w:i/>
          <w:sz w:val="20"/>
          <w:szCs w:val="20"/>
        </w:rPr>
        <w:t>: 3D view of the PG-BBS in operation. The ram-piston (brown) is moving up while the gas is already escaped through the Regulator valves (yellow) and the oil/water mixture passes through the oil regulator valves (grey).</w:t>
      </w:r>
    </w:p>
    <w:p w:rsidR="00386B89" w:rsidRDefault="00386B89" w:rsidP="00386B89">
      <w:pPr>
        <w:pStyle w:val="Heading3"/>
        <w:spacing w:before="0" w:line="240" w:lineRule="auto"/>
        <w:jc w:val="both"/>
        <w:rPr>
          <w:rFonts w:ascii="Times New Roman" w:hAnsi="Times New Roman" w:cs="Times New Roman"/>
          <w:sz w:val="20"/>
          <w:szCs w:val="20"/>
        </w:rPr>
      </w:pPr>
    </w:p>
    <w:p w:rsidR="00386B89" w:rsidRPr="00386B89" w:rsidRDefault="00386B89" w:rsidP="00386B89">
      <w:pPr>
        <w:pStyle w:val="Heading3"/>
        <w:spacing w:before="0" w:line="240" w:lineRule="auto"/>
        <w:jc w:val="both"/>
        <w:rPr>
          <w:rFonts w:ascii="Times New Roman" w:hAnsi="Times New Roman" w:cs="Times New Roman"/>
          <w:b/>
          <w:sz w:val="20"/>
          <w:szCs w:val="20"/>
        </w:rPr>
      </w:pPr>
      <w:r w:rsidRPr="00386B89">
        <w:rPr>
          <w:rFonts w:ascii="Times New Roman" w:hAnsi="Times New Roman" w:cs="Times New Roman"/>
          <w:b/>
          <w:color w:val="000000" w:themeColor="text1"/>
          <w:sz w:val="20"/>
          <w:szCs w:val="20"/>
        </w:rPr>
        <w:t>Dome Interface Unit Structural Requirements</w:t>
      </w:r>
    </w:p>
    <w:p w:rsidR="00386B89" w:rsidRDefault="00386B89" w:rsidP="00386B89">
      <w:p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 xml:space="preserve">The DIU is a critical part for the MIFIS system’s structural integrity. It connects the lower part of the RTC with the Dome and delivers the massive bending moment from the BB, LGS and the RT columns. The Dome Interface Unit (Figure 13) also supports the mooring lines which run through the RT columns, at the SRs’ periphery. It is made of metallic or composite/ sandwich structure following the light structures design theory. The Structural Requirements are summarized in Table 6. </w:t>
      </w:r>
    </w:p>
    <w:p w:rsidR="00386B89" w:rsidRPr="00386B89" w:rsidRDefault="00386B89" w:rsidP="00386B89">
      <w:pPr>
        <w:spacing w:after="0" w:line="240" w:lineRule="auto"/>
        <w:jc w:val="both"/>
        <w:rPr>
          <w:rFonts w:ascii="Times New Roman" w:hAnsi="Times New Roman" w:cs="Times New Roman"/>
          <w:sz w:val="20"/>
          <w:szCs w:val="20"/>
        </w:rPr>
      </w:pPr>
    </w:p>
    <w:p w:rsidR="00386B89" w:rsidRPr="00386B89" w:rsidRDefault="00386B89" w:rsidP="00386B89">
      <w:pPr>
        <w:spacing w:after="0" w:line="240" w:lineRule="auto"/>
        <w:jc w:val="center"/>
        <w:rPr>
          <w:rFonts w:ascii="Times New Roman" w:hAnsi="Times New Roman" w:cs="Times New Roman"/>
          <w:i/>
          <w:sz w:val="20"/>
          <w:szCs w:val="20"/>
        </w:rPr>
      </w:pPr>
      <w:r w:rsidRPr="00386B89">
        <w:rPr>
          <w:rFonts w:ascii="Times New Roman" w:hAnsi="Times New Roman" w:cs="Times New Roman"/>
          <w:i/>
          <w:noProof/>
          <w:sz w:val="20"/>
          <w:szCs w:val="20"/>
        </w:rPr>
        <w:drawing>
          <wp:inline distT="0" distB="0" distL="0" distR="0" wp14:anchorId="075AED0B" wp14:editId="46446476">
            <wp:extent cx="2688590" cy="1697590"/>
            <wp:effectExtent l="19050" t="0" r="0" b="0"/>
            <wp:docPr id="98" name="Εικόνα 10" descr="C:\Users\ΔΗΜΗΤΡΗΣ\Desktop\MIFIS\MIFIS_Project Consultancy_Deliverables\ΜΙΦΙΣ_del 3.Photos\DIU_dimens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ΔΗΜΗΤΡΗΣ\Desktop\MIFIS\MIFIS_Project Consultancy_Deliverables\ΜΙΦΙΣ_del 3.Photos\DIU_dimensions.png"/>
                    <pic:cNvPicPr>
                      <a:picLocks noChangeAspect="1" noChangeArrowheads="1"/>
                    </pic:cNvPicPr>
                  </pic:nvPicPr>
                  <pic:blipFill>
                    <a:blip r:embed="rId25" cstate="print"/>
                    <a:srcRect/>
                    <a:stretch>
                      <a:fillRect/>
                    </a:stretch>
                  </pic:blipFill>
                  <pic:spPr bwMode="auto">
                    <a:xfrm>
                      <a:off x="0" y="0"/>
                      <a:ext cx="2694013" cy="1701014"/>
                    </a:xfrm>
                    <a:prstGeom prst="rect">
                      <a:avLst/>
                    </a:prstGeom>
                    <a:noFill/>
                    <a:ln w="9525">
                      <a:noFill/>
                      <a:miter lim="800000"/>
                      <a:headEnd/>
                      <a:tailEnd/>
                    </a:ln>
                  </pic:spPr>
                </pic:pic>
              </a:graphicData>
            </a:graphic>
          </wp:inline>
        </w:drawing>
      </w:r>
      <w:r w:rsidRPr="00386B89">
        <w:rPr>
          <w:rFonts w:ascii="Times New Roman" w:hAnsi="Times New Roman" w:cs="Times New Roman"/>
          <w:i/>
          <w:noProof/>
          <w:sz w:val="20"/>
          <w:szCs w:val="20"/>
        </w:rPr>
        <w:drawing>
          <wp:inline distT="0" distB="0" distL="0" distR="0" wp14:anchorId="48CED5D0" wp14:editId="41ED6953">
            <wp:extent cx="2057720" cy="1517586"/>
            <wp:effectExtent l="19050" t="0" r="0" b="0"/>
            <wp:docPr id="13" name="Εικόνα 5" descr="C:\Users\ΔΗΜΗΤΡΗΣ\Desktop\BACKUP\USER\My Documents\SIGGRAFI PhD\Kefalaio 9\d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ΔΗΜΗΤΡΗΣ\Desktop\BACKUP\USER\My Documents\SIGGRAFI PhD\Kefalaio 9\diu.JPG"/>
                    <pic:cNvPicPr>
                      <a:picLocks noChangeAspect="1" noChangeArrowheads="1"/>
                    </pic:cNvPicPr>
                  </pic:nvPicPr>
                  <pic:blipFill>
                    <a:blip r:embed="rId26" cstate="print"/>
                    <a:srcRect/>
                    <a:stretch>
                      <a:fillRect/>
                    </a:stretch>
                  </pic:blipFill>
                  <pic:spPr bwMode="auto">
                    <a:xfrm>
                      <a:off x="0" y="0"/>
                      <a:ext cx="2062804" cy="1521335"/>
                    </a:xfrm>
                    <a:prstGeom prst="rect">
                      <a:avLst/>
                    </a:prstGeom>
                    <a:noFill/>
                    <a:ln w="9525">
                      <a:noFill/>
                      <a:miter lim="800000"/>
                      <a:headEnd/>
                      <a:tailEnd/>
                    </a:ln>
                  </pic:spPr>
                </pic:pic>
              </a:graphicData>
            </a:graphic>
          </wp:inline>
        </w:drawing>
      </w:r>
    </w:p>
    <w:p w:rsidR="00386B89" w:rsidRPr="00386B89" w:rsidRDefault="00386B89" w:rsidP="00386B89">
      <w:pPr>
        <w:pStyle w:val="Caption"/>
        <w:jc w:val="center"/>
        <w:rPr>
          <w:i/>
          <w:sz w:val="20"/>
          <w:szCs w:val="20"/>
        </w:rPr>
      </w:pPr>
      <w:r w:rsidRPr="00386B89">
        <w:rPr>
          <w:i/>
          <w:sz w:val="20"/>
          <w:szCs w:val="20"/>
        </w:rPr>
        <w:t xml:space="preserve">Figure </w:t>
      </w:r>
      <w:r w:rsidRPr="00386B89">
        <w:rPr>
          <w:i/>
          <w:sz w:val="20"/>
          <w:szCs w:val="20"/>
        </w:rPr>
        <w:fldChar w:fldCharType="begin"/>
      </w:r>
      <w:r w:rsidRPr="00386B89">
        <w:rPr>
          <w:i/>
          <w:sz w:val="20"/>
          <w:szCs w:val="20"/>
        </w:rPr>
        <w:instrText xml:space="preserve"> SEQ Figure \* ARABIC </w:instrText>
      </w:r>
      <w:r w:rsidRPr="00386B89">
        <w:rPr>
          <w:i/>
          <w:sz w:val="20"/>
          <w:szCs w:val="20"/>
        </w:rPr>
        <w:fldChar w:fldCharType="separate"/>
      </w:r>
      <w:r w:rsidRPr="00386B89">
        <w:rPr>
          <w:i/>
          <w:noProof/>
          <w:sz w:val="20"/>
          <w:szCs w:val="20"/>
        </w:rPr>
        <w:t>13</w:t>
      </w:r>
      <w:r w:rsidRPr="00386B89">
        <w:rPr>
          <w:i/>
          <w:sz w:val="20"/>
          <w:szCs w:val="20"/>
        </w:rPr>
        <w:fldChar w:fldCharType="end"/>
      </w:r>
      <w:r w:rsidRPr="00386B89">
        <w:rPr>
          <w:i/>
          <w:sz w:val="20"/>
          <w:szCs w:val="20"/>
        </w:rPr>
        <w:t>: MIFIS Dome Interface Unit dimensions at Conceptual view (left) and DIFIS DIU detail design view (right)</w:t>
      </w:r>
    </w:p>
    <w:tbl>
      <w:tblPr>
        <w:tblStyle w:val="TableGrid0"/>
        <w:tblW w:w="0" w:type="auto"/>
        <w:jc w:val="center"/>
        <w:tblLook w:val="04A0" w:firstRow="1" w:lastRow="0" w:firstColumn="1" w:lastColumn="0" w:noHBand="0" w:noVBand="1"/>
      </w:tblPr>
      <w:tblGrid>
        <w:gridCol w:w="3863"/>
        <w:gridCol w:w="3864"/>
      </w:tblGrid>
      <w:tr w:rsidR="00386B89" w:rsidRPr="00386B89" w:rsidTr="00386B89">
        <w:trPr>
          <w:trHeight w:val="261"/>
          <w:jc w:val="center"/>
        </w:trPr>
        <w:tc>
          <w:tcPr>
            <w:tcW w:w="7727" w:type="dxa"/>
            <w:gridSpan w:val="2"/>
          </w:tcPr>
          <w:p w:rsidR="00386B89" w:rsidRPr="00386B89" w:rsidRDefault="00386B89" w:rsidP="00386B89">
            <w:pPr>
              <w:jc w:val="both"/>
              <w:rPr>
                <w:rFonts w:ascii="Times New Roman" w:hAnsi="Times New Roman" w:cs="Times New Roman"/>
                <w:b/>
                <w:sz w:val="20"/>
                <w:szCs w:val="20"/>
                <w:lang w:val="en-US"/>
              </w:rPr>
            </w:pPr>
            <w:r w:rsidRPr="00386B89">
              <w:rPr>
                <w:rFonts w:ascii="Times New Roman" w:hAnsi="Times New Roman" w:cs="Times New Roman"/>
                <w:b/>
                <w:sz w:val="20"/>
                <w:szCs w:val="20"/>
                <w:lang w:val="en-US"/>
              </w:rPr>
              <w:t xml:space="preserve">DIU Structural Requirements </w:t>
            </w:r>
          </w:p>
        </w:tc>
      </w:tr>
      <w:tr w:rsidR="00386B89" w:rsidRPr="00386B89" w:rsidTr="00386B89">
        <w:trPr>
          <w:trHeight w:val="269"/>
          <w:jc w:val="center"/>
        </w:trPr>
        <w:tc>
          <w:tcPr>
            <w:tcW w:w="3863"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Material properties</w:t>
            </w:r>
          </w:p>
        </w:tc>
        <w:tc>
          <w:tcPr>
            <w:tcW w:w="3863"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 Steel structure or Composite sandwich structure (High strength Glass Fibers with balsa/foam/honeycomb core)</w:t>
            </w:r>
          </w:p>
        </w:tc>
      </w:tr>
      <w:tr w:rsidR="00386B89" w:rsidRPr="00386B89" w:rsidTr="00386B89">
        <w:trPr>
          <w:trHeight w:val="269"/>
          <w:jc w:val="center"/>
        </w:trPr>
        <w:tc>
          <w:tcPr>
            <w:tcW w:w="3863"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Dimensions (m)</w:t>
            </w:r>
          </w:p>
        </w:tc>
        <w:tc>
          <w:tcPr>
            <w:tcW w:w="3863"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-Small base diameter: 2m</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-Large base diameter: 22 m</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-Height : 10 m</w:t>
            </w:r>
          </w:p>
        </w:tc>
      </w:tr>
      <w:tr w:rsidR="00386B89" w:rsidRPr="00386B89" w:rsidTr="00386B89">
        <w:trPr>
          <w:trHeight w:val="269"/>
          <w:jc w:val="center"/>
        </w:trPr>
        <w:tc>
          <w:tcPr>
            <w:tcW w:w="3863"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Maximum Structural loads</w:t>
            </w:r>
          </w:p>
        </w:tc>
        <w:tc>
          <w:tcPr>
            <w:tcW w:w="3863"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-Withstand 1880 kN at each connection with the mooring lines.</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-Withstand 940 kNm of bending moment at the RTC connection point.</w:t>
            </w:r>
          </w:p>
        </w:tc>
      </w:tr>
      <w:tr w:rsidR="00386B89" w:rsidRPr="00386B89" w:rsidTr="00386B89">
        <w:trPr>
          <w:trHeight w:val="269"/>
          <w:jc w:val="center"/>
        </w:trPr>
        <w:tc>
          <w:tcPr>
            <w:tcW w:w="3863"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Mass in air (tons)</w:t>
            </w:r>
          </w:p>
        </w:tc>
        <w:tc>
          <w:tcPr>
            <w:tcW w:w="3863"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Not exceeding 100 tons</w:t>
            </w:r>
          </w:p>
        </w:tc>
      </w:tr>
      <w:tr w:rsidR="00386B89" w:rsidRPr="00386B89" w:rsidTr="00386B89">
        <w:trPr>
          <w:trHeight w:val="269"/>
          <w:jc w:val="center"/>
        </w:trPr>
        <w:tc>
          <w:tcPr>
            <w:tcW w:w="3863"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Chemical corrosion resistance</w:t>
            </w:r>
          </w:p>
        </w:tc>
        <w:tc>
          <w:tcPr>
            <w:tcW w:w="3863"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-Seawater corrosion (&gt;35 ppt)</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-Crude oil toxicity and corrosion</w:t>
            </w:r>
          </w:p>
          <w:p w:rsidR="00386B89" w:rsidRPr="00386B89" w:rsidRDefault="00386B89" w:rsidP="00386B89">
            <w:pPr>
              <w:jc w:val="both"/>
              <w:rPr>
                <w:rFonts w:ascii="Times New Roman" w:hAnsi="Times New Roman" w:cs="Times New Roman"/>
                <w:sz w:val="20"/>
                <w:szCs w:val="20"/>
                <w:lang w:val="en-US"/>
              </w:rPr>
            </w:pPr>
          </w:p>
        </w:tc>
      </w:tr>
      <w:tr w:rsidR="00386B89" w:rsidRPr="00386B89" w:rsidTr="00386B89">
        <w:trPr>
          <w:trHeight w:val="269"/>
          <w:jc w:val="center"/>
        </w:trPr>
        <w:tc>
          <w:tcPr>
            <w:tcW w:w="3863"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Operational Temperature </w:t>
            </w:r>
          </w:p>
        </w:tc>
        <w:tc>
          <w:tcPr>
            <w:tcW w:w="3863"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2</w:t>
            </w:r>
            <w:r w:rsidRPr="00386B89">
              <w:rPr>
                <w:rFonts w:ascii="Times New Roman" w:hAnsi="Times New Roman" w:cs="Times New Roman"/>
                <w:sz w:val="20"/>
                <w:szCs w:val="20"/>
                <w:vertAlign w:val="superscript"/>
                <w:lang w:val="en-US"/>
              </w:rPr>
              <w:t>o</w:t>
            </w:r>
            <w:r w:rsidRPr="00386B89">
              <w:rPr>
                <w:rFonts w:ascii="Times New Roman" w:hAnsi="Times New Roman" w:cs="Times New Roman"/>
                <w:sz w:val="20"/>
                <w:szCs w:val="20"/>
                <w:lang w:val="en-US"/>
              </w:rPr>
              <w:t>C</w:t>
            </w:r>
          </w:p>
        </w:tc>
      </w:tr>
    </w:tbl>
    <w:p w:rsidR="00386B89" w:rsidRPr="00386B89" w:rsidRDefault="00386B89" w:rsidP="00386B89">
      <w:pPr>
        <w:pStyle w:val="Caption"/>
        <w:jc w:val="center"/>
        <w:rPr>
          <w:i/>
          <w:sz w:val="20"/>
          <w:szCs w:val="20"/>
        </w:rPr>
      </w:pPr>
      <w:r w:rsidRPr="00386B89">
        <w:rPr>
          <w:i/>
          <w:sz w:val="20"/>
          <w:szCs w:val="20"/>
        </w:rPr>
        <w:t xml:space="preserve">Table </w:t>
      </w:r>
      <w:r w:rsidRPr="00386B89">
        <w:rPr>
          <w:i/>
          <w:sz w:val="20"/>
          <w:szCs w:val="20"/>
        </w:rPr>
        <w:fldChar w:fldCharType="begin"/>
      </w:r>
      <w:r w:rsidRPr="00386B89">
        <w:rPr>
          <w:i/>
          <w:sz w:val="20"/>
          <w:szCs w:val="20"/>
        </w:rPr>
        <w:instrText xml:space="preserve"> SEQ Πίνακας \* ARABIC </w:instrText>
      </w:r>
      <w:r w:rsidRPr="00386B89">
        <w:rPr>
          <w:i/>
          <w:sz w:val="20"/>
          <w:szCs w:val="20"/>
        </w:rPr>
        <w:fldChar w:fldCharType="separate"/>
      </w:r>
      <w:r w:rsidRPr="00386B89">
        <w:rPr>
          <w:i/>
          <w:noProof/>
          <w:sz w:val="20"/>
          <w:szCs w:val="20"/>
        </w:rPr>
        <w:t>6</w:t>
      </w:r>
      <w:r w:rsidRPr="00386B89">
        <w:rPr>
          <w:i/>
          <w:sz w:val="20"/>
          <w:szCs w:val="20"/>
        </w:rPr>
        <w:fldChar w:fldCharType="end"/>
      </w:r>
      <w:r w:rsidRPr="00386B89">
        <w:rPr>
          <w:i/>
          <w:sz w:val="20"/>
          <w:szCs w:val="20"/>
        </w:rPr>
        <w:t>: Dome Interface Unit (DIU) Design Structural Requirements.</w:t>
      </w:r>
    </w:p>
    <w:p w:rsidR="00386B89" w:rsidRDefault="00386B89" w:rsidP="00386B89">
      <w:pPr>
        <w:spacing w:after="0" w:line="240" w:lineRule="auto"/>
        <w:jc w:val="both"/>
        <w:rPr>
          <w:rFonts w:ascii="Times New Roman" w:hAnsi="Times New Roman" w:cs="Times New Roman"/>
          <w:sz w:val="20"/>
          <w:szCs w:val="20"/>
        </w:rPr>
      </w:pPr>
    </w:p>
    <w:p w:rsidR="00386B89" w:rsidRPr="00386B89" w:rsidRDefault="00386B89" w:rsidP="00386B89">
      <w:p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 xml:space="preserve">The MIFIS’s Dome Interface Unit follows the same methodology as the DIFIS System. The structural requirements are more demanding than the DIFIS’s DIU. </w:t>
      </w:r>
      <w:bookmarkStart w:id="1" w:name="_Toc433021736"/>
    </w:p>
    <w:p w:rsidR="00386B89" w:rsidRDefault="00386B89" w:rsidP="00386B89">
      <w:pPr>
        <w:pStyle w:val="Heading3"/>
        <w:spacing w:before="0" w:line="240" w:lineRule="auto"/>
        <w:jc w:val="both"/>
        <w:rPr>
          <w:rFonts w:ascii="Times New Roman" w:hAnsi="Times New Roman" w:cs="Times New Roman"/>
          <w:sz w:val="20"/>
          <w:szCs w:val="20"/>
        </w:rPr>
      </w:pPr>
    </w:p>
    <w:p w:rsidR="00386B89" w:rsidRPr="00386B89" w:rsidRDefault="00386B89" w:rsidP="00386B89">
      <w:pPr>
        <w:pStyle w:val="Heading3"/>
        <w:spacing w:before="0" w:line="240" w:lineRule="auto"/>
        <w:jc w:val="both"/>
        <w:rPr>
          <w:rFonts w:ascii="Times New Roman" w:hAnsi="Times New Roman" w:cs="Times New Roman"/>
          <w:b/>
          <w:sz w:val="20"/>
          <w:szCs w:val="20"/>
        </w:rPr>
      </w:pPr>
      <w:r w:rsidRPr="00386B89">
        <w:rPr>
          <w:rFonts w:ascii="Times New Roman" w:hAnsi="Times New Roman" w:cs="Times New Roman"/>
          <w:b/>
          <w:color w:val="000000" w:themeColor="text1"/>
          <w:sz w:val="20"/>
          <w:szCs w:val="20"/>
        </w:rPr>
        <w:t>Dome Structural Requirements</w:t>
      </w:r>
      <w:bookmarkEnd w:id="1"/>
    </w:p>
    <w:p w:rsidR="00386B89" w:rsidRPr="00386B89" w:rsidRDefault="00386B89" w:rsidP="00386B89">
      <w:p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Dome covers the well’s blow out and guides the flow mixture to the RTC passing through the DIU. The Dome gathers the blow out mixture, limits the uncontrollable leakage and dispersion to the sea. The blow out mixture (oil/gas) can be dispersed to the seawater by the sea currents (Figure 14). The Dome’s specifications are presented in the Table 7.</w:t>
      </w:r>
    </w:p>
    <w:p w:rsidR="00386B89" w:rsidRPr="00386B89" w:rsidRDefault="00386B89" w:rsidP="00386B89">
      <w:pPr>
        <w:spacing w:after="0" w:line="240" w:lineRule="auto"/>
        <w:jc w:val="both"/>
        <w:rPr>
          <w:rFonts w:ascii="Times New Roman" w:hAnsi="Times New Roman" w:cs="Times New Roman"/>
          <w:sz w:val="20"/>
          <w:szCs w:val="20"/>
        </w:rPr>
      </w:pPr>
    </w:p>
    <w:p w:rsidR="00386B89" w:rsidRPr="00386B89" w:rsidRDefault="00386B89" w:rsidP="00386B89">
      <w:pPr>
        <w:spacing w:after="0" w:line="240" w:lineRule="auto"/>
        <w:jc w:val="center"/>
        <w:rPr>
          <w:rFonts w:ascii="Times New Roman" w:hAnsi="Times New Roman" w:cs="Times New Roman"/>
          <w:i/>
          <w:sz w:val="20"/>
          <w:szCs w:val="20"/>
        </w:rPr>
      </w:pPr>
      <w:r w:rsidRPr="00386B89">
        <w:rPr>
          <w:rFonts w:ascii="Times New Roman" w:hAnsi="Times New Roman" w:cs="Times New Roman"/>
          <w:i/>
          <w:noProof/>
          <w:sz w:val="20"/>
          <w:szCs w:val="20"/>
        </w:rPr>
        <w:drawing>
          <wp:inline distT="0" distB="0" distL="0" distR="0" wp14:anchorId="4BEE6A0C" wp14:editId="1467207C">
            <wp:extent cx="1148056" cy="1610360"/>
            <wp:effectExtent l="19050" t="0" r="0" b="0"/>
            <wp:docPr id="5" name="Εικόνα 11" descr="https://www.sintef.no/globalassets/upload/materialer_kjemi/prosjekter/s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www.sintef.no/globalassets/upload/materialer_kjemi/prosjekter/sure.png"/>
                    <pic:cNvPicPr>
                      <a:picLocks noChangeAspect="1" noChangeArrowheads="1"/>
                    </pic:cNvPicPr>
                  </pic:nvPicPr>
                  <pic:blipFill>
                    <a:blip r:embed="rId27" cstate="print"/>
                    <a:srcRect/>
                    <a:stretch>
                      <a:fillRect/>
                    </a:stretch>
                  </pic:blipFill>
                  <pic:spPr bwMode="auto">
                    <a:xfrm>
                      <a:off x="0" y="0"/>
                      <a:ext cx="1148817" cy="1611427"/>
                    </a:xfrm>
                    <a:prstGeom prst="rect">
                      <a:avLst/>
                    </a:prstGeom>
                    <a:noFill/>
                    <a:ln w="9525">
                      <a:noFill/>
                      <a:miter lim="800000"/>
                      <a:headEnd/>
                      <a:tailEnd/>
                    </a:ln>
                  </pic:spPr>
                </pic:pic>
              </a:graphicData>
            </a:graphic>
          </wp:inline>
        </w:drawing>
      </w:r>
      <w:r w:rsidRPr="00386B89">
        <w:rPr>
          <w:rFonts w:ascii="Times New Roman" w:hAnsi="Times New Roman" w:cs="Times New Roman"/>
          <w:i/>
          <w:noProof/>
          <w:sz w:val="20"/>
          <w:szCs w:val="20"/>
        </w:rPr>
        <w:drawing>
          <wp:inline distT="0" distB="0" distL="0" distR="0" wp14:anchorId="5355EB85" wp14:editId="2239292E">
            <wp:extent cx="1748790" cy="1678839"/>
            <wp:effectExtent l="19050" t="0" r="3810" b="0"/>
            <wp:docPr id="99" name="Εικόνα 14" descr="C:\Users\ΔΗΜΗΤΡΗΣ\Desktop\MIFIS\MIFIS_Project Consultancy_Deliverables\ΜΙΦΙΣ_del 3.Photos\D_dimens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ΔΗΜΗΤΡΗΣ\Desktop\MIFIS\MIFIS_Project Consultancy_Deliverables\ΜΙΦΙΣ_del 3.Photos\D_dimensions.png"/>
                    <pic:cNvPicPr>
                      <a:picLocks noChangeAspect="1" noChangeArrowheads="1"/>
                    </pic:cNvPicPr>
                  </pic:nvPicPr>
                  <pic:blipFill>
                    <a:blip r:embed="rId28" cstate="print"/>
                    <a:srcRect/>
                    <a:stretch>
                      <a:fillRect/>
                    </a:stretch>
                  </pic:blipFill>
                  <pic:spPr bwMode="auto">
                    <a:xfrm>
                      <a:off x="0" y="0"/>
                      <a:ext cx="1749511" cy="1679531"/>
                    </a:xfrm>
                    <a:prstGeom prst="rect">
                      <a:avLst/>
                    </a:prstGeom>
                    <a:noFill/>
                    <a:ln w="9525">
                      <a:noFill/>
                      <a:miter lim="800000"/>
                      <a:headEnd/>
                      <a:tailEnd/>
                    </a:ln>
                  </pic:spPr>
                </pic:pic>
              </a:graphicData>
            </a:graphic>
          </wp:inline>
        </w:drawing>
      </w:r>
      <w:r w:rsidRPr="00386B89">
        <w:rPr>
          <w:rFonts w:ascii="Times New Roman" w:hAnsi="Times New Roman" w:cs="Times New Roman"/>
          <w:i/>
          <w:noProof/>
          <w:sz w:val="20"/>
          <w:szCs w:val="20"/>
        </w:rPr>
        <w:drawing>
          <wp:inline distT="0" distB="0" distL="0" distR="0" wp14:anchorId="05ED97B7" wp14:editId="06E1FE55">
            <wp:extent cx="1874995" cy="1080261"/>
            <wp:effectExtent l="19050" t="0" r="0" b="0"/>
            <wp:docPr id="16" name="Εικόνα 6" descr="C:\Users\ΔΗΜΗΤΡΗΣ\Desktop\BACKUP\USER\My Documents\SIGGRAFI PhD\Kefalaio 10\dom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ΔΗΜΗΤΡΗΣ\Desktop\BACKUP\USER\My Documents\SIGGRAFI PhD\Kefalaio 10\dome.JPG"/>
                    <pic:cNvPicPr>
                      <a:picLocks noChangeAspect="1" noChangeArrowheads="1"/>
                    </pic:cNvPicPr>
                  </pic:nvPicPr>
                  <pic:blipFill>
                    <a:blip r:embed="rId29" cstate="print"/>
                    <a:srcRect/>
                    <a:stretch>
                      <a:fillRect/>
                    </a:stretch>
                  </pic:blipFill>
                  <pic:spPr bwMode="auto">
                    <a:xfrm>
                      <a:off x="0" y="0"/>
                      <a:ext cx="1878225" cy="1082122"/>
                    </a:xfrm>
                    <a:prstGeom prst="rect">
                      <a:avLst/>
                    </a:prstGeom>
                    <a:noFill/>
                    <a:ln w="9525">
                      <a:noFill/>
                      <a:miter lim="800000"/>
                      <a:headEnd/>
                      <a:tailEnd/>
                    </a:ln>
                  </pic:spPr>
                </pic:pic>
              </a:graphicData>
            </a:graphic>
          </wp:inline>
        </w:drawing>
      </w:r>
    </w:p>
    <w:p w:rsidR="00386B89" w:rsidRPr="00386B89" w:rsidRDefault="00386B89" w:rsidP="00386B89">
      <w:pPr>
        <w:pStyle w:val="Caption"/>
        <w:jc w:val="center"/>
        <w:rPr>
          <w:i/>
          <w:sz w:val="20"/>
          <w:szCs w:val="20"/>
        </w:rPr>
      </w:pPr>
      <w:r w:rsidRPr="00386B89">
        <w:rPr>
          <w:i/>
          <w:sz w:val="20"/>
          <w:szCs w:val="20"/>
        </w:rPr>
        <w:t xml:space="preserve">Figure </w:t>
      </w:r>
      <w:r w:rsidRPr="00386B89">
        <w:rPr>
          <w:i/>
          <w:sz w:val="20"/>
          <w:szCs w:val="20"/>
        </w:rPr>
        <w:fldChar w:fldCharType="begin"/>
      </w:r>
      <w:r w:rsidRPr="00386B89">
        <w:rPr>
          <w:i/>
          <w:sz w:val="20"/>
          <w:szCs w:val="20"/>
        </w:rPr>
        <w:instrText xml:space="preserve"> SEQ Figure \* ARABIC </w:instrText>
      </w:r>
      <w:r w:rsidRPr="00386B89">
        <w:rPr>
          <w:i/>
          <w:sz w:val="20"/>
          <w:szCs w:val="20"/>
        </w:rPr>
        <w:fldChar w:fldCharType="separate"/>
      </w:r>
      <w:r w:rsidRPr="00386B89">
        <w:rPr>
          <w:i/>
          <w:noProof/>
          <w:sz w:val="20"/>
          <w:szCs w:val="20"/>
        </w:rPr>
        <w:t>14</w:t>
      </w:r>
      <w:r w:rsidRPr="00386B89">
        <w:rPr>
          <w:i/>
          <w:sz w:val="20"/>
          <w:szCs w:val="20"/>
        </w:rPr>
        <w:fldChar w:fldCharType="end"/>
      </w:r>
      <w:r w:rsidRPr="00386B89">
        <w:rPr>
          <w:i/>
          <w:sz w:val="20"/>
          <w:szCs w:val="20"/>
        </w:rPr>
        <w:t>: Blow out mixture dispersion without Dome due to sea currents motion (left), MIFIS’s Dome conceptual view (centre) and DIFIS’s Dome detail view (right)</w:t>
      </w:r>
    </w:p>
    <w:p w:rsidR="00386B89" w:rsidRPr="00386B89" w:rsidRDefault="00386B89" w:rsidP="00386B89">
      <w:pPr>
        <w:spacing w:after="0" w:line="240" w:lineRule="auto"/>
        <w:jc w:val="both"/>
        <w:rPr>
          <w:rFonts w:ascii="Times New Roman" w:hAnsi="Times New Roman" w:cs="Times New Roman"/>
          <w:sz w:val="20"/>
          <w:szCs w:val="20"/>
        </w:rPr>
      </w:pPr>
    </w:p>
    <w:tbl>
      <w:tblPr>
        <w:tblStyle w:val="TableGrid0"/>
        <w:tblW w:w="0" w:type="auto"/>
        <w:jc w:val="center"/>
        <w:tblLook w:val="04A0" w:firstRow="1" w:lastRow="0" w:firstColumn="1" w:lastColumn="0" w:noHBand="0" w:noVBand="1"/>
      </w:tblPr>
      <w:tblGrid>
        <w:gridCol w:w="4229"/>
        <w:gridCol w:w="4229"/>
      </w:tblGrid>
      <w:tr w:rsidR="00386B89" w:rsidRPr="00386B89" w:rsidTr="00386B89">
        <w:trPr>
          <w:trHeight w:val="259"/>
          <w:jc w:val="center"/>
        </w:trPr>
        <w:tc>
          <w:tcPr>
            <w:tcW w:w="8458" w:type="dxa"/>
            <w:gridSpan w:val="2"/>
          </w:tcPr>
          <w:p w:rsidR="00386B89" w:rsidRPr="00386B89" w:rsidRDefault="00386B89" w:rsidP="00386B89">
            <w:pPr>
              <w:jc w:val="both"/>
              <w:rPr>
                <w:rFonts w:ascii="Times New Roman" w:hAnsi="Times New Roman" w:cs="Times New Roman"/>
                <w:b/>
                <w:sz w:val="20"/>
                <w:szCs w:val="20"/>
                <w:lang w:val="en-US"/>
              </w:rPr>
            </w:pPr>
            <w:r w:rsidRPr="00386B89">
              <w:rPr>
                <w:rFonts w:ascii="Times New Roman" w:hAnsi="Times New Roman" w:cs="Times New Roman"/>
                <w:b/>
                <w:sz w:val="20"/>
                <w:szCs w:val="20"/>
                <w:lang w:val="en-US"/>
              </w:rPr>
              <w:t xml:space="preserve">Dome Structural Requirements </w:t>
            </w:r>
          </w:p>
        </w:tc>
      </w:tr>
      <w:tr w:rsidR="00386B89" w:rsidRPr="00386B89" w:rsidTr="00386B89">
        <w:trPr>
          <w:trHeight w:val="267"/>
          <w:jc w:val="center"/>
        </w:trPr>
        <w:tc>
          <w:tcPr>
            <w:tcW w:w="422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Material properties</w:t>
            </w:r>
          </w:p>
        </w:tc>
        <w:tc>
          <w:tcPr>
            <w:tcW w:w="422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 Lightweight, flexible fabric cloth</w:t>
            </w:r>
          </w:p>
        </w:tc>
      </w:tr>
      <w:tr w:rsidR="00386B89" w:rsidRPr="00386B89" w:rsidTr="00386B89">
        <w:trPr>
          <w:trHeight w:val="267"/>
          <w:jc w:val="center"/>
        </w:trPr>
        <w:tc>
          <w:tcPr>
            <w:tcW w:w="422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Dimensions (m)</w:t>
            </w:r>
          </w:p>
        </w:tc>
        <w:tc>
          <w:tcPr>
            <w:tcW w:w="422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Covering the blow out well diameter</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-Small base diameter: 22m</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-Large base diameter: 50 m</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-Height : 50 m</w:t>
            </w:r>
          </w:p>
        </w:tc>
      </w:tr>
      <w:tr w:rsidR="00386B89" w:rsidRPr="00386B89" w:rsidTr="00386B89">
        <w:trPr>
          <w:trHeight w:val="267"/>
          <w:jc w:val="center"/>
        </w:trPr>
        <w:tc>
          <w:tcPr>
            <w:tcW w:w="422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Maximum Structural loads</w:t>
            </w:r>
          </w:p>
        </w:tc>
        <w:tc>
          <w:tcPr>
            <w:tcW w:w="422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 -Normal operational scenario’s pressure on dome’s surface :</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rPr>
              <w:t>Δ</w:t>
            </w:r>
            <w:r w:rsidRPr="00386B89">
              <w:rPr>
                <w:rFonts w:ascii="Times New Roman" w:hAnsi="Times New Roman" w:cs="Times New Roman"/>
                <w:sz w:val="20"/>
                <w:szCs w:val="20"/>
                <w:lang w:val="en-US"/>
              </w:rPr>
              <w:t>P= + 5.14 Pa (outside)</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rPr>
              <w:t>Δ</w:t>
            </w:r>
            <w:r w:rsidRPr="00386B89">
              <w:rPr>
                <w:rFonts w:ascii="Times New Roman" w:hAnsi="Times New Roman" w:cs="Times New Roman"/>
                <w:sz w:val="20"/>
                <w:szCs w:val="20"/>
                <w:lang w:val="en-US"/>
              </w:rPr>
              <w:t>P=- 25.7  Pa (inside)</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-Survival scenario, RTC</w:t>
            </w:r>
            <w:r w:rsidRPr="00386B89">
              <w:rPr>
                <w:rFonts w:ascii="Times New Roman" w:hAnsi="Times New Roman" w:cs="Times New Roman"/>
                <w:sz w:val="20"/>
                <w:szCs w:val="20"/>
                <w:vertAlign w:val="subscript"/>
                <w:lang w:val="en-US"/>
              </w:rPr>
              <w:t>l</w:t>
            </w:r>
            <w:r w:rsidRPr="00386B89">
              <w:rPr>
                <w:rFonts w:ascii="Times New Roman" w:hAnsi="Times New Roman" w:cs="Times New Roman"/>
                <w:sz w:val="20"/>
                <w:szCs w:val="20"/>
                <w:lang w:val="en-US"/>
              </w:rPr>
              <w:t xml:space="preserve">  blockage:</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rPr>
              <w:t>Δ</w:t>
            </w:r>
            <w:r w:rsidRPr="00386B89">
              <w:rPr>
                <w:rFonts w:ascii="Times New Roman" w:hAnsi="Times New Roman" w:cs="Times New Roman"/>
                <w:sz w:val="20"/>
                <w:szCs w:val="20"/>
                <w:lang w:val="en-US"/>
              </w:rPr>
              <w:t>P= - 100 Pa (inside)</w:t>
            </w:r>
          </w:p>
        </w:tc>
      </w:tr>
      <w:tr w:rsidR="00386B89" w:rsidRPr="00386B89" w:rsidTr="00386B89">
        <w:trPr>
          <w:trHeight w:val="267"/>
          <w:jc w:val="center"/>
        </w:trPr>
        <w:tc>
          <w:tcPr>
            <w:tcW w:w="422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Mass in air (tons)</w:t>
            </w:r>
          </w:p>
        </w:tc>
        <w:tc>
          <w:tcPr>
            <w:tcW w:w="422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Not exceeding 1.3 tons</w:t>
            </w:r>
          </w:p>
        </w:tc>
      </w:tr>
      <w:tr w:rsidR="00386B89" w:rsidRPr="00386B89" w:rsidTr="00386B89">
        <w:trPr>
          <w:trHeight w:val="267"/>
          <w:jc w:val="center"/>
        </w:trPr>
        <w:tc>
          <w:tcPr>
            <w:tcW w:w="422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Chemical corrosion resistance</w:t>
            </w:r>
          </w:p>
        </w:tc>
        <w:tc>
          <w:tcPr>
            <w:tcW w:w="422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-Seawater corrosion (&gt;35 ppt)</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-Crude oil toxicity and corrosion</w:t>
            </w:r>
          </w:p>
          <w:p w:rsidR="00386B89" w:rsidRPr="00386B89" w:rsidRDefault="00386B89" w:rsidP="00386B89">
            <w:pPr>
              <w:jc w:val="both"/>
              <w:rPr>
                <w:rFonts w:ascii="Times New Roman" w:hAnsi="Times New Roman" w:cs="Times New Roman"/>
                <w:sz w:val="20"/>
                <w:szCs w:val="20"/>
                <w:lang w:val="en-US"/>
              </w:rPr>
            </w:pPr>
          </w:p>
        </w:tc>
      </w:tr>
      <w:tr w:rsidR="00386B89" w:rsidRPr="00386B89" w:rsidTr="00386B89">
        <w:trPr>
          <w:trHeight w:val="267"/>
          <w:jc w:val="center"/>
        </w:trPr>
        <w:tc>
          <w:tcPr>
            <w:tcW w:w="422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Operational Temperature </w:t>
            </w:r>
          </w:p>
        </w:tc>
        <w:tc>
          <w:tcPr>
            <w:tcW w:w="422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2</w:t>
            </w:r>
            <w:r w:rsidRPr="00386B89">
              <w:rPr>
                <w:rFonts w:ascii="Times New Roman" w:hAnsi="Times New Roman" w:cs="Times New Roman"/>
                <w:sz w:val="20"/>
                <w:szCs w:val="20"/>
                <w:vertAlign w:val="superscript"/>
                <w:lang w:val="en-US"/>
              </w:rPr>
              <w:t>o</w:t>
            </w:r>
            <w:r w:rsidRPr="00386B89">
              <w:rPr>
                <w:rFonts w:ascii="Times New Roman" w:hAnsi="Times New Roman" w:cs="Times New Roman"/>
                <w:sz w:val="20"/>
                <w:szCs w:val="20"/>
                <w:lang w:val="en-US"/>
              </w:rPr>
              <w:t>C</w:t>
            </w:r>
          </w:p>
        </w:tc>
      </w:tr>
    </w:tbl>
    <w:p w:rsidR="00386B89" w:rsidRPr="00386B89" w:rsidRDefault="00386B89" w:rsidP="00386B89">
      <w:pPr>
        <w:pStyle w:val="Caption"/>
        <w:jc w:val="center"/>
        <w:rPr>
          <w:i/>
          <w:sz w:val="20"/>
          <w:szCs w:val="20"/>
        </w:rPr>
      </w:pPr>
      <w:r w:rsidRPr="00386B89">
        <w:rPr>
          <w:i/>
          <w:sz w:val="20"/>
          <w:szCs w:val="20"/>
        </w:rPr>
        <w:t xml:space="preserve">Table </w:t>
      </w:r>
      <w:r w:rsidRPr="00386B89">
        <w:rPr>
          <w:i/>
          <w:sz w:val="20"/>
          <w:szCs w:val="20"/>
        </w:rPr>
        <w:fldChar w:fldCharType="begin"/>
      </w:r>
      <w:r w:rsidRPr="00386B89">
        <w:rPr>
          <w:i/>
          <w:sz w:val="20"/>
          <w:szCs w:val="20"/>
        </w:rPr>
        <w:instrText xml:space="preserve"> SEQ Πίνακας \* ARABIC </w:instrText>
      </w:r>
      <w:r w:rsidRPr="00386B89">
        <w:rPr>
          <w:i/>
          <w:sz w:val="20"/>
          <w:szCs w:val="20"/>
        </w:rPr>
        <w:fldChar w:fldCharType="separate"/>
      </w:r>
      <w:r w:rsidRPr="00386B89">
        <w:rPr>
          <w:i/>
          <w:noProof/>
          <w:sz w:val="20"/>
          <w:szCs w:val="20"/>
        </w:rPr>
        <w:t>7</w:t>
      </w:r>
      <w:r w:rsidRPr="00386B89">
        <w:rPr>
          <w:i/>
          <w:sz w:val="20"/>
          <w:szCs w:val="20"/>
        </w:rPr>
        <w:fldChar w:fldCharType="end"/>
      </w:r>
      <w:r w:rsidRPr="00386B89">
        <w:rPr>
          <w:i/>
          <w:sz w:val="20"/>
          <w:szCs w:val="20"/>
        </w:rPr>
        <w:t>: MIFIS’s Dome (D) Design Structural Requirements.</w:t>
      </w:r>
    </w:p>
    <w:p w:rsidR="00386B89" w:rsidRDefault="00386B89" w:rsidP="00386B89">
      <w:pPr>
        <w:spacing w:after="0" w:line="240" w:lineRule="auto"/>
        <w:jc w:val="both"/>
        <w:rPr>
          <w:rFonts w:ascii="Times New Roman" w:hAnsi="Times New Roman" w:cs="Times New Roman"/>
          <w:sz w:val="20"/>
          <w:szCs w:val="20"/>
        </w:rPr>
      </w:pPr>
    </w:p>
    <w:p w:rsidR="00386B89" w:rsidRDefault="00386B89" w:rsidP="00386B89">
      <w:p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MIFIS’s Dome is smaller than the DIFIS’s Dome. As the DIFIS’s dome was large in order to cover the half of VLCC tanker, this priority was changed to the MIFIS conceptual approach. The oil/gas well diameter has lower diameter, thus the Dome’s diameter was reduced from 100m to 50 m.</w:t>
      </w:r>
      <w:bookmarkStart w:id="2" w:name="_Toc433021737"/>
    </w:p>
    <w:p w:rsidR="00386B89" w:rsidRDefault="00386B89" w:rsidP="00386B89">
      <w:pPr>
        <w:spacing w:after="0" w:line="240" w:lineRule="auto"/>
        <w:jc w:val="both"/>
        <w:rPr>
          <w:rFonts w:ascii="Times New Roman" w:hAnsi="Times New Roman" w:cs="Times New Roman"/>
          <w:sz w:val="20"/>
          <w:szCs w:val="20"/>
        </w:rPr>
      </w:pPr>
    </w:p>
    <w:p w:rsidR="00386B89" w:rsidRPr="00386B89" w:rsidRDefault="00386B89" w:rsidP="00386B89">
      <w:pPr>
        <w:pStyle w:val="Heading3"/>
        <w:spacing w:before="0" w:line="240" w:lineRule="auto"/>
        <w:jc w:val="both"/>
        <w:rPr>
          <w:rFonts w:ascii="Times New Roman" w:hAnsi="Times New Roman" w:cs="Times New Roman"/>
          <w:b/>
          <w:sz w:val="20"/>
          <w:szCs w:val="20"/>
        </w:rPr>
      </w:pPr>
      <w:r w:rsidRPr="00386B89">
        <w:rPr>
          <w:rFonts w:ascii="Times New Roman" w:hAnsi="Times New Roman" w:cs="Times New Roman"/>
          <w:b/>
          <w:color w:val="000000" w:themeColor="text1"/>
          <w:sz w:val="20"/>
          <w:szCs w:val="20"/>
        </w:rPr>
        <w:t>Mooring/Anchoring System Structural Requirements</w:t>
      </w:r>
      <w:bookmarkEnd w:id="2"/>
    </w:p>
    <w:p w:rsidR="00386B89" w:rsidRDefault="00386B89" w:rsidP="00386B89">
      <w:p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 xml:space="preserve">The mooring system is the component which transfers all the inertia and hydrodynamic loads from BB, RTC, LGS/PG-BBS etc. The mooring lines’ strength and the stiffness affect the deformations and the operational limits of the MIFIS System (Cortland, 2005; U.S Navy Salvage Hanbook, 2000). The anchoring system transfers the loads from the mooring system to the seabed (Table 8). </w:t>
      </w:r>
    </w:p>
    <w:p w:rsidR="00386B89" w:rsidRPr="00386B89" w:rsidRDefault="00386B89" w:rsidP="00386B89">
      <w:pPr>
        <w:spacing w:after="0" w:line="240" w:lineRule="auto"/>
        <w:jc w:val="both"/>
        <w:rPr>
          <w:rFonts w:ascii="Times New Roman" w:hAnsi="Times New Roman" w:cs="Times New Roman"/>
          <w:sz w:val="20"/>
          <w:szCs w:val="20"/>
        </w:rPr>
      </w:pPr>
    </w:p>
    <w:tbl>
      <w:tblPr>
        <w:tblStyle w:val="TableGrid0"/>
        <w:tblW w:w="8958" w:type="dxa"/>
        <w:jc w:val="center"/>
        <w:tblLook w:val="04A0" w:firstRow="1" w:lastRow="0" w:firstColumn="1" w:lastColumn="0" w:noHBand="0" w:noVBand="1"/>
      </w:tblPr>
      <w:tblGrid>
        <w:gridCol w:w="4479"/>
        <w:gridCol w:w="4479"/>
      </w:tblGrid>
      <w:tr w:rsidR="00386B89" w:rsidRPr="00386B89" w:rsidTr="00386B89">
        <w:trPr>
          <w:trHeight w:val="249"/>
          <w:jc w:val="center"/>
        </w:trPr>
        <w:tc>
          <w:tcPr>
            <w:tcW w:w="8958" w:type="dxa"/>
            <w:gridSpan w:val="2"/>
          </w:tcPr>
          <w:p w:rsidR="00386B89" w:rsidRPr="00386B89" w:rsidRDefault="00386B89" w:rsidP="00386B89">
            <w:pPr>
              <w:jc w:val="both"/>
              <w:rPr>
                <w:rFonts w:ascii="Times New Roman" w:hAnsi="Times New Roman" w:cs="Times New Roman"/>
                <w:b/>
                <w:sz w:val="20"/>
                <w:szCs w:val="20"/>
                <w:lang w:val="en-US"/>
              </w:rPr>
            </w:pPr>
            <w:r w:rsidRPr="00386B89">
              <w:rPr>
                <w:rFonts w:ascii="Times New Roman" w:hAnsi="Times New Roman" w:cs="Times New Roman"/>
                <w:b/>
                <w:sz w:val="20"/>
                <w:szCs w:val="20"/>
                <w:lang w:val="en-US"/>
              </w:rPr>
              <w:t xml:space="preserve">Mooring/Anchoring System Structural Requirements </w:t>
            </w:r>
          </w:p>
        </w:tc>
      </w:tr>
      <w:tr w:rsidR="00386B89" w:rsidRPr="00386B89" w:rsidTr="00386B89">
        <w:trPr>
          <w:trHeight w:val="69"/>
          <w:jc w:val="center"/>
        </w:trPr>
        <w:tc>
          <w:tcPr>
            <w:tcW w:w="4479" w:type="dxa"/>
            <w:vMerge w:val="restart"/>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Material properties</w:t>
            </w:r>
          </w:p>
        </w:tc>
        <w:tc>
          <w:tcPr>
            <w:tcW w:w="447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 Mooring: Light weight structure, Density= 1500 kg/m</w:t>
            </w:r>
            <w:r w:rsidRPr="00386B89">
              <w:rPr>
                <w:rFonts w:ascii="Times New Roman" w:hAnsi="Times New Roman" w:cs="Times New Roman"/>
                <w:sz w:val="20"/>
                <w:szCs w:val="20"/>
                <w:vertAlign w:val="superscript"/>
                <w:lang w:val="en-US"/>
              </w:rPr>
              <w:t xml:space="preserve">3 </w:t>
            </w:r>
          </w:p>
        </w:tc>
      </w:tr>
      <w:tr w:rsidR="00386B89" w:rsidRPr="00386B89" w:rsidTr="00386B89">
        <w:trPr>
          <w:trHeight w:val="69"/>
          <w:jc w:val="center"/>
        </w:trPr>
        <w:tc>
          <w:tcPr>
            <w:tcW w:w="4479" w:type="dxa"/>
            <w:vMerge/>
          </w:tcPr>
          <w:p w:rsidR="00386B89" w:rsidRPr="00386B89" w:rsidRDefault="00386B89" w:rsidP="00386B89">
            <w:pPr>
              <w:jc w:val="both"/>
              <w:rPr>
                <w:rFonts w:ascii="Times New Roman" w:hAnsi="Times New Roman" w:cs="Times New Roman"/>
                <w:sz w:val="20"/>
                <w:szCs w:val="20"/>
                <w:lang w:val="en-US"/>
              </w:rPr>
            </w:pPr>
          </w:p>
        </w:tc>
        <w:tc>
          <w:tcPr>
            <w:tcW w:w="447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Anchor: Alumina Cement , Density 2300 kg/m</w:t>
            </w:r>
            <w:r w:rsidRPr="00386B89">
              <w:rPr>
                <w:rFonts w:ascii="Times New Roman" w:hAnsi="Times New Roman" w:cs="Times New Roman"/>
                <w:sz w:val="20"/>
                <w:szCs w:val="20"/>
                <w:vertAlign w:val="superscript"/>
                <w:lang w:val="en-US"/>
              </w:rPr>
              <w:t>3</w:t>
            </w:r>
          </w:p>
        </w:tc>
      </w:tr>
      <w:tr w:rsidR="00386B89" w:rsidRPr="00386B89" w:rsidTr="00386B89">
        <w:trPr>
          <w:trHeight w:val="69"/>
          <w:jc w:val="center"/>
        </w:trPr>
        <w:tc>
          <w:tcPr>
            <w:tcW w:w="4479" w:type="dxa"/>
            <w:vMerge w:val="restart"/>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Maximum Dimensions (m)</w:t>
            </w:r>
          </w:p>
        </w:tc>
        <w:tc>
          <w:tcPr>
            <w:tcW w:w="447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Mooring: Diameter 96 mm</w:t>
            </w:r>
          </w:p>
        </w:tc>
      </w:tr>
      <w:tr w:rsidR="00386B89" w:rsidRPr="00386B89" w:rsidTr="00386B89">
        <w:trPr>
          <w:trHeight w:val="69"/>
          <w:jc w:val="center"/>
        </w:trPr>
        <w:tc>
          <w:tcPr>
            <w:tcW w:w="4479" w:type="dxa"/>
            <w:vMerge/>
          </w:tcPr>
          <w:p w:rsidR="00386B89" w:rsidRPr="00386B89" w:rsidRDefault="00386B89" w:rsidP="00386B89">
            <w:pPr>
              <w:jc w:val="both"/>
              <w:rPr>
                <w:rFonts w:ascii="Times New Roman" w:hAnsi="Times New Roman" w:cs="Times New Roman"/>
                <w:sz w:val="20"/>
                <w:szCs w:val="20"/>
                <w:lang w:val="en-US"/>
              </w:rPr>
            </w:pPr>
          </w:p>
        </w:tc>
        <w:tc>
          <w:tcPr>
            <w:tcW w:w="447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Anchor: 50x50x 12 meters</w:t>
            </w:r>
          </w:p>
        </w:tc>
      </w:tr>
      <w:tr w:rsidR="00386B89" w:rsidRPr="00386B89" w:rsidTr="00386B89">
        <w:trPr>
          <w:trHeight w:val="138"/>
          <w:jc w:val="center"/>
        </w:trPr>
        <w:tc>
          <w:tcPr>
            <w:tcW w:w="4479" w:type="dxa"/>
            <w:vMerge w:val="restart"/>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 Structural loads</w:t>
            </w:r>
          </w:p>
        </w:tc>
        <w:tc>
          <w:tcPr>
            <w:tcW w:w="447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Mooring: Withstand 200 tons of pretention force at least.</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Residual Strength: 460 tons</w:t>
            </w:r>
          </w:p>
          <w:p w:rsidR="00386B89" w:rsidRPr="00386B89" w:rsidRDefault="00386B89" w:rsidP="00386B89">
            <w:pPr>
              <w:jc w:val="both"/>
              <w:rPr>
                <w:rFonts w:ascii="Times New Roman" w:hAnsi="Times New Roman" w:cs="Times New Roman"/>
                <w:sz w:val="20"/>
                <w:szCs w:val="20"/>
                <w:lang w:val="en-US"/>
              </w:rPr>
            </w:pPr>
          </w:p>
        </w:tc>
      </w:tr>
      <w:tr w:rsidR="00386B89" w:rsidRPr="00386B89" w:rsidTr="00386B89">
        <w:trPr>
          <w:trHeight w:val="138"/>
          <w:jc w:val="center"/>
        </w:trPr>
        <w:tc>
          <w:tcPr>
            <w:tcW w:w="4479" w:type="dxa"/>
            <w:vMerge/>
          </w:tcPr>
          <w:p w:rsidR="00386B89" w:rsidRPr="00386B89" w:rsidRDefault="00386B89" w:rsidP="00386B89">
            <w:pPr>
              <w:jc w:val="both"/>
              <w:rPr>
                <w:rFonts w:ascii="Times New Roman" w:hAnsi="Times New Roman" w:cs="Times New Roman"/>
                <w:sz w:val="20"/>
                <w:szCs w:val="20"/>
                <w:lang w:val="en-US"/>
              </w:rPr>
            </w:pPr>
          </w:p>
        </w:tc>
        <w:tc>
          <w:tcPr>
            <w:tcW w:w="447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Anchor: </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Vertical force: 1800 kN</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Lateral force: 200 kN</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Axial force: 800 kN</w:t>
            </w:r>
          </w:p>
          <w:p w:rsidR="00386B89" w:rsidRPr="00386B89" w:rsidRDefault="00386B89" w:rsidP="00386B89">
            <w:pPr>
              <w:jc w:val="both"/>
              <w:rPr>
                <w:rFonts w:ascii="Times New Roman" w:hAnsi="Times New Roman" w:cs="Times New Roman"/>
                <w:sz w:val="20"/>
                <w:szCs w:val="20"/>
                <w:lang w:val="en-US"/>
              </w:rPr>
            </w:pPr>
          </w:p>
        </w:tc>
      </w:tr>
      <w:tr w:rsidR="00386B89" w:rsidRPr="00386B89" w:rsidTr="00386B89">
        <w:trPr>
          <w:trHeight w:val="69"/>
          <w:jc w:val="center"/>
        </w:trPr>
        <w:tc>
          <w:tcPr>
            <w:tcW w:w="4479" w:type="dxa"/>
            <w:vMerge w:val="restart"/>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Mass in air (tons)</w:t>
            </w:r>
          </w:p>
        </w:tc>
        <w:tc>
          <w:tcPr>
            <w:tcW w:w="447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Mooring: Max 8.5 kg/m</w:t>
            </w:r>
          </w:p>
        </w:tc>
      </w:tr>
      <w:tr w:rsidR="00386B89" w:rsidRPr="00386B89" w:rsidTr="00386B89">
        <w:trPr>
          <w:trHeight w:val="69"/>
          <w:jc w:val="center"/>
        </w:trPr>
        <w:tc>
          <w:tcPr>
            <w:tcW w:w="4479" w:type="dxa"/>
            <w:vMerge/>
          </w:tcPr>
          <w:p w:rsidR="00386B89" w:rsidRPr="00386B89" w:rsidRDefault="00386B89" w:rsidP="00386B89">
            <w:pPr>
              <w:jc w:val="both"/>
              <w:rPr>
                <w:rFonts w:ascii="Times New Roman" w:hAnsi="Times New Roman" w:cs="Times New Roman"/>
                <w:sz w:val="20"/>
                <w:szCs w:val="20"/>
                <w:lang w:val="en-US"/>
              </w:rPr>
            </w:pPr>
          </w:p>
        </w:tc>
        <w:tc>
          <w:tcPr>
            <w:tcW w:w="447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Anchor: 360 tons per anchor at least. </w:t>
            </w:r>
          </w:p>
        </w:tc>
      </w:tr>
      <w:tr w:rsidR="00386B89" w:rsidRPr="00386B89" w:rsidTr="00386B89">
        <w:trPr>
          <w:trHeight w:val="257"/>
          <w:jc w:val="center"/>
        </w:trPr>
        <w:tc>
          <w:tcPr>
            <w:tcW w:w="447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Chemical corrosion resistance</w:t>
            </w:r>
          </w:p>
        </w:tc>
        <w:tc>
          <w:tcPr>
            <w:tcW w:w="447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-Seawater corrosion (&gt;35 ppt)</w:t>
            </w:r>
          </w:p>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-Crude oil toxicity and corrosion</w:t>
            </w:r>
          </w:p>
          <w:p w:rsidR="00386B89" w:rsidRPr="00386B89" w:rsidRDefault="00386B89" w:rsidP="00386B89">
            <w:pPr>
              <w:jc w:val="both"/>
              <w:rPr>
                <w:rFonts w:ascii="Times New Roman" w:hAnsi="Times New Roman" w:cs="Times New Roman"/>
                <w:sz w:val="20"/>
                <w:szCs w:val="20"/>
                <w:lang w:val="en-US"/>
              </w:rPr>
            </w:pPr>
          </w:p>
        </w:tc>
      </w:tr>
      <w:tr w:rsidR="00386B89" w:rsidRPr="00386B89" w:rsidTr="00386B89">
        <w:trPr>
          <w:trHeight w:val="257"/>
          <w:jc w:val="center"/>
        </w:trPr>
        <w:tc>
          <w:tcPr>
            <w:tcW w:w="447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Operational Temperature </w:t>
            </w:r>
          </w:p>
        </w:tc>
        <w:tc>
          <w:tcPr>
            <w:tcW w:w="4479"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2</w:t>
            </w:r>
            <w:r w:rsidRPr="00386B89">
              <w:rPr>
                <w:rFonts w:ascii="Times New Roman" w:hAnsi="Times New Roman" w:cs="Times New Roman"/>
                <w:sz w:val="20"/>
                <w:szCs w:val="20"/>
                <w:vertAlign w:val="superscript"/>
                <w:lang w:val="en-US"/>
              </w:rPr>
              <w:t>o</w:t>
            </w:r>
            <w:r w:rsidRPr="00386B89">
              <w:rPr>
                <w:rFonts w:ascii="Times New Roman" w:hAnsi="Times New Roman" w:cs="Times New Roman"/>
                <w:sz w:val="20"/>
                <w:szCs w:val="20"/>
                <w:lang w:val="en-US"/>
              </w:rPr>
              <w:t>C</w:t>
            </w:r>
          </w:p>
        </w:tc>
      </w:tr>
    </w:tbl>
    <w:p w:rsidR="00386B89" w:rsidRPr="00386B89" w:rsidRDefault="00386B89" w:rsidP="00386B89">
      <w:pPr>
        <w:pStyle w:val="Caption"/>
        <w:jc w:val="center"/>
        <w:rPr>
          <w:i/>
          <w:sz w:val="20"/>
          <w:szCs w:val="20"/>
        </w:rPr>
      </w:pPr>
      <w:r w:rsidRPr="00386B89">
        <w:rPr>
          <w:i/>
          <w:sz w:val="20"/>
          <w:szCs w:val="20"/>
        </w:rPr>
        <w:t xml:space="preserve">Table </w:t>
      </w:r>
      <w:r w:rsidRPr="00386B89">
        <w:rPr>
          <w:i/>
          <w:sz w:val="20"/>
          <w:szCs w:val="20"/>
        </w:rPr>
        <w:fldChar w:fldCharType="begin"/>
      </w:r>
      <w:r w:rsidRPr="00386B89">
        <w:rPr>
          <w:i/>
          <w:sz w:val="20"/>
          <w:szCs w:val="20"/>
        </w:rPr>
        <w:instrText xml:space="preserve"> SEQ Πίνακας \* ARABIC </w:instrText>
      </w:r>
      <w:r w:rsidRPr="00386B89">
        <w:rPr>
          <w:i/>
          <w:sz w:val="20"/>
          <w:szCs w:val="20"/>
        </w:rPr>
        <w:fldChar w:fldCharType="separate"/>
      </w:r>
      <w:r w:rsidRPr="00386B89">
        <w:rPr>
          <w:i/>
          <w:noProof/>
          <w:sz w:val="20"/>
          <w:szCs w:val="20"/>
        </w:rPr>
        <w:t>8</w:t>
      </w:r>
      <w:r w:rsidRPr="00386B89">
        <w:rPr>
          <w:i/>
          <w:sz w:val="20"/>
          <w:szCs w:val="20"/>
        </w:rPr>
        <w:fldChar w:fldCharType="end"/>
      </w:r>
      <w:r w:rsidRPr="00386B89">
        <w:rPr>
          <w:i/>
          <w:sz w:val="20"/>
          <w:szCs w:val="20"/>
        </w:rPr>
        <w:t>: Mooring/Anchoring System Structural Requirements.</w:t>
      </w:r>
    </w:p>
    <w:p w:rsidR="00386B89" w:rsidRDefault="00386B89" w:rsidP="00386B89">
      <w:pPr>
        <w:spacing w:after="0" w:line="240" w:lineRule="auto"/>
        <w:jc w:val="both"/>
        <w:rPr>
          <w:rFonts w:ascii="Times New Roman" w:hAnsi="Times New Roman" w:cs="Times New Roman"/>
          <w:sz w:val="20"/>
          <w:szCs w:val="20"/>
        </w:rPr>
      </w:pPr>
    </w:p>
    <w:p w:rsidR="00386B89" w:rsidRPr="00386B89" w:rsidRDefault="00386B89" w:rsidP="00386B89">
      <w:p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 xml:space="preserve">The selection of the deadweight anchors is based on the easy deployment procedure and the mechanical reliability. Following the DIFIS System design procedure, the dimensions of the mooring/anchoring system was estimated for the MIFIS System. </w:t>
      </w:r>
    </w:p>
    <w:p w:rsidR="00386B89" w:rsidRDefault="00386B89" w:rsidP="00386B89">
      <w:pPr>
        <w:pStyle w:val="Heading2"/>
        <w:spacing w:before="0" w:line="240" w:lineRule="auto"/>
        <w:jc w:val="both"/>
        <w:rPr>
          <w:rFonts w:ascii="Times New Roman" w:hAnsi="Times New Roman" w:cs="Times New Roman"/>
          <w:sz w:val="20"/>
          <w:szCs w:val="20"/>
        </w:rPr>
      </w:pPr>
    </w:p>
    <w:p w:rsidR="00386B89" w:rsidRPr="00386B89" w:rsidRDefault="00386B89" w:rsidP="00386B89">
      <w:pPr>
        <w:pStyle w:val="Heading2"/>
        <w:spacing w:before="0" w:line="240" w:lineRule="auto"/>
        <w:jc w:val="both"/>
        <w:rPr>
          <w:rFonts w:ascii="Times New Roman" w:hAnsi="Times New Roman" w:cs="Times New Roman"/>
          <w:b/>
          <w:sz w:val="22"/>
          <w:szCs w:val="22"/>
        </w:rPr>
      </w:pPr>
      <w:r w:rsidRPr="00386B89">
        <w:rPr>
          <w:rFonts w:ascii="Times New Roman" w:hAnsi="Times New Roman" w:cs="Times New Roman"/>
          <w:b/>
          <w:color w:val="44546A" w:themeColor="text2"/>
          <w:sz w:val="22"/>
          <w:szCs w:val="22"/>
        </w:rPr>
        <w:t>MIFIS CONCEPT FEASIBILITY STUDY</w:t>
      </w:r>
      <w:r w:rsidRPr="00386B89">
        <w:rPr>
          <w:rFonts w:ascii="Times New Roman" w:hAnsi="Times New Roman" w:cs="Times New Roman"/>
          <w:b/>
          <w:sz w:val="22"/>
          <w:szCs w:val="22"/>
        </w:rPr>
        <w:t xml:space="preserve"> </w:t>
      </w:r>
    </w:p>
    <w:p w:rsidR="00386B89" w:rsidRPr="00386B89" w:rsidRDefault="00386B89" w:rsidP="00386B89">
      <w:pPr>
        <w:pStyle w:val="NormalWeb"/>
        <w:shd w:val="clear" w:color="auto" w:fill="FFFFFF"/>
        <w:spacing w:before="0" w:beforeAutospacing="0" w:after="0" w:afterAutospacing="0"/>
        <w:jc w:val="both"/>
        <w:rPr>
          <w:sz w:val="20"/>
          <w:szCs w:val="20"/>
        </w:rPr>
      </w:pPr>
      <w:r w:rsidRPr="00386B89">
        <w:rPr>
          <w:bCs/>
          <w:sz w:val="20"/>
          <w:szCs w:val="20"/>
          <w:shd w:val="clear" w:color="auto" w:fill="FFFFFF"/>
        </w:rPr>
        <w:t>Feasibility study</w:t>
      </w:r>
      <w:r w:rsidRPr="00386B89">
        <w:rPr>
          <w:rStyle w:val="apple-converted-space"/>
          <w:rFonts w:eastAsiaTheme="majorEastAsia"/>
          <w:sz w:val="20"/>
          <w:szCs w:val="20"/>
          <w:shd w:val="clear" w:color="auto" w:fill="FFFFFF"/>
        </w:rPr>
        <w:t> </w:t>
      </w:r>
      <w:r w:rsidRPr="00386B89">
        <w:rPr>
          <w:sz w:val="20"/>
          <w:szCs w:val="20"/>
          <w:shd w:val="clear" w:color="auto" w:fill="FFFFFF"/>
        </w:rPr>
        <w:t>is an assessment of the practicality of a proposed project.</w:t>
      </w:r>
      <w:r w:rsidRPr="00386B89">
        <w:rPr>
          <w:noProof/>
          <w:sz w:val="20"/>
          <w:szCs w:val="20"/>
        </w:rPr>
        <w:t xml:space="preserve">  </w:t>
      </w:r>
      <w:r w:rsidRPr="00386B89">
        <w:rPr>
          <w:sz w:val="20"/>
          <w:szCs w:val="20"/>
        </w:rPr>
        <w:t>A feasibility study aims to objectively and rationally uncover the strengths and weaknesses of the proposed venture, opportunities and threats present in the</w:t>
      </w:r>
      <w:r w:rsidRPr="00386B89">
        <w:rPr>
          <w:rStyle w:val="apple-converted-space"/>
          <w:rFonts w:eastAsiaTheme="majorEastAsia"/>
          <w:sz w:val="20"/>
          <w:szCs w:val="20"/>
        </w:rPr>
        <w:t> </w:t>
      </w:r>
      <w:hyperlink r:id="rId30" w:tooltip="Natural environment" w:history="1">
        <w:r w:rsidRPr="00386B89">
          <w:rPr>
            <w:rStyle w:val="Hyperlink"/>
            <w:rFonts w:eastAsiaTheme="majorEastAsia"/>
            <w:color w:val="auto"/>
            <w:sz w:val="20"/>
            <w:szCs w:val="20"/>
            <w:u w:val="none"/>
          </w:rPr>
          <w:t>environment</w:t>
        </w:r>
      </w:hyperlink>
      <w:r w:rsidRPr="00386B89">
        <w:rPr>
          <w:sz w:val="20"/>
          <w:szCs w:val="20"/>
        </w:rPr>
        <w:t>, the</w:t>
      </w:r>
      <w:r w:rsidRPr="00386B89">
        <w:rPr>
          <w:rStyle w:val="apple-converted-space"/>
          <w:rFonts w:eastAsiaTheme="majorEastAsia"/>
          <w:sz w:val="20"/>
          <w:szCs w:val="20"/>
        </w:rPr>
        <w:t> </w:t>
      </w:r>
      <w:hyperlink r:id="rId31" w:tooltip="Resources" w:history="1">
        <w:r w:rsidRPr="00386B89">
          <w:rPr>
            <w:rStyle w:val="Hyperlink"/>
            <w:rFonts w:eastAsiaTheme="majorEastAsia"/>
            <w:color w:val="auto"/>
            <w:sz w:val="20"/>
            <w:szCs w:val="20"/>
            <w:u w:val="none"/>
          </w:rPr>
          <w:t>resources</w:t>
        </w:r>
      </w:hyperlink>
      <w:r w:rsidRPr="00386B89">
        <w:rPr>
          <w:rStyle w:val="apple-converted-space"/>
          <w:rFonts w:eastAsiaTheme="majorEastAsia"/>
          <w:sz w:val="20"/>
          <w:szCs w:val="20"/>
        </w:rPr>
        <w:t> </w:t>
      </w:r>
      <w:r w:rsidRPr="00386B89">
        <w:rPr>
          <w:sz w:val="20"/>
          <w:szCs w:val="20"/>
        </w:rPr>
        <w:t xml:space="preserve">required to carry through, and ultimately the prospects for success. </w:t>
      </w:r>
    </w:p>
    <w:p w:rsidR="00386B89" w:rsidRPr="00386B89" w:rsidRDefault="00386B89" w:rsidP="00386B89">
      <w:pPr>
        <w:pStyle w:val="NormalWeb"/>
        <w:shd w:val="clear" w:color="auto" w:fill="FFFFFF"/>
        <w:spacing w:before="0" w:beforeAutospacing="0" w:after="0" w:afterAutospacing="0"/>
        <w:jc w:val="both"/>
        <w:rPr>
          <w:sz w:val="20"/>
          <w:szCs w:val="20"/>
        </w:rPr>
      </w:pPr>
      <w:r w:rsidRPr="00386B89">
        <w:rPr>
          <w:sz w:val="20"/>
          <w:szCs w:val="20"/>
        </w:rPr>
        <w:t>A feasibility study evaluates the project's potential for success; therefore, perceived objectivity is an important factor in the credibility of the study for potential investors and lending institutions. It must therefore be conducted with an objective, unbiased approach to provide information upon which decisions can be based. At this work only the Technical Feasibility study is presented.</w:t>
      </w:r>
    </w:p>
    <w:p w:rsidR="00386B89" w:rsidRDefault="00386B89" w:rsidP="00386B89">
      <w:pPr>
        <w:pStyle w:val="Heading3"/>
        <w:spacing w:before="0" w:line="240" w:lineRule="auto"/>
        <w:jc w:val="both"/>
        <w:rPr>
          <w:rStyle w:val="mw-headline"/>
          <w:rFonts w:ascii="Times New Roman" w:hAnsi="Times New Roman" w:cs="Times New Roman"/>
          <w:sz w:val="20"/>
          <w:szCs w:val="20"/>
        </w:rPr>
      </w:pPr>
    </w:p>
    <w:p w:rsidR="00386B89" w:rsidRPr="00386B89" w:rsidRDefault="00386B89" w:rsidP="00386B89">
      <w:pPr>
        <w:pStyle w:val="Heading3"/>
        <w:spacing w:before="0" w:line="240" w:lineRule="auto"/>
        <w:jc w:val="both"/>
        <w:rPr>
          <w:rFonts w:ascii="Times New Roman" w:hAnsi="Times New Roman" w:cs="Times New Roman"/>
          <w:b/>
          <w:sz w:val="20"/>
          <w:szCs w:val="20"/>
        </w:rPr>
      </w:pPr>
      <w:r w:rsidRPr="00386B89">
        <w:rPr>
          <w:rStyle w:val="mw-headline"/>
          <w:rFonts w:ascii="Times New Roman" w:hAnsi="Times New Roman" w:cs="Times New Roman"/>
          <w:b/>
          <w:color w:val="000000" w:themeColor="text1"/>
          <w:sz w:val="20"/>
          <w:szCs w:val="20"/>
        </w:rPr>
        <w:t>Technical feasibility</w:t>
      </w:r>
    </w:p>
    <w:p w:rsidR="00386B89" w:rsidRPr="00386B89" w:rsidRDefault="00386B89" w:rsidP="00386B89">
      <w:pPr>
        <w:pStyle w:val="NormalWeb"/>
        <w:shd w:val="clear" w:color="auto" w:fill="FFFFFF"/>
        <w:spacing w:before="0" w:beforeAutospacing="0" w:after="0" w:afterAutospacing="0"/>
        <w:jc w:val="both"/>
        <w:rPr>
          <w:color w:val="252525"/>
          <w:sz w:val="20"/>
          <w:szCs w:val="20"/>
        </w:rPr>
      </w:pPr>
      <w:r w:rsidRPr="00386B89">
        <w:rPr>
          <w:color w:val="252525"/>
          <w:sz w:val="20"/>
          <w:szCs w:val="20"/>
        </w:rPr>
        <w:t>This assessment is based on an outline design of system requirements, to determine whether a company has the technical expertise to handle completion of the project. The technical feasibility study has to include:</w:t>
      </w:r>
    </w:p>
    <w:p w:rsidR="00386B89" w:rsidRPr="00386B89" w:rsidRDefault="00386B89" w:rsidP="00386B89">
      <w:pPr>
        <w:numPr>
          <w:ilvl w:val="0"/>
          <w:numId w:val="38"/>
        </w:numPr>
        <w:shd w:val="clear" w:color="auto" w:fill="FFFFFF"/>
        <w:spacing w:after="0" w:line="240" w:lineRule="auto"/>
        <w:ind w:left="384"/>
        <w:jc w:val="both"/>
        <w:rPr>
          <w:rFonts w:ascii="Times New Roman" w:hAnsi="Times New Roman" w:cs="Times New Roman"/>
          <w:color w:val="252525"/>
          <w:sz w:val="20"/>
          <w:szCs w:val="20"/>
        </w:rPr>
      </w:pPr>
      <w:r w:rsidRPr="00386B89">
        <w:rPr>
          <w:rFonts w:ascii="Times New Roman" w:hAnsi="Times New Roman" w:cs="Times New Roman"/>
          <w:color w:val="252525"/>
          <w:sz w:val="20"/>
          <w:szCs w:val="20"/>
        </w:rPr>
        <w:t>A brief description to assess more possible factors which could affect the study: This part was presented in operational environment description.</w:t>
      </w:r>
    </w:p>
    <w:p w:rsidR="00386B89" w:rsidRPr="00386B89" w:rsidRDefault="00386B89" w:rsidP="00386B89">
      <w:pPr>
        <w:numPr>
          <w:ilvl w:val="0"/>
          <w:numId w:val="38"/>
        </w:numPr>
        <w:shd w:val="clear" w:color="auto" w:fill="FFFFFF"/>
        <w:spacing w:after="0" w:line="240" w:lineRule="auto"/>
        <w:ind w:left="384"/>
        <w:jc w:val="both"/>
        <w:rPr>
          <w:rFonts w:ascii="Times New Roman" w:hAnsi="Times New Roman" w:cs="Times New Roman"/>
          <w:color w:val="252525"/>
          <w:sz w:val="20"/>
          <w:szCs w:val="20"/>
        </w:rPr>
      </w:pPr>
      <w:r w:rsidRPr="00386B89">
        <w:rPr>
          <w:rFonts w:ascii="Times New Roman" w:hAnsi="Times New Roman" w:cs="Times New Roman"/>
          <w:color w:val="252525"/>
          <w:sz w:val="20"/>
          <w:szCs w:val="20"/>
        </w:rPr>
        <w:t xml:space="preserve">The part of the business being examined: This part was presented in MIFIS concept-a modified DIFIS System section.  </w:t>
      </w:r>
    </w:p>
    <w:p w:rsidR="00386B89" w:rsidRPr="00386B89" w:rsidRDefault="00386B89" w:rsidP="00386B89">
      <w:pPr>
        <w:numPr>
          <w:ilvl w:val="0"/>
          <w:numId w:val="38"/>
        </w:numPr>
        <w:shd w:val="clear" w:color="auto" w:fill="FFFFFF"/>
        <w:spacing w:after="0" w:line="240" w:lineRule="auto"/>
        <w:ind w:left="384"/>
        <w:jc w:val="both"/>
        <w:rPr>
          <w:rFonts w:ascii="Times New Roman" w:hAnsi="Times New Roman" w:cs="Times New Roman"/>
          <w:color w:val="252525"/>
          <w:sz w:val="20"/>
          <w:szCs w:val="20"/>
        </w:rPr>
      </w:pPr>
      <w:r w:rsidRPr="00386B89">
        <w:rPr>
          <w:rFonts w:ascii="Times New Roman" w:hAnsi="Times New Roman" w:cs="Times New Roman"/>
          <w:color w:val="252525"/>
          <w:sz w:val="20"/>
          <w:szCs w:val="20"/>
        </w:rPr>
        <w:t>The possible solutions to the problem: This part was further analyzed on MIFIS components’ structural requirements/specifications and Design Guidelines.</w:t>
      </w:r>
    </w:p>
    <w:p w:rsidR="00386B89" w:rsidRPr="00386B89" w:rsidRDefault="00386B89" w:rsidP="00386B89">
      <w:pPr>
        <w:numPr>
          <w:ilvl w:val="0"/>
          <w:numId w:val="38"/>
        </w:numPr>
        <w:shd w:val="clear" w:color="auto" w:fill="FFFFFF"/>
        <w:spacing w:after="0" w:line="240" w:lineRule="auto"/>
        <w:ind w:left="384"/>
        <w:jc w:val="both"/>
        <w:rPr>
          <w:rFonts w:ascii="Times New Roman" w:hAnsi="Times New Roman" w:cs="Times New Roman"/>
          <w:sz w:val="20"/>
          <w:szCs w:val="20"/>
        </w:rPr>
      </w:pPr>
      <w:r w:rsidRPr="00386B89">
        <w:rPr>
          <w:rFonts w:ascii="Times New Roman" w:hAnsi="Times New Roman" w:cs="Times New Roman"/>
          <w:sz w:val="20"/>
          <w:szCs w:val="20"/>
        </w:rPr>
        <w:t>The human and economic factor: These factors were presented in current’s work introduction.</w:t>
      </w:r>
    </w:p>
    <w:p w:rsidR="00386B89" w:rsidRPr="00386B89" w:rsidRDefault="00386B89" w:rsidP="00386B89">
      <w:pPr>
        <w:numPr>
          <w:ilvl w:val="0"/>
          <w:numId w:val="38"/>
        </w:numPr>
        <w:shd w:val="clear" w:color="auto" w:fill="FFFFFF"/>
        <w:spacing w:after="0" w:line="240" w:lineRule="auto"/>
        <w:ind w:left="384"/>
        <w:jc w:val="both"/>
        <w:rPr>
          <w:rFonts w:ascii="Times New Roman" w:hAnsi="Times New Roman" w:cs="Times New Roman"/>
          <w:sz w:val="20"/>
          <w:szCs w:val="20"/>
        </w:rPr>
      </w:pPr>
      <w:r w:rsidRPr="00386B89">
        <w:rPr>
          <w:rFonts w:ascii="Times New Roman" w:hAnsi="Times New Roman" w:cs="Times New Roman"/>
          <w:sz w:val="20"/>
          <w:szCs w:val="20"/>
        </w:rPr>
        <w:t xml:space="preserve">Additional acceptance criteria based on specific data for the system’s functions/operations: This part is presented below using the Weight/balance stability analysis. </w:t>
      </w:r>
    </w:p>
    <w:p w:rsidR="00386B89" w:rsidRPr="00386B89" w:rsidRDefault="00386B89" w:rsidP="00386B89">
      <w:pPr>
        <w:pStyle w:val="NormalWeb"/>
        <w:shd w:val="clear" w:color="auto" w:fill="FFFFFF"/>
        <w:spacing w:before="0" w:beforeAutospacing="0" w:after="0" w:afterAutospacing="0"/>
        <w:jc w:val="both"/>
        <w:rPr>
          <w:sz w:val="20"/>
          <w:szCs w:val="20"/>
        </w:rPr>
      </w:pPr>
      <w:r w:rsidRPr="00386B89">
        <w:rPr>
          <w:sz w:val="20"/>
          <w:szCs w:val="20"/>
        </w:rPr>
        <w:t>Generally, the</w:t>
      </w:r>
      <w:r w:rsidRPr="00386B89">
        <w:rPr>
          <w:rStyle w:val="apple-converted-space"/>
          <w:rFonts w:eastAsiaTheme="majorEastAsia"/>
          <w:sz w:val="20"/>
          <w:szCs w:val="20"/>
        </w:rPr>
        <w:t> </w:t>
      </w:r>
      <w:hyperlink r:id="rId32" w:tooltip="Technical feasibility" w:history="1">
        <w:r w:rsidRPr="00386B89">
          <w:rPr>
            <w:rStyle w:val="Hyperlink"/>
            <w:rFonts w:eastAsiaTheme="majorEastAsia"/>
            <w:color w:val="auto"/>
            <w:sz w:val="20"/>
            <w:szCs w:val="20"/>
            <w:u w:val="none"/>
          </w:rPr>
          <w:t>technical feasibility</w:t>
        </w:r>
      </w:hyperlink>
      <w:r w:rsidRPr="00386B89">
        <w:rPr>
          <w:rStyle w:val="apple-converted-space"/>
          <w:rFonts w:eastAsiaTheme="majorEastAsia"/>
          <w:sz w:val="20"/>
          <w:szCs w:val="20"/>
        </w:rPr>
        <w:t> </w:t>
      </w:r>
      <w:r w:rsidRPr="00386B89">
        <w:rPr>
          <w:sz w:val="20"/>
          <w:szCs w:val="20"/>
        </w:rPr>
        <w:t>assessment is focused on gaining an understanding of technical resources and their applicability to the expected needs of the proposed system. It is an evaluation of the hardware and software and how it meets the need of the proposed system. The additional acceptance criteria are based on the necessary installation equipment and the operational sustainability of MIFIS after the in site installation using the Weight/Balance stability criterion.</w:t>
      </w:r>
    </w:p>
    <w:p w:rsidR="00386B89" w:rsidRPr="00386B89" w:rsidRDefault="00386B89" w:rsidP="00386B89">
      <w:pPr>
        <w:pStyle w:val="NormalWeb"/>
        <w:shd w:val="clear" w:color="auto" w:fill="FFFFFF"/>
        <w:spacing w:before="0" w:beforeAutospacing="0" w:after="0" w:afterAutospacing="0"/>
        <w:jc w:val="both"/>
        <w:rPr>
          <w:sz w:val="20"/>
          <w:szCs w:val="20"/>
          <w:vertAlign w:val="superscript"/>
        </w:rPr>
      </w:pPr>
      <w:r w:rsidRPr="00386B89">
        <w:rPr>
          <w:sz w:val="20"/>
          <w:szCs w:val="20"/>
        </w:rPr>
        <w:t xml:space="preserve">The subsea/offshore installation involves a large amount of ships, barges, ROVs and platforms (Gerwick, 2000). The installation map with the necessary offshore equipment is presented in Figure 15. The maximum capacity (deadweight in tones) of each vessel and their dimensions are the most important factors for the selection (DIFIS, 2006). </w:t>
      </w:r>
    </w:p>
    <w:p w:rsidR="00386B89" w:rsidRPr="00386B89" w:rsidRDefault="00386B89" w:rsidP="00386B89">
      <w:pPr>
        <w:pStyle w:val="NormalWeb"/>
        <w:shd w:val="clear" w:color="auto" w:fill="FFFFFF"/>
        <w:spacing w:before="0" w:beforeAutospacing="0" w:after="0" w:afterAutospacing="0"/>
        <w:jc w:val="both"/>
        <w:rPr>
          <w:color w:val="252525"/>
          <w:sz w:val="20"/>
          <w:szCs w:val="20"/>
        </w:rPr>
      </w:pPr>
    </w:p>
    <w:p w:rsidR="00386B89" w:rsidRPr="00386B89" w:rsidRDefault="00386B89" w:rsidP="00386B89">
      <w:pPr>
        <w:spacing w:after="0" w:line="240" w:lineRule="auto"/>
        <w:jc w:val="center"/>
        <w:rPr>
          <w:rFonts w:ascii="Times New Roman" w:hAnsi="Times New Roman" w:cs="Times New Roman"/>
          <w:i/>
          <w:sz w:val="20"/>
          <w:szCs w:val="20"/>
        </w:rPr>
      </w:pPr>
      <w:r w:rsidRPr="00386B89">
        <w:rPr>
          <w:rFonts w:ascii="Times New Roman" w:hAnsi="Times New Roman" w:cs="Times New Roman"/>
          <w:i/>
          <w:noProof/>
          <w:sz w:val="20"/>
          <w:szCs w:val="20"/>
        </w:rPr>
        <w:drawing>
          <wp:inline distT="0" distB="0" distL="0" distR="0" wp14:anchorId="407AF66A" wp14:editId="484C17F3">
            <wp:extent cx="4667563" cy="3211675"/>
            <wp:effectExtent l="0" t="0" r="0" b="8255"/>
            <wp:docPr id="100" name="Εικόνα 2" descr="C:\Users\ΔΗΜΗΤΡΗΣ\Desktop\MIFIS\MIFIS Installation Equipment\Operational Equipmen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ΔΗΜΗΤΡΗΣ\Desktop\MIFIS\MIFIS Installation Equipment\Operational Equipment.jpg"/>
                    <pic:cNvPicPr>
                      <a:picLocks noChangeAspect="1" noChangeArrowheads="1"/>
                    </pic:cNvPicPr>
                  </pic:nvPicPr>
                  <pic:blipFill>
                    <a:blip r:embed="rId33" cstate="print"/>
                    <a:srcRect/>
                    <a:stretch>
                      <a:fillRect/>
                    </a:stretch>
                  </pic:blipFill>
                  <pic:spPr bwMode="auto">
                    <a:xfrm>
                      <a:off x="0" y="0"/>
                      <a:ext cx="4682254" cy="3221784"/>
                    </a:xfrm>
                    <a:prstGeom prst="rect">
                      <a:avLst/>
                    </a:prstGeom>
                    <a:noFill/>
                    <a:ln w="9525">
                      <a:noFill/>
                      <a:miter lim="800000"/>
                      <a:headEnd/>
                      <a:tailEnd/>
                    </a:ln>
                  </pic:spPr>
                </pic:pic>
              </a:graphicData>
            </a:graphic>
          </wp:inline>
        </w:drawing>
      </w:r>
    </w:p>
    <w:p w:rsidR="00386B89" w:rsidRPr="00386B89" w:rsidRDefault="00386B89" w:rsidP="00386B89">
      <w:pPr>
        <w:pStyle w:val="Caption"/>
        <w:jc w:val="center"/>
        <w:rPr>
          <w:i/>
          <w:sz w:val="20"/>
          <w:szCs w:val="20"/>
        </w:rPr>
      </w:pPr>
      <w:r w:rsidRPr="00386B89">
        <w:rPr>
          <w:i/>
          <w:sz w:val="20"/>
          <w:szCs w:val="20"/>
        </w:rPr>
        <w:t xml:space="preserve">Figure </w:t>
      </w:r>
      <w:r w:rsidRPr="00386B89">
        <w:rPr>
          <w:i/>
          <w:sz w:val="20"/>
          <w:szCs w:val="20"/>
        </w:rPr>
        <w:fldChar w:fldCharType="begin"/>
      </w:r>
      <w:r w:rsidRPr="00386B89">
        <w:rPr>
          <w:i/>
          <w:sz w:val="20"/>
          <w:szCs w:val="20"/>
        </w:rPr>
        <w:instrText xml:space="preserve"> SEQ Figure \* ARABIC </w:instrText>
      </w:r>
      <w:r w:rsidRPr="00386B89">
        <w:rPr>
          <w:i/>
          <w:sz w:val="20"/>
          <w:szCs w:val="20"/>
        </w:rPr>
        <w:fldChar w:fldCharType="separate"/>
      </w:r>
      <w:r w:rsidRPr="00386B89">
        <w:rPr>
          <w:i/>
          <w:noProof/>
          <w:sz w:val="20"/>
          <w:szCs w:val="20"/>
        </w:rPr>
        <w:t>15</w:t>
      </w:r>
      <w:r w:rsidRPr="00386B89">
        <w:rPr>
          <w:i/>
          <w:sz w:val="20"/>
          <w:szCs w:val="20"/>
        </w:rPr>
        <w:fldChar w:fldCharType="end"/>
      </w:r>
      <w:r w:rsidRPr="00386B89">
        <w:rPr>
          <w:i/>
          <w:sz w:val="20"/>
          <w:szCs w:val="20"/>
        </w:rPr>
        <w:t>: Necessary installation equipment Map for the MIFIS Concept.</w:t>
      </w:r>
    </w:p>
    <w:p w:rsidR="00386B89" w:rsidRDefault="00386B89" w:rsidP="00386B89">
      <w:pPr>
        <w:pStyle w:val="Heading3"/>
        <w:spacing w:before="0" w:line="240" w:lineRule="auto"/>
        <w:jc w:val="both"/>
        <w:rPr>
          <w:rStyle w:val="mw-headline"/>
          <w:rFonts w:ascii="Times New Roman" w:hAnsi="Times New Roman" w:cs="Times New Roman"/>
          <w:sz w:val="20"/>
          <w:szCs w:val="20"/>
        </w:rPr>
      </w:pPr>
    </w:p>
    <w:p w:rsidR="00386B89" w:rsidRPr="00386B89" w:rsidRDefault="00386B89" w:rsidP="00386B89">
      <w:pPr>
        <w:pStyle w:val="Heading3"/>
        <w:spacing w:before="0" w:line="240" w:lineRule="auto"/>
        <w:jc w:val="both"/>
        <w:rPr>
          <w:rFonts w:ascii="Times New Roman" w:hAnsi="Times New Roman" w:cs="Times New Roman"/>
          <w:b/>
          <w:sz w:val="20"/>
          <w:szCs w:val="20"/>
        </w:rPr>
      </w:pPr>
      <w:r w:rsidRPr="00386B89">
        <w:rPr>
          <w:rStyle w:val="mw-headline"/>
          <w:rFonts w:ascii="Times New Roman" w:hAnsi="Times New Roman" w:cs="Times New Roman"/>
          <w:b/>
          <w:color w:val="000000" w:themeColor="text1"/>
          <w:sz w:val="20"/>
          <w:szCs w:val="20"/>
        </w:rPr>
        <w:t>The Weight/Buoyancy stability balance</w:t>
      </w:r>
    </w:p>
    <w:p w:rsidR="00386B89" w:rsidRPr="00386B89" w:rsidRDefault="00386B89" w:rsidP="00386B89">
      <w:p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Weight/Buoyancy Balance is critical for the MIFIS stability on the seabed. The equilibrium at the vertical axis (along the RTC) has to be investigated (Figure 16).</w:t>
      </w:r>
    </w:p>
    <w:p w:rsidR="00386B89" w:rsidRPr="00386B89" w:rsidRDefault="00386B89" w:rsidP="00386B89">
      <w:pPr>
        <w:spacing w:after="0" w:line="240" w:lineRule="auto"/>
        <w:jc w:val="center"/>
        <w:rPr>
          <w:rFonts w:ascii="Times New Roman" w:hAnsi="Times New Roman" w:cs="Times New Roman"/>
          <w:i/>
          <w:sz w:val="20"/>
          <w:szCs w:val="20"/>
        </w:rPr>
      </w:pPr>
      <w:r w:rsidRPr="00386B89">
        <w:rPr>
          <w:rFonts w:ascii="Times New Roman" w:hAnsi="Times New Roman" w:cs="Times New Roman"/>
          <w:i/>
          <w:noProof/>
          <w:sz w:val="20"/>
          <w:szCs w:val="20"/>
        </w:rPr>
        <mc:AlternateContent>
          <mc:Choice Requires="wps">
            <w:drawing>
              <wp:anchor distT="0" distB="0" distL="114300" distR="114300" simplePos="0" relativeHeight="251664896" behindDoc="0" locked="0" layoutInCell="1" allowOverlap="1">
                <wp:simplePos x="0" y="0"/>
                <wp:positionH relativeFrom="column">
                  <wp:posOffset>1393190</wp:posOffset>
                </wp:positionH>
                <wp:positionV relativeFrom="paragraph">
                  <wp:posOffset>2218690</wp:posOffset>
                </wp:positionV>
                <wp:extent cx="591185" cy="341630"/>
                <wp:effectExtent l="12065" t="8890" r="6350" b="11430"/>
                <wp:wrapNone/>
                <wp:docPr id="103" name="Rectangle 10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91185" cy="341630"/>
                        </a:xfrm>
                        <a:prstGeom prst="rect">
                          <a:avLst/>
                        </a:prstGeom>
                        <a:solidFill>
                          <a:srgbClr val="FFFFFF"/>
                        </a:solidFill>
                        <a:ln w="9525">
                          <a:solidFill>
                            <a:srgbClr val="000000"/>
                          </a:solidFill>
                          <a:miter lim="800000"/>
                          <a:headEnd/>
                          <a:tailEnd/>
                        </a:ln>
                      </wps:spPr>
                      <wps:txbx>
                        <w:txbxContent>
                          <w:p w:rsidR="00386B89" w:rsidRPr="000B3020" w:rsidRDefault="00386B89" w:rsidP="00386B89">
                            <w:pPr>
                              <w:rPr>
                                <w:sz w:val="10"/>
                                <w:szCs w:val="10"/>
                              </w:rPr>
                            </w:pPr>
                            <w:r>
                              <w:rPr>
                                <w:sz w:val="10"/>
                                <w:szCs w:val="10"/>
                              </w:rPr>
                              <w:t>Gravitational F</w:t>
                            </w:r>
                            <w:r w:rsidRPr="000B3020">
                              <w:rPr>
                                <w:sz w:val="10"/>
                                <w:szCs w:val="10"/>
                              </w:rPr>
                              <w:t>ield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Rectangle 103" o:spid="_x0000_s1026" style="position:absolute;left:0;text-align:left;margin-left:109.7pt;margin-top:174.7pt;width:46.55pt;height:26.9pt;z-index:251664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">
                <v:textbox>
                  <w:txbxContent>
                    <w:p w:rsidR="00386B89" w:rsidRPr="000B3020" w:rsidRDefault="00386B89" w:rsidP="00386B89">
                      <w:pPr>
                        <w:rPr>
                          <w:sz w:val="10"/>
                          <w:szCs w:val="10"/>
                        </w:rPr>
                      </w:pPr>
                      <w:r>
                        <w:rPr>
                          <w:sz w:val="10"/>
                          <w:szCs w:val="10"/>
                        </w:rPr>
                        <w:t>Gravitational F</w:t>
                      </w:r>
                      <w:r w:rsidRPr="000B3020">
                        <w:rPr>
                          <w:sz w:val="10"/>
                          <w:szCs w:val="10"/>
                        </w:rPr>
                        <w:t>ield</w:t>
                      </w:r>
                    </w:p>
                  </w:txbxContent>
                </v:textbox>
              </v:rect>
            </w:pict>
          </mc:Fallback>
        </mc:AlternateContent>
      </w:r>
      <w:r w:rsidRPr="00386B89">
        <w:rPr>
          <w:rFonts w:ascii="Times New Roman" w:hAnsi="Times New Roman" w:cs="Times New Roman"/>
          <w:i/>
          <w:noProof/>
          <w:sz w:val="20"/>
          <w:szCs w:val="20"/>
        </w:rPr>
        <mc:AlternateContent>
          <mc:Choice Requires="wps">
            <w:drawing>
              <wp:anchor distT="0" distB="0" distL="114300" distR="114300" simplePos="0" relativeHeight="251663872" behindDoc="0" locked="0" layoutInCell="1" allowOverlap="1">
                <wp:simplePos x="0" y="0"/>
                <wp:positionH relativeFrom="column">
                  <wp:posOffset>1466215</wp:posOffset>
                </wp:positionH>
                <wp:positionV relativeFrom="paragraph">
                  <wp:posOffset>2493010</wp:posOffset>
                </wp:positionV>
                <wp:extent cx="635" cy="274955"/>
                <wp:effectExtent l="56515" t="6985" r="57150" b="22860"/>
                <wp:wrapNone/>
                <wp:docPr id="102" name="Straight Arrow Connector 1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27495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44DE4373" id="_x0000_t32" coordsize="21600,21600" o:spt="32" o:oned="t" path="m,l21600,21600e" filled="f">
                <v:path arrowok="t" fillok="f" o:connecttype="none"/>
                <o:lock v:ext="edit" shapetype="t"/>
              </v:shapetype>
              <v:shape id="Straight Arrow Connector 102" o:spid="_x0000_s1026" type="#_x0000_t32" style="position:absolute;margin-left:115.45pt;margin-top:196.3pt;width:.05pt;height:21.6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">
                <v:stroke endarrow="block"/>
              </v:shape>
            </w:pict>
          </mc:Fallback>
        </mc:AlternateContent>
      </w:r>
      <w:r w:rsidRPr="00386B89">
        <w:rPr>
          <w:rFonts w:ascii="Times New Roman" w:hAnsi="Times New Roman" w:cs="Times New Roman"/>
          <w:i/>
          <w:noProof/>
          <w:sz w:val="20"/>
          <w:szCs w:val="20"/>
        </w:rPr>
        <w:drawing>
          <wp:inline distT="0" distB="0" distL="0" distR="0" wp14:anchorId="2A3F9E25" wp14:editId="65A2B540">
            <wp:extent cx="1063473" cy="2907792"/>
            <wp:effectExtent l="19050" t="0" r="3327" b="0"/>
            <wp:docPr id="101" name="Εικόνα 15" descr="C:\Users\ΔΗΜΗΤΡΗΣ\Desktop\MIFIS\MIFIS_Project Consultancy_Deliverables\ΜΙΦΙΣ_del 3.Photos\MIFIS_ALL_Dimens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ΔΗΜΗΤΡΗΣ\Desktop\MIFIS\MIFIS_Project Consultancy_Deliverables\ΜΙΦΙΣ_del 3.Photos\MIFIS_ALL_Dimensions.png"/>
                    <pic:cNvPicPr>
                      <a:picLocks noChangeAspect="1" noChangeArrowheads="1"/>
                    </pic:cNvPicPr>
                  </pic:nvPicPr>
                  <pic:blipFill>
                    <a:blip r:embed="rId34" cstate="print"/>
                    <a:srcRect/>
                    <a:stretch>
                      <a:fillRect/>
                    </a:stretch>
                  </pic:blipFill>
                  <pic:spPr bwMode="auto">
                    <a:xfrm>
                      <a:off x="0" y="0"/>
                      <a:ext cx="1065578" cy="2913548"/>
                    </a:xfrm>
                    <a:prstGeom prst="rect">
                      <a:avLst/>
                    </a:prstGeom>
                    <a:noFill/>
                    <a:ln w="9525">
                      <a:noFill/>
                      <a:miter lim="800000"/>
                      <a:headEnd/>
                      <a:tailEnd/>
                    </a:ln>
                  </pic:spPr>
                </pic:pic>
              </a:graphicData>
            </a:graphic>
          </wp:inline>
        </w:drawing>
      </w:r>
      <w:r w:rsidRPr="00386B89">
        <w:rPr>
          <w:rFonts w:ascii="Times New Roman" w:hAnsi="Times New Roman" w:cs="Times New Roman"/>
          <w:i/>
          <w:noProof/>
          <w:sz w:val="20"/>
          <w:szCs w:val="20"/>
        </w:rPr>
        <w:drawing>
          <wp:inline distT="0" distB="0" distL="0" distR="0" wp14:anchorId="2E1040DA" wp14:editId="4094B48D">
            <wp:extent cx="3022854" cy="2851035"/>
            <wp:effectExtent l="19050" t="0" r="6096" b="0"/>
            <wp:docPr id="51"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 cstate="print"/>
                    <a:srcRect/>
                    <a:stretch>
                      <a:fillRect/>
                    </a:stretch>
                  </pic:blipFill>
                  <pic:spPr bwMode="auto">
                    <a:xfrm>
                      <a:off x="0" y="0"/>
                      <a:ext cx="3027003" cy="2854948"/>
                    </a:xfrm>
                    <a:prstGeom prst="rect">
                      <a:avLst/>
                    </a:prstGeom>
                    <a:noFill/>
                    <a:ln w="9525">
                      <a:noFill/>
                      <a:miter lim="800000"/>
                      <a:headEnd/>
                      <a:tailEnd/>
                    </a:ln>
                  </pic:spPr>
                </pic:pic>
              </a:graphicData>
            </a:graphic>
          </wp:inline>
        </w:drawing>
      </w:r>
    </w:p>
    <w:p w:rsidR="00386B89" w:rsidRDefault="00386B89" w:rsidP="00386B89">
      <w:pPr>
        <w:pStyle w:val="Caption"/>
        <w:jc w:val="center"/>
        <w:rPr>
          <w:i/>
          <w:sz w:val="20"/>
          <w:szCs w:val="20"/>
        </w:rPr>
      </w:pPr>
      <w:r w:rsidRPr="00386B89">
        <w:rPr>
          <w:i/>
          <w:sz w:val="20"/>
          <w:szCs w:val="20"/>
        </w:rPr>
        <w:t xml:space="preserve">Figure </w:t>
      </w:r>
      <w:r w:rsidRPr="00386B89">
        <w:rPr>
          <w:i/>
          <w:sz w:val="20"/>
          <w:szCs w:val="20"/>
        </w:rPr>
        <w:fldChar w:fldCharType="begin"/>
      </w:r>
      <w:r w:rsidRPr="00386B89">
        <w:rPr>
          <w:i/>
          <w:sz w:val="20"/>
          <w:szCs w:val="20"/>
        </w:rPr>
        <w:instrText xml:space="preserve"> SEQ Figure \* ARABIC </w:instrText>
      </w:r>
      <w:r w:rsidRPr="00386B89">
        <w:rPr>
          <w:i/>
          <w:sz w:val="20"/>
          <w:szCs w:val="20"/>
        </w:rPr>
        <w:fldChar w:fldCharType="separate"/>
      </w:r>
      <w:r w:rsidRPr="00386B89">
        <w:rPr>
          <w:i/>
          <w:noProof/>
          <w:sz w:val="20"/>
          <w:szCs w:val="20"/>
        </w:rPr>
        <w:t>16</w:t>
      </w:r>
      <w:r w:rsidRPr="00386B89">
        <w:rPr>
          <w:i/>
          <w:sz w:val="20"/>
          <w:szCs w:val="20"/>
        </w:rPr>
        <w:fldChar w:fldCharType="end"/>
      </w:r>
      <w:r w:rsidRPr="00386B89">
        <w:rPr>
          <w:i/>
          <w:sz w:val="20"/>
          <w:szCs w:val="20"/>
        </w:rPr>
        <w:t>: MIFIS Concept main dimensions for total depth 2200m from sea surface</w:t>
      </w:r>
    </w:p>
    <w:p w:rsidR="00386B89" w:rsidRDefault="00386B89" w:rsidP="00386B89">
      <w:pPr>
        <w:pStyle w:val="Caption"/>
        <w:rPr>
          <w:i/>
          <w:sz w:val="20"/>
          <w:szCs w:val="20"/>
        </w:rPr>
      </w:pPr>
    </w:p>
    <w:p w:rsidR="00386B89" w:rsidRPr="00386B89" w:rsidRDefault="00386B89" w:rsidP="00386B89">
      <w:pPr>
        <w:pStyle w:val="Caption"/>
        <w:rPr>
          <w:b w:val="0"/>
          <w:sz w:val="20"/>
          <w:szCs w:val="20"/>
        </w:rPr>
      </w:pPr>
      <w:r w:rsidRPr="00386B89">
        <w:rPr>
          <w:b w:val="0"/>
          <w:sz w:val="20"/>
          <w:szCs w:val="20"/>
        </w:rPr>
        <w:t xml:space="preserve">For the equilibrium: Net Force=Buoyancy-Weight&gt;0 for stable condition. In Table 9, the vertical stability of MIFIS concept is presented following the structural requirements. </w:t>
      </w:r>
    </w:p>
    <w:tbl>
      <w:tblPr>
        <w:tblStyle w:val="TableGrid0"/>
        <w:tblW w:w="7905" w:type="dxa"/>
        <w:jc w:val="center"/>
        <w:tblLook w:val="04A0" w:firstRow="1" w:lastRow="0" w:firstColumn="1" w:lastColumn="0" w:noHBand="0" w:noVBand="1"/>
      </w:tblPr>
      <w:tblGrid>
        <w:gridCol w:w="1317"/>
        <w:gridCol w:w="1317"/>
        <w:gridCol w:w="1317"/>
        <w:gridCol w:w="1318"/>
        <w:gridCol w:w="1318"/>
        <w:gridCol w:w="1318"/>
      </w:tblGrid>
      <w:tr w:rsidR="00386B89" w:rsidRPr="00386B89" w:rsidTr="00386B89">
        <w:trPr>
          <w:trHeight w:val="640"/>
          <w:jc w:val="center"/>
        </w:trPr>
        <w:tc>
          <w:tcPr>
            <w:tcW w:w="7905" w:type="dxa"/>
            <w:gridSpan w:val="6"/>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object w:dxaOrig="11550" w:dyaOrig="113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1.5pt;height:208.5pt" o:ole="">
                  <v:imagedata r:id="rId35" o:title=""/>
                </v:shape>
                <o:OLEObject Type="Embed" ProgID="PBrush" ShapeID="_x0000_i1025" DrawAspect="Content" ObjectID="_1538994340" r:id="rId36"/>
              </w:object>
            </w:r>
          </w:p>
        </w:tc>
      </w:tr>
      <w:tr w:rsidR="00386B89" w:rsidRPr="00386B89" w:rsidTr="00386B89">
        <w:trPr>
          <w:trHeight w:val="640"/>
          <w:jc w:val="center"/>
        </w:trPr>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Component</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Number of parts</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Mass per part (tons)</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Component mass (tons)</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Component Buoyancy (tons)</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Net force (tons)</w:t>
            </w:r>
          </w:p>
        </w:tc>
      </w:tr>
      <w:tr w:rsidR="00386B89" w:rsidRPr="00386B89" w:rsidTr="00386B89">
        <w:trPr>
          <w:trHeight w:val="325"/>
          <w:jc w:val="center"/>
        </w:trPr>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Buffer Bell</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900</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900</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3000</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2100</w:t>
            </w:r>
          </w:p>
        </w:tc>
      </w:tr>
      <w:tr w:rsidR="00386B89" w:rsidRPr="00386B89" w:rsidTr="00386B89">
        <w:trPr>
          <w:trHeight w:val="325"/>
          <w:jc w:val="center"/>
        </w:trPr>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Stiffening Rings</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133</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0.75</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99.75</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(X)</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-99.75</w:t>
            </w:r>
          </w:p>
        </w:tc>
      </w:tr>
      <w:tr w:rsidR="00386B89" w:rsidRPr="00386B89" w:rsidTr="00386B89">
        <w:trPr>
          <w:trHeight w:val="325"/>
          <w:jc w:val="center"/>
        </w:trPr>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Buffer Bell Separator</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2200</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2200</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3000</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800</w:t>
            </w:r>
          </w:p>
        </w:tc>
      </w:tr>
      <w:tr w:rsidR="00386B89" w:rsidRPr="00386B89" w:rsidTr="00386B89">
        <w:trPr>
          <w:trHeight w:val="325"/>
          <w:jc w:val="center"/>
        </w:trPr>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Heat Inhibitor Device (optional)</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798</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0.02</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15.96</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(X) </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-15.96</w:t>
            </w:r>
          </w:p>
        </w:tc>
      </w:tr>
      <w:tr w:rsidR="00386B89" w:rsidRPr="00386B89" w:rsidTr="00386B89">
        <w:trPr>
          <w:trHeight w:val="325"/>
          <w:jc w:val="center"/>
        </w:trPr>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Riser Tube Column </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136</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18</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2448</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 1045.476</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-1403</w:t>
            </w:r>
          </w:p>
        </w:tc>
      </w:tr>
      <w:tr w:rsidR="00386B89" w:rsidRPr="00386B89" w:rsidTr="00386B89">
        <w:trPr>
          <w:trHeight w:val="325"/>
          <w:jc w:val="center"/>
        </w:trPr>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 xml:space="preserve">Dome Interface Unit </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100</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100</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(X)</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-100</w:t>
            </w:r>
          </w:p>
        </w:tc>
      </w:tr>
      <w:tr w:rsidR="00386B89" w:rsidRPr="00386B89" w:rsidTr="00386B89">
        <w:trPr>
          <w:trHeight w:val="325"/>
          <w:jc w:val="center"/>
        </w:trPr>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Dome</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1.3</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1.3</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9.8</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8.5</w:t>
            </w:r>
          </w:p>
        </w:tc>
      </w:tr>
      <w:tr w:rsidR="00386B89" w:rsidRPr="00386B89" w:rsidTr="00386B89">
        <w:trPr>
          <w:trHeight w:val="325"/>
          <w:jc w:val="center"/>
        </w:trPr>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Mooring lines at the periphery of RT</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6</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16.94</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101.64</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89.29</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-12.35</w:t>
            </w:r>
          </w:p>
        </w:tc>
      </w:tr>
      <w:tr w:rsidR="00386B89" w:rsidRPr="00386B89" w:rsidTr="00386B89">
        <w:trPr>
          <w:trHeight w:val="325"/>
          <w:jc w:val="center"/>
        </w:trPr>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Mooring lines at the periphery of Dome</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12</w:t>
            </w:r>
          </w:p>
        </w:tc>
        <w:tc>
          <w:tcPr>
            <w:tcW w:w="1317"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4.235</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50.82</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44.64</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-6.18</w:t>
            </w:r>
          </w:p>
        </w:tc>
      </w:tr>
      <w:tr w:rsidR="00386B89" w:rsidRPr="00386B89" w:rsidTr="00386B89">
        <w:trPr>
          <w:trHeight w:val="325"/>
          <w:jc w:val="center"/>
        </w:trPr>
        <w:tc>
          <w:tcPr>
            <w:tcW w:w="6587" w:type="dxa"/>
            <w:gridSpan w:val="5"/>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Net upward force (sum) in tons</w:t>
            </w:r>
          </w:p>
        </w:tc>
        <w:tc>
          <w:tcPr>
            <w:tcW w:w="1318" w:type="dxa"/>
          </w:tcPr>
          <w:p w:rsidR="00386B89" w:rsidRPr="00386B89" w:rsidRDefault="00386B89" w:rsidP="00386B89">
            <w:pPr>
              <w:jc w:val="both"/>
              <w:rPr>
                <w:rFonts w:ascii="Times New Roman" w:hAnsi="Times New Roman" w:cs="Times New Roman"/>
                <w:sz w:val="20"/>
                <w:szCs w:val="20"/>
                <w:lang w:val="en-US"/>
              </w:rPr>
            </w:pPr>
            <w:r w:rsidRPr="00386B89">
              <w:rPr>
                <w:rFonts w:ascii="Times New Roman" w:hAnsi="Times New Roman" w:cs="Times New Roman"/>
                <w:sz w:val="20"/>
                <w:szCs w:val="20"/>
                <w:lang w:val="en-US"/>
              </w:rPr>
              <w:t>1270.76</w:t>
            </w:r>
          </w:p>
        </w:tc>
      </w:tr>
    </w:tbl>
    <w:p w:rsidR="00386B89" w:rsidRPr="00386B89" w:rsidRDefault="00386B89" w:rsidP="00386B89">
      <w:pPr>
        <w:pStyle w:val="Caption"/>
        <w:ind w:left="720"/>
        <w:jc w:val="center"/>
        <w:rPr>
          <w:i/>
          <w:sz w:val="20"/>
          <w:szCs w:val="20"/>
        </w:rPr>
      </w:pPr>
      <w:r w:rsidRPr="00386B89">
        <w:rPr>
          <w:i/>
          <w:sz w:val="20"/>
          <w:szCs w:val="20"/>
        </w:rPr>
        <w:t xml:space="preserve">Table </w:t>
      </w:r>
      <w:r w:rsidRPr="00386B89">
        <w:rPr>
          <w:i/>
          <w:sz w:val="20"/>
          <w:szCs w:val="20"/>
        </w:rPr>
        <w:fldChar w:fldCharType="begin"/>
      </w:r>
      <w:r w:rsidRPr="00386B89">
        <w:rPr>
          <w:i/>
          <w:sz w:val="20"/>
          <w:szCs w:val="20"/>
        </w:rPr>
        <w:instrText xml:space="preserve"> SEQ Πίνακας \* ARABIC </w:instrText>
      </w:r>
      <w:r w:rsidRPr="00386B89">
        <w:rPr>
          <w:i/>
          <w:sz w:val="20"/>
          <w:szCs w:val="20"/>
        </w:rPr>
        <w:fldChar w:fldCharType="separate"/>
      </w:r>
      <w:r w:rsidRPr="00386B89">
        <w:rPr>
          <w:i/>
          <w:noProof/>
          <w:sz w:val="20"/>
          <w:szCs w:val="20"/>
        </w:rPr>
        <w:t>9</w:t>
      </w:r>
      <w:r w:rsidRPr="00386B89">
        <w:rPr>
          <w:i/>
          <w:sz w:val="20"/>
          <w:szCs w:val="20"/>
        </w:rPr>
        <w:fldChar w:fldCharType="end"/>
      </w:r>
      <w:r w:rsidRPr="00386B89">
        <w:rPr>
          <w:i/>
          <w:sz w:val="20"/>
          <w:szCs w:val="20"/>
        </w:rPr>
        <w:t>: Conceptual estimation of the Net buoyancy force</w:t>
      </w:r>
    </w:p>
    <w:p w:rsidR="00386B89" w:rsidRDefault="00386B89" w:rsidP="00386B89">
      <w:pPr>
        <w:spacing w:after="0" w:line="240" w:lineRule="auto"/>
        <w:jc w:val="both"/>
        <w:rPr>
          <w:rFonts w:ascii="Times New Roman" w:hAnsi="Times New Roman" w:cs="Times New Roman"/>
          <w:sz w:val="20"/>
          <w:szCs w:val="20"/>
        </w:rPr>
      </w:pPr>
    </w:p>
    <w:p w:rsidR="00386B89" w:rsidRPr="00386B89" w:rsidRDefault="00386B89" w:rsidP="00386B89">
      <w:p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necessary upward net force is close to the DIFIS’s net tension force (1000 tons).</w:t>
      </w:r>
    </w:p>
    <w:p w:rsidR="00386B89" w:rsidRDefault="00386B89" w:rsidP="00386B89">
      <w:p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 xml:space="preserve"> The MIFIS concept’s axial forces on the mooring system are compared with the mooring forces in DIFIS project following the same methodology. The results are presented in Table 10:</w:t>
      </w:r>
    </w:p>
    <w:p w:rsidR="00386B89" w:rsidRDefault="00386B89" w:rsidP="00386B89">
      <w:pPr>
        <w:spacing w:after="0" w:line="240" w:lineRule="auto"/>
        <w:jc w:val="both"/>
        <w:rPr>
          <w:rFonts w:ascii="Times New Roman" w:hAnsi="Times New Roman" w:cs="Times New Roman"/>
          <w:sz w:val="20"/>
          <w:szCs w:val="20"/>
        </w:rPr>
      </w:pPr>
    </w:p>
    <w:p w:rsidR="00386B89" w:rsidRPr="00386B89" w:rsidRDefault="00386B89" w:rsidP="00386B89">
      <w:pPr>
        <w:spacing w:after="0" w:line="240" w:lineRule="auto"/>
        <w:jc w:val="both"/>
        <w:rPr>
          <w:rFonts w:ascii="Times New Roman" w:hAnsi="Times New Roman" w:cs="Times New Roman"/>
          <w:sz w:val="20"/>
          <w:szCs w:val="20"/>
        </w:rPr>
      </w:pPr>
    </w:p>
    <w:tbl>
      <w:tblPr>
        <w:tblStyle w:val="TableGrid0"/>
        <w:tblW w:w="0" w:type="auto"/>
        <w:jc w:val="center"/>
        <w:tblLook w:val="04A0" w:firstRow="1" w:lastRow="0" w:firstColumn="1" w:lastColumn="0" w:noHBand="0" w:noVBand="1"/>
      </w:tblPr>
      <w:tblGrid>
        <w:gridCol w:w="4261"/>
        <w:gridCol w:w="4261"/>
      </w:tblGrid>
      <w:tr w:rsidR="00386B89" w:rsidRPr="00386B89" w:rsidTr="00386B89">
        <w:trPr>
          <w:jc w:val="center"/>
        </w:trPr>
        <w:tc>
          <w:tcPr>
            <w:tcW w:w="4261" w:type="dxa"/>
          </w:tcPr>
          <w:p w:rsidR="00386B89" w:rsidRPr="00386B89" w:rsidRDefault="00386B89" w:rsidP="00386B89">
            <w:pPr>
              <w:jc w:val="both"/>
              <w:rPr>
                <w:rFonts w:ascii="Times New Roman" w:hAnsi="Times New Roman" w:cs="Times New Roman"/>
                <w:b/>
                <w:sz w:val="20"/>
                <w:szCs w:val="20"/>
                <w:lang w:val="en-US" w:eastAsia="el-GR"/>
              </w:rPr>
            </w:pPr>
            <w:r w:rsidRPr="00386B89">
              <w:rPr>
                <w:rFonts w:ascii="Times New Roman" w:hAnsi="Times New Roman" w:cs="Times New Roman"/>
                <w:b/>
                <w:sz w:val="20"/>
                <w:szCs w:val="20"/>
                <w:lang w:val="en-US" w:eastAsia="el-GR"/>
              </w:rPr>
              <w:t>System</w:t>
            </w:r>
          </w:p>
        </w:tc>
        <w:tc>
          <w:tcPr>
            <w:tcW w:w="4261" w:type="dxa"/>
          </w:tcPr>
          <w:p w:rsidR="00386B89" w:rsidRPr="00386B89" w:rsidRDefault="00386B89" w:rsidP="00386B89">
            <w:pPr>
              <w:jc w:val="both"/>
              <w:rPr>
                <w:rFonts w:ascii="Times New Roman" w:hAnsi="Times New Roman" w:cs="Times New Roman"/>
                <w:b/>
                <w:sz w:val="20"/>
                <w:szCs w:val="20"/>
                <w:lang w:val="en-US" w:eastAsia="el-GR"/>
              </w:rPr>
            </w:pPr>
            <w:r w:rsidRPr="00386B89">
              <w:rPr>
                <w:rFonts w:ascii="Times New Roman" w:hAnsi="Times New Roman" w:cs="Times New Roman"/>
                <w:b/>
                <w:sz w:val="20"/>
                <w:szCs w:val="20"/>
                <w:lang w:val="en-US" w:eastAsia="el-GR"/>
              </w:rPr>
              <w:t>Axial Force per Mooring line (tons) on anchor (Net upward Force 1000 tons)</w:t>
            </w:r>
          </w:p>
        </w:tc>
      </w:tr>
      <w:tr w:rsidR="00386B89" w:rsidRPr="00386B89" w:rsidTr="00386B89">
        <w:trPr>
          <w:jc w:val="center"/>
        </w:trPr>
        <w:tc>
          <w:tcPr>
            <w:tcW w:w="4261" w:type="dxa"/>
          </w:tcPr>
          <w:p w:rsidR="00386B89" w:rsidRPr="00386B89" w:rsidRDefault="00386B89" w:rsidP="00386B89">
            <w:pPr>
              <w:jc w:val="both"/>
              <w:rPr>
                <w:rFonts w:ascii="Times New Roman" w:hAnsi="Times New Roman" w:cs="Times New Roman"/>
                <w:sz w:val="20"/>
                <w:szCs w:val="20"/>
                <w:lang w:val="en-US" w:eastAsia="el-GR"/>
              </w:rPr>
            </w:pPr>
            <w:r w:rsidRPr="00386B89">
              <w:rPr>
                <w:rFonts w:ascii="Times New Roman" w:hAnsi="Times New Roman" w:cs="Times New Roman"/>
                <w:sz w:val="20"/>
                <w:szCs w:val="20"/>
                <w:lang w:val="en-US" w:eastAsia="el-GR"/>
              </w:rPr>
              <w:t>DIFIS</w:t>
            </w:r>
          </w:p>
        </w:tc>
        <w:tc>
          <w:tcPr>
            <w:tcW w:w="4261" w:type="dxa"/>
          </w:tcPr>
          <w:p w:rsidR="00386B89" w:rsidRPr="00386B89" w:rsidRDefault="00386B89" w:rsidP="00386B89">
            <w:pPr>
              <w:jc w:val="both"/>
              <w:rPr>
                <w:rFonts w:ascii="Times New Roman" w:hAnsi="Times New Roman" w:cs="Times New Roman"/>
                <w:sz w:val="20"/>
                <w:szCs w:val="20"/>
                <w:lang w:val="en-US" w:eastAsia="el-GR"/>
              </w:rPr>
            </w:pPr>
            <w:r w:rsidRPr="00386B89">
              <w:rPr>
                <w:rFonts w:ascii="Times New Roman" w:hAnsi="Times New Roman" w:cs="Times New Roman"/>
                <w:sz w:val="20"/>
                <w:szCs w:val="20"/>
                <w:lang w:val="en-US" w:eastAsia="el-GR"/>
              </w:rPr>
              <w:t>179.0</w:t>
            </w:r>
          </w:p>
        </w:tc>
      </w:tr>
      <w:tr w:rsidR="00386B89" w:rsidRPr="00386B89" w:rsidTr="00386B89">
        <w:trPr>
          <w:jc w:val="center"/>
        </w:trPr>
        <w:tc>
          <w:tcPr>
            <w:tcW w:w="4261" w:type="dxa"/>
          </w:tcPr>
          <w:p w:rsidR="00386B89" w:rsidRPr="00386B89" w:rsidRDefault="00386B89" w:rsidP="00386B89">
            <w:pPr>
              <w:jc w:val="both"/>
              <w:rPr>
                <w:rFonts w:ascii="Times New Roman" w:hAnsi="Times New Roman" w:cs="Times New Roman"/>
                <w:sz w:val="20"/>
                <w:szCs w:val="20"/>
                <w:lang w:val="en-US" w:eastAsia="el-GR"/>
              </w:rPr>
            </w:pPr>
            <w:r w:rsidRPr="00386B89">
              <w:rPr>
                <w:rFonts w:ascii="Times New Roman" w:hAnsi="Times New Roman" w:cs="Times New Roman"/>
                <w:sz w:val="20"/>
                <w:szCs w:val="20"/>
                <w:lang w:val="en-US" w:eastAsia="el-GR"/>
              </w:rPr>
              <w:t>MIFIS</w:t>
            </w:r>
          </w:p>
        </w:tc>
        <w:tc>
          <w:tcPr>
            <w:tcW w:w="4261" w:type="dxa"/>
          </w:tcPr>
          <w:p w:rsidR="00386B89" w:rsidRPr="00386B89" w:rsidRDefault="00386B89" w:rsidP="00386B89">
            <w:pPr>
              <w:jc w:val="both"/>
              <w:rPr>
                <w:rFonts w:ascii="Times New Roman" w:hAnsi="Times New Roman" w:cs="Times New Roman"/>
                <w:sz w:val="20"/>
                <w:szCs w:val="20"/>
                <w:lang w:val="en-US" w:eastAsia="el-GR"/>
              </w:rPr>
            </w:pPr>
            <w:r w:rsidRPr="00386B89">
              <w:rPr>
                <w:rFonts w:ascii="Times New Roman" w:hAnsi="Times New Roman" w:cs="Times New Roman"/>
                <w:sz w:val="20"/>
                <w:szCs w:val="20"/>
                <w:lang w:val="en-US" w:eastAsia="el-GR"/>
              </w:rPr>
              <w:t>195.0</w:t>
            </w:r>
          </w:p>
        </w:tc>
      </w:tr>
      <w:tr w:rsidR="00386B89" w:rsidRPr="00386B89" w:rsidTr="00386B89">
        <w:trPr>
          <w:jc w:val="center"/>
        </w:trPr>
        <w:tc>
          <w:tcPr>
            <w:tcW w:w="4261" w:type="dxa"/>
          </w:tcPr>
          <w:p w:rsidR="00386B89" w:rsidRPr="00386B89" w:rsidRDefault="00386B89" w:rsidP="00386B89">
            <w:pPr>
              <w:jc w:val="both"/>
              <w:rPr>
                <w:rFonts w:ascii="Times New Roman" w:hAnsi="Times New Roman" w:cs="Times New Roman"/>
                <w:sz w:val="20"/>
                <w:szCs w:val="20"/>
                <w:lang w:val="en-US" w:eastAsia="el-GR"/>
              </w:rPr>
            </w:pPr>
            <w:r w:rsidRPr="00386B89">
              <w:rPr>
                <w:rFonts w:ascii="Times New Roman" w:hAnsi="Times New Roman" w:cs="Times New Roman"/>
                <w:b/>
                <w:sz w:val="20"/>
                <w:szCs w:val="20"/>
                <w:lang w:val="en-US" w:eastAsia="el-GR"/>
              </w:rPr>
              <w:t>System</w:t>
            </w:r>
          </w:p>
        </w:tc>
        <w:tc>
          <w:tcPr>
            <w:tcW w:w="4261" w:type="dxa"/>
          </w:tcPr>
          <w:p w:rsidR="00386B89" w:rsidRPr="00386B89" w:rsidRDefault="00386B89" w:rsidP="00386B89">
            <w:pPr>
              <w:jc w:val="both"/>
              <w:rPr>
                <w:rFonts w:ascii="Times New Roman" w:hAnsi="Times New Roman" w:cs="Times New Roman"/>
                <w:sz w:val="20"/>
                <w:szCs w:val="20"/>
                <w:lang w:val="en-US" w:eastAsia="el-GR"/>
              </w:rPr>
            </w:pPr>
            <w:r w:rsidRPr="00386B89">
              <w:rPr>
                <w:rFonts w:ascii="Times New Roman" w:hAnsi="Times New Roman" w:cs="Times New Roman"/>
                <w:b/>
                <w:sz w:val="20"/>
                <w:szCs w:val="20"/>
                <w:lang w:val="en-US" w:eastAsia="el-GR"/>
              </w:rPr>
              <w:t>Axial Force per Mooring line (tons) on anchor (Net upward Force 1270 tons)</w:t>
            </w:r>
          </w:p>
        </w:tc>
      </w:tr>
      <w:tr w:rsidR="00386B89" w:rsidRPr="00386B89" w:rsidTr="00386B89">
        <w:trPr>
          <w:jc w:val="center"/>
        </w:trPr>
        <w:tc>
          <w:tcPr>
            <w:tcW w:w="4261" w:type="dxa"/>
          </w:tcPr>
          <w:p w:rsidR="00386B89" w:rsidRPr="00386B89" w:rsidRDefault="00386B89" w:rsidP="00386B89">
            <w:pPr>
              <w:jc w:val="both"/>
              <w:rPr>
                <w:rFonts w:ascii="Times New Roman" w:hAnsi="Times New Roman" w:cs="Times New Roman"/>
                <w:sz w:val="20"/>
                <w:szCs w:val="20"/>
                <w:lang w:val="en-US" w:eastAsia="el-GR"/>
              </w:rPr>
            </w:pPr>
            <w:r w:rsidRPr="00386B89">
              <w:rPr>
                <w:rFonts w:ascii="Times New Roman" w:hAnsi="Times New Roman" w:cs="Times New Roman"/>
                <w:sz w:val="20"/>
                <w:szCs w:val="20"/>
                <w:lang w:val="en-US" w:eastAsia="el-GR"/>
              </w:rPr>
              <w:t>MIFIS</w:t>
            </w:r>
          </w:p>
        </w:tc>
        <w:tc>
          <w:tcPr>
            <w:tcW w:w="4261" w:type="dxa"/>
          </w:tcPr>
          <w:p w:rsidR="00386B89" w:rsidRPr="00386B89" w:rsidRDefault="00386B89" w:rsidP="00386B89">
            <w:pPr>
              <w:jc w:val="both"/>
              <w:rPr>
                <w:rFonts w:ascii="Times New Roman" w:hAnsi="Times New Roman" w:cs="Times New Roman"/>
                <w:sz w:val="20"/>
                <w:szCs w:val="20"/>
                <w:lang w:val="en-US" w:eastAsia="el-GR"/>
              </w:rPr>
            </w:pPr>
            <w:r w:rsidRPr="00386B89">
              <w:rPr>
                <w:rFonts w:ascii="Times New Roman" w:hAnsi="Times New Roman" w:cs="Times New Roman"/>
                <w:sz w:val="20"/>
                <w:szCs w:val="20"/>
                <w:lang w:val="en-US" w:eastAsia="el-GR"/>
              </w:rPr>
              <w:t>218.0</w:t>
            </w:r>
          </w:p>
        </w:tc>
      </w:tr>
    </w:tbl>
    <w:p w:rsidR="00386B89" w:rsidRPr="00386B89" w:rsidRDefault="00386B89" w:rsidP="00386B89">
      <w:pPr>
        <w:pStyle w:val="Caption"/>
        <w:ind w:left="720"/>
        <w:jc w:val="center"/>
        <w:rPr>
          <w:i/>
          <w:sz w:val="20"/>
          <w:szCs w:val="20"/>
        </w:rPr>
      </w:pPr>
      <w:r w:rsidRPr="00386B89">
        <w:rPr>
          <w:i/>
          <w:sz w:val="20"/>
          <w:szCs w:val="20"/>
        </w:rPr>
        <w:t xml:space="preserve">Table </w:t>
      </w:r>
      <w:r w:rsidRPr="00386B89">
        <w:rPr>
          <w:i/>
          <w:sz w:val="20"/>
          <w:szCs w:val="20"/>
        </w:rPr>
        <w:fldChar w:fldCharType="begin"/>
      </w:r>
      <w:r w:rsidRPr="00386B89">
        <w:rPr>
          <w:i/>
          <w:sz w:val="20"/>
          <w:szCs w:val="20"/>
        </w:rPr>
        <w:instrText xml:space="preserve"> SEQ Πίνακας \* ARABIC </w:instrText>
      </w:r>
      <w:r w:rsidRPr="00386B89">
        <w:rPr>
          <w:i/>
          <w:sz w:val="20"/>
          <w:szCs w:val="20"/>
        </w:rPr>
        <w:fldChar w:fldCharType="separate"/>
      </w:r>
      <w:r w:rsidRPr="00386B89">
        <w:rPr>
          <w:i/>
          <w:noProof/>
          <w:sz w:val="20"/>
          <w:szCs w:val="20"/>
        </w:rPr>
        <w:t>10</w:t>
      </w:r>
      <w:r w:rsidRPr="00386B89">
        <w:rPr>
          <w:i/>
          <w:sz w:val="20"/>
          <w:szCs w:val="20"/>
        </w:rPr>
        <w:fldChar w:fldCharType="end"/>
      </w:r>
      <w:r w:rsidRPr="00386B89">
        <w:rPr>
          <w:i/>
          <w:sz w:val="20"/>
          <w:szCs w:val="20"/>
        </w:rPr>
        <w:t>: Mooring force comparison for MIFIS and DIFIS System.</w:t>
      </w:r>
    </w:p>
    <w:p w:rsidR="00386B89" w:rsidRDefault="00386B89" w:rsidP="00386B89">
      <w:pPr>
        <w:spacing w:after="0" w:line="240" w:lineRule="auto"/>
        <w:jc w:val="both"/>
        <w:rPr>
          <w:rFonts w:ascii="Times New Roman" w:hAnsi="Times New Roman" w:cs="Times New Roman"/>
          <w:sz w:val="20"/>
          <w:szCs w:val="20"/>
        </w:rPr>
      </w:pPr>
    </w:p>
    <w:p w:rsidR="00386B89" w:rsidRPr="00386B89" w:rsidRDefault="00386B89" w:rsidP="00386B89">
      <w:p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mooring force difference between the MIFIS and DIFIS system is close to 9% for the same pretention load. The maximum load on the mooring line is 218 tons for the proposed pretention load (1270 tons). This load is lower than the mooring line’s maximum axial force (460 tons).</w:t>
      </w:r>
    </w:p>
    <w:p w:rsidR="00386B89" w:rsidRDefault="00386B89" w:rsidP="00386B89">
      <w:pPr>
        <w:pStyle w:val="Heading2"/>
        <w:spacing w:before="0" w:line="240" w:lineRule="auto"/>
        <w:jc w:val="both"/>
        <w:rPr>
          <w:rFonts w:ascii="Times New Roman" w:hAnsi="Times New Roman" w:cs="Times New Roman"/>
          <w:sz w:val="20"/>
          <w:szCs w:val="20"/>
        </w:rPr>
      </w:pPr>
    </w:p>
    <w:p w:rsidR="00386B89" w:rsidRPr="00386B89" w:rsidRDefault="00386B89" w:rsidP="00386B89">
      <w:pPr>
        <w:pStyle w:val="Heading2"/>
        <w:spacing w:before="0" w:line="240" w:lineRule="auto"/>
        <w:jc w:val="both"/>
        <w:rPr>
          <w:rFonts w:ascii="Times New Roman" w:hAnsi="Times New Roman" w:cs="Times New Roman"/>
          <w:b/>
          <w:sz w:val="22"/>
          <w:szCs w:val="22"/>
        </w:rPr>
      </w:pPr>
      <w:r w:rsidRPr="00386B89">
        <w:rPr>
          <w:rFonts w:ascii="Times New Roman" w:hAnsi="Times New Roman" w:cs="Times New Roman"/>
          <w:b/>
          <w:color w:val="44546A" w:themeColor="text2"/>
          <w:sz w:val="22"/>
          <w:szCs w:val="22"/>
        </w:rPr>
        <w:t>CONCLUSIONS</w:t>
      </w:r>
    </w:p>
    <w:p w:rsidR="00386B89" w:rsidRPr="00386B89" w:rsidRDefault="00386B89" w:rsidP="00386B89">
      <w:p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 xml:space="preserve">In the current work, the principal investigation (operational environment, components’ functions and technical description and structural requirements) were presented. As part of the MIFIS PoC Feasibility study this investigation was also taken into the installation equipment and acceptance criteria. The investigation concludes that the proposed MIFIS concept can operate as a modification of the DIFIS System. Additional components have to be developed such as Press-Gravitational Buffer Bell Separator for efficient blow-out recovery. The main components of DIFIS System can be upgraded to the MIFIS components. The Feasibility Study for the MIFIS concept outlines that: </w:t>
      </w:r>
    </w:p>
    <w:p w:rsidR="00386B89" w:rsidRPr="00386B89" w:rsidRDefault="00386B89" w:rsidP="00386B89">
      <w:pPr>
        <w:pStyle w:val="ListParagraph"/>
        <w:numPr>
          <w:ilvl w:val="0"/>
          <w:numId w:val="39"/>
        </w:num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For each PG-BBS, a floater similar to DIFIS Buffer Bell is necessary to produce upward net force on the mooring system, keeping it fully tensioned.</w:t>
      </w:r>
    </w:p>
    <w:p w:rsidR="00386B89" w:rsidRPr="00386B89" w:rsidRDefault="00386B89" w:rsidP="00386B89">
      <w:pPr>
        <w:pStyle w:val="ListParagraph"/>
        <w:numPr>
          <w:ilvl w:val="0"/>
          <w:numId w:val="39"/>
        </w:num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PG-BBS has to be placed at a maximum depth 300m below the sea surface.</w:t>
      </w:r>
    </w:p>
    <w:p w:rsidR="00386B89" w:rsidRPr="00386B89" w:rsidRDefault="00386B89" w:rsidP="00386B89">
      <w:pPr>
        <w:pStyle w:val="ListParagraph"/>
        <w:numPr>
          <w:ilvl w:val="0"/>
          <w:numId w:val="39"/>
        </w:num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The PG-BBS (1270 tons pretention) increases the axial load on each mooring line close to 22%.</w:t>
      </w:r>
    </w:p>
    <w:p w:rsidR="00386B89" w:rsidRPr="00386B89" w:rsidRDefault="00386B89" w:rsidP="00386B89">
      <w:pPr>
        <w:pStyle w:val="ListParagraph"/>
        <w:numPr>
          <w:ilvl w:val="0"/>
          <w:numId w:val="39"/>
        </w:num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For higher flow rates (&gt; 40 m</w:t>
      </w:r>
      <w:r w:rsidRPr="00386B89">
        <w:rPr>
          <w:rFonts w:ascii="Times New Roman" w:hAnsi="Times New Roman" w:cs="Times New Roman"/>
          <w:sz w:val="20"/>
          <w:szCs w:val="20"/>
          <w:vertAlign w:val="superscript"/>
        </w:rPr>
        <w:t>3</w:t>
      </w:r>
      <w:r w:rsidRPr="00386B89">
        <w:rPr>
          <w:rFonts w:ascii="Times New Roman" w:hAnsi="Times New Roman" w:cs="Times New Roman"/>
          <w:sz w:val="20"/>
          <w:szCs w:val="20"/>
        </w:rPr>
        <w:t>/h), more than a PG-BBS can be assembled on Riser Tube column. The maximum number of PG-BBS components is limited to three (3) with safety factor 1.5.</w:t>
      </w:r>
    </w:p>
    <w:p w:rsidR="00386B89" w:rsidRPr="00386B89" w:rsidRDefault="00386B89" w:rsidP="00386B89">
      <w:pPr>
        <w:spacing w:after="0" w:line="240" w:lineRule="auto"/>
        <w:jc w:val="both"/>
        <w:rPr>
          <w:rFonts w:ascii="Times New Roman" w:hAnsi="Times New Roman" w:cs="Times New Roman"/>
          <w:sz w:val="20"/>
          <w:szCs w:val="20"/>
        </w:rPr>
      </w:pPr>
    </w:p>
    <w:p w:rsidR="00386B89" w:rsidRPr="00386B89" w:rsidRDefault="00386B89" w:rsidP="00386B89">
      <w:pPr>
        <w:pStyle w:val="Heading2"/>
        <w:spacing w:before="0" w:line="240" w:lineRule="auto"/>
        <w:jc w:val="both"/>
        <w:rPr>
          <w:rFonts w:ascii="Times New Roman" w:hAnsi="Times New Roman" w:cs="Times New Roman"/>
          <w:b/>
          <w:sz w:val="22"/>
          <w:szCs w:val="22"/>
        </w:rPr>
      </w:pPr>
      <w:r w:rsidRPr="00386B89">
        <w:rPr>
          <w:rFonts w:ascii="Times New Roman" w:hAnsi="Times New Roman" w:cs="Times New Roman"/>
          <w:b/>
          <w:color w:val="44546A" w:themeColor="text2"/>
          <w:sz w:val="22"/>
          <w:szCs w:val="22"/>
        </w:rPr>
        <w:t>ACKNOWLEDGEMENTS</w:t>
      </w:r>
    </w:p>
    <w:p w:rsidR="00386B89" w:rsidRPr="00386B89" w:rsidRDefault="00386B89" w:rsidP="00386B89">
      <w:pPr>
        <w:spacing w:after="0" w:line="240" w:lineRule="auto"/>
        <w:jc w:val="both"/>
        <w:rPr>
          <w:rFonts w:ascii="Times New Roman" w:hAnsi="Times New Roman" w:cs="Times New Roman"/>
          <w:sz w:val="20"/>
          <w:szCs w:val="20"/>
        </w:rPr>
      </w:pPr>
      <w:r w:rsidRPr="00386B89">
        <w:rPr>
          <w:rFonts w:ascii="Times New Roman" w:hAnsi="Times New Roman" w:cs="Times New Roman"/>
          <w:sz w:val="20"/>
          <w:szCs w:val="20"/>
        </w:rPr>
        <w:t xml:space="preserve">The authors wish to acknowledge the role of Dr. F. Andritsos as inventor of the DIFIS/MIFIS System and the opportunity to participate in preliminary feasibility study of this innovative structure for blow-out recovery. The authors also wish to acknowledge the work of Andreas Ampatzoglou, Mechanical Engineer/PhD candidate at Applied Mechanics Laboratory, which performed in 3D CAD visualization of PG-BBS structure. </w:t>
      </w:r>
    </w:p>
    <w:p w:rsidR="00386B89" w:rsidRPr="00386B89" w:rsidRDefault="00386B89" w:rsidP="00386B89">
      <w:pPr>
        <w:spacing w:after="0" w:line="240" w:lineRule="auto"/>
        <w:jc w:val="both"/>
        <w:rPr>
          <w:rFonts w:ascii="Times New Roman" w:hAnsi="Times New Roman" w:cs="Times New Roman"/>
          <w:sz w:val="20"/>
          <w:szCs w:val="20"/>
        </w:rPr>
      </w:pPr>
    </w:p>
    <w:p w:rsidR="00386B89" w:rsidRPr="00386B89" w:rsidRDefault="00386B89" w:rsidP="00386B89">
      <w:pPr>
        <w:pStyle w:val="Heading2"/>
        <w:spacing w:before="0" w:line="240" w:lineRule="auto"/>
        <w:jc w:val="both"/>
        <w:rPr>
          <w:rFonts w:ascii="Times New Roman" w:hAnsi="Times New Roman" w:cs="Times New Roman"/>
          <w:b/>
          <w:sz w:val="22"/>
          <w:szCs w:val="22"/>
        </w:rPr>
      </w:pPr>
      <w:r w:rsidRPr="00386B89">
        <w:rPr>
          <w:rFonts w:ascii="Times New Roman" w:hAnsi="Times New Roman" w:cs="Times New Roman"/>
          <w:b/>
          <w:color w:val="44546A" w:themeColor="text2"/>
          <w:sz w:val="22"/>
          <w:szCs w:val="22"/>
        </w:rPr>
        <w:t>REFERENCES</w:t>
      </w:r>
    </w:p>
    <w:p w:rsidR="00386B89" w:rsidRDefault="00386B89" w:rsidP="00386B89">
      <w:pPr>
        <w:pStyle w:val="Default"/>
        <w:numPr>
          <w:ilvl w:val="0"/>
          <w:numId w:val="40"/>
        </w:numPr>
        <w:jc w:val="both"/>
        <w:rPr>
          <w:bCs/>
          <w:sz w:val="20"/>
          <w:szCs w:val="20"/>
        </w:rPr>
      </w:pPr>
      <w:r w:rsidRPr="00386B89">
        <w:rPr>
          <w:sz w:val="20"/>
          <w:szCs w:val="20"/>
        </w:rPr>
        <w:t>Andritsos F. and Cozijn H. (</w:t>
      </w:r>
      <w:r w:rsidRPr="00386B89">
        <w:rPr>
          <w:bCs/>
          <w:sz w:val="20"/>
          <w:szCs w:val="20"/>
        </w:rPr>
        <w:t>2011)</w:t>
      </w:r>
      <w:r w:rsidRPr="00386B89">
        <w:rPr>
          <w:sz w:val="20"/>
          <w:szCs w:val="20"/>
        </w:rPr>
        <w:t xml:space="preserve">, “An innovative oil pollution containment method for ship wrecks proposed for offshore-well blow outs”, </w:t>
      </w:r>
      <w:r w:rsidRPr="00386B89">
        <w:rPr>
          <w:bCs/>
          <w:i/>
          <w:sz w:val="20"/>
          <w:szCs w:val="20"/>
        </w:rPr>
        <w:t>Proceedings of the ASME 2011 30th International Conference on Ocean, Offshore and Arctic Engineering OMAE 2011</w:t>
      </w:r>
      <w:r w:rsidRPr="00386B89">
        <w:rPr>
          <w:bCs/>
          <w:sz w:val="20"/>
          <w:szCs w:val="20"/>
        </w:rPr>
        <w:t>, Rotterdam, Netherlands.</w:t>
      </w:r>
    </w:p>
    <w:p w:rsidR="00386B89" w:rsidRPr="00386B89" w:rsidRDefault="00386B89" w:rsidP="00386B89">
      <w:pPr>
        <w:pStyle w:val="Default"/>
        <w:numPr>
          <w:ilvl w:val="0"/>
          <w:numId w:val="40"/>
        </w:numPr>
        <w:jc w:val="both"/>
        <w:rPr>
          <w:bCs/>
          <w:sz w:val="20"/>
          <w:szCs w:val="20"/>
        </w:rPr>
      </w:pPr>
      <w:r w:rsidRPr="00386B89">
        <w:rPr>
          <w:sz w:val="20"/>
          <w:szCs w:val="20"/>
        </w:rPr>
        <w:t xml:space="preserve">Bai Y. and Bai Q. (2010), </w:t>
      </w:r>
      <w:r w:rsidRPr="00386B89">
        <w:rPr>
          <w:i/>
          <w:sz w:val="20"/>
          <w:szCs w:val="20"/>
        </w:rPr>
        <w:t>Handbook of Subsea Engineering</w:t>
      </w:r>
      <w:r w:rsidRPr="00386B89">
        <w:rPr>
          <w:sz w:val="20"/>
          <w:szCs w:val="20"/>
        </w:rPr>
        <w:t>, Elsevier Inc.</w:t>
      </w:r>
    </w:p>
    <w:p w:rsidR="00386B89" w:rsidRPr="00386B89" w:rsidRDefault="00386B89" w:rsidP="00386B89">
      <w:pPr>
        <w:pStyle w:val="Default"/>
        <w:numPr>
          <w:ilvl w:val="0"/>
          <w:numId w:val="40"/>
        </w:numPr>
        <w:jc w:val="both"/>
        <w:rPr>
          <w:bCs/>
          <w:sz w:val="20"/>
          <w:szCs w:val="20"/>
        </w:rPr>
      </w:pPr>
      <w:r w:rsidRPr="00386B89">
        <w:rPr>
          <w:sz w:val="20"/>
          <w:szCs w:val="20"/>
        </w:rPr>
        <w:t xml:space="preserve">Bollavaram P. (2002), </w:t>
      </w:r>
      <w:r w:rsidRPr="00386B89">
        <w:rPr>
          <w:i/>
          <w:sz w:val="20"/>
          <w:szCs w:val="20"/>
        </w:rPr>
        <w:t>Hydrate Plug Dissociation in Pipelines by Pressure Reduction: Experiment and Modeling</w:t>
      </w:r>
      <w:r w:rsidRPr="00386B89">
        <w:rPr>
          <w:sz w:val="20"/>
          <w:szCs w:val="20"/>
        </w:rPr>
        <w:t>, PhD Thesis, Colorado, USA.</w:t>
      </w:r>
    </w:p>
    <w:p w:rsidR="00386B89" w:rsidRPr="00386B89" w:rsidRDefault="00386B89" w:rsidP="00386B89">
      <w:pPr>
        <w:pStyle w:val="Default"/>
        <w:numPr>
          <w:ilvl w:val="0"/>
          <w:numId w:val="40"/>
        </w:numPr>
        <w:jc w:val="both"/>
        <w:rPr>
          <w:bCs/>
          <w:sz w:val="20"/>
          <w:szCs w:val="20"/>
        </w:rPr>
      </w:pPr>
      <w:r w:rsidRPr="00386B89">
        <w:rPr>
          <w:sz w:val="20"/>
          <w:szCs w:val="20"/>
        </w:rPr>
        <w:t xml:space="preserve">Cortland (2005), ‘’Vectran 12 Strand &amp; 12x12’’, Technical Sheet available at: </w:t>
      </w:r>
      <w:hyperlink r:id="rId37" w:history="1">
        <w:r w:rsidRPr="00386B89">
          <w:rPr>
            <w:rStyle w:val="Hyperlink"/>
            <w:sz w:val="20"/>
            <w:szCs w:val="20"/>
          </w:rPr>
          <w:t>http://www.cortlandcompany.com/sites/default/files/downloads/media/product-data-sheets-vectran-12-strand.pdf</w:t>
        </w:r>
      </w:hyperlink>
      <w:r w:rsidRPr="00386B89">
        <w:rPr>
          <w:sz w:val="20"/>
          <w:szCs w:val="20"/>
        </w:rPr>
        <w:t xml:space="preserve"> </w:t>
      </w:r>
    </w:p>
    <w:p w:rsidR="00386B89" w:rsidRPr="00386B89" w:rsidRDefault="00386B89" w:rsidP="00386B89">
      <w:pPr>
        <w:pStyle w:val="Default"/>
        <w:numPr>
          <w:ilvl w:val="0"/>
          <w:numId w:val="40"/>
        </w:numPr>
        <w:jc w:val="both"/>
        <w:rPr>
          <w:bCs/>
          <w:sz w:val="20"/>
          <w:szCs w:val="20"/>
        </w:rPr>
      </w:pPr>
      <w:r w:rsidRPr="00386B89">
        <w:rPr>
          <w:sz w:val="20"/>
          <w:szCs w:val="20"/>
        </w:rPr>
        <w:t xml:space="preserve">Demirbas, A. (2010), </w:t>
      </w:r>
      <w:r w:rsidRPr="00386B89">
        <w:rPr>
          <w:i/>
          <w:sz w:val="20"/>
          <w:szCs w:val="20"/>
        </w:rPr>
        <w:t>Methane Gas Hydrate</w:t>
      </w:r>
      <w:r w:rsidRPr="00386B89">
        <w:rPr>
          <w:sz w:val="20"/>
          <w:szCs w:val="20"/>
        </w:rPr>
        <w:t>, Springer-Verlag London Limited.</w:t>
      </w:r>
    </w:p>
    <w:p w:rsidR="00386B89" w:rsidRPr="00386B89" w:rsidRDefault="00386B89" w:rsidP="00386B89">
      <w:pPr>
        <w:pStyle w:val="Default"/>
        <w:numPr>
          <w:ilvl w:val="0"/>
          <w:numId w:val="40"/>
        </w:numPr>
        <w:jc w:val="both"/>
        <w:rPr>
          <w:bCs/>
          <w:sz w:val="20"/>
          <w:szCs w:val="20"/>
        </w:rPr>
      </w:pPr>
      <w:r w:rsidRPr="00386B89">
        <w:rPr>
          <w:sz w:val="20"/>
          <w:szCs w:val="20"/>
        </w:rPr>
        <w:t xml:space="preserve">Devinder M., Taylor E.C. and Mansoori Ali G., (2007), “An introduction to natural gas hydrate/clathrate: The major organic carbon reserve of the Earth”, Journal </w:t>
      </w:r>
      <w:r w:rsidRPr="00386B89">
        <w:rPr>
          <w:i/>
          <w:sz w:val="20"/>
          <w:szCs w:val="20"/>
        </w:rPr>
        <w:t>of Petroleum Science and Engineering</w:t>
      </w:r>
      <w:r w:rsidRPr="00386B89">
        <w:rPr>
          <w:sz w:val="20"/>
          <w:szCs w:val="20"/>
        </w:rPr>
        <w:t xml:space="preserve"> Vol. 56, pp 1–8. </w:t>
      </w:r>
    </w:p>
    <w:p w:rsidR="00386B89" w:rsidRDefault="00386B89" w:rsidP="00386B89">
      <w:pPr>
        <w:pStyle w:val="Default"/>
        <w:numPr>
          <w:ilvl w:val="0"/>
          <w:numId w:val="40"/>
        </w:numPr>
        <w:jc w:val="both"/>
        <w:rPr>
          <w:bCs/>
          <w:sz w:val="20"/>
          <w:szCs w:val="20"/>
        </w:rPr>
      </w:pPr>
      <w:r w:rsidRPr="00386B89">
        <w:rPr>
          <w:sz w:val="20"/>
          <w:szCs w:val="20"/>
        </w:rPr>
        <w:t xml:space="preserve">DIFIS Project FP6-516360 (2006), </w:t>
      </w:r>
      <w:r w:rsidRPr="00386B89">
        <w:rPr>
          <w:i/>
          <w:sz w:val="20"/>
          <w:szCs w:val="20"/>
        </w:rPr>
        <w:t>Report on Deployment &amp; Recovery Procedure</w:t>
      </w:r>
      <w:r w:rsidRPr="00386B89">
        <w:rPr>
          <w:sz w:val="20"/>
          <w:szCs w:val="20"/>
        </w:rPr>
        <w:t>.</w:t>
      </w:r>
    </w:p>
    <w:p w:rsidR="00386B89" w:rsidRPr="00386B89" w:rsidRDefault="00386B89" w:rsidP="00386B89">
      <w:pPr>
        <w:pStyle w:val="Default"/>
        <w:numPr>
          <w:ilvl w:val="0"/>
          <w:numId w:val="40"/>
        </w:numPr>
        <w:jc w:val="both"/>
        <w:rPr>
          <w:bCs/>
          <w:sz w:val="20"/>
          <w:szCs w:val="20"/>
        </w:rPr>
      </w:pPr>
      <w:r w:rsidRPr="00386B89">
        <w:rPr>
          <w:color w:val="auto"/>
          <w:sz w:val="20"/>
          <w:szCs w:val="20"/>
          <w:shd w:val="clear" w:color="auto" w:fill="FFFFFF"/>
        </w:rPr>
        <w:t xml:space="preserve">Gerwick C.B. Jr (2000), </w:t>
      </w:r>
      <w:r w:rsidRPr="00386B89">
        <w:rPr>
          <w:i/>
          <w:color w:val="auto"/>
          <w:sz w:val="20"/>
          <w:szCs w:val="20"/>
          <w:shd w:val="clear" w:color="auto" w:fill="FFFFFF"/>
        </w:rPr>
        <w:t>Construction of Marine and Offshore Structures</w:t>
      </w:r>
      <w:r w:rsidRPr="00386B89">
        <w:rPr>
          <w:color w:val="auto"/>
          <w:sz w:val="20"/>
          <w:szCs w:val="20"/>
          <w:shd w:val="clear" w:color="auto" w:fill="FFFFFF"/>
        </w:rPr>
        <w:t xml:space="preserve"> ,CRC Press LLC.</w:t>
      </w:r>
    </w:p>
    <w:p w:rsidR="00386B89" w:rsidRPr="00386B89" w:rsidRDefault="00386B89" w:rsidP="00386B89">
      <w:pPr>
        <w:pStyle w:val="Default"/>
        <w:numPr>
          <w:ilvl w:val="0"/>
          <w:numId w:val="40"/>
        </w:numPr>
        <w:jc w:val="both"/>
        <w:rPr>
          <w:bCs/>
          <w:sz w:val="20"/>
          <w:szCs w:val="20"/>
        </w:rPr>
      </w:pPr>
      <w:r w:rsidRPr="00386B89">
        <w:rPr>
          <w:sz w:val="20"/>
          <w:szCs w:val="20"/>
        </w:rPr>
        <w:t>Hardage B. and Roberts H. (2006), “</w:t>
      </w:r>
      <w:r w:rsidRPr="00386B89">
        <w:rPr>
          <w:bCs/>
          <w:sz w:val="20"/>
          <w:szCs w:val="20"/>
        </w:rPr>
        <w:t>Gas hydrate in the Gulf of Mexico</w:t>
      </w:r>
      <w:r w:rsidRPr="00386B89">
        <w:rPr>
          <w:sz w:val="20"/>
          <w:szCs w:val="20"/>
        </w:rPr>
        <w:t xml:space="preserve">’’, </w:t>
      </w:r>
      <w:r w:rsidRPr="00386B89">
        <w:rPr>
          <w:i/>
          <w:sz w:val="20"/>
          <w:szCs w:val="20"/>
        </w:rPr>
        <w:t>The Leading Edge</w:t>
      </w:r>
      <w:r w:rsidRPr="00386B89">
        <w:rPr>
          <w:sz w:val="20"/>
          <w:szCs w:val="20"/>
        </w:rPr>
        <w:t xml:space="preserve">, pp 566-571. </w:t>
      </w:r>
    </w:p>
    <w:p w:rsidR="00386B89" w:rsidRPr="00386B89" w:rsidRDefault="00386B89" w:rsidP="00386B89">
      <w:pPr>
        <w:pStyle w:val="Default"/>
        <w:numPr>
          <w:ilvl w:val="0"/>
          <w:numId w:val="40"/>
        </w:numPr>
        <w:jc w:val="both"/>
        <w:rPr>
          <w:bCs/>
          <w:sz w:val="20"/>
          <w:szCs w:val="20"/>
        </w:rPr>
      </w:pPr>
      <w:r w:rsidRPr="00386B89">
        <w:rPr>
          <w:sz w:val="20"/>
          <w:szCs w:val="20"/>
        </w:rPr>
        <w:t xml:space="preserve">Holand,P. (1997), </w:t>
      </w:r>
      <w:r w:rsidRPr="00386B89">
        <w:rPr>
          <w:i/>
          <w:sz w:val="20"/>
          <w:szCs w:val="20"/>
        </w:rPr>
        <w:t>Offshore Blowouts- Causes and Control</w:t>
      </w:r>
      <w:r w:rsidRPr="00386B89">
        <w:rPr>
          <w:sz w:val="20"/>
          <w:szCs w:val="20"/>
        </w:rPr>
        <w:t xml:space="preserve"> , Gulf Publishing Company, Houston, Texas</w:t>
      </w:r>
    </w:p>
    <w:p w:rsidR="00386B89" w:rsidRPr="00386B89" w:rsidRDefault="00386B89" w:rsidP="00386B89">
      <w:pPr>
        <w:pStyle w:val="Default"/>
        <w:numPr>
          <w:ilvl w:val="0"/>
          <w:numId w:val="40"/>
        </w:numPr>
        <w:jc w:val="both"/>
        <w:rPr>
          <w:bCs/>
          <w:sz w:val="20"/>
          <w:szCs w:val="20"/>
        </w:rPr>
      </w:pPr>
      <w:r w:rsidRPr="00386B89">
        <w:rPr>
          <w:sz w:val="20"/>
          <w:szCs w:val="20"/>
        </w:rPr>
        <w:t xml:space="preserve">Huo H,Liu Y.,Zheng Z., Zhao J.,Jin C. et al. (2011) , “Mechanical and thermal properties of methane clathrate hydrates as an alternative energy resource’’, </w:t>
      </w:r>
      <w:r w:rsidRPr="00386B89">
        <w:rPr>
          <w:i/>
          <w:sz w:val="20"/>
          <w:szCs w:val="20"/>
        </w:rPr>
        <w:t>Journal Of Renewable and Sustainable Energy,</w:t>
      </w:r>
      <w:r w:rsidRPr="00386B89">
        <w:rPr>
          <w:sz w:val="20"/>
          <w:szCs w:val="20"/>
        </w:rPr>
        <w:t xml:space="preserve"> Vol. 3 . </w:t>
      </w:r>
    </w:p>
    <w:p w:rsidR="00386B89" w:rsidRDefault="00386B89" w:rsidP="00386B89">
      <w:pPr>
        <w:pStyle w:val="Default"/>
        <w:numPr>
          <w:ilvl w:val="0"/>
          <w:numId w:val="40"/>
        </w:numPr>
        <w:jc w:val="both"/>
        <w:rPr>
          <w:bCs/>
          <w:sz w:val="20"/>
          <w:szCs w:val="20"/>
        </w:rPr>
      </w:pPr>
      <w:r w:rsidRPr="00386B89">
        <w:rPr>
          <w:sz w:val="20"/>
          <w:szCs w:val="20"/>
        </w:rPr>
        <w:t>Lundgaard L. and Mollerup J. (1992),   “</w:t>
      </w:r>
      <w:r w:rsidRPr="00386B89">
        <w:rPr>
          <w:bCs/>
          <w:sz w:val="20"/>
          <w:szCs w:val="20"/>
        </w:rPr>
        <w:t>Calculation of Phase Diagrams of Gas-Hydrates”</w:t>
      </w:r>
      <w:r w:rsidRPr="00386B89">
        <w:rPr>
          <w:sz w:val="20"/>
          <w:szCs w:val="20"/>
        </w:rPr>
        <w:t xml:space="preserve">, </w:t>
      </w:r>
      <w:r w:rsidRPr="00386B89">
        <w:rPr>
          <w:i/>
          <w:sz w:val="20"/>
          <w:szCs w:val="20"/>
        </w:rPr>
        <w:t>Elsevier Science Publishers B.V.,</w:t>
      </w:r>
      <w:r w:rsidRPr="00386B89">
        <w:rPr>
          <w:i/>
          <w:iCs/>
          <w:sz w:val="20"/>
          <w:szCs w:val="20"/>
        </w:rPr>
        <w:t>Fluid Phase Equilibria</w:t>
      </w:r>
      <w:r w:rsidRPr="00386B89">
        <w:rPr>
          <w:iCs/>
          <w:sz w:val="20"/>
          <w:szCs w:val="20"/>
        </w:rPr>
        <w:t xml:space="preserve">, Vol. 76, pp </w:t>
      </w:r>
      <w:r w:rsidRPr="00386B89">
        <w:rPr>
          <w:sz w:val="20"/>
          <w:szCs w:val="20"/>
        </w:rPr>
        <w:t>141-149.</w:t>
      </w:r>
    </w:p>
    <w:p w:rsidR="00386B89" w:rsidRDefault="00386B89" w:rsidP="00386B89">
      <w:pPr>
        <w:pStyle w:val="Default"/>
        <w:numPr>
          <w:ilvl w:val="0"/>
          <w:numId w:val="40"/>
        </w:numPr>
        <w:jc w:val="both"/>
        <w:rPr>
          <w:bCs/>
          <w:sz w:val="20"/>
          <w:szCs w:val="20"/>
        </w:rPr>
      </w:pPr>
      <w:r w:rsidRPr="00386B89">
        <w:rPr>
          <w:sz w:val="20"/>
          <w:szCs w:val="20"/>
        </w:rPr>
        <w:t xml:space="preserve">Mazarakos E.D., Andritsos F. and Kostopoulos V. (2012), “Recovery of Oil-Pollutant from Shipwrecks: DIFIS Project”, </w:t>
      </w:r>
      <w:r w:rsidRPr="00386B89">
        <w:rPr>
          <w:i/>
          <w:sz w:val="20"/>
          <w:szCs w:val="20"/>
        </w:rPr>
        <w:t>International Journal of Structural Integrity</w:t>
      </w:r>
      <w:r w:rsidRPr="00386B89">
        <w:rPr>
          <w:sz w:val="20"/>
          <w:szCs w:val="20"/>
        </w:rPr>
        <w:t xml:space="preserve">, </w:t>
      </w:r>
      <w:r w:rsidRPr="00386B89">
        <w:rPr>
          <w:color w:val="auto"/>
          <w:sz w:val="20"/>
          <w:szCs w:val="20"/>
          <w:shd w:val="clear" w:color="auto" w:fill="FFFFFF"/>
        </w:rPr>
        <w:t xml:space="preserve">Vol. 3, pp.285 – 319 </w:t>
      </w:r>
    </w:p>
    <w:p w:rsidR="00386B89" w:rsidRDefault="00386B89" w:rsidP="00386B89">
      <w:pPr>
        <w:pStyle w:val="Default"/>
        <w:numPr>
          <w:ilvl w:val="0"/>
          <w:numId w:val="40"/>
        </w:numPr>
        <w:jc w:val="both"/>
        <w:rPr>
          <w:bCs/>
          <w:sz w:val="20"/>
          <w:szCs w:val="20"/>
        </w:rPr>
      </w:pPr>
      <w:r w:rsidRPr="00386B89">
        <w:rPr>
          <w:sz w:val="20"/>
          <w:szCs w:val="20"/>
        </w:rPr>
        <w:t xml:space="preserve">Mazarakos E.D. (2012), </w:t>
      </w:r>
      <w:r w:rsidRPr="00386B89">
        <w:rPr>
          <w:i/>
          <w:sz w:val="20"/>
          <w:szCs w:val="20"/>
        </w:rPr>
        <w:t>Design, analysis and Optimization of a Subsea Structure for the oil Recovery from shipwrecks, the DIFIS Project</w:t>
      </w:r>
      <w:r w:rsidRPr="00386B89">
        <w:rPr>
          <w:sz w:val="20"/>
          <w:szCs w:val="20"/>
        </w:rPr>
        <w:t xml:space="preserve">, </w:t>
      </w:r>
      <w:r w:rsidRPr="00386B89">
        <w:rPr>
          <w:bCs/>
          <w:sz w:val="20"/>
          <w:szCs w:val="20"/>
        </w:rPr>
        <w:t>Nemertes: PhD Thesis, Patras, Hellas/Greece</w:t>
      </w:r>
    </w:p>
    <w:p w:rsidR="00386B89" w:rsidRDefault="00386B89" w:rsidP="00386B89">
      <w:pPr>
        <w:pStyle w:val="Default"/>
        <w:numPr>
          <w:ilvl w:val="0"/>
          <w:numId w:val="40"/>
        </w:numPr>
        <w:jc w:val="both"/>
        <w:rPr>
          <w:bCs/>
          <w:sz w:val="20"/>
          <w:szCs w:val="20"/>
        </w:rPr>
      </w:pPr>
      <w:r w:rsidRPr="00386B89">
        <w:rPr>
          <w:bCs/>
          <w:sz w:val="20"/>
          <w:szCs w:val="20"/>
        </w:rPr>
        <w:t xml:space="preserve">Mazarakos E.D., Kostopoulos V. (2015), </w:t>
      </w:r>
      <w:r w:rsidRPr="00386B89">
        <w:rPr>
          <w:bCs/>
          <w:i/>
          <w:sz w:val="20"/>
          <w:szCs w:val="20"/>
        </w:rPr>
        <w:t>Part 1: Deliverable on Theoretical Framing</w:t>
      </w:r>
      <w:r w:rsidRPr="00386B89">
        <w:rPr>
          <w:bCs/>
          <w:sz w:val="20"/>
          <w:szCs w:val="20"/>
        </w:rPr>
        <w:t xml:space="preserve">, Project MIFIS: Proof of Concept Consultancy Services,Patras, Hellas/Greece. </w:t>
      </w:r>
    </w:p>
    <w:p w:rsidR="00386B89" w:rsidRDefault="00386B89" w:rsidP="00386B89">
      <w:pPr>
        <w:pStyle w:val="Default"/>
        <w:numPr>
          <w:ilvl w:val="0"/>
          <w:numId w:val="40"/>
        </w:numPr>
        <w:jc w:val="both"/>
        <w:rPr>
          <w:bCs/>
          <w:sz w:val="20"/>
          <w:szCs w:val="20"/>
        </w:rPr>
      </w:pPr>
      <w:r w:rsidRPr="00386B89">
        <w:rPr>
          <w:bCs/>
          <w:sz w:val="20"/>
          <w:szCs w:val="20"/>
        </w:rPr>
        <w:t xml:space="preserve">Mazarakos E.D., Kostopoulos V. (2015), </w:t>
      </w:r>
      <w:r w:rsidRPr="00386B89">
        <w:rPr>
          <w:bCs/>
          <w:i/>
          <w:sz w:val="20"/>
          <w:szCs w:val="20"/>
        </w:rPr>
        <w:t>Part 2: Deliverable on Calculations/Simulations Results Overview</w:t>
      </w:r>
      <w:r w:rsidRPr="00386B89">
        <w:rPr>
          <w:bCs/>
          <w:sz w:val="20"/>
          <w:szCs w:val="20"/>
        </w:rPr>
        <w:t xml:space="preserve">, Project MIFIS: Proof of Concept Consultancy Services, Patras, Hellas/Greece. </w:t>
      </w:r>
    </w:p>
    <w:p w:rsidR="00386B89" w:rsidRDefault="00386B89" w:rsidP="00386B89">
      <w:pPr>
        <w:pStyle w:val="Default"/>
        <w:numPr>
          <w:ilvl w:val="0"/>
          <w:numId w:val="40"/>
        </w:numPr>
        <w:jc w:val="both"/>
        <w:rPr>
          <w:bCs/>
          <w:sz w:val="20"/>
          <w:szCs w:val="20"/>
        </w:rPr>
      </w:pPr>
      <w:r w:rsidRPr="00386B89">
        <w:rPr>
          <w:bCs/>
          <w:sz w:val="20"/>
          <w:szCs w:val="20"/>
        </w:rPr>
        <w:t xml:space="preserve">Mazarakos E.D., Kostopoulos V. (2015), </w:t>
      </w:r>
      <w:r w:rsidRPr="00386B89">
        <w:rPr>
          <w:bCs/>
          <w:i/>
          <w:sz w:val="20"/>
          <w:szCs w:val="20"/>
        </w:rPr>
        <w:t>Part 3: Deliverable on Structural Requirements</w:t>
      </w:r>
      <w:r w:rsidRPr="00386B89">
        <w:rPr>
          <w:bCs/>
          <w:sz w:val="20"/>
          <w:szCs w:val="20"/>
        </w:rPr>
        <w:t xml:space="preserve">, Project MIFIS: Proof of Concept Consultancy Services, Patras, Hellas/Greece. </w:t>
      </w:r>
    </w:p>
    <w:p w:rsidR="00386B89" w:rsidRPr="00386B89" w:rsidRDefault="00386B89" w:rsidP="00386B89">
      <w:pPr>
        <w:pStyle w:val="Default"/>
        <w:numPr>
          <w:ilvl w:val="0"/>
          <w:numId w:val="40"/>
        </w:numPr>
        <w:jc w:val="both"/>
        <w:rPr>
          <w:bCs/>
          <w:sz w:val="20"/>
          <w:szCs w:val="20"/>
        </w:rPr>
      </w:pPr>
      <w:r w:rsidRPr="00386B89">
        <w:rPr>
          <w:sz w:val="20"/>
          <w:szCs w:val="20"/>
        </w:rPr>
        <w:t xml:space="preserve">Sloan D. and Koh A.C. (2008), </w:t>
      </w:r>
      <w:r w:rsidRPr="00386B89">
        <w:rPr>
          <w:i/>
          <w:sz w:val="20"/>
          <w:szCs w:val="20"/>
        </w:rPr>
        <w:t>Clathrates Hydrates of Natural Gases</w:t>
      </w:r>
      <w:r w:rsidRPr="00386B89">
        <w:rPr>
          <w:sz w:val="20"/>
          <w:szCs w:val="20"/>
        </w:rPr>
        <w:t xml:space="preserve">, CRC Press Taylor and Francis Group, Third Edition. </w:t>
      </w:r>
    </w:p>
    <w:p w:rsidR="00386B89" w:rsidRDefault="00386B89" w:rsidP="00386B89">
      <w:pPr>
        <w:pStyle w:val="Default"/>
        <w:numPr>
          <w:ilvl w:val="0"/>
          <w:numId w:val="40"/>
        </w:numPr>
        <w:jc w:val="both"/>
        <w:rPr>
          <w:bCs/>
          <w:sz w:val="20"/>
          <w:szCs w:val="20"/>
        </w:rPr>
      </w:pPr>
      <w:r w:rsidRPr="00386B89">
        <w:rPr>
          <w:sz w:val="20"/>
          <w:szCs w:val="20"/>
        </w:rPr>
        <w:t xml:space="preserve">SubCtech Subsea Technologies (2005), “Li-Ion Powerpack” available at: </w:t>
      </w:r>
      <w:hyperlink r:id="rId38" w:history="1">
        <w:r w:rsidRPr="00386B89">
          <w:rPr>
            <w:rStyle w:val="Hyperlink"/>
            <w:sz w:val="20"/>
            <w:szCs w:val="20"/>
          </w:rPr>
          <w:t>http://www.rsaqua.co.uk/uploads/pdfs/Products/SubCtech/Li-Ion/Brochure_PowerPack_1600Wh.pdf</w:t>
        </w:r>
      </w:hyperlink>
    </w:p>
    <w:p w:rsidR="00386B89" w:rsidRPr="00386B89" w:rsidRDefault="00386B89" w:rsidP="00386B89">
      <w:pPr>
        <w:pStyle w:val="Default"/>
        <w:numPr>
          <w:ilvl w:val="0"/>
          <w:numId w:val="40"/>
        </w:numPr>
        <w:jc w:val="both"/>
        <w:rPr>
          <w:bCs/>
          <w:sz w:val="20"/>
          <w:szCs w:val="20"/>
        </w:rPr>
      </w:pPr>
      <w:r w:rsidRPr="00386B89">
        <w:rPr>
          <w:color w:val="auto"/>
          <w:sz w:val="20"/>
          <w:szCs w:val="20"/>
          <w:shd w:val="clear" w:color="auto" w:fill="FFFFFF"/>
        </w:rPr>
        <w:t xml:space="preserve">U.S Navy Salvage Engineer’s Handbook (2000), </w:t>
      </w:r>
      <w:r w:rsidRPr="00386B89">
        <w:rPr>
          <w:i/>
          <w:color w:val="auto"/>
          <w:sz w:val="20"/>
          <w:szCs w:val="20"/>
          <w:shd w:val="clear" w:color="auto" w:fill="FFFFFF"/>
        </w:rPr>
        <w:t>Salvage Engineering Volume 1.</w:t>
      </w:r>
    </w:p>
    <w:p w:rsidR="008F2D7B" w:rsidRPr="00386B89" w:rsidRDefault="00386B89" w:rsidP="00386B89">
      <w:pPr>
        <w:pStyle w:val="Default"/>
        <w:numPr>
          <w:ilvl w:val="0"/>
          <w:numId w:val="40"/>
        </w:numPr>
        <w:jc w:val="both"/>
        <w:rPr>
          <w:bCs/>
          <w:sz w:val="20"/>
          <w:szCs w:val="20"/>
        </w:rPr>
      </w:pPr>
      <w:r w:rsidRPr="00386B89">
        <w:rPr>
          <w:bCs/>
          <w:sz w:val="20"/>
          <w:szCs w:val="20"/>
          <w:shd w:val="clear" w:color="auto" w:fill="FFFFFF"/>
        </w:rPr>
        <w:t>Wikipedia The free Encyclopedia, (2010), “</w:t>
      </w:r>
      <w:r w:rsidRPr="00386B89">
        <w:rPr>
          <w:sz w:val="20"/>
          <w:szCs w:val="20"/>
        </w:rPr>
        <w:t xml:space="preserve">Deepwater horizon” available at: </w:t>
      </w:r>
      <w:hyperlink r:id="rId39" w:history="1">
        <w:r w:rsidRPr="00386B89">
          <w:rPr>
            <w:rStyle w:val="Hyperlink"/>
            <w:sz w:val="20"/>
            <w:szCs w:val="20"/>
          </w:rPr>
          <w:t>http://en.wikipedia.org/wiki/Deepwater_Horizon</w:t>
        </w:r>
      </w:hyperlink>
    </w:p>
    <w:p w:rsidR="00D804E6" w:rsidRDefault="00D804E6" w:rsidP="00D804E6">
      <w:pPr>
        <w:pStyle w:val="NormalWeb"/>
        <w:spacing w:before="0" w:beforeAutospacing="0" w:after="0" w:afterAutospacing="0"/>
        <w:jc w:val="both"/>
        <w:rPr>
          <w:color w:val="000000"/>
          <w:sz w:val="20"/>
          <w:szCs w:val="20"/>
        </w:rPr>
      </w:pPr>
    </w:p>
    <w:sectPr w:rsidR="00D804E6" w:rsidSect="00E70839">
      <w:headerReference w:type="default" r:id="rId40"/>
      <w:footerReference w:type="default" r:id="rId41"/>
      <w:type w:val="continuous"/>
      <w:pgSz w:w="11907" w:h="16839" w:code="9"/>
      <w:pgMar w:top="1440" w:right="1440" w:bottom="1440" w:left="1440" w:header="720" w:footer="720" w:gutter="0"/>
      <w:pgNumType w:start="816"/>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4666A" w:rsidRDefault="0044666A" w:rsidP="00C556D7">
      <w:pPr>
        <w:spacing w:after="0" w:line="240" w:lineRule="auto"/>
      </w:pPr>
      <w:r>
        <w:separator/>
      </w:r>
    </w:p>
  </w:endnote>
  <w:endnote w:type="continuationSeparator" w:id="0">
    <w:p w:rsidR="0044666A" w:rsidRDefault="0044666A" w:rsidP="00C556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 w:name="PMingLiU">
    <w:altName w:val="新細明體"/>
    <w:panose1 w:val="02020500000000000000"/>
    <w:charset w:val="88"/>
    <w:family w:val="auto"/>
    <w:notTrueType/>
    <w:pitch w:val="variable"/>
    <w:sig w:usb0="00000001" w:usb1="08080000" w:usb2="00000010" w:usb3="00000000" w:csb0="001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auto"/>
    <w:notTrueType/>
    <w:pitch w:val="fixed"/>
    <w:sig w:usb0="00000001" w:usb1="09060000" w:usb2="00000010" w:usb3="00000000" w:csb0="00080000" w:csb1="00000000"/>
  </w:font>
  <w:font w:name="Mangal">
    <w:panose1 w:val="02040503050203030202"/>
    <w:charset w:val="01"/>
    <w:family w:val="roman"/>
    <w:notTrueType/>
    <w:pitch w:val="variable"/>
    <w:sig w:usb0="00002000" w:usb1="00000000" w:usb2="00000000" w:usb3="00000000" w:csb0="00000000" w:csb1="00000000"/>
  </w:font>
  <w:font w:name="GulliverRM">
    <w:altName w:val="MS Mincho"/>
    <w:panose1 w:val="00000000000000000000"/>
    <w:charset w:val="80"/>
    <w:family w:val="auto"/>
    <w:notTrueType/>
    <w:pitch w:val="default"/>
    <w:sig w:usb0="00000003" w:usb1="08070000" w:usb2="00000010" w:usb3="00000000" w:csb0="00020001" w:csb1="00000000"/>
  </w:font>
  <w:font w:name="LM Roman 10">
    <w:altName w:val="Times New Roman"/>
    <w:panose1 w:val="00000000000000000000"/>
    <w:charset w:val="00"/>
    <w:family w:val="roman"/>
    <w:notTrueType/>
    <w:pitch w:val="default"/>
  </w:font>
  <w:font w:name="inherit">
    <w:altName w:val="Times New Roman"/>
    <w:panose1 w:val="00000000000000000000"/>
    <w:charset w:val="00"/>
    <w:family w:val="roman"/>
    <w:notTrueType/>
    <w:pitch w:val="default"/>
  </w:font>
  <w:font w:name="Palatino-Roman">
    <w:altName w:val="Times New Roman"/>
    <w:panose1 w:val="00000000000000000000"/>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6490" w:rsidRDefault="00BD6490" w:rsidP="00E058D9">
    <w:pPr>
      <w:pBdr>
        <w:top w:val="dotDash" w:sz="4" w:space="1" w:color="44546A" w:themeColor="text2"/>
      </w:pBdr>
      <w:spacing w:after="0"/>
      <w:jc w:val="right"/>
      <w:rPr>
        <w:rFonts w:ascii="Times New Roman" w:hAnsi="Times New Roman"/>
        <w:b/>
        <w:i/>
        <w:color w:val="1F497D"/>
        <w:sz w:val="20"/>
        <w:szCs w:val="20"/>
      </w:rPr>
    </w:pPr>
    <w:r w:rsidRPr="00827E76">
      <w:rPr>
        <w:rFonts w:ascii="Times New Roman" w:hAnsi="Times New Roman"/>
        <w:bCs/>
        <w:iCs/>
        <w:color w:val="1F497D"/>
        <w:sz w:val="20"/>
        <w:szCs w:val="20"/>
      </w:rPr>
      <w:t xml:space="preserve">http: // </w:t>
    </w:r>
    <w:hyperlink r:id="rId1" w:history="1">
      <w:r w:rsidRPr="00EB2D54">
        <w:rPr>
          <w:rStyle w:val="Hyperlink"/>
          <w:rFonts w:ascii="Times New Roman" w:hAnsi="Times New Roman"/>
          <w:iCs/>
          <w:sz w:val="20"/>
          <w:szCs w:val="20"/>
        </w:rPr>
        <w:t>www.ijesrt.com</w:t>
      </w:r>
    </w:hyperlink>
    <w:r>
      <w:rPr>
        <w:rFonts w:ascii="Times New Roman" w:hAnsi="Times New Roman"/>
        <w:iCs/>
        <w:color w:val="1F497D"/>
        <w:sz w:val="20"/>
        <w:szCs w:val="20"/>
      </w:rPr>
      <w:t xml:space="preserve">                 </w:t>
    </w:r>
    <w:r>
      <w:rPr>
        <w:rFonts w:ascii="Times New Roman" w:hAnsi="Times New Roman"/>
        <w:b/>
        <w:bCs/>
        <w:color w:val="1F497D"/>
        <w:sz w:val="20"/>
        <w:szCs w:val="20"/>
      </w:rPr>
      <w:t xml:space="preserve">© </w:t>
    </w:r>
    <w:r w:rsidRPr="00827E76">
      <w:rPr>
        <w:rFonts w:ascii="Times New Roman" w:hAnsi="Times New Roman"/>
        <w:b/>
        <w:i/>
        <w:color w:val="1F497D"/>
        <w:sz w:val="20"/>
        <w:szCs w:val="20"/>
      </w:rPr>
      <w:t>International Journal of Engineering Sciences &amp; Research Technology</w:t>
    </w:r>
  </w:p>
  <w:p w:rsidR="009C6651" w:rsidRPr="00DA04DC" w:rsidRDefault="00BD6490" w:rsidP="00DA04DC">
    <w:pPr>
      <w:pStyle w:val="Footer"/>
      <w:jc w:val="center"/>
      <w:rPr>
        <w:noProof/>
        <w:color w:val="44546A" w:themeColor="text2"/>
      </w:rPr>
    </w:pPr>
    <w:r w:rsidRPr="00E13B4C">
      <w:rPr>
        <w:color w:val="44546A" w:themeColor="text2"/>
      </w:rPr>
      <w:t xml:space="preserve"> [</w:t>
    </w:r>
    <w:sdt>
      <w:sdtPr>
        <w:rPr>
          <w:color w:val="44546A" w:themeColor="text2"/>
        </w:rPr>
        <w:id w:val="669369868"/>
        <w:docPartObj>
          <w:docPartGallery w:val="Page Numbers (Bottom of Page)"/>
          <w:docPartUnique/>
        </w:docPartObj>
      </w:sdtPr>
      <w:sdtEndPr>
        <w:rPr>
          <w:noProof/>
        </w:rPr>
      </w:sdtEndPr>
      <w:sdtContent>
        <w:r w:rsidRPr="00E13B4C">
          <w:rPr>
            <w:color w:val="44546A" w:themeColor="text2"/>
          </w:rPr>
          <w:fldChar w:fldCharType="begin"/>
        </w:r>
        <w:r w:rsidRPr="00E13B4C">
          <w:rPr>
            <w:color w:val="44546A" w:themeColor="text2"/>
          </w:rPr>
          <w:instrText xml:space="preserve"> PAGE   \* MERGEFORMAT </w:instrText>
        </w:r>
        <w:r w:rsidRPr="00E13B4C">
          <w:rPr>
            <w:color w:val="44546A" w:themeColor="text2"/>
          </w:rPr>
          <w:fldChar w:fldCharType="separate"/>
        </w:r>
        <w:r w:rsidR="0044666A">
          <w:rPr>
            <w:noProof/>
            <w:color w:val="44546A" w:themeColor="text2"/>
          </w:rPr>
          <w:t>816</w:t>
        </w:r>
        <w:r w:rsidRPr="00E13B4C">
          <w:rPr>
            <w:noProof/>
            <w:color w:val="44546A" w:themeColor="text2"/>
          </w:rPr>
          <w:fldChar w:fldCharType="end"/>
        </w:r>
        <w:r w:rsidRPr="00E13B4C">
          <w:rPr>
            <w:noProof/>
            <w:color w:val="44546A" w:themeColor="text2"/>
          </w:rPr>
          <w:t>]</w:t>
        </w:r>
      </w:sdtContent>
    </w:sdt>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4666A" w:rsidRDefault="0044666A" w:rsidP="00C556D7">
      <w:pPr>
        <w:spacing w:after="0" w:line="240" w:lineRule="auto"/>
      </w:pPr>
      <w:r>
        <w:separator/>
      </w:r>
    </w:p>
  </w:footnote>
  <w:footnote w:type="continuationSeparator" w:id="0">
    <w:p w:rsidR="0044666A" w:rsidRDefault="0044666A" w:rsidP="00C556D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D6490" w:rsidRPr="00167C79" w:rsidRDefault="00BD6490" w:rsidP="00C556D7">
    <w:pPr>
      <w:pStyle w:val="Header"/>
      <w:jc w:val="both"/>
      <w:rPr>
        <w:rFonts w:ascii="Times New Roman" w:hAnsi="Times New Roman"/>
        <w:b/>
        <w:color w:val="44546A" w:themeColor="text2"/>
        <w:sz w:val="20"/>
        <w:szCs w:val="20"/>
      </w:rPr>
    </w:pPr>
    <w:r w:rsidRPr="00167C79">
      <w:rPr>
        <w:rFonts w:ascii="Times New Roman" w:hAnsi="Times New Roman"/>
        <w:b/>
        <w:noProof/>
        <w:color w:val="44546A" w:themeColor="text2"/>
        <w:sz w:val="20"/>
        <w:szCs w:val="20"/>
      </w:rPr>
      <w:drawing>
        <wp:inline distT="0" distB="0" distL="0" distR="0" wp14:anchorId="4545C4AE" wp14:editId="209716C9">
          <wp:extent cx="1657350" cy="550389"/>
          <wp:effectExtent l="0" t="0" r="0" b="2540"/>
          <wp:docPr id="7" name="Picture 7" descr="C:\Users\SHIVAM\Desktop\Fin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HIVAM\Desktop\Fina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657350" cy="550389"/>
                  </a:xfrm>
                  <a:prstGeom prst="rect">
                    <a:avLst/>
                  </a:prstGeom>
                  <a:noFill/>
                  <a:ln>
                    <a:noFill/>
                  </a:ln>
                </pic:spPr>
              </pic:pic>
            </a:graphicData>
          </a:graphic>
        </wp:inline>
      </w:drawing>
    </w:r>
    <w:r w:rsidRPr="00167C79">
      <w:rPr>
        <w:rFonts w:ascii="Times New Roman" w:hAnsi="Times New Roman"/>
        <w:b/>
        <w:color w:val="44546A" w:themeColor="text2"/>
      </w:rPr>
      <w:t xml:space="preserve"> </w:t>
    </w:r>
    <w:r w:rsidRPr="00167C79">
      <w:rPr>
        <w:rFonts w:ascii="Times New Roman" w:hAnsi="Times New Roman"/>
        <w:b/>
        <w:color w:val="44546A" w:themeColor="text2"/>
      </w:rPr>
      <w:tab/>
    </w:r>
    <w:r w:rsidRPr="00167C79">
      <w:rPr>
        <w:rFonts w:ascii="Times New Roman" w:hAnsi="Times New Roman"/>
        <w:b/>
        <w:color w:val="44546A" w:themeColor="text2"/>
      </w:rPr>
      <w:tab/>
      <w:t>ISSN: 2277-9655</w:t>
    </w:r>
  </w:p>
  <w:p w:rsidR="00BD6490" w:rsidRPr="00167C79" w:rsidRDefault="007A3E9B" w:rsidP="00C556D7">
    <w:pPr>
      <w:pStyle w:val="Header"/>
      <w:rPr>
        <w:rFonts w:ascii="Times New Roman" w:hAnsi="Times New Roman"/>
        <w:b/>
        <w:color w:val="44546A" w:themeColor="text2"/>
      </w:rPr>
    </w:pPr>
    <w:r>
      <w:rPr>
        <w:rFonts w:ascii="Times New Roman" w:hAnsi="Times New Roman"/>
        <w:b/>
        <w:color w:val="44546A" w:themeColor="text2"/>
      </w:rPr>
      <w:t>[Mazzarakos</w:t>
    </w:r>
    <w:r w:rsidR="00BD6490" w:rsidRPr="00167C79">
      <w:rPr>
        <w:rFonts w:ascii="Times New Roman" w:hAnsi="Times New Roman"/>
        <w:b/>
        <w:color w:val="44546A" w:themeColor="text2"/>
      </w:rPr>
      <w:t xml:space="preserve">* </w:t>
    </w:r>
    <w:r w:rsidR="00BD6490" w:rsidRPr="00167C79">
      <w:rPr>
        <w:rFonts w:ascii="Times New Roman" w:hAnsi="Times New Roman"/>
        <w:b/>
        <w:i/>
        <w:color w:val="44546A" w:themeColor="text2"/>
      </w:rPr>
      <w:t>et al.,</w:t>
    </w:r>
    <w:r w:rsidR="00BD6490">
      <w:rPr>
        <w:rFonts w:ascii="Times New Roman" w:hAnsi="Times New Roman"/>
        <w:b/>
        <w:color w:val="44546A" w:themeColor="text2"/>
      </w:rPr>
      <w:t xml:space="preserve"> 5(10</w:t>
    </w:r>
    <w:r w:rsidR="00BD6490" w:rsidRPr="00167C79">
      <w:rPr>
        <w:rFonts w:ascii="Times New Roman" w:hAnsi="Times New Roman"/>
        <w:b/>
        <w:color w:val="44546A" w:themeColor="text2"/>
      </w:rPr>
      <w:t xml:space="preserve">): </w:t>
    </w:r>
    <w:r w:rsidR="00BD6490">
      <w:rPr>
        <w:rFonts w:ascii="Times New Roman" w:hAnsi="Times New Roman"/>
        <w:b/>
        <w:color w:val="44546A" w:themeColor="text2"/>
      </w:rPr>
      <w:t>October</w:t>
    </w:r>
    <w:r w:rsidR="00BD6490" w:rsidRPr="00167C79">
      <w:rPr>
        <w:rFonts w:ascii="Times New Roman" w:hAnsi="Times New Roman"/>
        <w:b/>
        <w:color w:val="44546A" w:themeColor="text2"/>
      </w:rPr>
      <w:t xml:space="preserve">, </w:t>
    </w:r>
    <w:r w:rsidR="00BD6490">
      <w:rPr>
        <w:rFonts w:ascii="Times New Roman" w:hAnsi="Times New Roman"/>
        <w:b/>
        <w:color w:val="44546A" w:themeColor="text2"/>
      </w:rPr>
      <w:t>2016</w:t>
    </w:r>
    <w:r w:rsidR="00BD6490" w:rsidRPr="00167C79">
      <w:rPr>
        <w:rFonts w:ascii="Times New Roman" w:hAnsi="Times New Roman"/>
        <w:b/>
        <w:color w:val="44546A" w:themeColor="text2"/>
      </w:rPr>
      <w:t xml:space="preserve">] </w:t>
    </w:r>
    <w:r w:rsidR="00BD6490" w:rsidRPr="00167C79">
      <w:rPr>
        <w:rFonts w:ascii="Times New Roman" w:hAnsi="Times New Roman"/>
        <w:b/>
        <w:color w:val="44546A" w:themeColor="text2"/>
      </w:rPr>
      <w:tab/>
    </w:r>
    <w:r w:rsidR="00BD6490" w:rsidRPr="00167C79">
      <w:rPr>
        <w:rFonts w:ascii="Times New Roman" w:hAnsi="Times New Roman"/>
        <w:b/>
        <w:color w:val="44546A" w:themeColor="text2"/>
      </w:rPr>
      <w:tab/>
      <w:t>Impact Factor: 4.116</w:t>
    </w:r>
  </w:p>
  <w:p w:rsidR="00BD6490" w:rsidRPr="00167C79" w:rsidRDefault="00BD6490" w:rsidP="00C56420">
    <w:pPr>
      <w:pStyle w:val="Header"/>
      <w:pBdr>
        <w:bottom w:val="dotDash" w:sz="4" w:space="1" w:color="44546A" w:themeColor="text2"/>
      </w:pBdr>
      <w:rPr>
        <w:rFonts w:ascii="Times New Roman" w:hAnsi="Times New Roman"/>
        <w:color w:val="44546A" w:themeColor="text2"/>
      </w:rPr>
    </w:pPr>
    <w:r w:rsidRPr="00167C79">
      <w:rPr>
        <w:rFonts w:ascii="Times New Roman" w:hAnsi="Times New Roman"/>
        <w:b/>
        <w:color w:val="44546A" w:themeColor="text2"/>
      </w:rPr>
      <w:t xml:space="preserve">IC™ Value: 3.00 </w:t>
    </w:r>
    <w:r w:rsidRPr="00167C79">
      <w:rPr>
        <w:rFonts w:ascii="Times New Roman" w:hAnsi="Times New Roman"/>
        <w:b/>
        <w:color w:val="44546A" w:themeColor="text2"/>
      </w:rPr>
      <w:tab/>
    </w:r>
    <w:r w:rsidRPr="00167C79">
      <w:rPr>
        <w:rFonts w:ascii="Times New Roman" w:hAnsi="Times New Roman"/>
        <w:b/>
        <w:color w:val="44546A" w:themeColor="text2"/>
      </w:rPr>
      <w:tab/>
      <w:t>CODEN</w:t>
    </w:r>
    <w:r>
      <w:rPr>
        <w:rFonts w:ascii="Times New Roman" w:hAnsi="Times New Roman"/>
        <w:b/>
        <w:color w:val="44546A" w:themeColor="text2"/>
      </w:rPr>
      <w:t>:</w:t>
    </w:r>
    <w:r w:rsidRPr="00167C79">
      <w:rPr>
        <w:rFonts w:ascii="Times New Roman" w:hAnsi="Times New Roman"/>
        <w:b/>
        <w:color w:val="44546A" w:themeColor="text2"/>
      </w:rPr>
      <w:t xml:space="preserve"> IJESS7</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2"/>
    <w:multiLevelType w:val="singleLevel"/>
    <w:tmpl w:val="D5A6CA62"/>
    <w:lvl w:ilvl="0">
      <w:start w:val="1"/>
      <w:numFmt w:val="bullet"/>
      <w:pStyle w:val="BodyText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D0944878"/>
    <w:lvl w:ilvl="0">
      <w:start w:val="1"/>
      <w:numFmt w:val="bullet"/>
      <w:pStyle w:val="ListBullet3"/>
      <w:lvlText w:val=""/>
      <w:lvlJc w:val="left"/>
      <w:pPr>
        <w:tabs>
          <w:tab w:val="num" w:pos="643"/>
        </w:tabs>
        <w:ind w:left="643" w:hanging="360"/>
      </w:pPr>
      <w:rPr>
        <w:rFonts w:ascii="Symbol" w:hAnsi="Symbol" w:hint="default"/>
      </w:rPr>
    </w:lvl>
  </w:abstractNum>
  <w:abstractNum w:abstractNumId="2" w15:restartNumberingAfterBreak="0">
    <w:nsid w:val="00000001"/>
    <w:multiLevelType w:val="multilevel"/>
    <w:tmpl w:val="F3E08E80"/>
    <w:name w:val="WW8Num2"/>
    <w:lvl w:ilvl="0">
      <w:start w:val="1"/>
      <w:numFmt w:val="lowerRoman"/>
      <w:lvlText w:val="(%1)"/>
      <w:lvlJc w:val="left"/>
      <w:pPr>
        <w:tabs>
          <w:tab w:val="num" w:pos="720"/>
        </w:tabs>
        <w:ind w:left="720" w:hanging="360"/>
      </w:pPr>
      <w:rPr>
        <w:rFonts w:ascii="Times New Roman" w:eastAsia="Calibri" w:hAnsi="Times New Roman" w:cs="Times New Roman"/>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15:restartNumberingAfterBreak="0">
    <w:nsid w:val="003F16CB"/>
    <w:multiLevelType w:val="hybridMultilevel"/>
    <w:tmpl w:val="295E7894"/>
    <w:lvl w:ilvl="0" w:tplc="B45E1EA0">
      <w:start w:val="1"/>
      <w:numFmt w:val="decimal"/>
      <w:pStyle w:val="34-SciencePG-References-content"/>
      <w:lvlText w:val="[%1]"/>
      <w:lvlJc w:val="left"/>
      <w:pPr>
        <w:tabs>
          <w:tab w:val="num" w:pos="420"/>
        </w:tabs>
        <w:ind w:left="420" w:hanging="420"/>
      </w:pPr>
      <w:rPr>
        <w:rFonts w:ascii="Times New Roman" w:hAnsi="Times New Roman" w:cs="Times New Roman" w:hint="default"/>
        <w:b w:val="0"/>
        <w:i w:val="0"/>
        <w:color w:val="auto"/>
        <w:sz w:val="18"/>
        <w:szCs w:val="18"/>
      </w:rPr>
    </w:lvl>
    <w:lvl w:ilvl="1" w:tplc="04090019">
      <w:start w:val="1"/>
      <w:numFmt w:val="lowerLetter"/>
      <w:lvlText w:val="%2)"/>
      <w:lvlJc w:val="left"/>
      <w:pPr>
        <w:tabs>
          <w:tab w:val="num" w:pos="840"/>
        </w:tabs>
        <w:ind w:left="840" w:hanging="420"/>
      </w:pPr>
    </w:lvl>
    <w:lvl w:ilvl="2" w:tplc="0409001B">
      <w:start w:val="1"/>
      <w:numFmt w:val="lowerRoman"/>
      <w:lvlText w:val="%3."/>
      <w:lvlJc w:val="right"/>
      <w:pPr>
        <w:tabs>
          <w:tab w:val="num" w:pos="1260"/>
        </w:tabs>
        <w:ind w:left="1260" w:hanging="420"/>
      </w:pPr>
    </w:lvl>
    <w:lvl w:ilvl="3" w:tplc="0409000F">
      <w:start w:val="1"/>
      <w:numFmt w:val="decimal"/>
      <w:lvlText w:val="%4."/>
      <w:lvlJc w:val="left"/>
      <w:pPr>
        <w:tabs>
          <w:tab w:val="num" w:pos="1680"/>
        </w:tabs>
        <w:ind w:left="1680" w:hanging="420"/>
      </w:pPr>
    </w:lvl>
    <w:lvl w:ilvl="4" w:tplc="04090019">
      <w:start w:val="1"/>
      <w:numFmt w:val="lowerLetter"/>
      <w:lvlText w:val="%5)"/>
      <w:lvlJc w:val="left"/>
      <w:pPr>
        <w:tabs>
          <w:tab w:val="num" w:pos="2100"/>
        </w:tabs>
        <w:ind w:left="2100" w:hanging="420"/>
      </w:pPr>
    </w:lvl>
    <w:lvl w:ilvl="5" w:tplc="0409001B">
      <w:start w:val="1"/>
      <w:numFmt w:val="lowerRoman"/>
      <w:lvlText w:val="%6."/>
      <w:lvlJc w:val="right"/>
      <w:pPr>
        <w:tabs>
          <w:tab w:val="num" w:pos="2520"/>
        </w:tabs>
        <w:ind w:left="2520" w:hanging="420"/>
      </w:pPr>
    </w:lvl>
    <w:lvl w:ilvl="6" w:tplc="0409000F">
      <w:start w:val="1"/>
      <w:numFmt w:val="decimal"/>
      <w:lvlText w:val="%7."/>
      <w:lvlJc w:val="left"/>
      <w:pPr>
        <w:tabs>
          <w:tab w:val="num" w:pos="2940"/>
        </w:tabs>
        <w:ind w:left="2940" w:hanging="420"/>
      </w:pPr>
    </w:lvl>
    <w:lvl w:ilvl="7" w:tplc="04090019">
      <w:start w:val="1"/>
      <w:numFmt w:val="lowerLetter"/>
      <w:lvlText w:val="%8)"/>
      <w:lvlJc w:val="left"/>
      <w:pPr>
        <w:tabs>
          <w:tab w:val="num" w:pos="3360"/>
        </w:tabs>
        <w:ind w:left="3360" w:hanging="420"/>
      </w:pPr>
    </w:lvl>
    <w:lvl w:ilvl="8" w:tplc="0409001B">
      <w:start w:val="1"/>
      <w:numFmt w:val="lowerRoman"/>
      <w:lvlText w:val="%9."/>
      <w:lvlJc w:val="right"/>
      <w:pPr>
        <w:tabs>
          <w:tab w:val="num" w:pos="3780"/>
        </w:tabs>
        <w:ind w:left="3780" w:hanging="420"/>
      </w:pPr>
    </w:lvl>
  </w:abstractNum>
  <w:abstractNum w:abstractNumId="4" w15:restartNumberingAfterBreak="0">
    <w:nsid w:val="023E2E4D"/>
    <w:multiLevelType w:val="multilevel"/>
    <w:tmpl w:val="A018234E"/>
    <w:lvl w:ilvl="0">
      <w:start w:val="1"/>
      <w:numFmt w:val="upperRoman"/>
      <w:pStyle w:val="IEEEHeading1"/>
      <w:lvlText w:val="%1."/>
      <w:lvlJc w:val="left"/>
      <w:pPr>
        <w:tabs>
          <w:tab w:val="num" w:pos="430"/>
        </w:tabs>
        <w:ind w:left="430" w:hanging="288"/>
      </w:pPr>
      <w:rPr>
        <w:rFonts w:ascii="Times New Roman" w:eastAsia="Arial Unicode MS" w:hAnsi="Times New Roman" w:cs="Times New Roman" w:hint="default"/>
        <w:b/>
        <w:bCs w:val="0"/>
        <w:i w:val="0"/>
        <w:iCs w:val="0"/>
        <w:caps/>
        <w:strike w:val="0"/>
        <w:dstrike w:val="0"/>
        <w:vanish w:val="0"/>
        <w:color w:val="000000"/>
        <w:spacing w:val="0"/>
        <w:kern w:val="0"/>
        <w:position w:val="0"/>
        <w:sz w:val="20"/>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2."/>
      <w:lvlJc w:val="left"/>
      <w:pPr>
        <w:tabs>
          <w:tab w:val="num" w:pos="288"/>
        </w:tabs>
        <w:ind w:left="288" w:hanging="288"/>
      </w:pPr>
      <w:rPr>
        <w:rFonts w:ascii="Times New Roman" w:hAnsi="Times New Roman" w:hint="default"/>
        <w:b w:val="0"/>
        <w:i w:val="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6004EC7"/>
    <w:multiLevelType w:val="singleLevel"/>
    <w:tmpl w:val="BDDACEC0"/>
    <w:lvl w:ilvl="0">
      <w:start w:val="1"/>
      <w:numFmt w:val="decimal"/>
      <w:pStyle w:val="Rule"/>
      <w:lvlText w:val="[%1]"/>
      <w:lvlJc w:val="left"/>
      <w:pPr>
        <w:tabs>
          <w:tab w:val="num" w:pos="360"/>
        </w:tabs>
        <w:ind w:left="360" w:hanging="360"/>
      </w:pPr>
    </w:lvl>
  </w:abstractNum>
  <w:abstractNum w:abstractNumId="6" w15:restartNumberingAfterBreak="0">
    <w:nsid w:val="0906505D"/>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7" w15:restartNumberingAfterBreak="0">
    <w:nsid w:val="0BE33DD4"/>
    <w:multiLevelType w:val="hybridMultilevel"/>
    <w:tmpl w:val="CF28BC02"/>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 w15:restartNumberingAfterBreak="0">
    <w:nsid w:val="12F209D0"/>
    <w:multiLevelType w:val="hybridMultilevel"/>
    <w:tmpl w:val="63285C5A"/>
    <w:lvl w:ilvl="0" w:tplc="04080005">
      <w:start w:val="1"/>
      <w:numFmt w:val="bullet"/>
      <w:lvlText w:val=""/>
      <w:lvlJc w:val="left"/>
      <w:pPr>
        <w:ind w:left="720" w:hanging="360"/>
      </w:pPr>
      <w:rPr>
        <w:rFonts w:ascii="Wingdings" w:hAnsi="Wingdings"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9" w15:restartNumberingAfterBreak="0">
    <w:nsid w:val="13803708"/>
    <w:multiLevelType w:val="hybridMultilevel"/>
    <w:tmpl w:val="A5C4D9CE"/>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18FE750D"/>
    <w:multiLevelType w:val="singleLevel"/>
    <w:tmpl w:val="DEC27CAE"/>
    <w:lvl w:ilvl="0">
      <w:start w:val="1"/>
      <w:numFmt w:val="bullet"/>
      <w:pStyle w:val="Text1"/>
      <w:lvlText w:val=""/>
      <w:lvlJc w:val="left"/>
      <w:pPr>
        <w:tabs>
          <w:tab w:val="num" w:pos="360"/>
        </w:tabs>
        <w:ind w:left="360" w:hanging="360"/>
      </w:pPr>
      <w:rPr>
        <w:rFonts w:ascii="Symbol" w:hAnsi="Symbol" w:hint="default"/>
      </w:rPr>
    </w:lvl>
  </w:abstractNum>
  <w:abstractNum w:abstractNumId="11" w15:restartNumberingAfterBreak="0">
    <w:nsid w:val="190A4D4A"/>
    <w:multiLevelType w:val="hybridMultilevel"/>
    <w:tmpl w:val="CBA2BA28"/>
    <w:lvl w:ilvl="0" w:tplc="2D66EC5E">
      <w:start w:val="1"/>
      <w:numFmt w:val="decimal"/>
      <w:lvlText w:val="[%1]"/>
      <w:lvlJc w:val="left"/>
      <w:pPr>
        <w:ind w:left="765" w:hanging="360"/>
      </w:pPr>
      <w:rPr>
        <w:rFonts w:hint="default"/>
      </w:r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12" w15:restartNumberingAfterBreak="0">
    <w:nsid w:val="1E281F21"/>
    <w:multiLevelType w:val="hybridMultilevel"/>
    <w:tmpl w:val="FFCE0F26"/>
    <w:lvl w:ilvl="0" w:tplc="79985CBA">
      <w:start w:val="1"/>
      <w:numFmt w:val="decimal"/>
      <w:lvlText w:val="[%1]"/>
      <w:lvlJc w:val="left"/>
      <w:pPr>
        <w:ind w:left="720" w:hanging="360"/>
      </w:pPr>
      <w:rPr>
        <w:rFonts w:ascii="Times New Roman" w:hAnsi="Times New Roman" w:cs="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EDA4D3E"/>
    <w:multiLevelType w:val="hybridMultilevel"/>
    <w:tmpl w:val="05C82F70"/>
    <w:styleLink w:val="BulletBig"/>
    <w:lvl w:ilvl="0" w:tplc="220A2C56">
      <w:start w:val="1"/>
      <w:numFmt w:val="bullet"/>
      <w:pStyle w:val="Reference"/>
      <w:lvlText w:val="•"/>
      <w:lvlJc w:val="left"/>
      <w:pPr>
        <w:ind w:left="26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1" w:tplc="6136ED78">
      <w:start w:val="1"/>
      <w:numFmt w:val="bullet"/>
      <w:lvlText w:val="•"/>
      <w:lvlJc w:val="left"/>
      <w:pPr>
        <w:ind w:left="50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2" w:tplc="A1106C78">
      <w:start w:val="1"/>
      <w:numFmt w:val="bullet"/>
      <w:lvlText w:val="•"/>
      <w:lvlJc w:val="left"/>
      <w:pPr>
        <w:ind w:left="74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3" w:tplc="92900EFE">
      <w:start w:val="1"/>
      <w:numFmt w:val="bullet"/>
      <w:lvlText w:val="•"/>
      <w:lvlJc w:val="left"/>
      <w:pPr>
        <w:ind w:left="98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4" w:tplc="7EC23ACE">
      <w:start w:val="1"/>
      <w:numFmt w:val="bullet"/>
      <w:lvlText w:val="•"/>
      <w:lvlJc w:val="left"/>
      <w:pPr>
        <w:ind w:left="122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5" w:tplc="44AAB710">
      <w:start w:val="1"/>
      <w:numFmt w:val="bullet"/>
      <w:lvlText w:val="•"/>
      <w:lvlJc w:val="left"/>
      <w:pPr>
        <w:ind w:left="146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6" w:tplc="6018F14A">
      <w:start w:val="1"/>
      <w:numFmt w:val="bullet"/>
      <w:lvlText w:val="•"/>
      <w:lvlJc w:val="left"/>
      <w:pPr>
        <w:ind w:left="170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7" w:tplc="2DF2F5FC">
      <w:start w:val="1"/>
      <w:numFmt w:val="bullet"/>
      <w:lvlText w:val="•"/>
      <w:lvlJc w:val="left"/>
      <w:pPr>
        <w:ind w:left="194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lvl w:ilvl="8" w:tplc="7B889F60">
      <w:start w:val="1"/>
      <w:numFmt w:val="bullet"/>
      <w:lvlText w:val="•"/>
      <w:lvlJc w:val="left"/>
      <w:pPr>
        <w:ind w:left="2182" w:hanging="262"/>
      </w:pPr>
      <w:rPr>
        <w:rFonts w:hAnsi="Arial Unicode MS"/>
        <w:caps w:val="0"/>
        <w:smallCaps w:val="0"/>
        <w:strike w:val="0"/>
        <w:dstrike w:val="0"/>
        <w:outline w:val="0"/>
        <w:emboss w:val="0"/>
        <w:imprint w:val="0"/>
        <w:spacing w:val="0"/>
        <w:w w:val="100"/>
        <w:kern w:val="0"/>
        <w:position w:val="0"/>
        <w:sz w:val="22"/>
        <w:szCs w:val="22"/>
        <w:highlight w:val="none"/>
        <w:vertAlign w:val="baseline"/>
      </w:rPr>
    </w:lvl>
  </w:abstractNum>
  <w:abstractNum w:abstractNumId="14" w15:restartNumberingAfterBreak="0">
    <w:nsid w:val="27D961BB"/>
    <w:multiLevelType w:val="multilevel"/>
    <w:tmpl w:val="841CB45A"/>
    <w:lvl w:ilvl="0">
      <w:start w:val="1"/>
      <w:numFmt w:val="decimal"/>
      <w:pStyle w:val="ME1"/>
      <w:lvlText w:val="%1."/>
      <w:lvlJc w:val="left"/>
      <w:pPr>
        <w:tabs>
          <w:tab w:val="num" w:pos="400"/>
        </w:tabs>
        <w:ind w:left="400" w:hanging="400"/>
      </w:pPr>
      <w:rPr>
        <w:rFonts w:ascii="Times New Roman" w:eastAsia="MS Mincho" w:hAnsi="Times New Roman" w:hint="default"/>
        <w:b/>
        <w:i w:val="0"/>
        <w:sz w:val="22"/>
      </w:rPr>
    </w:lvl>
    <w:lvl w:ilvl="1">
      <w:start w:val="1"/>
      <w:numFmt w:val="decimal"/>
      <w:pStyle w:val="ME1-2"/>
      <w:lvlText w:val="%1.%2."/>
      <w:lvlJc w:val="left"/>
      <w:pPr>
        <w:tabs>
          <w:tab w:val="num" w:pos="1000"/>
        </w:tabs>
        <w:ind w:left="1000" w:hanging="1000"/>
      </w:pPr>
      <w:rPr>
        <w:rFonts w:ascii="Times New Roman" w:eastAsia="MS Mincho" w:hAnsi="Times New Roman" w:hint="default"/>
        <w:b/>
        <w:i w:val="0"/>
        <w:sz w:val="20"/>
      </w:rPr>
    </w:lvl>
    <w:lvl w:ilvl="2">
      <w:start w:val="1"/>
      <w:numFmt w:val="decimal"/>
      <w:lvlText w:val="%1.%2.%3."/>
      <w:lvlJc w:val="left"/>
      <w:pPr>
        <w:tabs>
          <w:tab w:val="num" w:pos="909"/>
        </w:tabs>
        <w:ind w:left="909" w:hanging="709"/>
      </w:pPr>
      <w:rPr>
        <w:rFonts w:hint="eastAsia"/>
      </w:rPr>
    </w:lvl>
    <w:lvl w:ilvl="3">
      <w:start w:val="1"/>
      <w:numFmt w:val="decimal"/>
      <w:lvlText w:val="%1.%2.%3.%4."/>
      <w:lvlJc w:val="left"/>
      <w:pPr>
        <w:tabs>
          <w:tab w:val="num" w:pos="1051"/>
        </w:tabs>
        <w:ind w:left="1051" w:hanging="851"/>
      </w:pPr>
      <w:rPr>
        <w:rFonts w:hint="eastAsia"/>
      </w:rPr>
    </w:lvl>
    <w:lvl w:ilvl="4">
      <w:start w:val="1"/>
      <w:numFmt w:val="decimal"/>
      <w:lvlText w:val="%1.%2.%3.%4.%5."/>
      <w:lvlJc w:val="left"/>
      <w:pPr>
        <w:tabs>
          <w:tab w:val="num" w:pos="1192"/>
        </w:tabs>
        <w:ind w:left="1192" w:hanging="992"/>
      </w:pPr>
      <w:rPr>
        <w:rFonts w:hint="eastAsia"/>
      </w:rPr>
    </w:lvl>
    <w:lvl w:ilvl="5">
      <w:start w:val="1"/>
      <w:numFmt w:val="decimal"/>
      <w:lvlText w:val="%1.%2.%3.%4.%5.%6."/>
      <w:lvlJc w:val="left"/>
      <w:pPr>
        <w:tabs>
          <w:tab w:val="num" w:pos="1334"/>
        </w:tabs>
        <w:ind w:left="1334" w:hanging="1134"/>
      </w:pPr>
      <w:rPr>
        <w:rFonts w:hint="eastAsia"/>
      </w:rPr>
    </w:lvl>
    <w:lvl w:ilvl="6">
      <w:start w:val="1"/>
      <w:numFmt w:val="decimal"/>
      <w:lvlText w:val="%1.%2.%3.%4.%5.%6.%7."/>
      <w:lvlJc w:val="left"/>
      <w:pPr>
        <w:tabs>
          <w:tab w:val="num" w:pos="1476"/>
        </w:tabs>
        <w:ind w:left="1476" w:hanging="1276"/>
      </w:pPr>
      <w:rPr>
        <w:rFonts w:hint="eastAsia"/>
      </w:rPr>
    </w:lvl>
    <w:lvl w:ilvl="7">
      <w:start w:val="1"/>
      <w:numFmt w:val="decimal"/>
      <w:lvlText w:val="%1.%2.%3.%4.%5.%6.%7.%8."/>
      <w:lvlJc w:val="left"/>
      <w:pPr>
        <w:tabs>
          <w:tab w:val="num" w:pos="1618"/>
        </w:tabs>
        <w:ind w:left="1618" w:hanging="1418"/>
      </w:pPr>
      <w:rPr>
        <w:rFonts w:hint="eastAsia"/>
      </w:rPr>
    </w:lvl>
    <w:lvl w:ilvl="8">
      <w:start w:val="1"/>
      <w:numFmt w:val="decimal"/>
      <w:lvlText w:val="%1.%2.%3.%4.%5.%6.%7.%8.%9."/>
      <w:lvlJc w:val="left"/>
      <w:pPr>
        <w:tabs>
          <w:tab w:val="num" w:pos="1759"/>
        </w:tabs>
        <w:ind w:left="1759" w:hanging="1559"/>
      </w:pPr>
      <w:rPr>
        <w:rFonts w:hint="eastAsia"/>
      </w:rPr>
    </w:lvl>
  </w:abstractNum>
  <w:abstractNum w:abstractNumId="15" w15:restartNumberingAfterBreak="0">
    <w:nsid w:val="2B855861"/>
    <w:multiLevelType w:val="multilevel"/>
    <w:tmpl w:val="6380B6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936"/>
        </w:tabs>
        <w:ind w:left="936" w:hanging="720"/>
      </w:pPr>
      <w:rPr>
        <w:rFonts w:hint="default"/>
      </w:rPr>
    </w:lvl>
    <w:lvl w:ilvl="2">
      <w:start w:val="1"/>
      <w:numFmt w:val="decimal"/>
      <w:lvlText w:val="%3)"/>
      <w:lvlJc w:val="left"/>
      <w:pPr>
        <w:tabs>
          <w:tab w:val="num" w:pos="360"/>
        </w:tabs>
        <w:ind w:left="360" w:hanging="360"/>
      </w:pPr>
      <w:rPr>
        <w:rFonts w:hint="default"/>
      </w:rPr>
    </w:lvl>
    <w:lvl w:ilvl="3">
      <w:start w:val="1"/>
      <w:numFmt w:val="decimal"/>
      <w:lvlText w:val="%1.%2)%3.%4."/>
      <w:lvlJc w:val="left"/>
      <w:pPr>
        <w:tabs>
          <w:tab w:val="num" w:pos="1296"/>
        </w:tabs>
        <w:ind w:left="1296" w:hanging="1080"/>
      </w:pPr>
      <w:rPr>
        <w:rFonts w:hint="default"/>
      </w:rPr>
    </w:lvl>
    <w:lvl w:ilvl="4">
      <w:start w:val="1"/>
      <w:numFmt w:val="decimal"/>
      <w:lvlText w:val="%1.%2)%3.%4.%5."/>
      <w:lvlJc w:val="left"/>
      <w:pPr>
        <w:tabs>
          <w:tab w:val="num" w:pos="1296"/>
        </w:tabs>
        <w:ind w:left="1296" w:hanging="1080"/>
      </w:pPr>
      <w:rPr>
        <w:rFonts w:hint="default"/>
      </w:rPr>
    </w:lvl>
    <w:lvl w:ilvl="5">
      <w:start w:val="1"/>
      <w:numFmt w:val="decimal"/>
      <w:lvlText w:val="%1.%2)%3.%4.%5.%6."/>
      <w:lvlJc w:val="left"/>
      <w:pPr>
        <w:tabs>
          <w:tab w:val="num" w:pos="1656"/>
        </w:tabs>
        <w:ind w:left="1656" w:hanging="1440"/>
      </w:pPr>
      <w:rPr>
        <w:rFonts w:hint="default"/>
      </w:rPr>
    </w:lvl>
    <w:lvl w:ilvl="6">
      <w:start w:val="1"/>
      <w:numFmt w:val="decimal"/>
      <w:lvlText w:val="%1.%2)%3.%4.%5.%6.%7."/>
      <w:lvlJc w:val="left"/>
      <w:pPr>
        <w:tabs>
          <w:tab w:val="num" w:pos="1656"/>
        </w:tabs>
        <w:ind w:left="1656" w:hanging="1440"/>
      </w:pPr>
      <w:rPr>
        <w:rFonts w:hint="default"/>
      </w:rPr>
    </w:lvl>
    <w:lvl w:ilvl="7">
      <w:start w:val="1"/>
      <w:numFmt w:val="decimal"/>
      <w:lvlText w:val="%1.%2)%3.%4.%5.%6.%7.%8."/>
      <w:lvlJc w:val="left"/>
      <w:pPr>
        <w:tabs>
          <w:tab w:val="num" w:pos="2016"/>
        </w:tabs>
        <w:ind w:left="2016" w:hanging="1800"/>
      </w:pPr>
      <w:rPr>
        <w:rFonts w:hint="default"/>
      </w:rPr>
    </w:lvl>
    <w:lvl w:ilvl="8">
      <w:start w:val="1"/>
      <w:numFmt w:val="decimal"/>
      <w:lvlText w:val="%1.%2)%3.%4.%5.%6.%7.%8.%9."/>
      <w:lvlJc w:val="left"/>
      <w:pPr>
        <w:tabs>
          <w:tab w:val="num" w:pos="2016"/>
        </w:tabs>
        <w:ind w:left="2016" w:hanging="1800"/>
      </w:pPr>
      <w:rPr>
        <w:rFonts w:hint="default"/>
      </w:rPr>
    </w:lvl>
  </w:abstractNum>
  <w:abstractNum w:abstractNumId="16" w15:restartNumberingAfterBreak="0">
    <w:nsid w:val="2C4871D5"/>
    <w:multiLevelType w:val="singleLevel"/>
    <w:tmpl w:val="3C8AE972"/>
    <w:lvl w:ilvl="0">
      <w:start w:val="17"/>
      <w:numFmt w:val="bullet"/>
      <w:pStyle w:val="Heading"/>
      <w:lvlText w:val="–"/>
      <w:lvlJc w:val="left"/>
      <w:pPr>
        <w:tabs>
          <w:tab w:val="num" w:pos="1080"/>
        </w:tabs>
        <w:ind w:left="1080" w:hanging="360"/>
      </w:pPr>
      <w:rPr>
        <w:rFonts w:ascii="Times New Roman" w:hAnsi="Times New Roman" w:hint="default"/>
      </w:rPr>
    </w:lvl>
  </w:abstractNum>
  <w:abstractNum w:abstractNumId="17" w15:restartNumberingAfterBreak="0">
    <w:nsid w:val="2E9664AB"/>
    <w:multiLevelType w:val="hybridMultilevel"/>
    <w:tmpl w:val="7876C86E"/>
    <w:lvl w:ilvl="0" w:tplc="2D66EC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3A87BFA"/>
    <w:multiLevelType w:val="hybridMultilevel"/>
    <w:tmpl w:val="FC4CA1BC"/>
    <w:lvl w:ilvl="0" w:tplc="2D66EC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8BE1BCC"/>
    <w:multiLevelType w:val="hybridMultilevel"/>
    <w:tmpl w:val="325418FE"/>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20" w15:restartNumberingAfterBreak="0">
    <w:nsid w:val="3FEE4BBA"/>
    <w:multiLevelType w:val="hybridMultilevel"/>
    <w:tmpl w:val="B0948E30"/>
    <w:lvl w:ilvl="0" w:tplc="2D66EC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45C2664A"/>
    <w:multiLevelType w:val="hybridMultilevel"/>
    <w:tmpl w:val="C98EED38"/>
    <w:lvl w:ilvl="0" w:tplc="2D66EC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467C539E"/>
    <w:multiLevelType w:val="singleLevel"/>
    <w:tmpl w:val="54325410"/>
    <w:lvl w:ilvl="0">
      <w:start w:val="1"/>
      <w:numFmt w:val="bullet"/>
      <w:pStyle w:val="HelpBullet"/>
      <w:lvlText w:val=""/>
      <w:lvlJc w:val="left"/>
      <w:pPr>
        <w:tabs>
          <w:tab w:val="num" w:pos="360"/>
        </w:tabs>
        <w:ind w:left="360" w:hanging="360"/>
      </w:pPr>
      <w:rPr>
        <w:rFonts w:ascii="Symbol" w:hAnsi="Symbol" w:hint="default"/>
      </w:rPr>
    </w:lvl>
  </w:abstractNum>
  <w:abstractNum w:abstractNumId="23" w15:restartNumberingAfterBreak="0">
    <w:nsid w:val="47474361"/>
    <w:multiLevelType w:val="hybridMultilevel"/>
    <w:tmpl w:val="A28A212C"/>
    <w:lvl w:ilvl="0" w:tplc="BD10B3DC">
      <w:start w:val="1"/>
      <w:numFmt w:val="lowerLetter"/>
      <w:lvlText w:val="(%1)"/>
      <w:lvlJc w:val="left"/>
      <w:pPr>
        <w:ind w:left="1350" w:hanging="360"/>
      </w:pPr>
      <w:rPr>
        <w:rFonts w:hint="default"/>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24" w15:restartNumberingAfterBreak="0">
    <w:nsid w:val="4E740E40"/>
    <w:multiLevelType w:val="multilevel"/>
    <w:tmpl w:val="E4505F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EE87172"/>
    <w:multiLevelType w:val="hybridMultilevel"/>
    <w:tmpl w:val="E514DB64"/>
    <w:lvl w:ilvl="0" w:tplc="3C28172C">
      <w:start w:val="1"/>
      <w:numFmt w:val="bullet"/>
      <w:pStyle w:val="Bullet"/>
      <w:lvlText w:val=""/>
      <w:lvlJc w:val="left"/>
      <w:pPr>
        <w:tabs>
          <w:tab w:val="num" w:pos="777"/>
        </w:tabs>
        <w:ind w:left="777" w:hanging="360"/>
      </w:pPr>
      <w:rPr>
        <w:rFonts w:ascii="Symbol" w:hAnsi="Symbol" w:hint="default"/>
      </w:rPr>
    </w:lvl>
    <w:lvl w:ilvl="1" w:tplc="04070003" w:tentative="1">
      <w:start w:val="1"/>
      <w:numFmt w:val="bullet"/>
      <w:lvlText w:val="o"/>
      <w:lvlJc w:val="left"/>
      <w:pPr>
        <w:tabs>
          <w:tab w:val="num" w:pos="1497"/>
        </w:tabs>
        <w:ind w:left="1497" w:hanging="360"/>
      </w:pPr>
      <w:rPr>
        <w:rFonts w:ascii="Courier New" w:hAnsi="Courier New" w:hint="default"/>
      </w:rPr>
    </w:lvl>
    <w:lvl w:ilvl="2" w:tplc="04070005" w:tentative="1">
      <w:start w:val="1"/>
      <w:numFmt w:val="bullet"/>
      <w:lvlText w:val=""/>
      <w:lvlJc w:val="left"/>
      <w:pPr>
        <w:tabs>
          <w:tab w:val="num" w:pos="2217"/>
        </w:tabs>
        <w:ind w:left="2217" w:hanging="360"/>
      </w:pPr>
      <w:rPr>
        <w:rFonts w:ascii="Wingdings" w:hAnsi="Wingdings" w:hint="default"/>
      </w:rPr>
    </w:lvl>
    <w:lvl w:ilvl="3" w:tplc="04070001" w:tentative="1">
      <w:start w:val="1"/>
      <w:numFmt w:val="bullet"/>
      <w:lvlText w:val=""/>
      <w:lvlJc w:val="left"/>
      <w:pPr>
        <w:tabs>
          <w:tab w:val="num" w:pos="2937"/>
        </w:tabs>
        <w:ind w:left="2937" w:hanging="360"/>
      </w:pPr>
      <w:rPr>
        <w:rFonts w:ascii="Symbol" w:hAnsi="Symbol" w:hint="default"/>
      </w:rPr>
    </w:lvl>
    <w:lvl w:ilvl="4" w:tplc="04070003" w:tentative="1">
      <w:start w:val="1"/>
      <w:numFmt w:val="bullet"/>
      <w:lvlText w:val="o"/>
      <w:lvlJc w:val="left"/>
      <w:pPr>
        <w:tabs>
          <w:tab w:val="num" w:pos="3657"/>
        </w:tabs>
        <w:ind w:left="3657" w:hanging="360"/>
      </w:pPr>
      <w:rPr>
        <w:rFonts w:ascii="Courier New" w:hAnsi="Courier New" w:hint="default"/>
      </w:rPr>
    </w:lvl>
    <w:lvl w:ilvl="5" w:tplc="04070005" w:tentative="1">
      <w:start w:val="1"/>
      <w:numFmt w:val="bullet"/>
      <w:lvlText w:val=""/>
      <w:lvlJc w:val="left"/>
      <w:pPr>
        <w:tabs>
          <w:tab w:val="num" w:pos="4377"/>
        </w:tabs>
        <w:ind w:left="4377" w:hanging="360"/>
      </w:pPr>
      <w:rPr>
        <w:rFonts w:ascii="Wingdings" w:hAnsi="Wingdings" w:hint="default"/>
      </w:rPr>
    </w:lvl>
    <w:lvl w:ilvl="6" w:tplc="04070001" w:tentative="1">
      <w:start w:val="1"/>
      <w:numFmt w:val="bullet"/>
      <w:lvlText w:val=""/>
      <w:lvlJc w:val="left"/>
      <w:pPr>
        <w:tabs>
          <w:tab w:val="num" w:pos="5097"/>
        </w:tabs>
        <w:ind w:left="5097" w:hanging="360"/>
      </w:pPr>
      <w:rPr>
        <w:rFonts w:ascii="Symbol" w:hAnsi="Symbol" w:hint="default"/>
      </w:rPr>
    </w:lvl>
    <w:lvl w:ilvl="7" w:tplc="04070003" w:tentative="1">
      <w:start w:val="1"/>
      <w:numFmt w:val="bullet"/>
      <w:lvlText w:val="o"/>
      <w:lvlJc w:val="left"/>
      <w:pPr>
        <w:tabs>
          <w:tab w:val="num" w:pos="5817"/>
        </w:tabs>
        <w:ind w:left="5817" w:hanging="360"/>
      </w:pPr>
      <w:rPr>
        <w:rFonts w:ascii="Courier New" w:hAnsi="Courier New" w:hint="default"/>
      </w:rPr>
    </w:lvl>
    <w:lvl w:ilvl="8" w:tplc="04070005" w:tentative="1">
      <w:start w:val="1"/>
      <w:numFmt w:val="bullet"/>
      <w:lvlText w:val=""/>
      <w:lvlJc w:val="left"/>
      <w:pPr>
        <w:tabs>
          <w:tab w:val="num" w:pos="6537"/>
        </w:tabs>
        <w:ind w:left="6537" w:hanging="360"/>
      </w:pPr>
      <w:rPr>
        <w:rFonts w:ascii="Wingdings" w:hAnsi="Wingdings" w:hint="default"/>
      </w:rPr>
    </w:lvl>
  </w:abstractNum>
  <w:abstractNum w:abstractNumId="26" w15:restartNumberingAfterBreak="0">
    <w:nsid w:val="4FE843FD"/>
    <w:multiLevelType w:val="hybridMultilevel"/>
    <w:tmpl w:val="4E50B24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7" w15:restartNumberingAfterBreak="0">
    <w:nsid w:val="50232215"/>
    <w:multiLevelType w:val="multilevel"/>
    <w:tmpl w:val="3D5EA5BC"/>
    <w:lvl w:ilvl="0">
      <w:start w:val="1"/>
      <w:numFmt w:val="upperLetter"/>
      <w:pStyle w:val="IEEEHeading2"/>
      <w:lvlText w:val="%1."/>
      <w:lvlJc w:val="left"/>
      <w:pPr>
        <w:tabs>
          <w:tab w:val="num" w:pos="288"/>
        </w:tabs>
        <w:ind w:left="288" w:hanging="288"/>
      </w:pPr>
      <w:rPr>
        <w:rFonts w:ascii="Times New Roman" w:eastAsia="Arial Unicode MS" w:hAnsi="Times New Roman" w:cs="Times New Roman" w:hint="default"/>
        <w:b w:val="0"/>
        <w:bCs/>
        <w:i/>
        <w:iCs w:val="0"/>
        <w:caps/>
        <w:strike w:val="0"/>
        <w:dstrike w:val="0"/>
        <w:outline w:val="0"/>
        <w:shadow w:val="0"/>
        <w:emboss w:val="0"/>
        <w:imprint w:val="0"/>
        <w:vanish w:val="0"/>
        <w:color w:val="000000"/>
        <w:spacing w:val="0"/>
        <w:kern w:val="0"/>
        <w:position w:val="0"/>
        <w:sz w:val="20"/>
        <w:szCs w:val="24"/>
        <w:u w:val="none"/>
        <w:vertAlign w:val="baseline"/>
        <w:em w:val="none"/>
      </w:rPr>
    </w:lvl>
    <w:lvl w:ilvl="1">
      <w:start w:val="1"/>
      <w:numFmt w:val="upperLetter"/>
      <w:lvlText w:val="%2."/>
      <w:lvlJc w:val="left"/>
      <w:pPr>
        <w:tabs>
          <w:tab w:val="num" w:pos="288"/>
        </w:tabs>
        <w:ind w:left="288" w:hanging="288"/>
      </w:pPr>
      <w:rPr>
        <w:rFonts w:ascii="Times New Roman" w:hAnsi="Times New Roman" w:hint="default"/>
        <w:b w:val="0"/>
        <w:i w:val="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8" w15:restartNumberingAfterBreak="0">
    <w:nsid w:val="50CD0E06"/>
    <w:multiLevelType w:val="hybridMultilevel"/>
    <w:tmpl w:val="40FA42A2"/>
    <w:lvl w:ilvl="0" w:tplc="2D66EC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52CA544A"/>
    <w:multiLevelType w:val="singleLevel"/>
    <w:tmpl w:val="1A48C38A"/>
    <w:lvl w:ilvl="0">
      <w:start w:val="1"/>
      <w:numFmt w:val="decimal"/>
      <w:pStyle w:val="references"/>
      <w:lvlText w:val="%1."/>
      <w:lvlJc w:val="left"/>
      <w:pPr>
        <w:tabs>
          <w:tab w:val="num" w:pos="360"/>
        </w:tabs>
        <w:ind w:left="360" w:hanging="360"/>
      </w:pPr>
      <w:rPr>
        <w:rFonts w:ascii="Times New Roman" w:eastAsia="MS Mincho" w:hAnsi="Times New Roman" w:cs="Times New Roman" w:hint="default"/>
        <w:b w:val="0"/>
        <w:bCs w:val="0"/>
        <w:i w:val="0"/>
        <w:iCs w:val="0"/>
        <w:sz w:val="22"/>
        <w:szCs w:val="16"/>
      </w:rPr>
    </w:lvl>
  </w:abstractNum>
  <w:abstractNum w:abstractNumId="30" w15:restartNumberingAfterBreak="0">
    <w:nsid w:val="533B361E"/>
    <w:multiLevelType w:val="hybridMultilevel"/>
    <w:tmpl w:val="3A0672E0"/>
    <w:lvl w:ilvl="0" w:tplc="9D320FAA">
      <w:start w:val="1"/>
      <w:numFmt w:val="upperRoman"/>
      <w:lvlText w:val="%1."/>
      <w:lvlJc w:val="left"/>
      <w:pPr>
        <w:ind w:left="720" w:hanging="72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1" w15:restartNumberingAfterBreak="0">
    <w:nsid w:val="53471639"/>
    <w:multiLevelType w:val="hybridMultilevel"/>
    <w:tmpl w:val="A0F68B96"/>
    <w:styleLink w:val="Numbered"/>
    <w:lvl w:ilvl="0" w:tplc="9604C50A">
      <w:start w:val="1"/>
      <w:numFmt w:val="decimal"/>
      <w:lvlText w:val="%1."/>
      <w:lvlJc w:val="left"/>
      <w:pPr>
        <w:ind w:left="255" w:hanging="255"/>
      </w:pPr>
      <w:rPr>
        <w:rFonts w:hAnsi="Arial Unicode MS"/>
        <w:caps w:val="0"/>
        <w:smallCaps w:val="0"/>
        <w:strike w:val="0"/>
        <w:dstrike w:val="0"/>
        <w:outline w:val="0"/>
        <w:emboss w:val="0"/>
        <w:imprint w:val="0"/>
        <w:spacing w:val="0"/>
        <w:w w:val="100"/>
        <w:kern w:val="0"/>
        <w:position w:val="0"/>
        <w:highlight w:val="none"/>
        <w:vertAlign w:val="baseline"/>
      </w:rPr>
    </w:lvl>
    <w:lvl w:ilvl="1" w:tplc="B9E88792">
      <w:start w:val="1"/>
      <w:numFmt w:val="decimal"/>
      <w:lvlText w:val="%2."/>
      <w:lvlJc w:val="left"/>
      <w:pPr>
        <w:ind w:left="539" w:hanging="255"/>
      </w:pPr>
      <w:rPr>
        <w:rFonts w:hAnsi="Arial Unicode MS"/>
        <w:caps w:val="0"/>
        <w:smallCaps w:val="0"/>
        <w:strike w:val="0"/>
        <w:dstrike w:val="0"/>
        <w:outline w:val="0"/>
        <w:emboss w:val="0"/>
        <w:imprint w:val="0"/>
        <w:spacing w:val="0"/>
        <w:w w:val="100"/>
        <w:kern w:val="0"/>
        <w:position w:val="0"/>
        <w:highlight w:val="none"/>
        <w:vertAlign w:val="baseline"/>
      </w:rPr>
    </w:lvl>
    <w:lvl w:ilvl="2" w:tplc="78E8D592">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 w:ilvl="3" w:tplc="CA688A20">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 w:ilvl="4" w:tplc="91A26860">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 w:ilvl="5" w:tplc="B01A756E">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 w:ilvl="6" w:tplc="91109C0C">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 w:ilvl="7" w:tplc="09E88B4A">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 w:ilvl="8" w:tplc="3F7267AA">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32" w15:restartNumberingAfterBreak="0">
    <w:nsid w:val="57D67472"/>
    <w:multiLevelType w:val="hybridMultilevel"/>
    <w:tmpl w:val="1166CBA0"/>
    <w:lvl w:ilvl="0" w:tplc="2D66EC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7FA4923"/>
    <w:multiLevelType w:val="singleLevel"/>
    <w:tmpl w:val="15300F6A"/>
    <w:lvl w:ilvl="0">
      <w:start w:val="1"/>
      <w:numFmt w:val="bullet"/>
      <w:pStyle w:val="ListBullet2"/>
      <w:lvlText w:val=""/>
      <w:lvlJc w:val="left"/>
      <w:pPr>
        <w:tabs>
          <w:tab w:val="num" w:pos="360"/>
        </w:tabs>
        <w:ind w:left="360" w:hanging="360"/>
      </w:pPr>
      <w:rPr>
        <w:rFonts w:ascii="Symbol" w:hAnsi="Symbol" w:hint="default"/>
      </w:rPr>
    </w:lvl>
  </w:abstractNum>
  <w:abstractNum w:abstractNumId="34" w15:restartNumberingAfterBreak="0">
    <w:nsid w:val="5D2F240C"/>
    <w:multiLevelType w:val="hybridMultilevel"/>
    <w:tmpl w:val="4B929344"/>
    <w:lvl w:ilvl="0" w:tplc="04210001">
      <w:start w:val="1"/>
      <w:numFmt w:val="bullet"/>
      <w:lvlText w:val=""/>
      <w:lvlJc w:val="left"/>
      <w:pPr>
        <w:ind w:left="1287" w:hanging="360"/>
      </w:pPr>
      <w:rPr>
        <w:rFonts w:ascii="Symbol" w:hAnsi="Symbol" w:hint="default"/>
      </w:rPr>
    </w:lvl>
    <w:lvl w:ilvl="1" w:tplc="04210003" w:tentative="1">
      <w:start w:val="1"/>
      <w:numFmt w:val="bullet"/>
      <w:lvlText w:val="o"/>
      <w:lvlJc w:val="left"/>
      <w:pPr>
        <w:ind w:left="2007" w:hanging="360"/>
      </w:pPr>
      <w:rPr>
        <w:rFonts w:ascii="Courier New" w:hAnsi="Courier New" w:cs="Courier New" w:hint="default"/>
      </w:rPr>
    </w:lvl>
    <w:lvl w:ilvl="2" w:tplc="04210005" w:tentative="1">
      <w:start w:val="1"/>
      <w:numFmt w:val="bullet"/>
      <w:lvlText w:val=""/>
      <w:lvlJc w:val="left"/>
      <w:pPr>
        <w:ind w:left="2727" w:hanging="360"/>
      </w:pPr>
      <w:rPr>
        <w:rFonts w:ascii="Wingdings" w:hAnsi="Wingdings" w:hint="default"/>
      </w:rPr>
    </w:lvl>
    <w:lvl w:ilvl="3" w:tplc="04210001" w:tentative="1">
      <w:start w:val="1"/>
      <w:numFmt w:val="bullet"/>
      <w:lvlText w:val=""/>
      <w:lvlJc w:val="left"/>
      <w:pPr>
        <w:ind w:left="3447" w:hanging="360"/>
      </w:pPr>
      <w:rPr>
        <w:rFonts w:ascii="Symbol" w:hAnsi="Symbol" w:hint="default"/>
      </w:rPr>
    </w:lvl>
    <w:lvl w:ilvl="4" w:tplc="04210003" w:tentative="1">
      <w:start w:val="1"/>
      <w:numFmt w:val="bullet"/>
      <w:lvlText w:val="o"/>
      <w:lvlJc w:val="left"/>
      <w:pPr>
        <w:ind w:left="4167" w:hanging="360"/>
      </w:pPr>
      <w:rPr>
        <w:rFonts w:ascii="Courier New" w:hAnsi="Courier New" w:cs="Courier New" w:hint="default"/>
      </w:rPr>
    </w:lvl>
    <w:lvl w:ilvl="5" w:tplc="04210005" w:tentative="1">
      <w:start w:val="1"/>
      <w:numFmt w:val="bullet"/>
      <w:lvlText w:val=""/>
      <w:lvlJc w:val="left"/>
      <w:pPr>
        <w:ind w:left="4887" w:hanging="360"/>
      </w:pPr>
      <w:rPr>
        <w:rFonts w:ascii="Wingdings" w:hAnsi="Wingdings" w:hint="default"/>
      </w:rPr>
    </w:lvl>
    <w:lvl w:ilvl="6" w:tplc="04210001" w:tentative="1">
      <w:start w:val="1"/>
      <w:numFmt w:val="bullet"/>
      <w:lvlText w:val=""/>
      <w:lvlJc w:val="left"/>
      <w:pPr>
        <w:ind w:left="5607" w:hanging="360"/>
      </w:pPr>
      <w:rPr>
        <w:rFonts w:ascii="Symbol" w:hAnsi="Symbol" w:hint="default"/>
      </w:rPr>
    </w:lvl>
    <w:lvl w:ilvl="7" w:tplc="04210003" w:tentative="1">
      <w:start w:val="1"/>
      <w:numFmt w:val="bullet"/>
      <w:lvlText w:val="o"/>
      <w:lvlJc w:val="left"/>
      <w:pPr>
        <w:ind w:left="6327" w:hanging="360"/>
      </w:pPr>
      <w:rPr>
        <w:rFonts w:ascii="Courier New" w:hAnsi="Courier New" w:cs="Courier New" w:hint="default"/>
      </w:rPr>
    </w:lvl>
    <w:lvl w:ilvl="8" w:tplc="04210005" w:tentative="1">
      <w:start w:val="1"/>
      <w:numFmt w:val="bullet"/>
      <w:lvlText w:val=""/>
      <w:lvlJc w:val="left"/>
      <w:pPr>
        <w:ind w:left="7047" w:hanging="360"/>
      </w:pPr>
      <w:rPr>
        <w:rFonts w:ascii="Wingdings" w:hAnsi="Wingdings" w:hint="default"/>
      </w:rPr>
    </w:lvl>
  </w:abstractNum>
  <w:abstractNum w:abstractNumId="35" w15:restartNumberingAfterBreak="0">
    <w:nsid w:val="67503666"/>
    <w:multiLevelType w:val="hybridMultilevel"/>
    <w:tmpl w:val="A0F68B96"/>
    <w:numStyleLink w:val="Numbered"/>
  </w:abstractNum>
  <w:abstractNum w:abstractNumId="36" w15:restartNumberingAfterBreak="0">
    <w:nsid w:val="7005444F"/>
    <w:multiLevelType w:val="hybridMultilevel"/>
    <w:tmpl w:val="AF141DAC"/>
    <w:lvl w:ilvl="0" w:tplc="2D66EC5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704C6754"/>
    <w:multiLevelType w:val="hybridMultilevel"/>
    <w:tmpl w:val="803C050E"/>
    <w:lvl w:ilvl="0" w:tplc="04080011">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8" w15:restartNumberingAfterBreak="0">
    <w:nsid w:val="74106DB7"/>
    <w:multiLevelType w:val="hybridMultilevel"/>
    <w:tmpl w:val="C366A200"/>
    <w:lvl w:ilvl="0" w:tplc="04210001">
      <w:start w:val="1"/>
      <w:numFmt w:val="bullet"/>
      <w:lvlText w:val=""/>
      <w:lvlJc w:val="left"/>
      <w:pPr>
        <w:ind w:left="720" w:hanging="360"/>
      </w:pPr>
      <w:rPr>
        <w:rFonts w:ascii="Symbol" w:hAnsi="Symbol" w:hint="default"/>
      </w:rPr>
    </w:lvl>
    <w:lvl w:ilvl="1" w:tplc="04210003" w:tentative="1">
      <w:start w:val="1"/>
      <w:numFmt w:val="bullet"/>
      <w:lvlText w:val="o"/>
      <w:lvlJc w:val="left"/>
      <w:pPr>
        <w:ind w:left="1440" w:hanging="360"/>
      </w:pPr>
      <w:rPr>
        <w:rFonts w:ascii="Courier New" w:hAnsi="Courier New" w:cs="Courier New" w:hint="default"/>
      </w:rPr>
    </w:lvl>
    <w:lvl w:ilvl="2" w:tplc="04210005" w:tentative="1">
      <w:start w:val="1"/>
      <w:numFmt w:val="bullet"/>
      <w:lvlText w:val=""/>
      <w:lvlJc w:val="left"/>
      <w:pPr>
        <w:ind w:left="2160" w:hanging="360"/>
      </w:pPr>
      <w:rPr>
        <w:rFonts w:ascii="Wingdings" w:hAnsi="Wingdings" w:hint="default"/>
      </w:rPr>
    </w:lvl>
    <w:lvl w:ilvl="3" w:tplc="04210001" w:tentative="1">
      <w:start w:val="1"/>
      <w:numFmt w:val="bullet"/>
      <w:lvlText w:val=""/>
      <w:lvlJc w:val="left"/>
      <w:pPr>
        <w:ind w:left="2880" w:hanging="360"/>
      </w:pPr>
      <w:rPr>
        <w:rFonts w:ascii="Symbol" w:hAnsi="Symbol" w:hint="default"/>
      </w:rPr>
    </w:lvl>
    <w:lvl w:ilvl="4" w:tplc="04210003" w:tentative="1">
      <w:start w:val="1"/>
      <w:numFmt w:val="bullet"/>
      <w:lvlText w:val="o"/>
      <w:lvlJc w:val="left"/>
      <w:pPr>
        <w:ind w:left="3600" w:hanging="360"/>
      </w:pPr>
      <w:rPr>
        <w:rFonts w:ascii="Courier New" w:hAnsi="Courier New" w:cs="Courier New" w:hint="default"/>
      </w:rPr>
    </w:lvl>
    <w:lvl w:ilvl="5" w:tplc="04210005" w:tentative="1">
      <w:start w:val="1"/>
      <w:numFmt w:val="bullet"/>
      <w:lvlText w:val=""/>
      <w:lvlJc w:val="left"/>
      <w:pPr>
        <w:ind w:left="4320" w:hanging="360"/>
      </w:pPr>
      <w:rPr>
        <w:rFonts w:ascii="Wingdings" w:hAnsi="Wingdings" w:hint="default"/>
      </w:rPr>
    </w:lvl>
    <w:lvl w:ilvl="6" w:tplc="04210001" w:tentative="1">
      <w:start w:val="1"/>
      <w:numFmt w:val="bullet"/>
      <w:lvlText w:val=""/>
      <w:lvlJc w:val="left"/>
      <w:pPr>
        <w:ind w:left="5040" w:hanging="360"/>
      </w:pPr>
      <w:rPr>
        <w:rFonts w:ascii="Symbol" w:hAnsi="Symbol" w:hint="default"/>
      </w:rPr>
    </w:lvl>
    <w:lvl w:ilvl="7" w:tplc="04210003" w:tentative="1">
      <w:start w:val="1"/>
      <w:numFmt w:val="bullet"/>
      <w:lvlText w:val="o"/>
      <w:lvlJc w:val="left"/>
      <w:pPr>
        <w:ind w:left="5760" w:hanging="360"/>
      </w:pPr>
      <w:rPr>
        <w:rFonts w:ascii="Courier New" w:hAnsi="Courier New" w:cs="Courier New" w:hint="default"/>
      </w:rPr>
    </w:lvl>
    <w:lvl w:ilvl="8" w:tplc="04210005" w:tentative="1">
      <w:start w:val="1"/>
      <w:numFmt w:val="bullet"/>
      <w:lvlText w:val=""/>
      <w:lvlJc w:val="left"/>
      <w:pPr>
        <w:ind w:left="6480" w:hanging="360"/>
      </w:pPr>
      <w:rPr>
        <w:rFonts w:ascii="Wingdings" w:hAnsi="Wingdings" w:hint="default"/>
      </w:rPr>
    </w:lvl>
  </w:abstractNum>
  <w:abstractNum w:abstractNumId="39" w15:restartNumberingAfterBreak="0">
    <w:nsid w:val="749D0615"/>
    <w:multiLevelType w:val="singleLevel"/>
    <w:tmpl w:val="CB3A13F0"/>
    <w:lvl w:ilvl="0">
      <w:start w:val="1"/>
      <w:numFmt w:val="bullet"/>
      <w:pStyle w:val="ListBullet"/>
      <w:lvlText w:val=""/>
      <w:lvlJc w:val="left"/>
      <w:pPr>
        <w:tabs>
          <w:tab w:val="num" w:pos="926"/>
        </w:tabs>
        <w:ind w:left="926" w:hanging="360"/>
      </w:pPr>
      <w:rPr>
        <w:rFonts w:ascii="Symbol" w:hAnsi="Symbol" w:hint="default"/>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4"/>
  </w:num>
  <w:num w:numId="3">
    <w:abstractNumId w:val="29"/>
  </w:num>
  <w:num w:numId="4">
    <w:abstractNumId w:val="13"/>
  </w:num>
  <w:num w:numId="5">
    <w:abstractNumId w:val="31"/>
  </w:num>
  <w:num w:numId="6">
    <w:abstractNumId w:val="35"/>
    <w:lvlOverride w:ilvl="0">
      <w:startOverride w:val="1"/>
      <w:lvl w:ilvl="0" w:tplc="A78E994A">
        <w:start w:val="1"/>
        <w:numFmt w:val="decimal"/>
        <w:pStyle w:val="BulletIndent"/>
        <w:lvlText w:val="%1."/>
        <w:lvlJc w:val="left"/>
        <w:pPr>
          <w:ind w:left="255" w:hanging="25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1">
      <w:startOverride w:val="2"/>
      <w:lvl w:ilvl="1" w:tplc="412C9746">
        <w:start w:val="2"/>
        <w:numFmt w:val="decimal"/>
        <w:lvlText w:val="%2."/>
        <w:lvlJc w:val="left"/>
        <w:pPr>
          <w:ind w:left="255" w:hanging="255"/>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2">
      <w:startOverride w:val="1"/>
      <w:lvl w:ilvl="2" w:tplc="E24ABD38">
        <w:start w:val="1"/>
        <w:numFmt w:val="decimal"/>
        <w:lvlText w:val="%3."/>
        <w:lvlJc w:val="left"/>
        <w:pPr>
          <w:ind w:left="18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3">
      <w:startOverride w:val="1"/>
      <w:lvl w:ilvl="3" w:tplc="923EBEB4">
        <w:start w:val="1"/>
        <w:numFmt w:val="decimal"/>
        <w:lvlText w:val="%4."/>
        <w:lvlJc w:val="left"/>
        <w:pPr>
          <w:ind w:left="26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4">
      <w:startOverride w:val="1"/>
      <w:lvl w:ilvl="4" w:tplc="AC96A556">
        <w:start w:val="1"/>
        <w:numFmt w:val="decimal"/>
        <w:lvlText w:val="%5."/>
        <w:lvlJc w:val="left"/>
        <w:pPr>
          <w:ind w:left="34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5">
      <w:startOverride w:val="1"/>
      <w:lvl w:ilvl="5" w:tplc="5CBE3804">
        <w:start w:val="1"/>
        <w:numFmt w:val="decimal"/>
        <w:lvlText w:val="%6."/>
        <w:lvlJc w:val="left"/>
        <w:pPr>
          <w:ind w:left="42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6">
      <w:startOverride w:val="1"/>
      <w:lvl w:ilvl="6" w:tplc="6BDA0AC4">
        <w:start w:val="1"/>
        <w:numFmt w:val="decimal"/>
        <w:lvlText w:val="%7."/>
        <w:lvlJc w:val="left"/>
        <w:pPr>
          <w:ind w:left="50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7">
      <w:startOverride w:val="1"/>
      <w:lvl w:ilvl="7" w:tplc="86D2AA00">
        <w:start w:val="1"/>
        <w:numFmt w:val="decimal"/>
        <w:lvlText w:val="%8."/>
        <w:lvlJc w:val="left"/>
        <w:pPr>
          <w:ind w:left="58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lvlOverride w:ilvl="8">
      <w:startOverride w:val="1"/>
      <w:lvl w:ilvl="8" w:tplc="5322A782">
        <w:start w:val="1"/>
        <w:numFmt w:val="decimal"/>
        <w:lvlText w:val="%9."/>
        <w:lvlJc w:val="left"/>
        <w:pPr>
          <w:ind w:left="6653" w:hanging="253"/>
        </w:pPr>
        <w:rPr>
          <w:rFonts w:hAnsi="Arial Unicode MS"/>
          <w:caps w:val="0"/>
          <w:smallCaps w:val="0"/>
          <w:strike w:val="0"/>
          <w:dstrike w:val="0"/>
          <w:outline w:val="0"/>
          <w:emboss w:val="0"/>
          <w:imprint w:val="0"/>
          <w:spacing w:val="0"/>
          <w:w w:val="100"/>
          <w:kern w:val="0"/>
          <w:position w:val="0"/>
          <w:highlight w:val="none"/>
          <w:vertAlign w:val="baseline"/>
        </w:rPr>
      </w:lvl>
    </w:lvlOverride>
  </w:num>
  <w:num w:numId="7">
    <w:abstractNumId w:val="16"/>
  </w:num>
  <w:num w:numId="8">
    <w:abstractNumId w:val="10"/>
  </w:num>
  <w:num w:numId="9">
    <w:abstractNumId w:val="5"/>
  </w:num>
  <w:num w:numId="10">
    <w:abstractNumId w:val="1"/>
  </w:num>
  <w:num w:numId="11">
    <w:abstractNumId w:val="0"/>
  </w:num>
  <w:num w:numId="12">
    <w:abstractNumId w:val="33"/>
  </w:num>
  <w:num w:numId="13">
    <w:abstractNumId w:val="39"/>
  </w:num>
  <w:num w:numId="14">
    <w:abstractNumId w:val="22"/>
  </w:num>
  <w:num w:numId="15">
    <w:abstractNumId w:val="25"/>
  </w:num>
  <w:num w:numId="16">
    <w:abstractNumId w:val="6"/>
  </w:num>
  <w:num w:numId="17">
    <w:abstractNumId w:val="4"/>
  </w:num>
  <w:num w:numId="18">
    <w:abstractNumId w:val="38"/>
  </w:num>
  <w:num w:numId="19">
    <w:abstractNumId w:val="34"/>
  </w:num>
  <w:num w:numId="20">
    <w:abstractNumId w:val="19"/>
  </w:num>
  <w:num w:numId="21">
    <w:abstractNumId w:val="32"/>
  </w:num>
  <w:num w:numId="22">
    <w:abstractNumId w:val="12"/>
  </w:num>
  <w:num w:numId="23">
    <w:abstractNumId w:val="3"/>
  </w:num>
  <w:num w:numId="24">
    <w:abstractNumId w:val="20"/>
  </w:num>
  <w:num w:numId="25">
    <w:abstractNumId w:val="21"/>
  </w:num>
  <w:num w:numId="26">
    <w:abstractNumId w:val="11"/>
  </w:num>
  <w:num w:numId="27">
    <w:abstractNumId w:val="36"/>
  </w:num>
  <w:num w:numId="28">
    <w:abstractNumId w:val="27"/>
  </w:num>
  <w:num w:numId="29">
    <w:abstractNumId w:val="7"/>
  </w:num>
  <w:num w:numId="30">
    <w:abstractNumId w:val="15"/>
  </w:num>
  <w:num w:numId="31">
    <w:abstractNumId w:val="28"/>
  </w:num>
  <w:num w:numId="32">
    <w:abstractNumId w:val="18"/>
  </w:num>
  <w:num w:numId="33">
    <w:abstractNumId w:val="9"/>
  </w:num>
  <w:num w:numId="34">
    <w:abstractNumId w:val="23"/>
  </w:num>
  <w:num w:numId="35">
    <w:abstractNumId w:val="30"/>
  </w:num>
  <w:num w:numId="36">
    <w:abstractNumId w:val="26"/>
  </w:num>
  <w:num w:numId="37">
    <w:abstractNumId w:val="37"/>
  </w:num>
  <w:num w:numId="38">
    <w:abstractNumId w:val="24"/>
  </w:num>
  <w:num w:numId="39">
    <w:abstractNumId w:val="8"/>
  </w:num>
  <w:num w:numId="40">
    <w:abstractNumId w:val="17"/>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drawingGridHorizontalSpacing w:val="110"/>
  <w:displayHorizontalDrawingGridEvery w:val="2"/>
  <w:displayVertic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82E3B"/>
    <w:rsid w:val="00002102"/>
    <w:rsid w:val="00005330"/>
    <w:rsid w:val="00012B2C"/>
    <w:rsid w:val="00016DFC"/>
    <w:rsid w:val="0002253E"/>
    <w:rsid w:val="00032674"/>
    <w:rsid w:val="00043FE3"/>
    <w:rsid w:val="000462B7"/>
    <w:rsid w:val="00046A8C"/>
    <w:rsid w:val="00056304"/>
    <w:rsid w:val="00060D71"/>
    <w:rsid w:val="000659C1"/>
    <w:rsid w:val="000660EE"/>
    <w:rsid w:val="00070EF5"/>
    <w:rsid w:val="00073EB2"/>
    <w:rsid w:val="00085BE2"/>
    <w:rsid w:val="000971C0"/>
    <w:rsid w:val="000A2BD1"/>
    <w:rsid w:val="000B2A6B"/>
    <w:rsid w:val="000C555A"/>
    <w:rsid w:val="000D129B"/>
    <w:rsid w:val="000E023B"/>
    <w:rsid w:val="000E3B3F"/>
    <w:rsid w:val="000E4DEF"/>
    <w:rsid w:val="000E6C35"/>
    <w:rsid w:val="00103F31"/>
    <w:rsid w:val="0011005A"/>
    <w:rsid w:val="00111E03"/>
    <w:rsid w:val="00120DCC"/>
    <w:rsid w:val="00122917"/>
    <w:rsid w:val="00125596"/>
    <w:rsid w:val="001306C9"/>
    <w:rsid w:val="00133FF0"/>
    <w:rsid w:val="0013458F"/>
    <w:rsid w:val="0013479E"/>
    <w:rsid w:val="00134C46"/>
    <w:rsid w:val="00141FEF"/>
    <w:rsid w:val="00155332"/>
    <w:rsid w:val="00157A83"/>
    <w:rsid w:val="001669B3"/>
    <w:rsid w:val="00167C79"/>
    <w:rsid w:val="00171636"/>
    <w:rsid w:val="001722EB"/>
    <w:rsid w:val="00175782"/>
    <w:rsid w:val="0018086B"/>
    <w:rsid w:val="001819DA"/>
    <w:rsid w:val="00183330"/>
    <w:rsid w:val="00185E45"/>
    <w:rsid w:val="00191766"/>
    <w:rsid w:val="00193604"/>
    <w:rsid w:val="001A6572"/>
    <w:rsid w:val="001B1EC3"/>
    <w:rsid w:val="001B6738"/>
    <w:rsid w:val="001B7343"/>
    <w:rsid w:val="001B7BC2"/>
    <w:rsid w:val="001C0F2F"/>
    <w:rsid w:val="001D4A69"/>
    <w:rsid w:val="001D72F8"/>
    <w:rsid w:val="001D7AFF"/>
    <w:rsid w:val="001E0A1F"/>
    <w:rsid w:val="001E3FD5"/>
    <w:rsid w:val="001F50A0"/>
    <w:rsid w:val="001F7BA2"/>
    <w:rsid w:val="001F7BA7"/>
    <w:rsid w:val="00206D24"/>
    <w:rsid w:val="00213660"/>
    <w:rsid w:val="002140F4"/>
    <w:rsid w:val="00214126"/>
    <w:rsid w:val="00215688"/>
    <w:rsid w:val="002156FC"/>
    <w:rsid w:val="0022265A"/>
    <w:rsid w:val="00222E9F"/>
    <w:rsid w:val="0022484C"/>
    <w:rsid w:val="00226483"/>
    <w:rsid w:val="002339A7"/>
    <w:rsid w:val="00233E1F"/>
    <w:rsid w:val="002345C6"/>
    <w:rsid w:val="00235DC7"/>
    <w:rsid w:val="0023615F"/>
    <w:rsid w:val="00240129"/>
    <w:rsid w:val="00241393"/>
    <w:rsid w:val="00246C49"/>
    <w:rsid w:val="0024768D"/>
    <w:rsid w:val="002504FE"/>
    <w:rsid w:val="00256957"/>
    <w:rsid w:val="00280D4D"/>
    <w:rsid w:val="002814C7"/>
    <w:rsid w:val="00294640"/>
    <w:rsid w:val="002A2310"/>
    <w:rsid w:val="002A6102"/>
    <w:rsid w:val="002A685A"/>
    <w:rsid w:val="002A73DB"/>
    <w:rsid w:val="002B15B1"/>
    <w:rsid w:val="002B7B2A"/>
    <w:rsid w:val="002C70AD"/>
    <w:rsid w:val="002D5DE5"/>
    <w:rsid w:val="002E2E96"/>
    <w:rsid w:val="002E7850"/>
    <w:rsid w:val="0031228A"/>
    <w:rsid w:val="00313F5A"/>
    <w:rsid w:val="003209C3"/>
    <w:rsid w:val="00323CBD"/>
    <w:rsid w:val="00333864"/>
    <w:rsid w:val="0033495D"/>
    <w:rsid w:val="0033721B"/>
    <w:rsid w:val="00341856"/>
    <w:rsid w:val="00357E7F"/>
    <w:rsid w:val="00361214"/>
    <w:rsid w:val="00362C78"/>
    <w:rsid w:val="00386B89"/>
    <w:rsid w:val="003905A0"/>
    <w:rsid w:val="003A1983"/>
    <w:rsid w:val="003A6C5E"/>
    <w:rsid w:val="003B13C8"/>
    <w:rsid w:val="003C3C0B"/>
    <w:rsid w:val="003C529F"/>
    <w:rsid w:val="003C5F32"/>
    <w:rsid w:val="003D3712"/>
    <w:rsid w:val="003D4333"/>
    <w:rsid w:val="003D475E"/>
    <w:rsid w:val="003D5642"/>
    <w:rsid w:val="003D6504"/>
    <w:rsid w:val="003F1763"/>
    <w:rsid w:val="003F5AD2"/>
    <w:rsid w:val="003F5EEB"/>
    <w:rsid w:val="003F6F2B"/>
    <w:rsid w:val="003F7AE5"/>
    <w:rsid w:val="00401B89"/>
    <w:rsid w:val="00403175"/>
    <w:rsid w:val="00403EEA"/>
    <w:rsid w:val="00406051"/>
    <w:rsid w:val="004128E0"/>
    <w:rsid w:val="00414399"/>
    <w:rsid w:val="00423D83"/>
    <w:rsid w:val="00423F98"/>
    <w:rsid w:val="00426CD6"/>
    <w:rsid w:val="00433A18"/>
    <w:rsid w:val="00435C35"/>
    <w:rsid w:val="00440804"/>
    <w:rsid w:val="004434F1"/>
    <w:rsid w:val="0044666A"/>
    <w:rsid w:val="00453B5C"/>
    <w:rsid w:val="004623B5"/>
    <w:rsid w:val="004636EE"/>
    <w:rsid w:val="00465D51"/>
    <w:rsid w:val="004665B2"/>
    <w:rsid w:val="00467025"/>
    <w:rsid w:val="00491BFA"/>
    <w:rsid w:val="004A26D4"/>
    <w:rsid w:val="004B3A5A"/>
    <w:rsid w:val="004B4A38"/>
    <w:rsid w:val="004C7910"/>
    <w:rsid w:val="004D766E"/>
    <w:rsid w:val="004E0296"/>
    <w:rsid w:val="004E0CED"/>
    <w:rsid w:val="004E1985"/>
    <w:rsid w:val="004E287C"/>
    <w:rsid w:val="004E64AF"/>
    <w:rsid w:val="004F211A"/>
    <w:rsid w:val="004F2A84"/>
    <w:rsid w:val="00505B7D"/>
    <w:rsid w:val="00510188"/>
    <w:rsid w:val="005101D7"/>
    <w:rsid w:val="00510875"/>
    <w:rsid w:val="00511799"/>
    <w:rsid w:val="005165E7"/>
    <w:rsid w:val="00526DDB"/>
    <w:rsid w:val="00541252"/>
    <w:rsid w:val="00551A94"/>
    <w:rsid w:val="00555FD2"/>
    <w:rsid w:val="005600AD"/>
    <w:rsid w:val="00565248"/>
    <w:rsid w:val="0056717B"/>
    <w:rsid w:val="005672BA"/>
    <w:rsid w:val="0056762B"/>
    <w:rsid w:val="00572A54"/>
    <w:rsid w:val="00587B55"/>
    <w:rsid w:val="00594046"/>
    <w:rsid w:val="0059585B"/>
    <w:rsid w:val="005B0C40"/>
    <w:rsid w:val="005B2424"/>
    <w:rsid w:val="005B6483"/>
    <w:rsid w:val="005B6E42"/>
    <w:rsid w:val="005D2214"/>
    <w:rsid w:val="005E0A49"/>
    <w:rsid w:val="005E2D4E"/>
    <w:rsid w:val="005F1A0D"/>
    <w:rsid w:val="005F53D1"/>
    <w:rsid w:val="006011E0"/>
    <w:rsid w:val="00605A32"/>
    <w:rsid w:val="006116D9"/>
    <w:rsid w:val="00615CD5"/>
    <w:rsid w:val="00617067"/>
    <w:rsid w:val="006204FA"/>
    <w:rsid w:val="00621C20"/>
    <w:rsid w:val="006242CF"/>
    <w:rsid w:val="00636447"/>
    <w:rsid w:val="0064052C"/>
    <w:rsid w:val="006555D1"/>
    <w:rsid w:val="0066062B"/>
    <w:rsid w:val="006727F3"/>
    <w:rsid w:val="006732B8"/>
    <w:rsid w:val="0067335C"/>
    <w:rsid w:val="00673E2F"/>
    <w:rsid w:val="00676EE7"/>
    <w:rsid w:val="006862CF"/>
    <w:rsid w:val="0068772C"/>
    <w:rsid w:val="006932F8"/>
    <w:rsid w:val="006962A4"/>
    <w:rsid w:val="006968F1"/>
    <w:rsid w:val="006A2AEA"/>
    <w:rsid w:val="006B4926"/>
    <w:rsid w:val="006B556C"/>
    <w:rsid w:val="006C2465"/>
    <w:rsid w:val="006C6D7E"/>
    <w:rsid w:val="006D48FD"/>
    <w:rsid w:val="006D4D0A"/>
    <w:rsid w:val="006D5F4B"/>
    <w:rsid w:val="006D63CA"/>
    <w:rsid w:val="006D7F52"/>
    <w:rsid w:val="006E4B3B"/>
    <w:rsid w:val="006E6365"/>
    <w:rsid w:val="006F2C45"/>
    <w:rsid w:val="006F3143"/>
    <w:rsid w:val="007003E5"/>
    <w:rsid w:val="00700A49"/>
    <w:rsid w:val="00704986"/>
    <w:rsid w:val="007115CE"/>
    <w:rsid w:val="00714420"/>
    <w:rsid w:val="00721183"/>
    <w:rsid w:val="007216AD"/>
    <w:rsid w:val="00725EDB"/>
    <w:rsid w:val="0073410D"/>
    <w:rsid w:val="00737C93"/>
    <w:rsid w:val="0074258E"/>
    <w:rsid w:val="00745265"/>
    <w:rsid w:val="007473F2"/>
    <w:rsid w:val="00747EB9"/>
    <w:rsid w:val="0076081B"/>
    <w:rsid w:val="007632BF"/>
    <w:rsid w:val="00764FD7"/>
    <w:rsid w:val="007764A2"/>
    <w:rsid w:val="007770A8"/>
    <w:rsid w:val="00780B46"/>
    <w:rsid w:val="0078712D"/>
    <w:rsid w:val="0079115F"/>
    <w:rsid w:val="00793C98"/>
    <w:rsid w:val="007956E1"/>
    <w:rsid w:val="007A30A8"/>
    <w:rsid w:val="007A3E9B"/>
    <w:rsid w:val="007A674B"/>
    <w:rsid w:val="007B5828"/>
    <w:rsid w:val="007B68D2"/>
    <w:rsid w:val="007B7505"/>
    <w:rsid w:val="007C1974"/>
    <w:rsid w:val="007C56EC"/>
    <w:rsid w:val="007E1C83"/>
    <w:rsid w:val="007E3E8F"/>
    <w:rsid w:val="007E6297"/>
    <w:rsid w:val="007F06C3"/>
    <w:rsid w:val="007F15E7"/>
    <w:rsid w:val="007F6967"/>
    <w:rsid w:val="008045C8"/>
    <w:rsid w:val="00810549"/>
    <w:rsid w:val="00816676"/>
    <w:rsid w:val="00830098"/>
    <w:rsid w:val="00830781"/>
    <w:rsid w:val="008312E4"/>
    <w:rsid w:val="008350FC"/>
    <w:rsid w:val="00835AE7"/>
    <w:rsid w:val="00840362"/>
    <w:rsid w:val="00840A1C"/>
    <w:rsid w:val="00844545"/>
    <w:rsid w:val="00855F4E"/>
    <w:rsid w:val="00863188"/>
    <w:rsid w:val="00890B37"/>
    <w:rsid w:val="008928AD"/>
    <w:rsid w:val="00895D7B"/>
    <w:rsid w:val="008A4FEE"/>
    <w:rsid w:val="008A5C8F"/>
    <w:rsid w:val="008B443C"/>
    <w:rsid w:val="008D3302"/>
    <w:rsid w:val="008D46FC"/>
    <w:rsid w:val="008D6418"/>
    <w:rsid w:val="008E2AF9"/>
    <w:rsid w:val="008E7D7E"/>
    <w:rsid w:val="008F2D7B"/>
    <w:rsid w:val="008F32A8"/>
    <w:rsid w:val="008F4232"/>
    <w:rsid w:val="009021A0"/>
    <w:rsid w:val="0090437F"/>
    <w:rsid w:val="00906A7F"/>
    <w:rsid w:val="00925F04"/>
    <w:rsid w:val="0094373B"/>
    <w:rsid w:val="009456F6"/>
    <w:rsid w:val="0095033C"/>
    <w:rsid w:val="00956646"/>
    <w:rsid w:val="00960B83"/>
    <w:rsid w:val="00976B1D"/>
    <w:rsid w:val="00977622"/>
    <w:rsid w:val="00981F45"/>
    <w:rsid w:val="009864A1"/>
    <w:rsid w:val="00986AB2"/>
    <w:rsid w:val="009876A0"/>
    <w:rsid w:val="00987E06"/>
    <w:rsid w:val="00993B59"/>
    <w:rsid w:val="00995CE4"/>
    <w:rsid w:val="009A5355"/>
    <w:rsid w:val="009C0A8D"/>
    <w:rsid w:val="009C403F"/>
    <w:rsid w:val="009C6651"/>
    <w:rsid w:val="009D0583"/>
    <w:rsid w:val="009D3179"/>
    <w:rsid w:val="009D60F7"/>
    <w:rsid w:val="009D7B9C"/>
    <w:rsid w:val="009E0E54"/>
    <w:rsid w:val="009E1E59"/>
    <w:rsid w:val="009F079F"/>
    <w:rsid w:val="009F2C47"/>
    <w:rsid w:val="00A02AC7"/>
    <w:rsid w:val="00A14330"/>
    <w:rsid w:val="00A254AC"/>
    <w:rsid w:val="00A27FA2"/>
    <w:rsid w:val="00A34E58"/>
    <w:rsid w:val="00A42C15"/>
    <w:rsid w:val="00A53160"/>
    <w:rsid w:val="00A60AD5"/>
    <w:rsid w:val="00A655B9"/>
    <w:rsid w:val="00A676B8"/>
    <w:rsid w:val="00A71E07"/>
    <w:rsid w:val="00A82B70"/>
    <w:rsid w:val="00A846B7"/>
    <w:rsid w:val="00A90DD5"/>
    <w:rsid w:val="00A921E2"/>
    <w:rsid w:val="00A94A43"/>
    <w:rsid w:val="00A95514"/>
    <w:rsid w:val="00A97939"/>
    <w:rsid w:val="00AA2A4F"/>
    <w:rsid w:val="00AA6038"/>
    <w:rsid w:val="00AB77BC"/>
    <w:rsid w:val="00AC23F0"/>
    <w:rsid w:val="00AE0D55"/>
    <w:rsid w:val="00AE3789"/>
    <w:rsid w:val="00AE555E"/>
    <w:rsid w:val="00AF5B52"/>
    <w:rsid w:val="00B1467F"/>
    <w:rsid w:val="00B1696B"/>
    <w:rsid w:val="00B224A3"/>
    <w:rsid w:val="00B2435E"/>
    <w:rsid w:val="00B271F8"/>
    <w:rsid w:val="00B30D14"/>
    <w:rsid w:val="00B45C6E"/>
    <w:rsid w:val="00B575FC"/>
    <w:rsid w:val="00B67425"/>
    <w:rsid w:val="00B752F9"/>
    <w:rsid w:val="00B76621"/>
    <w:rsid w:val="00B81684"/>
    <w:rsid w:val="00B81DAF"/>
    <w:rsid w:val="00B82810"/>
    <w:rsid w:val="00B82E3B"/>
    <w:rsid w:val="00B84BFD"/>
    <w:rsid w:val="00B8612A"/>
    <w:rsid w:val="00B8623F"/>
    <w:rsid w:val="00B8681A"/>
    <w:rsid w:val="00B86BF1"/>
    <w:rsid w:val="00B87996"/>
    <w:rsid w:val="00B911F6"/>
    <w:rsid w:val="00B97CB6"/>
    <w:rsid w:val="00BB146F"/>
    <w:rsid w:val="00BB49CD"/>
    <w:rsid w:val="00BB4DC0"/>
    <w:rsid w:val="00BD2066"/>
    <w:rsid w:val="00BD5B4F"/>
    <w:rsid w:val="00BD6490"/>
    <w:rsid w:val="00BD7345"/>
    <w:rsid w:val="00BE162E"/>
    <w:rsid w:val="00BE2953"/>
    <w:rsid w:val="00BE5007"/>
    <w:rsid w:val="00BE5509"/>
    <w:rsid w:val="00BF511B"/>
    <w:rsid w:val="00BF6977"/>
    <w:rsid w:val="00C0063E"/>
    <w:rsid w:val="00C06008"/>
    <w:rsid w:val="00C3055B"/>
    <w:rsid w:val="00C552BD"/>
    <w:rsid w:val="00C556D7"/>
    <w:rsid w:val="00C56420"/>
    <w:rsid w:val="00C5653F"/>
    <w:rsid w:val="00C61139"/>
    <w:rsid w:val="00C65DC7"/>
    <w:rsid w:val="00C76811"/>
    <w:rsid w:val="00C82773"/>
    <w:rsid w:val="00C83B43"/>
    <w:rsid w:val="00C8548D"/>
    <w:rsid w:val="00C85A1E"/>
    <w:rsid w:val="00C85A70"/>
    <w:rsid w:val="00C8792A"/>
    <w:rsid w:val="00C94F90"/>
    <w:rsid w:val="00CA3D9B"/>
    <w:rsid w:val="00CE2ADF"/>
    <w:rsid w:val="00CE4D79"/>
    <w:rsid w:val="00CE5A19"/>
    <w:rsid w:val="00CE6B1E"/>
    <w:rsid w:val="00CF00AA"/>
    <w:rsid w:val="00CF04AF"/>
    <w:rsid w:val="00CF5BE5"/>
    <w:rsid w:val="00D0226E"/>
    <w:rsid w:val="00D23AB9"/>
    <w:rsid w:val="00D2543C"/>
    <w:rsid w:val="00D26E70"/>
    <w:rsid w:val="00D30BCC"/>
    <w:rsid w:val="00D35425"/>
    <w:rsid w:val="00D35506"/>
    <w:rsid w:val="00D4143A"/>
    <w:rsid w:val="00D41BD9"/>
    <w:rsid w:val="00D428D3"/>
    <w:rsid w:val="00D436BE"/>
    <w:rsid w:val="00D45B3E"/>
    <w:rsid w:val="00D46F17"/>
    <w:rsid w:val="00D6111C"/>
    <w:rsid w:val="00D62442"/>
    <w:rsid w:val="00D708A8"/>
    <w:rsid w:val="00D804E6"/>
    <w:rsid w:val="00D81756"/>
    <w:rsid w:val="00D81AD8"/>
    <w:rsid w:val="00D905B2"/>
    <w:rsid w:val="00D93008"/>
    <w:rsid w:val="00DA04DC"/>
    <w:rsid w:val="00DA0A17"/>
    <w:rsid w:val="00DA1B95"/>
    <w:rsid w:val="00DA35C9"/>
    <w:rsid w:val="00DA5910"/>
    <w:rsid w:val="00DB0821"/>
    <w:rsid w:val="00DB1E2F"/>
    <w:rsid w:val="00DC554F"/>
    <w:rsid w:val="00DC57D2"/>
    <w:rsid w:val="00DD3299"/>
    <w:rsid w:val="00DD5250"/>
    <w:rsid w:val="00DD7230"/>
    <w:rsid w:val="00DE7840"/>
    <w:rsid w:val="00DF264E"/>
    <w:rsid w:val="00DF40E7"/>
    <w:rsid w:val="00DF4F59"/>
    <w:rsid w:val="00DF6400"/>
    <w:rsid w:val="00DF6B91"/>
    <w:rsid w:val="00E006C0"/>
    <w:rsid w:val="00E058D9"/>
    <w:rsid w:val="00E10F48"/>
    <w:rsid w:val="00E232BD"/>
    <w:rsid w:val="00E3307A"/>
    <w:rsid w:val="00E360CE"/>
    <w:rsid w:val="00E507E5"/>
    <w:rsid w:val="00E51442"/>
    <w:rsid w:val="00E56A8B"/>
    <w:rsid w:val="00E63413"/>
    <w:rsid w:val="00E65469"/>
    <w:rsid w:val="00E70839"/>
    <w:rsid w:val="00E72AA4"/>
    <w:rsid w:val="00E81599"/>
    <w:rsid w:val="00E87E06"/>
    <w:rsid w:val="00E96CC5"/>
    <w:rsid w:val="00E97069"/>
    <w:rsid w:val="00EA6189"/>
    <w:rsid w:val="00EB0EF6"/>
    <w:rsid w:val="00EB3EEF"/>
    <w:rsid w:val="00EC5976"/>
    <w:rsid w:val="00EC66ED"/>
    <w:rsid w:val="00ED70F1"/>
    <w:rsid w:val="00EE1A9F"/>
    <w:rsid w:val="00EE2A9E"/>
    <w:rsid w:val="00EE607D"/>
    <w:rsid w:val="00EF2DE8"/>
    <w:rsid w:val="00EF33A3"/>
    <w:rsid w:val="00F07984"/>
    <w:rsid w:val="00F10B08"/>
    <w:rsid w:val="00F151C9"/>
    <w:rsid w:val="00F1676A"/>
    <w:rsid w:val="00F20C67"/>
    <w:rsid w:val="00F272D7"/>
    <w:rsid w:val="00F3075E"/>
    <w:rsid w:val="00F35B30"/>
    <w:rsid w:val="00F42F79"/>
    <w:rsid w:val="00F43313"/>
    <w:rsid w:val="00F4411B"/>
    <w:rsid w:val="00F45366"/>
    <w:rsid w:val="00F554D3"/>
    <w:rsid w:val="00F559CB"/>
    <w:rsid w:val="00F565FD"/>
    <w:rsid w:val="00F572D6"/>
    <w:rsid w:val="00F60073"/>
    <w:rsid w:val="00F61341"/>
    <w:rsid w:val="00F670E9"/>
    <w:rsid w:val="00F701B2"/>
    <w:rsid w:val="00F70D48"/>
    <w:rsid w:val="00F70D4F"/>
    <w:rsid w:val="00F7251A"/>
    <w:rsid w:val="00F836B8"/>
    <w:rsid w:val="00F8437D"/>
    <w:rsid w:val="00F86491"/>
    <w:rsid w:val="00F921FB"/>
    <w:rsid w:val="00F95085"/>
    <w:rsid w:val="00FA60C6"/>
    <w:rsid w:val="00FB0D9B"/>
    <w:rsid w:val="00FB1ADB"/>
    <w:rsid w:val="00FB1F85"/>
    <w:rsid w:val="00FB5999"/>
    <w:rsid w:val="00FC08DC"/>
    <w:rsid w:val="00FD0001"/>
    <w:rsid w:val="00FD59B3"/>
    <w:rsid w:val="00FE04B0"/>
    <w:rsid w:val="00FE4EE2"/>
    <w:rsid w:val="00FE61EB"/>
    <w:rsid w:val="00FF24C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F4D924A1-9BF6-4CB0-BC56-AA1A2B5EA3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0"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70"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next w:val="Normal"/>
    <w:link w:val="Heading1Char"/>
    <w:unhideWhenUsed/>
    <w:qFormat/>
    <w:rsid w:val="00DD7230"/>
    <w:pPr>
      <w:keepNext/>
      <w:keepLines/>
      <w:spacing w:after="234" w:line="268" w:lineRule="auto"/>
      <w:jc w:val="both"/>
      <w:outlineLvl w:val="0"/>
    </w:pPr>
    <w:rPr>
      <w:rFonts w:ascii="Calibri" w:eastAsia="Calibri" w:hAnsi="Calibri" w:cs="Calibri"/>
      <w:b/>
      <w:color w:val="000000"/>
      <w:sz w:val="26"/>
    </w:rPr>
  </w:style>
  <w:style w:type="paragraph" w:styleId="Heading2">
    <w:name w:val="heading 2"/>
    <w:basedOn w:val="Normal"/>
    <w:next w:val="Normal"/>
    <w:link w:val="Heading2Char"/>
    <w:uiPriority w:val="9"/>
    <w:unhideWhenUsed/>
    <w:qFormat/>
    <w:rsid w:val="00DD7230"/>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nhideWhenUsed/>
    <w:qFormat/>
    <w:rsid w:val="00DD7230"/>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iPriority w:val="9"/>
    <w:unhideWhenUsed/>
    <w:qFormat/>
    <w:rsid w:val="00B1467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qFormat/>
    <w:rsid w:val="00526DDB"/>
    <w:pPr>
      <w:autoSpaceDE w:val="0"/>
      <w:autoSpaceDN w:val="0"/>
      <w:spacing w:before="240" w:after="60" w:line="240" w:lineRule="auto"/>
      <w:ind w:left="1872" w:hanging="720"/>
      <w:outlineLvl w:val="4"/>
    </w:pPr>
    <w:rPr>
      <w:rFonts w:ascii="Times New Roman" w:eastAsia="PMingLiU" w:hAnsi="Times New Roman" w:cs="Times New Roman"/>
      <w:sz w:val="18"/>
      <w:szCs w:val="18"/>
    </w:rPr>
  </w:style>
  <w:style w:type="paragraph" w:styleId="Heading6">
    <w:name w:val="heading 6"/>
    <w:basedOn w:val="Normal"/>
    <w:next w:val="Normal"/>
    <w:link w:val="Heading6Char"/>
    <w:uiPriority w:val="9"/>
    <w:unhideWhenUsed/>
    <w:qFormat/>
    <w:rsid w:val="00DD7230"/>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nhideWhenUsed/>
    <w:qFormat/>
    <w:rsid w:val="00DD7230"/>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Heading6"/>
    <w:next w:val="Normal"/>
    <w:link w:val="Heading8Char"/>
    <w:uiPriority w:val="9"/>
    <w:qFormat/>
    <w:rsid w:val="0013458F"/>
    <w:pPr>
      <w:keepLines w:val="0"/>
      <w:tabs>
        <w:tab w:val="num" w:pos="400"/>
        <w:tab w:val="left" w:pos="3686"/>
      </w:tabs>
      <w:spacing w:before="120" w:line="240" w:lineRule="auto"/>
      <w:ind w:left="3686" w:hanging="2126"/>
      <w:jc w:val="both"/>
      <w:outlineLvl w:val="7"/>
    </w:pPr>
    <w:rPr>
      <w:rFonts w:ascii="Arial" w:eastAsia="Times New Roman" w:hAnsi="Arial" w:cs="Times New Roman"/>
      <w:b/>
      <w:bCs/>
      <w:color w:val="auto"/>
      <w:sz w:val="24"/>
    </w:rPr>
  </w:style>
  <w:style w:type="paragraph" w:styleId="Heading9">
    <w:name w:val="heading 9"/>
    <w:basedOn w:val="Normal"/>
    <w:next w:val="Normal"/>
    <w:link w:val="Heading9Char"/>
    <w:uiPriority w:val="9"/>
    <w:unhideWhenUsed/>
    <w:qFormat/>
    <w:rsid w:val="00B1467F"/>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D7230"/>
    <w:rPr>
      <w:rFonts w:ascii="Calibri" w:eastAsia="Calibri" w:hAnsi="Calibri" w:cs="Calibri"/>
      <w:b/>
      <w:color w:val="000000"/>
      <w:sz w:val="26"/>
    </w:rPr>
  </w:style>
  <w:style w:type="character" w:customStyle="1" w:styleId="Heading2Char">
    <w:name w:val="Heading 2 Char"/>
    <w:basedOn w:val="DefaultParagraphFont"/>
    <w:link w:val="Heading2"/>
    <w:uiPriority w:val="9"/>
    <w:rsid w:val="00DD7230"/>
    <w:rPr>
      <w:rFonts w:asciiTheme="majorHAnsi" w:eastAsiaTheme="majorEastAsia" w:hAnsiTheme="majorHAnsi" w:cstheme="majorBidi"/>
      <w:color w:val="2E74B5" w:themeColor="accent1" w:themeShade="BF"/>
      <w:sz w:val="26"/>
      <w:szCs w:val="26"/>
    </w:rPr>
  </w:style>
  <w:style w:type="character" w:customStyle="1" w:styleId="Heading3Char">
    <w:name w:val="Heading 3 Char"/>
    <w:basedOn w:val="DefaultParagraphFont"/>
    <w:link w:val="Heading3"/>
    <w:rsid w:val="00DD7230"/>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uiPriority w:val="9"/>
    <w:rsid w:val="00B1467F"/>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rsid w:val="00526DDB"/>
    <w:rPr>
      <w:rFonts w:ascii="Times New Roman" w:eastAsia="PMingLiU" w:hAnsi="Times New Roman" w:cs="Times New Roman"/>
      <w:sz w:val="18"/>
      <w:szCs w:val="18"/>
    </w:rPr>
  </w:style>
  <w:style w:type="character" w:customStyle="1" w:styleId="Heading6Char">
    <w:name w:val="Heading 6 Char"/>
    <w:basedOn w:val="DefaultParagraphFont"/>
    <w:link w:val="Heading6"/>
    <w:uiPriority w:val="9"/>
    <w:semiHidden/>
    <w:rsid w:val="00DD7230"/>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rsid w:val="00DD7230"/>
    <w:rPr>
      <w:rFonts w:asciiTheme="majorHAnsi" w:eastAsiaTheme="majorEastAsia" w:hAnsiTheme="majorHAnsi" w:cstheme="majorBidi"/>
      <w:i/>
      <w:iCs/>
      <w:color w:val="1F4D78" w:themeColor="accent1" w:themeShade="7F"/>
    </w:rPr>
  </w:style>
  <w:style w:type="character" w:customStyle="1" w:styleId="Heading9Char">
    <w:name w:val="Heading 9 Char"/>
    <w:basedOn w:val="DefaultParagraphFont"/>
    <w:link w:val="Heading9"/>
    <w:uiPriority w:val="9"/>
    <w:semiHidden/>
    <w:rsid w:val="00B1467F"/>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C556D7"/>
    <w:pPr>
      <w:tabs>
        <w:tab w:val="center" w:pos="4680"/>
        <w:tab w:val="right" w:pos="9360"/>
      </w:tabs>
      <w:spacing w:after="0" w:line="240" w:lineRule="auto"/>
    </w:pPr>
  </w:style>
  <w:style w:type="character" w:customStyle="1" w:styleId="HeaderChar">
    <w:name w:val="Header Char"/>
    <w:basedOn w:val="DefaultParagraphFont"/>
    <w:link w:val="Header"/>
    <w:uiPriority w:val="99"/>
    <w:rsid w:val="00C556D7"/>
  </w:style>
  <w:style w:type="paragraph" w:styleId="Footer">
    <w:name w:val="footer"/>
    <w:basedOn w:val="Normal"/>
    <w:link w:val="FooterChar"/>
    <w:uiPriority w:val="99"/>
    <w:unhideWhenUsed/>
    <w:rsid w:val="00C556D7"/>
    <w:pPr>
      <w:tabs>
        <w:tab w:val="center" w:pos="4680"/>
        <w:tab w:val="right" w:pos="9360"/>
      </w:tabs>
      <w:spacing w:after="0" w:line="240" w:lineRule="auto"/>
    </w:pPr>
  </w:style>
  <w:style w:type="character" w:customStyle="1" w:styleId="FooterChar">
    <w:name w:val="Footer Char"/>
    <w:basedOn w:val="DefaultParagraphFont"/>
    <w:link w:val="Footer"/>
    <w:uiPriority w:val="99"/>
    <w:rsid w:val="00C556D7"/>
  </w:style>
  <w:style w:type="character" w:styleId="Hyperlink">
    <w:name w:val="Hyperlink"/>
    <w:uiPriority w:val="99"/>
    <w:rsid w:val="00E058D9"/>
    <w:rPr>
      <w:rFonts w:cs="Times New Roman"/>
      <w:color w:val="0000FF"/>
      <w:u w:val="single"/>
    </w:rPr>
  </w:style>
  <w:style w:type="paragraph" w:styleId="ListParagraph">
    <w:name w:val="List Paragraph"/>
    <w:basedOn w:val="Normal"/>
    <w:link w:val="ListParagraphChar"/>
    <w:uiPriority w:val="34"/>
    <w:qFormat/>
    <w:rsid w:val="00A71E07"/>
    <w:pPr>
      <w:ind w:left="720"/>
      <w:contextualSpacing/>
    </w:pPr>
  </w:style>
  <w:style w:type="character" w:customStyle="1" w:styleId="ListParagraphChar">
    <w:name w:val="List Paragraph Char"/>
    <w:link w:val="ListParagraph"/>
    <w:uiPriority w:val="34"/>
    <w:rsid w:val="00B1467F"/>
  </w:style>
  <w:style w:type="table" w:customStyle="1" w:styleId="TableGrid">
    <w:name w:val="TableGrid"/>
    <w:rsid w:val="00DD7230"/>
    <w:pPr>
      <w:spacing w:after="0" w:line="240" w:lineRule="auto"/>
      <w:jc w:val="both"/>
    </w:pPr>
    <w:rPr>
      <w:rFonts w:eastAsiaTheme="minorEastAsia"/>
    </w:rPr>
    <w:tblPr>
      <w:tblCellMar>
        <w:top w:w="0" w:type="dxa"/>
        <w:left w:w="0" w:type="dxa"/>
        <w:bottom w:w="0" w:type="dxa"/>
        <w:right w:w="0" w:type="dxa"/>
      </w:tblCellMar>
    </w:tblPr>
  </w:style>
  <w:style w:type="character" w:customStyle="1" w:styleId="apple-converted-space">
    <w:name w:val="apple-converted-space"/>
    <w:basedOn w:val="DefaultParagraphFont"/>
    <w:rsid w:val="008F32A8"/>
  </w:style>
  <w:style w:type="paragraph" w:styleId="BodyText">
    <w:name w:val="Body Text"/>
    <w:basedOn w:val="Normal"/>
    <w:link w:val="BodyTextChar"/>
    <w:qFormat/>
    <w:rsid w:val="00FB5999"/>
    <w:pPr>
      <w:widowControl w:val="0"/>
      <w:spacing w:after="0" w:line="240" w:lineRule="auto"/>
      <w:ind w:left="420"/>
    </w:pPr>
    <w:rPr>
      <w:rFonts w:ascii="Times New Roman" w:eastAsia="Times New Roman" w:hAnsi="Times New Roman"/>
    </w:rPr>
  </w:style>
  <w:style w:type="character" w:customStyle="1" w:styleId="BodyTextChar">
    <w:name w:val="Body Text Char"/>
    <w:basedOn w:val="DefaultParagraphFont"/>
    <w:link w:val="BodyText"/>
    <w:uiPriority w:val="1"/>
    <w:rsid w:val="00FB5999"/>
    <w:rPr>
      <w:rFonts w:ascii="Times New Roman" w:eastAsia="Times New Roman" w:hAnsi="Times New Roman"/>
    </w:rPr>
  </w:style>
  <w:style w:type="character" w:styleId="HTMLTypewriter">
    <w:name w:val="HTML Typewriter"/>
    <w:rsid w:val="00341856"/>
    <w:rPr>
      <w:rFonts w:ascii="Courier New" w:eastAsia="Times New Roman" w:hAnsi="Courier New" w:cs="Courier New"/>
      <w:sz w:val="20"/>
      <w:szCs w:val="20"/>
    </w:rPr>
  </w:style>
  <w:style w:type="paragraph" w:styleId="NormalWeb">
    <w:name w:val="Normal (Web)"/>
    <w:aliases w:val=" Char"/>
    <w:basedOn w:val="Normal"/>
    <w:link w:val="NormalWebChar"/>
    <w:uiPriority w:val="99"/>
    <w:unhideWhenUsed/>
    <w:rsid w:val="00341856"/>
    <w:pPr>
      <w:spacing w:before="100" w:beforeAutospacing="1" w:after="100" w:afterAutospacing="1" w:line="240" w:lineRule="auto"/>
    </w:pPr>
    <w:rPr>
      <w:rFonts w:ascii="Times New Roman" w:eastAsia="Times New Roman" w:hAnsi="Times New Roman" w:cs="Times New Roman"/>
      <w:sz w:val="24"/>
      <w:szCs w:val="24"/>
    </w:rPr>
  </w:style>
  <w:style w:type="character" w:styleId="Strong">
    <w:name w:val="Strong"/>
    <w:qFormat/>
    <w:rsid w:val="00341856"/>
    <w:rPr>
      <w:b/>
      <w:bCs/>
    </w:rPr>
  </w:style>
  <w:style w:type="character" w:customStyle="1" w:styleId="a">
    <w:name w:val="a"/>
    <w:basedOn w:val="DefaultParagraphFont"/>
    <w:rsid w:val="00341856"/>
  </w:style>
  <w:style w:type="character" w:customStyle="1" w:styleId="l6">
    <w:name w:val="l6"/>
    <w:basedOn w:val="DefaultParagraphFont"/>
    <w:rsid w:val="00341856"/>
  </w:style>
  <w:style w:type="character" w:customStyle="1" w:styleId="st">
    <w:name w:val="st"/>
    <w:basedOn w:val="DefaultParagraphFont"/>
    <w:rsid w:val="00341856"/>
  </w:style>
  <w:style w:type="character" w:styleId="Emphasis">
    <w:name w:val="Emphasis"/>
    <w:qFormat/>
    <w:rsid w:val="00341856"/>
    <w:rPr>
      <w:i/>
      <w:iCs/>
    </w:rPr>
  </w:style>
  <w:style w:type="paragraph" w:styleId="HTMLPreformatted">
    <w:name w:val="HTML Preformatted"/>
    <w:basedOn w:val="Normal"/>
    <w:link w:val="HTMLPreformattedChar"/>
    <w:uiPriority w:val="99"/>
    <w:rsid w:val="0034185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color w:val="000000"/>
      <w:sz w:val="20"/>
      <w:szCs w:val="20"/>
    </w:rPr>
  </w:style>
  <w:style w:type="character" w:customStyle="1" w:styleId="HTMLPreformattedChar">
    <w:name w:val="HTML Preformatted Char"/>
    <w:basedOn w:val="DefaultParagraphFont"/>
    <w:link w:val="HTMLPreformatted"/>
    <w:uiPriority w:val="99"/>
    <w:rsid w:val="00341856"/>
    <w:rPr>
      <w:rFonts w:ascii="Courier New" w:eastAsia="Times New Roman" w:hAnsi="Courier New" w:cs="Courier New"/>
      <w:color w:val="000000"/>
      <w:sz w:val="20"/>
      <w:szCs w:val="20"/>
    </w:rPr>
  </w:style>
  <w:style w:type="paragraph" w:styleId="Bibliography">
    <w:name w:val="Bibliography"/>
    <w:basedOn w:val="Normal"/>
    <w:next w:val="Normal"/>
    <w:uiPriority w:val="70"/>
    <w:semiHidden/>
    <w:unhideWhenUsed/>
    <w:rsid w:val="00F35B30"/>
    <w:pPr>
      <w:widowControl w:val="0"/>
      <w:spacing w:after="0" w:line="240" w:lineRule="auto"/>
      <w:jc w:val="both"/>
    </w:pPr>
    <w:rPr>
      <w:rFonts w:eastAsiaTheme="minorEastAsia"/>
      <w:kern w:val="2"/>
      <w:sz w:val="21"/>
      <w:szCs w:val="21"/>
      <w:lang w:eastAsia="zh-CN"/>
    </w:rPr>
  </w:style>
  <w:style w:type="paragraph" w:customStyle="1" w:styleId="02-SciencePG-Paper-title">
    <w:name w:val="02-SciencePG-Paper-title"/>
    <w:basedOn w:val="Normal"/>
    <w:uiPriority w:val="99"/>
    <w:qFormat/>
    <w:rsid w:val="00F35B30"/>
    <w:pPr>
      <w:widowControl w:val="0"/>
      <w:adjustRightInd w:val="0"/>
      <w:snapToGrid w:val="0"/>
      <w:spacing w:before="240" w:after="240" w:line="400" w:lineRule="exact"/>
    </w:pPr>
    <w:rPr>
      <w:rFonts w:ascii="Arial" w:eastAsia="Arial" w:hAnsi="Arial" w:cs="Arial"/>
      <w:b/>
      <w:bCs/>
      <w:kern w:val="2"/>
      <w:sz w:val="36"/>
      <w:szCs w:val="36"/>
      <w:lang w:val="en-GB" w:eastAsia="zh-CN"/>
    </w:rPr>
  </w:style>
  <w:style w:type="paragraph" w:customStyle="1" w:styleId="04-SciencePG-Author">
    <w:name w:val="04-SciencePG-Author"/>
    <w:basedOn w:val="Normal"/>
    <w:uiPriority w:val="99"/>
    <w:qFormat/>
    <w:rsid w:val="00F35B30"/>
    <w:pPr>
      <w:widowControl w:val="0"/>
      <w:adjustRightInd w:val="0"/>
      <w:snapToGrid w:val="0"/>
      <w:spacing w:before="240" w:line="280" w:lineRule="exact"/>
    </w:pPr>
    <w:rPr>
      <w:rFonts w:ascii="Times New Roman" w:eastAsia="Arial" w:hAnsi="Times New Roman"/>
      <w:b/>
      <w:kern w:val="2"/>
      <w:sz w:val="24"/>
      <w:szCs w:val="24"/>
      <w:lang w:val="en-GB" w:eastAsia="zh-CN"/>
    </w:rPr>
  </w:style>
  <w:style w:type="paragraph" w:customStyle="1" w:styleId="05-SciencePG-Affiliation">
    <w:name w:val="05-SciencePG-Affiliation"/>
    <w:basedOn w:val="Normal"/>
    <w:uiPriority w:val="99"/>
    <w:qFormat/>
    <w:rsid w:val="00F35B30"/>
    <w:pPr>
      <w:widowControl w:val="0"/>
      <w:adjustRightInd w:val="0"/>
      <w:snapToGrid w:val="0"/>
      <w:spacing w:after="0" w:line="240" w:lineRule="exact"/>
      <w:ind w:left="50" w:hangingChars="50" w:hanging="50"/>
    </w:pPr>
    <w:rPr>
      <w:rFonts w:ascii="Times New Roman" w:eastAsia="Times New Roman" w:hAnsi="Times New Roman"/>
      <w:kern w:val="2"/>
      <w:sz w:val="18"/>
      <w:szCs w:val="18"/>
      <w:lang w:val="en-GB" w:eastAsia="zh-CN"/>
    </w:rPr>
  </w:style>
  <w:style w:type="paragraph" w:customStyle="1" w:styleId="06-SciencePG-Email-address">
    <w:name w:val="06-SciencePG-Email-address"/>
    <w:basedOn w:val="Normal"/>
    <w:uiPriority w:val="99"/>
    <w:qFormat/>
    <w:rsid w:val="00F35B30"/>
    <w:pPr>
      <w:widowControl w:val="0"/>
      <w:adjustRightInd w:val="0"/>
      <w:snapToGrid w:val="0"/>
      <w:spacing w:before="160" w:after="0" w:line="240" w:lineRule="exact"/>
    </w:pPr>
    <w:rPr>
      <w:rFonts w:ascii="Times New Roman" w:eastAsia="Times New Roman" w:hAnsi="Times New Roman"/>
      <w:b/>
      <w:kern w:val="2"/>
      <w:sz w:val="24"/>
      <w:szCs w:val="21"/>
      <w:lang w:eastAsia="zh-CN"/>
    </w:rPr>
  </w:style>
  <w:style w:type="paragraph" w:customStyle="1" w:styleId="07-SciencePG-Email-address-content">
    <w:name w:val="07-SciencePG-Email-address-content"/>
    <w:basedOn w:val="Normal"/>
    <w:uiPriority w:val="99"/>
    <w:qFormat/>
    <w:rsid w:val="00F35B30"/>
    <w:pPr>
      <w:widowControl w:val="0"/>
      <w:adjustRightInd w:val="0"/>
      <w:snapToGrid w:val="0"/>
      <w:spacing w:after="0" w:line="240" w:lineRule="exact"/>
    </w:pPr>
    <w:rPr>
      <w:rFonts w:ascii="Times New Roman" w:eastAsia="Times New Roman" w:hAnsi="Times New Roman"/>
      <w:kern w:val="2"/>
      <w:sz w:val="18"/>
      <w:szCs w:val="18"/>
      <w:lang w:eastAsia="zh-CN"/>
    </w:rPr>
  </w:style>
  <w:style w:type="paragraph" w:customStyle="1" w:styleId="08-SciencePG-To-cite-this-article">
    <w:name w:val="08-SciencePG-To-cite-this-article"/>
    <w:basedOn w:val="Normal"/>
    <w:uiPriority w:val="99"/>
    <w:qFormat/>
    <w:rsid w:val="00F35B30"/>
    <w:pPr>
      <w:widowControl w:val="0"/>
      <w:adjustRightInd w:val="0"/>
      <w:snapToGrid w:val="0"/>
      <w:spacing w:before="160" w:after="0" w:line="240" w:lineRule="exact"/>
    </w:pPr>
    <w:rPr>
      <w:rFonts w:ascii="Times New Roman" w:eastAsia="Times New Roman" w:hAnsi="Times New Roman"/>
      <w:b/>
      <w:kern w:val="2"/>
      <w:sz w:val="24"/>
      <w:szCs w:val="21"/>
      <w:lang w:eastAsia="zh-CN"/>
    </w:rPr>
  </w:style>
  <w:style w:type="paragraph" w:customStyle="1" w:styleId="09-SciencePG-To-cite-this-article-content">
    <w:name w:val="09-SciencePG-To-cite-this-article-content"/>
    <w:basedOn w:val="Normal"/>
    <w:uiPriority w:val="99"/>
    <w:qFormat/>
    <w:rsid w:val="00F35B30"/>
    <w:pPr>
      <w:widowControl w:val="0"/>
      <w:adjustRightInd w:val="0"/>
      <w:snapToGrid w:val="0"/>
      <w:spacing w:after="0" w:line="240" w:lineRule="exact"/>
    </w:pPr>
    <w:rPr>
      <w:rFonts w:ascii="Times New Roman" w:eastAsia="Times New Roman" w:hAnsi="Times New Roman"/>
      <w:kern w:val="2"/>
      <w:sz w:val="18"/>
      <w:szCs w:val="18"/>
      <w:lang w:val="en-GB" w:eastAsia="zh-CN"/>
    </w:rPr>
  </w:style>
  <w:style w:type="paragraph" w:customStyle="1" w:styleId="11-SciencePG-Abstract-content">
    <w:name w:val="11-SciencePG-Abstract-content"/>
    <w:basedOn w:val="Normal"/>
    <w:qFormat/>
    <w:rsid w:val="00F35B30"/>
    <w:pPr>
      <w:widowControl w:val="0"/>
      <w:adjustRightInd w:val="0"/>
      <w:snapToGrid w:val="0"/>
      <w:spacing w:after="0" w:line="240" w:lineRule="exact"/>
      <w:jc w:val="both"/>
    </w:pPr>
    <w:rPr>
      <w:rFonts w:ascii="Times New Roman" w:eastAsia="Times New Roman" w:hAnsi="Times New Roman"/>
      <w:kern w:val="2"/>
      <w:sz w:val="20"/>
      <w:szCs w:val="20"/>
      <w:lang w:eastAsia="zh-CN"/>
    </w:rPr>
  </w:style>
  <w:style w:type="paragraph" w:customStyle="1" w:styleId="13-SciencePG-Keywords-content">
    <w:name w:val="13-SciencePG-Keywords-content"/>
    <w:basedOn w:val="Normal"/>
    <w:uiPriority w:val="99"/>
    <w:qFormat/>
    <w:rsid w:val="00F35B30"/>
    <w:pPr>
      <w:widowControl w:val="0"/>
      <w:adjustRightInd w:val="0"/>
      <w:snapToGrid w:val="0"/>
      <w:spacing w:before="160" w:line="240" w:lineRule="exact"/>
      <w:ind w:left="500" w:hangingChars="500" w:hanging="500"/>
    </w:pPr>
    <w:rPr>
      <w:rFonts w:ascii="Times New Roman" w:eastAsia="Times New Roman" w:hAnsi="Times New Roman"/>
      <w:kern w:val="2"/>
      <w:sz w:val="20"/>
      <w:szCs w:val="20"/>
      <w:lang w:eastAsia="zh-CN"/>
    </w:rPr>
  </w:style>
  <w:style w:type="paragraph" w:customStyle="1" w:styleId="14-SciencePG-Level1-single-line">
    <w:name w:val="14-SciencePG-Level1-single-line"/>
    <w:basedOn w:val="Normal"/>
    <w:qFormat/>
    <w:rsid w:val="00F35B30"/>
    <w:pPr>
      <w:widowControl w:val="0"/>
      <w:adjustRightInd w:val="0"/>
      <w:snapToGrid w:val="0"/>
      <w:spacing w:before="320" w:line="240" w:lineRule="exact"/>
    </w:pPr>
    <w:rPr>
      <w:rFonts w:ascii="Times New Roman" w:eastAsia="Times New Roman" w:hAnsi="Times New Roman"/>
      <w:b/>
      <w:kern w:val="2"/>
      <w:sz w:val="28"/>
      <w:szCs w:val="28"/>
      <w:lang w:eastAsia="zh-CN"/>
    </w:rPr>
  </w:style>
  <w:style w:type="paragraph" w:customStyle="1" w:styleId="20-SciencePG-Text">
    <w:name w:val="20-SciencePG-Text"/>
    <w:basedOn w:val="Normal"/>
    <w:qFormat/>
    <w:rsid w:val="00F35B30"/>
    <w:pPr>
      <w:widowControl w:val="0"/>
      <w:adjustRightInd w:val="0"/>
      <w:snapToGrid w:val="0"/>
      <w:spacing w:after="0" w:line="240" w:lineRule="exact"/>
      <w:ind w:firstLineChars="100" w:firstLine="100"/>
      <w:jc w:val="both"/>
    </w:pPr>
    <w:rPr>
      <w:rFonts w:ascii="Times New Roman" w:eastAsia="Times New Roman" w:hAnsi="Times New Roman"/>
      <w:kern w:val="2"/>
      <w:sz w:val="20"/>
      <w:szCs w:val="20"/>
      <w:lang w:eastAsia="zh-CN"/>
    </w:rPr>
  </w:style>
  <w:style w:type="paragraph" w:customStyle="1" w:styleId="21-SciencePG-Figure">
    <w:name w:val="21-SciencePG-Figure"/>
    <w:basedOn w:val="Normal"/>
    <w:uiPriority w:val="99"/>
    <w:qFormat/>
    <w:rsid w:val="00F35B30"/>
    <w:pPr>
      <w:widowControl w:val="0"/>
      <w:adjustRightInd w:val="0"/>
      <w:snapToGrid w:val="0"/>
      <w:spacing w:before="200" w:after="100" w:line="240" w:lineRule="auto"/>
      <w:jc w:val="center"/>
    </w:pPr>
    <w:rPr>
      <w:rFonts w:eastAsia="Times New Roman"/>
      <w:noProof/>
      <w:kern w:val="2"/>
      <w:sz w:val="24"/>
      <w:szCs w:val="21"/>
      <w:lang w:eastAsia="zh-CN"/>
    </w:rPr>
  </w:style>
  <w:style w:type="paragraph" w:customStyle="1" w:styleId="23-SciencePG-Figure-caption-multiple-lines">
    <w:name w:val="23-SciencePG-Figure-caption-multiple-lines"/>
    <w:basedOn w:val="Normal"/>
    <w:uiPriority w:val="99"/>
    <w:qFormat/>
    <w:rsid w:val="00F35B30"/>
    <w:pPr>
      <w:widowControl w:val="0"/>
      <w:adjustRightInd w:val="0"/>
      <w:snapToGrid w:val="0"/>
      <w:spacing w:before="100" w:after="200" w:line="200" w:lineRule="exact"/>
      <w:jc w:val="both"/>
    </w:pPr>
    <w:rPr>
      <w:rFonts w:ascii="Times New Roman" w:eastAsia="Times New Roman" w:hAnsi="Times New Roman"/>
      <w:i/>
      <w:kern w:val="2"/>
      <w:sz w:val="16"/>
      <w:szCs w:val="16"/>
      <w:lang w:eastAsia="zh-CN"/>
    </w:rPr>
  </w:style>
  <w:style w:type="paragraph" w:customStyle="1" w:styleId="24-SciencePG-Table-caption-single-line">
    <w:name w:val="24-SciencePG-Table-caption-single-line"/>
    <w:basedOn w:val="Normal"/>
    <w:qFormat/>
    <w:rsid w:val="00F35B30"/>
    <w:pPr>
      <w:widowControl w:val="0"/>
      <w:tabs>
        <w:tab w:val="left" w:pos="4680"/>
      </w:tabs>
      <w:adjustRightInd w:val="0"/>
      <w:snapToGrid w:val="0"/>
      <w:spacing w:before="200" w:after="100" w:line="200" w:lineRule="exact"/>
      <w:jc w:val="center"/>
    </w:pPr>
    <w:rPr>
      <w:rFonts w:ascii="Times New Roman" w:eastAsia="Times New Roman" w:hAnsi="Times New Roman"/>
      <w:i/>
      <w:kern w:val="2"/>
      <w:sz w:val="16"/>
      <w:szCs w:val="16"/>
      <w:lang w:eastAsia="zh-CN"/>
    </w:rPr>
  </w:style>
  <w:style w:type="paragraph" w:customStyle="1" w:styleId="27-SciencePG-Formula">
    <w:name w:val="27-SciencePG-Formula"/>
    <w:basedOn w:val="Normal"/>
    <w:uiPriority w:val="99"/>
    <w:qFormat/>
    <w:rsid w:val="00F35B30"/>
    <w:pPr>
      <w:widowControl w:val="0"/>
      <w:adjustRightInd w:val="0"/>
      <w:snapToGrid w:val="0"/>
      <w:spacing w:before="160" w:line="240" w:lineRule="auto"/>
      <w:jc w:val="right"/>
    </w:pPr>
    <w:rPr>
      <w:rFonts w:ascii="Times New Roman" w:eastAsia="Times New Roman" w:hAnsi="Times New Roman"/>
      <w:kern w:val="2"/>
      <w:sz w:val="20"/>
      <w:szCs w:val="20"/>
      <w:lang w:eastAsia="zh-CN"/>
    </w:rPr>
  </w:style>
  <w:style w:type="paragraph" w:customStyle="1" w:styleId="28-SciencePG-Table-head">
    <w:name w:val="28*-SciencePG-Table-head"/>
    <w:basedOn w:val="Normal"/>
    <w:qFormat/>
    <w:rsid w:val="00F35B30"/>
    <w:pPr>
      <w:widowControl w:val="0"/>
      <w:tabs>
        <w:tab w:val="left" w:pos="4680"/>
      </w:tabs>
      <w:adjustRightInd w:val="0"/>
      <w:snapToGrid w:val="0"/>
      <w:spacing w:after="0" w:line="200" w:lineRule="exact"/>
    </w:pPr>
    <w:rPr>
      <w:rFonts w:ascii="Times New Roman" w:eastAsia="Times New Roman" w:hAnsi="Times New Roman"/>
      <w:b/>
      <w:kern w:val="2"/>
      <w:sz w:val="16"/>
      <w:szCs w:val="21"/>
      <w:lang w:eastAsia="zh-CN"/>
    </w:rPr>
  </w:style>
  <w:style w:type="paragraph" w:customStyle="1" w:styleId="28-SciencePG-Table-text">
    <w:name w:val="28-SciencePG-Table-text"/>
    <w:basedOn w:val="20-SciencePG-Text"/>
    <w:qFormat/>
    <w:rsid w:val="00F35B30"/>
    <w:pPr>
      <w:spacing w:line="200" w:lineRule="exact"/>
      <w:ind w:firstLineChars="0" w:firstLine="0"/>
      <w:jc w:val="left"/>
    </w:pPr>
    <w:rPr>
      <w:sz w:val="16"/>
      <w:szCs w:val="18"/>
      <w:lang w:val="en-GB"/>
    </w:rPr>
  </w:style>
  <w:style w:type="paragraph" w:customStyle="1" w:styleId="33-SciencePG-ReferencesReferences">
    <w:name w:val="33-SciencePG-References (References)"/>
    <w:basedOn w:val="Normal"/>
    <w:uiPriority w:val="99"/>
    <w:qFormat/>
    <w:rsid w:val="00F35B30"/>
    <w:pPr>
      <w:widowControl w:val="0"/>
      <w:adjustRightInd w:val="0"/>
      <w:snapToGrid w:val="0"/>
      <w:spacing w:before="120" w:line="240" w:lineRule="exact"/>
    </w:pPr>
    <w:rPr>
      <w:rFonts w:ascii="Times New Roman" w:eastAsia="Times New Roman" w:hAnsi="Times New Roman"/>
      <w:b/>
      <w:kern w:val="2"/>
      <w:sz w:val="28"/>
      <w:szCs w:val="28"/>
      <w:lang w:eastAsia="zh-CN"/>
    </w:rPr>
  </w:style>
  <w:style w:type="paragraph" w:customStyle="1" w:styleId="34-SciencePG-References-content">
    <w:name w:val="34-SciencePG-References-content"/>
    <w:basedOn w:val="Normal"/>
    <w:uiPriority w:val="99"/>
    <w:qFormat/>
    <w:rsid w:val="00F35B30"/>
    <w:pPr>
      <w:widowControl w:val="0"/>
      <w:numPr>
        <w:numId w:val="1"/>
      </w:numPr>
      <w:adjustRightInd w:val="0"/>
      <w:snapToGrid w:val="0"/>
      <w:spacing w:line="200" w:lineRule="exact"/>
      <w:jc w:val="both"/>
    </w:pPr>
    <w:rPr>
      <w:rFonts w:ascii="Times New Roman" w:eastAsia="Times New Roman" w:hAnsi="Times New Roman"/>
      <w:kern w:val="2"/>
      <w:sz w:val="18"/>
      <w:szCs w:val="18"/>
      <w:lang w:eastAsia="zh-CN"/>
    </w:rPr>
  </w:style>
  <w:style w:type="paragraph" w:customStyle="1" w:styleId="38-SciencePG-line03">
    <w:name w:val="38-SciencePG-line03"/>
    <w:basedOn w:val="Normal"/>
    <w:uiPriority w:val="99"/>
    <w:qFormat/>
    <w:rsid w:val="00F35B30"/>
    <w:pPr>
      <w:widowControl w:val="0"/>
      <w:adjustRightInd w:val="0"/>
      <w:snapToGrid w:val="0"/>
      <w:spacing w:before="160" w:after="80" w:line="240" w:lineRule="exact"/>
      <w:jc w:val="both"/>
    </w:pPr>
    <w:rPr>
      <w:rFonts w:ascii="Arial" w:eastAsia="Times New Roman" w:hAnsi="Arial" w:cs="Arial"/>
      <w:b/>
      <w:kern w:val="2"/>
      <w:szCs w:val="21"/>
      <w:lang w:eastAsia="zh-CN"/>
    </w:rPr>
  </w:style>
  <w:style w:type="paragraph" w:customStyle="1" w:styleId="39-SciencePG-line04">
    <w:name w:val="39-SciencePG-line04"/>
    <w:basedOn w:val="Normal"/>
    <w:uiPriority w:val="99"/>
    <w:qFormat/>
    <w:rsid w:val="00F35B30"/>
    <w:pPr>
      <w:widowControl w:val="0"/>
      <w:adjustRightInd w:val="0"/>
      <w:snapToGrid w:val="0"/>
      <w:spacing w:line="240" w:lineRule="exact"/>
      <w:jc w:val="both"/>
    </w:pPr>
    <w:rPr>
      <w:rFonts w:ascii="Arial" w:eastAsia="Times New Roman" w:hAnsi="Arial" w:cs="Arial"/>
      <w:b/>
      <w:kern w:val="2"/>
      <w:szCs w:val="21"/>
      <w:lang w:eastAsia="zh-CN"/>
    </w:rPr>
  </w:style>
  <w:style w:type="paragraph" w:customStyle="1" w:styleId="40-SciencePG-line05">
    <w:name w:val="40-SciencePG-line05"/>
    <w:basedOn w:val="Normal"/>
    <w:uiPriority w:val="99"/>
    <w:qFormat/>
    <w:rsid w:val="00F35B30"/>
    <w:pPr>
      <w:widowControl w:val="0"/>
      <w:adjustRightInd w:val="0"/>
      <w:snapToGrid w:val="0"/>
      <w:spacing w:before="160" w:after="0" w:line="240" w:lineRule="exact"/>
      <w:jc w:val="both"/>
    </w:pPr>
    <w:rPr>
      <w:rFonts w:ascii="Times New Roman" w:eastAsiaTheme="minorEastAsia" w:hAnsi="Times New Roman"/>
      <w:b/>
      <w:kern w:val="2"/>
      <w:szCs w:val="21"/>
      <w:lang w:eastAsia="zh-CN"/>
    </w:rPr>
  </w:style>
  <w:style w:type="paragraph" w:customStyle="1" w:styleId="Pa0">
    <w:name w:val="Pa0"/>
    <w:basedOn w:val="Normal"/>
    <w:next w:val="Normal"/>
    <w:uiPriority w:val="99"/>
    <w:rsid w:val="00F35B30"/>
    <w:pPr>
      <w:autoSpaceDE w:val="0"/>
      <w:autoSpaceDN w:val="0"/>
      <w:adjustRightInd w:val="0"/>
      <w:spacing w:after="0" w:line="201" w:lineRule="atLeast"/>
    </w:pPr>
    <w:rPr>
      <w:rFonts w:ascii="Times New Roman" w:eastAsia="Calibri" w:hAnsi="Times New Roman" w:cs="Times New Roman"/>
      <w:sz w:val="24"/>
      <w:szCs w:val="24"/>
    </w:rPr>
  </w:style>
  <w:style w:type="paragraph" w:customStyle="1" w:styleId="Default">
    <w:name w:val="Default"/>
    <w:link w:val="DefaultChar"/>
    <w:qFormat/>
    <w:rsid w:val="00F35B30"/>
    <w:pPr>
      <w:autoSpaceDE w:val="0"/>
      <w:autoSpaceDN w:val="0"/>
      <w:adjustRightInd w:val="0"/>
      <w:spacing w:after="0" w:line="240" w:lineRule="auto"/>
    </w:pPr>
    <w:rPr>
      <w:rFonts w:ascii="Times New Roman" w:eastAsia="Calibri" w:hAnsi="Times New Roman" w:cs="Times New Roman"/>
      <w:color w:val="000000"/>
      <w:sz w:val="24"/>
      <w:szCs w:val="24"/>
    </w:rPr>
  </w:style>
  <w:style w:type="character" w:customStyle="1" w:styleId="10-SciencePG-Abstract">
    <w:name w:val="10-SciencePG-Abstract"/>
    <w:uiPriority w:val="1"/>
    <w:qFormat/>
    <w:rsid w:val="00F35B30"/>
    <w:rPr>
      <w:rFonts w:ascii="Times New Roman" w:eastAsia="Times New Roman" w:hAnsi="Times New Roman" w:cs="Times New Roman" w:hint="default"/>
      <w:b/>
      <w:bCs w:val="0"/>
      <w:sz w:val="24"/>
      <w:szCs w:val="24"/>
    </w:rPr>
  </w:style>
  <w:style w:type="character" w:customStyle="1" w:styleId="12-SciencePG-Keywords">
    <w:name w:val="12-SciencePG-Keywords"/>
    <w:uiPriority w:val="1"/>
    <w:qFormat/>
    <w:rsid w:val="00F35B30"/>
    <w:rPr>
      <w:rFonts w:ascii="Times New Roman" w:eastAsia="Times New Roman" w:hAnsi="Times New Roman" w:cs="Times New Roman" w:hint="default"/>
      <w:b/>
      <w:bCs w:val="0"/>
      <w:sz w:val="24"/>
      <w:szCs w:val="24"/>
    </w:rPr>
  </w:style>
  <w:style w:type="character" w:customStyle="1" w:styleId="normalii">
    <w:name w:val="normalii"/>
    <w:basedOn w:val="DefaultParagraphFont"/>
    <w:rsid w:val="00F35B30"/>
  </w:style>
  <w:style w:type="character" w:customStyle="1" w:styleId="CommentTextChar">
    <w:name w:val="Comment Text Char"/>
    <w:basedOn w:val="DefaultParagraphFont"/>
    <w:link w:val="CommentText"/>
    <w:uiPriority w:val="99"/>
    <w:semiHidden/>
    <w:rsid w:val="00F35B30"/>
    <w:rPr>
      <w:sz w:val="20"/>
      <w:szCs w:val="20"/>
      <w:lang w:val="en-GB"/>
    </w:rPr>
  </w:style>
  <w:style w:type="paragraph" w:styleId="CommentText">
    <w:name w:val="annotation text"/>
    <w:basedOn w:val="Normal"/>
    <w:link w:val="CommentTextChar"/>
    <w:uiPriority w:val="99"/>
    <w:semiHidden/>
    <w:unhideWhenUsed/>
    <w:rsid w:val="00F35B30"/>
    <w:pPr>
      <w:spacing w:after="200" w:line="240" w:lineRule="auto"/>
    </w:pPr>
    <w:rPr>
      <w:sz w:val="20"/>
      <w:szCs w:val="20"/>
      <w:lang w:val="en-GB"/>
    </w:rPr>
  </w:style>
  <w:style w:type="character" w:customStyle="1" w:styleId="CommentTextChar1">
    <w:name w:val="Comment Text Char1"/>
    <w:basedOn w:val="DefaultParagraphFont"/>
    <w:uiPriority w:val="99"/>
    <w:semiHidden/>
    <w:rsid w:val="00F35B30"/>
    <w:rPr>
      <w:sz w:val="20"/>
      <w:szCs w:val="20"/>
    </w:rPr>
  </w:style>
  <w:style w:type="character" w:customStyle="1" w:styleId="BalloonTextChar">
    <w:name w:val="Balloon Text Char"/>
    <w:basedOn w:val="DefaultParagraphFont"/>
    <w:link w:val="BalloonText"/>
    <w:uiPriority w:val="99"/>
    <w:rsid w:val="00F35B30"/>
    <w:rPr>
      <w:rFonts w:ascii="Tahoma" w:hAnsi="Tahoma" w:cs="Tahoma"/>
      <w:sz w:val="16"/>
      <w:szCs w:val="16"/>
      <w:lang w:val="en-GB"/>
    </w:rPr>
  </w:style>
  <w:style w:type="paragraph" w:styleId="BalloonText">
    <w:name w:val="Balloon Text"/>
    <w:basedOn w:val="Normal"/>
    <w:link w:val="BalloonTextChar"/>
    <w:uiPriority w:val="99"/>
    <w:unhideWhenUsed/>
    <w:rsid w:val="00F35B30"/>
    <w:pPr>
      <w:spacing w:after="0" w:line="240" w:lineRule="auto"/>
    </w:pPr>
    <w:rPr>
      <w:rFonts w:ascii="Tahoma" w:hAnsi="Tahoma" w:cs="Tahoma"/>
      <w:sz w:val="16"/>
      <w:szCs w:val="16"/>
      <w:lang w:val="en-GB"/>
    </w:rPr>
  </w:style>
  <w:style w:type="character" w:customStyle="1" w:styleId="BalloonTextChar1">
    <w:name w:val="Balloon Text Char1"/>
    <w:basedOn w:val="DefaultParagraphFont"/>
    <w:uiPriority w:val="99"/>
    <w:semiHidden/>
    <w:rsid w:val="00F35B30"/>
    <w:rPr>
      <w:rFonts w:ascii="Segoe UI" w:hAnsi="Segoe UI" w:cs="Segoe UI"/>
      <w:sz w:val="18"/>
      <w:szCs w:val="18"/>
    </w:rPr>
  </w:style>
  <w:style w:type="character" w:styleId="PlaceholderText">
    <w:name w:val="Placeholder Text"/>
    <w:basedOn w:val="DefaultParagraphFont"/>
    <w:uiPriority w:val="99"/>
    <w:semiHidden/>
    <w:rsid w:val="00F35B30"/>
    <w:rPr>
      <w:color w:val="808080"/>
    </w:rPr>
  </w:style>
  <w:style w:type="table" w:styleId="ListTable6Colorful-Accent3">
    <w:name w:val="List Table 6 Colorful Accent 3"/>
    <w:basedOn w:val="TableNormal"/>
    <w:uiPriority w:val="51"/>
    <w:rsid w:val="00F35B30"/>
    <w:pPr>
      <w:spacing w:after="0" w:line="240" w:lineRule="auto"/>
    </w:pPr>
    <w:rPr>
      <w:color w:val="7B7B7B" w:themeColor="accent3" w:themeShade="BF"/>
    </w:rPr>
    <w:tblPr>
      <w:tblStyleRowBandSize w:val="1"/>
      <w:tblStyleColBandSize w:val="1"/>
      <w:tblBorders>
        <w:top w:val="single" w:sz="4" w:space="0" w:color="A5A5A5" w:themeColor="accent3"/>
        <w:bottom w:val="single" w:sz="4" w:space="0" w:color="A5A5A5" w:themeColor="accent3"/>
      </w:tblBorders>
    </w:tblPr>
    <w:tblStylePr w:type="firstRow">
      <w:rPr>
        <w:b/>
        <w:bCs/>
      </w:rPr>
      <w:tblPr/>
      <w:tcPr>
        <w:tcBorders>
          <w:bottom w:val="single" w:sz="4" w:space="0" w:color="A5A5A5" w:themeColor="accent3"/>
        </w:tcBorders>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TableGrid0">
    <w:name w:val="Table Grid"/>
    <w:basedOn w:val="TableNormal"/>
    <w:rsid w:val="00F35B30"/>
    <w:pPr>
      <w:spacing w:after="0" w:line="240" w:lineRule="auto"/>
    </w:pPr>
    <w:rPr>
      <w:lang w:val="en-GB"/>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44-SciencePG-Text-before-8-pounds">
    <w:name w:val="44-SciencePG-Text-before-8-pounds"/>
    <w:basedOn w:val="20-SciencePG-Text"/>
    <w:qFormat/>
    <w:rsid w:val="00F35B30"/>
    <w:pPr>
      <w:spacing w:before="160"/>
    </w:pPr>
  </w:style>
  <w:style w:type="paragraph" w:styleId="NoSpacing">
    <w:name w:val="No Spacing"/>
    <w:link w:val="NoSpacingChar"/>
    <w:uiPriority w:val="1"/>
    <w:qFormat/>
    <w:rsid w:val="00EE607D"/>
    <w:pPr>
      <w:spacing w:after="0" w:line="240" w:lineRule="auto"/>
    </w:pPr>
  </w:style>
  <w:style w:type="character" w:styleId="PageNumber">
    <w:name w:val="page number"/>
    <w:basedOn w:val="DefaultParagraphFont"/>
    <w:rsid w:val="00141FEF"/>
    <w:rPr>
      <w:rFonts w:cs="Times New Roman"/>
    </w:rPr>
  </w:style>
  <w:style w:type="character" w:customStyle="1" w:styleId="MapleInput">
    <w:name w:val="Maple Input"/>
    <w:uiPriority w:val="99"/>
    <w:rsid w:val="00141FEF"/>
    <w:rPr>
      <w:rFonts w:ascii="Courier New" w:hAnsi="Courier New"/>
      <w:b/>
      <w:color w:val="FF0000"/>
    </w:rPr>
  </w:style>
  <w:style w:type="paragraph" w:styleId="FootnoteText">
    <w:name w:val="footnote text"/>
    <w:basedOn w:val="Normal"/>
    <w:link w:val="FootnoteTextChar"/>
    <w:rsid w:val="00141FEF"/>
    <w:pPr>
      <w:spacing w:after="0" w:line="240" w:lineRule="auto"/>
    </w:pPr>
    <w:rPr>
      <w:rFonts w:ascii="Times New Roman" w:eastAsia="Times New Roman" w:hAnsi="Times New Roman" w:cs="Times New Roman"/>
      <w:sz w:val="20"/>
      <w:szCs w:val="20"/>
      <w:lang w:val="tr-TR" w:eastAsia="tr-TR"/>
    </w:rPr>
  </w:style>
  <w:style w:type="character" w:customStyle="1" w:styleId="FootnoteTextChar">
    <w:name w:val="Footnote Text Char"/>
    <w:basedOn w:val="DefaultParagraphFont"/>
    <w:link w:val="FootnoteText"/>
    <w:rsid w:val="00141FEF"/>
    <w:rPr>
      <w:rFonts w:ascii="Times New Roman" w:eastAsia="Times New Roman" w:hAnsi="Times New Roman" w:cs="Times New Roman"/>
      <w:sz w:val="20"/>
      <w:szCs w:val="20"/>
      <w:lang w:val="tr-TR" w:eastAsia="tr-TR"/>
    </w:rPr>
  </w:style>
  <w:style w:type="paragraph" w:customStyle="1" w:styleId="MapleOutput">
    <w:name w:val="Maple Output"/>
    <w:next w:val="Normal"/>
    <w:uiPriority w:val="99"/>
    <w:rsid w:val="00141FEF"/>
    <w:pPr>
      <w:autoSpaceDE w:val="0"/>
      <w:autoSpaceDN w:val="0"/>
      <w:adjustRightInd w:val="0"/>
      <w:spacing w:after="0" w:line="360" w:lineRule="auto"/>
      <w:jc w:val="center"/>
    </w:pPr>
    <w:rPr>
      <w:rFonts w:ascii="Times New Roman" w:eastAsia="Times New Roman" w:hAnsi="Times New Roman" w:cs="Times New Roman"/>
      <w:color w:val="000000"/>
      <w:sz w:val="24"/>
      <w:szCs w:val="24"/>
      <w:lang w:eastAsia="tr-TR"/>
    </w:rPr>
  </w:style>
  <w:style w:type="character" w:customStyle="1" w:styleId="apple-style-span">
    <w:name w:val="apple-style-span"/>
    <w:basedOn w:val="DefaultParagraphFont"/>
    <w:rsid w:val="00141FEF"/>
    <w:rPr>
      <w:rFonts w:cs="Times New Roman"/>
    </w:rPr>
  </w:style>
  <w:style w:type="character" w:styleId="SubtleEmphasis">
    <w:name w:val="Subtle Emphasis"/>
    <w:basedOn w:val="DefaultParagraphFont"/>
    <w:uiPriority w:val="19"/>
    <w:qFormat/>
    <w:rsid w:val="00B1467F"/>
    <w:rPr>
      <w:i/>
      <w:iCs/>
      <w:color w:val="404040" w:themeColor="text1" w:themeTint="BF"/>
    </w:rPr>
  </w:style>
  <w:style w:type="paragraph" w:styleId="BodyTextIndent">
    <w:name w:val="Body Text Indent"/>
    <w:basedOn w:val="Normal"/>
    <w:link w:val="BodyTextIndentChar"/>
    <w:unhideWhenUsed/>
    <w:rsid w:val="001A6572"/>
    <w:pPr>
      <w:spacing w:after="120"/>
      <w:ind w:left="360"/>
    </w:pPr>
  </w:style>
  <w:style w:type="character" w:customStyle="1" w:styleId="BodyTextIndentChar">
    <w:name w:val="Body Text Indent Char"/>
    <w:basedOn w:val="DefaultParagraphFont"/>
    <w:link w:val="BodyTextIndent"/>
    <w:rsid w:val="001A6572"/>
  </w:style>
  <w:style w:type="character" w:customStyle="1" w:styleId="kejjeyrkwrd1">
    <w:name w:val="kejjeyrkwrd1"/>
    <w:basedOn w:val="DefaultParagraphFont"/>
    <w:rsid w:val="00DA0A17"/>
  </w:style>
  <w:style w:type="paragraph" w:customStyle="1" w:styleId="ME1">
    <w:name w:val="ME甲信越支部アウトライン1"/>
    <w:basedOn w:val="Normal"/>
    <w:next w:val="Normal"/>
    <w:rsid w:val="00DA0A17"/>
    <w:pPr>
      <w:widowControl w:val="0"/>
      <w:numPr>
        <w:numId w:val="2"/>
      </w:numPr>
      <w:tabs>
        <w:tab w:val="clear" w:pos="400"/>
        <w:tab w:val="num" w:pos="504"/>
      </w:tabs>
      <w:spacing w:before="57" w:after="57" w:line="240" w:lineRule="auto"/>
      <w:ind w:left="403" w:hanging="403"/>
      <w:jc w:val="both"/>
    </w:pPr>
    <w:rPr>
      <w:rFonts w:ascii="Times New Roman" w:eastAsia="MS Mincho" w:hAnsi="Times New Roman" w:cs="Times New Roman"/>
      <w:b/>
      <w:kern w:val="2"/>
      <w:sz w:val="20"/>
      <w:szCs w:val="20"/>
      <w:lang w:eastAsia="ja-JP"/>
    </w:rPr>
  </w:style>
  <w:style w:type="paragraph" w:customStyle="1" w:styleId="ME1-2">
    <w:name w:val="ME甲信越支部アウトライン1-2"/>
    <w:basedOn w:val="Normal"/>
    <w:next w:val="Normal"/>
    <w:rsid w:val="00DA0A17"/>
    <w:pPr>
      <w:widowControl w:val="0"/>
      <w:numPr>
        <w:ilvl w:val="1"/>
        <w:numId w:val="2"/>
      </w:numPr>
      <w:tabs>
        <w:tab w:val="clear" w:pos="1000"/>
        <w:tab w:val="num" w:pos="504"/>
      </w:tabs>
      <w:spacing w:after="0" w:line="240" w:lineRule="auto"/>
      <w:ind w:left="240" w:hangingChars="240" w:hanging="240"/>
      <w:jc w:val="both"/>
    </w:pPr>
    <w:rPr>
      <w:rFonts w:ascii="Times New Roman" w:eastAsia="MS Mincho" w:hAnsi="Times New Roman" w:cs="Times New Roman"/>
      <w:kern w:val="2"/>
      <w:sz w:val="20"/>
      <w:szCs w:val="20"/>
      <w:lang w:eastAsia="ja-JP"/>
    </w:rPr>
  </w:style>
  <w:style w:type="character" w:customStyle="1" w:styleId="st1">
    <w:name w:val="st1"/>
    <w:basedOn w:val="DefaultParagraphFont"/>
    <w:rsid w:val="00DA0A17"/>
  </w:style>
  <w:style w:type="paragraph" w:styleId="PlainText">
    <w:name w:val="Plain Text"/>
    <w:basedOn w:val="Normal"/>
    <w:link w:val="PlainTextChar"/>
    <w:rsid w:val="00DA0A17"/>
    <w:pPr>
      <w:widowControl w:val="0"/>
      <w:spacing w:after="0" w:line="240" w:lineRule="auto"/>
      <w:jc w:val="both"/>
    </w:pPr>
    <w:rPr>
      <w:rFonts w:ascii="MS Mincho" w:eastAsia="MS Mincho" w:hAnsi="Courier New" w:cs="Times New Roman"/>
      <w:kern w:val="2"/>
      <w:sz w:val="21"/>
      <w:szCs w:val="20"/>
      <w:lang w:eastAsia="ja-JP"/>
    </w:rPr>
  </w:style>
  <w:style w:type="character" w:customStyle="1" w:styleId="PlainTextChar">
    <w:name w:val="Plain Text Char"/>
    <w:basedOn w:val="DefaultParagraphFont"/>
    <w:link w:val="PlainText"/>
    <w:rsid w:val="00DA0A17"/>
    <w:rPr>
      <w:rFonts w:ascii="MS Mincho" w:eastAsia="MS Mincho" w:hAnsi="Courier New" w:cs="Times New Roman"/>
      <w:kern w:val="2"/>
      <w:sz w:val="21"/>
      <w:szCs w:val="20"/>
      <w:lang w:eastAsia="ja-JP"/>
    </w:rPr>
  </w:style>
  <w:style w:type="paragraph" w:customStyle="1" w:styleId="SAP19-Level1HeadingMulti-line">
    <w:name w:val="SAP19-Level 1 Heading Multi-line"/>
    <w:qFormat/>
    <w:rsid w:val="00DA0A17"/>
    <w:pPr>
      <w:spacing w:before="468" w:after="156" w:line="240" w:lineRule="exact"/>
      <w:ind w:left="100" w:hangingChars="100" w:hanging="100"/>
      <w:outlineLvl w:val="0"/>
    </w:pPr>
    <w:rPr>
      <w:rFonts w:ascii="Times New Roman" w:eastAsia="Times New Roman" w:hAnsi="Times New Roman" w:cs="Times New Roman"/>
      <w:b/>
      <w:sz w:val="28"/>
      <w:szCs w:val="24"/>
      <w:lang w:val="en-AU" w:eastAsia="zh-CN"/>
    </w:rPr>
  </w:style>
  <w:style w:type="character" w:customStyle="1" w:styleId="SAP10-ParagraphChar">
    <w:name w:val="SAP10-Paragraph Char"/>
    <w:basedOn w:val="DefaultParagraphFont"/>
    <w:link w:val="SAP10-Paragraph"/>
    <w:locked/>
    <w:rsid w:val="00DA0A17"/>
    <w:rPr>
      <w:rFonts w:ascii="Times New Roman" w:eastAsia="Times New Roman" w:hAnsi="Times New Roman" w:cs="Times New Roman"/>
      <w:sz w:val="20"/>
      <w:szCs w:val="24"/>
      <w:lang w:val="en-AU"/>
    </w:rPr>
  </w:style>
  <w:style w:type="paragraph" w:customStyle="1" w:styleId="SAP10-Paragraph">
    <w:name w:val="SAP10-Paragraph"/>
    <w:link w:val="SAP10-ParagraphChar"/>
    <w:rsid w:val="00DA0A17"/>
    <w:pPr>
      <w:adjustRightInd w:val="0"/>
      <w:snapToGrid w:val="0"/>
      <w:spacing w:after="0" w:line="240" w:lineRule="exact"/>
      <w:ind w:firstLineChars="100" w:firstLine="100"/>
      <w:jc w:val="both"/>
    </w:pPr>
    <w:rPr>
      <w:rFonts w:ascii="Times New Roman" w:eastAsia="Times New Roman" w:hAnsi="Times New Roman" w:cs="Times New Roman"/>
      <w:sz w:val="20"/>
      <w:szCs w:val="24"/>
      <w:lang w:val="en-AU"/>
    </w:rPr>
  </w:style>
  <w:style w:type="paragraph" w:customStyle="1" w:styleId="references">
    <w:name w:val="references"/>
    <w:rsid w:val="00DA0A17"/>
    <w:pPr>
      <w:numPr>
        <w:numId w:val="3"/>
      </w:numPr>
      <w:spacing w:after="50" w:line="180" w:lineRule="exact"/>
      <w:jc w:val="both"/>
    </w:pPr>
    <w:rPr>
      <w:rFonts w:ascii="Times New Roman" w:eastAsia="MS Mincho" w:hAnsi="Times New Roman" w:cs="Times New Roman"/>
      <w:noProof/>
      <w:sz w:val="16"/>
      <w:szCs w:val="16"/>
    </w:rPr>
  </w:style>
  <w:style w:type="character" w:customStyle="1" w:styleId="invnum">
    <w:name w:val="inv_num"/>
    <w:basedOn w:val="DefaultParagraphFont"/>
    <w:rsid w:val="00DA0A17"/>
  </w:style>
  <w:style w:type="paragraph" w:customStyle="1" w:styleId="keywords">
    <w:name w:val="key words"/>
    <w:rsid w:val="00737C93"/>
    <w:pPr>
      <w:suppressAutoHyphens/>
      <w:spacing w:after="120" w:line="240" w:lineRule="auto"/>
      <w:ind w:firstLine="288"/>
      <w:jc w:val="both"/>
    </w:pPr>
    <w:rPr>
      <w:rFonts w:ascii="Times New Roman" w:eastAsia="SimSun" w:hAnsi="Times New Roman" w:cs="Times New Roman"/>
      <w:b/>
      <w:bCs/>
      <w:iCs/>
      <w:sz w:val="18"/>
      <w:szCs w:val="18"/>
    </w:rPr>
  </w:style>
  <w:style w:type="character" w:customStyle="1" w:styleId="A1">
    <w:name w:val="A1"/>
    <w:uiPriority w:val="99"/>
    <w:rsid w:val="00747EB9"/>
    <w:rPr>
      <w:b/>
      <w:bCs/>
      <w:color w:val="000000"/>
      <w:sz w:val="20"/>
      <w:szCs w:val="20"/>
    </w:rPr>
  </w:style>
  <w:style w:type="character" w:customStyle="1" w:styleId="A2">
    <w:name w:val="A2"/>
    <w:uiPriority w:val="99"/>
    <w:rsid w:val="00747EB9"/>
    <w:rPr>
      <w:b/>
      <w:bCs/>
      <w:color w:val="000000"/>
      <w:sz w:val="11"/>
      <w:szCs w:val="11"/>
    </w:rPr>
  </w:style>
  <w:style w:type="paragraph" w:styleId="BodyText2">
    <w:name w:val="Body Text 2"/>
    <w:basedOn w:val="Normal"/>
    <w:link w:val="BodyText2Char"/>
    <w:unhideWhenUsed/>
    <w:rsid w:val="00F272D7"/>
    <w:pPr>
      <w:spacing w:after="120" w:line="480" w:lineRule="auto"/>
    </w:pPr>
  </w:style>
  <w:style w:type="character" w:customStyle="1" w:styleId="BodyText2Char">
    <w:name w:val="Body Text 2 Char"/>
    <w:basedOn w:val="DefaultParagraphFont"/>
    <w:link w:val="BodyText2"/>
    <w:uiPriority w:val="99"/>
    <w:semiHidden/>
    <w:rsid w:val="00F272D7"/>
  </w:style>
  <w:style w:type="character" w:customStyle="1" w:styleId="fn">
    <w:name w:val="fn"/>
    <w:basedOn w:val="DefaultParagraphFont"/>
    <w:rsid w:val="00F272D7"/>
  </w:style>
  <w:style w:type="paragraph" w:customStyle="1" w:styleId="a0">
    <w:name w:val=".."/>
    <w:basedOn w:val="Normal"/>
    <w:next w:val="Normal"/>
    <w:uiPriority w:val="99"/>
    <w:rsid w:val="00C0063E"/>
    <w:pPr>
      <w:autoSpaceDE w:val="0"/>
      <w:autoSpaceDN w:val="0"/>
      <w:adjustRightInd w:val="0"/>
      <w:spacing w:after="0" w:line="240" w:lineRule="auto"/>
    </w:pPr>
    <w:rPr>
      <w:rFonts w:ascii="Arial" w:hAnsi="Arial" w:cs="Arial"/>
      <w:sz w:val="24"/>
      <w:szCs w:val="24"/>
    </w:rPr>
  </w:style>
  <w:style w:type="paragraph" w:customStyle="1" w:styleId="TableParagraph">
    <w:name w:val="Table Paragraph"/>
    <w:basedOn w:val="Normal"/>
    <w:uiPriority w:val="1"/>
    <w:qFormat/>
    <w:rsid w:val="0031228A"/>
    <w:pPr>
      <w:widowControl w:val="0"/>
      <w:spacing w:after="0" w:line="193" w:lineRule="exact"/>
      <w:ind w:left="119"/>
    </w:pPr>
    <w:rPr>
      <w:rFonts w:ascii="PMingLiU" w:eastAsia="PMingLiU" w:hAnsi="PMingLiU" w:cs="PMingLiU"/>
    </w:rPr>
  </w:style>
  <w:style w:type="character" w:customStyle="1" w:styleId="texhtml">
    <w:name w:val="texhtml"/>
    <w:basedOn w:val="DefaultParagraphFont"/>
    <w:rsid w:val="00423F98"/>
  </w:style>
  <w:style w:type="character" w:customStyle="1" w:styleId="nowrap">
    <w:name w:val="nowrap"/>
    <w:basedOn w:val="DefaultParagraphFont"/>
    <w:rsid w:val="00423F98"/>
  </w:style>
  <w:style w:type="paragraph" w:styleId="Subtitle">
    <w:name w:val="Subtitle"/>
    <w:basedOn w:val="Normal"/>
    <w:next w:val="Normal"/>
    <w:link w:val="SubtitleChar"/>
    <w:uiPriority w:val="11"/>
    <w:qFormat/>
    <w:rsid w:val="009456F6"/>
    <w:pPr>
      <w:spacing w:before="200" w:after="900" w:line="240" w:lineRule="auto"/>
      <w:jc w:val="right"/>
    </w:pPr>
    <w:rPr>
      <w:i/>
      <w:iCs/>
      <w:sz w:val="24"/>
      <w:szCs w:val="24"/>
      <w:lang w:bidi="en-US"/>
    </w:rPr>
  </w:style>
  <w:style w:type="character" w:customStyle="1" w:styleId="SubtitleChar">
    <w:name w:val="Subtitle Char"/>
    <w:basedOn w:val="DefaultParagraphFont"/>
    <w:link w:val="Subtitle"/>
    <w:uiPriority w:val="11"/>
    <w:rsid w:val="009456F6"/>
    <w:rPr>
      <w:i/>
      <w:iCs/>
      <w:sz w:val="24"/>
      <w:szCs w:val="24"/>
      <w:lang w:bidi="en-US"/>
    </w:rPr>
  </w:style>
  <w:style w:type="numbering" w:customStyle="1" w:styleId="BulletBig">
    <w:name w:val="Bullet Big"/>
    <w:rsid w:val="00615CD5"/>
    <w:pPr>
      <w:numPr>
        <w:numId w:val="4"/>
      </w:numPr>
    </w:pPr>
  </w:style>
  <w:style w:type="numbering" w:customStyle="1" w:styleId="Numbered">
    <w:name w:val="Numbered"/>
    <w:rsid w:val="00615CD5"/>
    <w:pPr>
      <w:numPr>
        <w:numId w:val="5"/>
      </w:numPr>
    </w:pPr>
  </w:style>
  <w:style w:type="paragraph" w:styleId="Caption">
    <w:name w:val="caption"/>
    <w:basedOn w:val="Normal"/>
    <w:next w:val="Normal"/>
    <w:qFormat/>
    <w:rsid w:val="0056762B"/>
    <w:pPr>
      <w:spacing w:after="0" w:line="240" w:lineRule="auto"/>
      <w:jc w:val="both"/>
    </w:pPr>
    <w:rPr>
      <w:rFonts w:ascii="Times New Roman" w:eastAsia="Times New Roman" w:hAnsi="Times New Roman" w:cs="Times New Roman"/>
      <w:b/>
      <w:bCs/>
      <w:kern w:val="24"/>
      <w:szCs w:val="24"/>
    </w:rPr>
  </w:style>
  <w:style w:type="character" w:styleId="CommentReference">
    <w:name w:val="annotation reference"/>
    <w:uiPriority w:val="99"/>
    <w:semiHidden/>
    <w:unhideWhenUsed/>
    <w:rsid w:val="00D46F17"/>
    <w:rPr>
      <w:sz w:val="16"/>
      <w:szCs w:val="16"/>
    </w:rPr>
  </w:style>
  <w:style w:type="paragraph" w:styleId="CommentSubject">
    <w:name w:val="annotation subject"/>
    <w:basedOn w:val="CommentText"/>
    <w:next w:val="CommentText"/>
    <w:link w:val="CommentSubjectChar"/>
    <w:uiPriority w:val="99"/>
    <w:semiHidden/>
    <w:unhideWhenUsed/>
    <w:rsid w:val="00D46F17"/>
    <w:pPr>
      <w:spacing w:after="160"/>
    </w:pPr>
    <w:rPr>
      <w:b/>
      <w:bCs/>
      <w:lang w:val="en-US"/>
    </w:rPr>
  </w:style>
  <w:style w:type="character" w:customStyle="1" w:styleId="CommentSubjectChar">
    <w:name w:val="Comment Subject Char"/>
    <w:basedOn w:val="CommentTextChar"/>
    <w:link w:val="CommentSubject"/>
    <w:uiPriority w:val="99"/>
    <w:semiHidden/>
    <w:rsid w:val="00D46F17"/>
    <w:rPr>
      <w:b/>
      <w:bCs/>
      <w:sz w:val="20"/>
      <w:szCs w:val="20"/>
      <w:lang w:val="en-GB"/>
    </w:rPr>
  </w:style>
  <w:style w:type="character" w:styleId="FootnoteReference">
    <w:name w:val="footnote reference"/>
    <w:basedOn w:val="DefaultParagraphFont"/>
    <w:unhideWhenUsed/>
    <w:rsid w:val="00D35506"/>
    <w:rPr>
      <w:vertAlign w:val="superscript"/>
    </w:rPr>
  </w:style>
  <w:style w:type="character" w:customStyle="1" w:styleId="hlfld-title2">
    <w:name w:val="hlfld-title2"/>
    <w:basedOn w:val="DefaultParagraphFont"/>
    <w:rsid w:val="006A2AEA"/>
  </w:style>
  <w:style w:type="character" w:customStyle="1" w:styleId="hlfld-contribauthor">
    <w:name w:val="hlfld-contribauthor"/>
    <w:basedOn w:val="DefaultParagraphFont"/>
    <w:rsid w:val="006A2AEA"/>
  </w:style>
  <w:style w:type="character" w:customStyle="1" w:styleId="nlmx">
    <w:name w:val="nlm_x"/>
    <w:basedOn w:val="DefaultParagraphFont"/>
    <w:rsid w:val="006A2AEA"/>
  </w:style>
  <w:style w:type="paragraph" w:customStyle="1" w:styleId="ListParagraph1">
    <w:name w:val="List Paragraph1"/>
    <w:basedOn w:val="Normal"/>
    <w:rsid w:val="007F06C3"/>
    <w:pPr>
      <w:spacing w:after="200" w:line="276" w:lineRule="auto"/>
      <w:ind w:left="720"/>
    </w:pPr>
    <w:rPr>
      <w:rFonts w:ascii="Calibri" w:eastAsia="Calibri" w:hAnsi="Calibri" w:cs="Times New Roman"/>
      <w:lang w:val="ru-RU" w:eastAsia="ru-RU"/>
    </w:rPr>
  </w:style>
  <w:style w:type="character" w:customStyle="1" w:styleId="Heading8Char">
    <w:name w:val="Heading 8 Char"/>
    <w:basedOn w:val="DefaultParagraphFont"/>
    <w:link w:val="Heading8"/>
    <w:uiPriority w:val="9"/>
    <w:rsid w:val="0013458F"/>
    <w:rPr>
      <w:rFonts w:ascii="Arial" w:eastAsia="Times New Roman" w:hAnsi="Arial" w:cs="Times New Roman"/>
      <w:b/>
      <w:bCs/>
      <w:sz w:val="24"/>
    </w:rPr>
  </w:style>
  <w:style w:type="character" w:customStyle="1" w:styleId="textssecondarysummary">
    <w:name w:val="textssecondarysummary"/>
    <w:basedOn w:val="DefaultParagraphFont"/>
    <w:rsid w:val="0013458F"/>
  </w:style>
  <w:style w:type="character" w:customStyle="1" w:styleId="newbody">
    <w:name w:val="newbody"/>
    <w:basedOn w:val="DefaultParagraphFont"/>
    <w:rsid w:val="0013458F"/>
  </w:style>
  <w:style w:type="character" w:customStyle="1" w:styleId="newheadline">
    <w:name w:val="newheadline"/>
    <w:rsid w:val="0013458F"/>
    <w:rPr>
      <w:rFonts w:ascii="Arial" w:hAnsi="Arial" w:cs="Arial"/>
      <w:sz w:val="28"/>
    </w:rPr>
  </w:style>
  <w:style w:type="paragraph" w:styleId="Title">
    <w:name w:val="Title"/>
    <w:basedOn w:val="Normal"/>
    <w:link w:val="TitleChar"/>
    <w:qFormat/>
    <w:rsid w:val="0013458F"/>
    <w:pPr>
      <w:spacing w:after="0" w:line="240" w:lineRule="auto"/>
      <w:jc w:val="center"/>
    </w:pPr>
    <w:rPr>
      <w:rFonts w:ascii="Times New Roman" w:eastAsia="Times New Roman" w:hAnsi="Times New Roman" w:cs="Times New Roman"/>
      <w:b/>
      <w:bCs/>
      <w:sz w:val="28"/>
      <w:szCs w:val="24"/>
      <w:lang w:val="en-GB"/>
    </w:rPr>
  </w:style>
  <w:style w:type="character" w:customStyle="1" w:styleId="TitleChar">
    <w:name w:val="Title Char"/>
    <w:basedOn w:val="DefaultParagraphFont"/>
    <w:link w:val="Title"/>
    <w:rsid w:val="0013458F"/>
    <w:rPr>
      <w:rFonts w:ascii="Times New Roman" w:eastAsia="Times New Roman" w:hAnsi="Times New Roman" w:cs="Times New Roman"/>
      <w:b/>
      <w:bCs/>
      <w:sz w:val="28"/>
      <w:szCs w:val="24"/>
      <w:lang w:val="en-GB"/>
    </w:rPr>
  </w:style>
  <w:style w:type="character" w:styleId="FollowedHyperlink">
    <w:name w:val="FollowedHyperlink"/>
    <w:rsid w:val="0013458F"/>
    <w:rPr>
      <w:color w:val="800080"/>
      <w:u w:val="single"/>
    </w:rPr>
  </w:style>
  <w:style w:type="paragraph" w:customStyle="1" w:styleId="Body">
    <w:name w:val="Body"/>
    <w:basedOn w:val="Normal"/>
    <w:rsid w:val="0013458F"/>
    <w:pPr>
      <w:spacing w:before="120" w:after="0" w:line="240" w:lineRule="auto"/>
      <w:ind w:left="709"/>
    </w:pPr>
    <w:rPr>
      <w:rFonts w:ascii="Arial" w:eastAsia="Times New Roman" w:hAnsi="Arial" w:cs="Times New Roman"/>
      <w:sz w:val="20"/>
      <w:szCs w:val="20"/>
      <w:lang w:eastAsia="de-DE"/>
    </w:rPr>
  </w:style>
  <w:style w:type="paragraph" w:customStyle="1" w:styleId="Heading">
    <w:name w:val="Heading"/>
    <w:basedOn w:val="Normal"/>
    <w:next w:val="Normal"/>
    <w:rsid w:val="0013458F"/>
    <w:pPr>
      <w:keepNext/>
      <w:numPr>
        <w:numId w:val="7"/>
      </w:numPr>
      <w:tabs>
        <w:tab w:val="clear" w:pos="1080"/>
      </w:tabs>
      <w:spacing w:before="600" w:after="240" w:line="480" w:lineRule="exact"/>
      <w:ind w:left="0" w:firstLine="0"/>
    </w:pPr>
    <w:rPr>
      <w:rFonts w:ascii="Arial" w:eastAsia="Times New Roman" w:hAnsi="Arial" w:cs="Times New Roman"/>
      <w:b/>
      <w:sz w:val="32"/>
      <w:szCs w:val="20"/>
      <w:lang w:eastAsia="de-DE"/>
    </w:rPr>
  </w:style>
  <w:style w:type="paragraph" w:customStyle="1" w:styleId="CellBody">
    <w:name w:val="CellBody"/>
    <w:basedOn w:val="Normal"/>
    <w:rsid w:val="0013458F"/>
    <w:pPr>
      <w:spacing w:before="40" w:after="20" w:line="240" w:lineRule="auto"/>
      <w:ind w:left="57"/>
    </w:pPr>
    <w:rPr>
      <w:rFonts w:ascii="Arial" w:eastAsia="Times New Roman" w:hAnsi="Arial" w:cs="Times New Roman"/>
      <w:sz w:val="20"/>
      <w:szCs w:val="20"/>
      <w:lang w:eastAsia="de-DE"/>
    </w:rPr>
  </w:style>
  <w:style w:type="paragraph" w:customStyle="1" w:styleId="Hyphen">
    <w:name w:val="Hyphen"/>
    <w:basedOn w:val="CellBody"/>
    <w:rsid w:val="0013458F"/>
    <w:pPr>
      <w:tabs>
        <w:tab w:val="num" w:pos="420"/>
      </w:tabs>
      <w:spacing w:before="0" w:after="0"/>
      <w:ind w:left="420" w:hanging="420"/>
    </w:pPr>
  </w:style>
  <w:style w:type="paragraph" w:customStyle="1" w:styleId="Bullet">
    <w:name w:val="Bullet"/>
    <w:basedOn w:val="CellBody"/>
    <w:rsid w:val="0013458F"/>
    <w:pPr>
      <w:numPr>
        <w:numId w:val="15"/>
      </w:numPr>
      <w:tabs>
        <w:tab w:val="clear" w:pos="777"/>
        <w:tab w:val="num" w:pos="1134"/>
      </w:tabs>
      <w:spacing w:before="60" w:after="0"/>
      <w:ind w:left="1135" w:hanging="284"/>
    </w:pPr>
  </w:style>
  <w:style w:type="paragraph" w:customStyle="1" w:styleId="Text1">
    <w:name w:val="Text1"/>
    <w:basedOn w:val="Hyphen"/>
    <w:rsid w:val="0013458F"/>
    <w:pPr>
      <w:numPr>
        <w:numId w:val="8"/>
      </w:numPr>
      <w:tabs>
        <w:tab w:val="clear" w:pos="360"/>
      </w:tabs>
      <w:ind w:left="720" w:firstLine="0"/>
    </w:pPr>
  </w:style>
  <w:style w:type="paragraph" w:customStyle="1" w:styleId="Text2">
    <w:name w:val="Text2"/>
    <w:basedOn w:val="Hyphen"/>
    <w:rsid w:val="0013458F"/>
    <w:pPr>
      <w:tabs>
        <w:tab w:val="clear" w:pos="420"/>
      </w:tabs>
      <w:ind w:left="720" w:firstLine="0"/>
    </w:pPr>
  </w:style>
  <w:style w:type="paragraph" w:customStyle="1" w:styleId="Bullet1">
    <w:name w:val="Bullet1"/>
    <w:basedOn w:val="Bullet"/>
    <w:rsid w:val="0013458F"/>
    <w:pPr>
      <w:numPr>
        <w:numId w:val="0"/>
      </w:numPr>
      <w:tabs>
        <w:tab w:val="num" w:pos="400"/>
      </w:tabs>
      <w:ind w:left="400" w:hanging="400"/>
    </w:pPr>
  </w:style>
  <w:style w:type="paragraph" w:customStyle="1" w:styleId="Text3">
    <w:name w:val="Text3"/>
    <w:basedOn w:val="Text2"/>
    <w:rsid w:val="0013458F"/>
    <w:pPr>
      <w:ind w:left="1350" w:hanging="630"/>
    </w:pPr>
  </w:style>
  <w:style w:type="paragraph" w:customStyle="1" w:styleId="Text4">
    <w:name w:val="Text4"/>
    <w:basedOn w:val="Text3"/>
    <w:rsid w:val="0013458F"/>
    <w:pPr>
      <w:ind w:left="1440" w:firstLine="0"/>
    </w:pPr>
  </w:style>
  <w:style w:type="paragraph" w:customStyle="1" w:styleId="Rule">
    <w:name w:val="Rule"/>
    <w:basedOn w:val="Body"/>
    <w:rsid w:val="0013458F"/>
    <w:pPr>
      <w:numPr>
        <w:numId w:val="9"/>
      </w:numPr>
      <w:tabs>
        <w:tab w:val="clear" w:pos="360"/>
      </w:tabs>
      <w:ind w:left="1152" w:hanging="432"/>
    </w:pPr>
  </w:style>
  <w:style w:type="paragraph" w:customStyle="1" w:styleId="Reference">
    <w:name w:val="Reference"/>
    <w:basedOn w:val="Body"/>
    <w:rsid w:val="0013458F"/>
    <w:pPr>
      <w:numPr>
        <w:numId w:val="4"/>
      </w:numPr>
      <w:tabs>
        <w:tab w:val="left" w:pos="1260"/>
        <w:tab w:val="left" w:pos="2970"/>
      </w:tabs>
      <w:jc w:val="both"/>
    </w:pPr>
  </w:style>
  <w:style w:type="paragraph" w:customStyle="1" w:styleId="DocumentTitle">
    <w:name w:val="Document Title"/>
    <w:basedOn w:val="Normal"/>
    <w:rsid w:val="0013458F"/>
    <w:pPr>
      <w:spacing w:before="120" w:after="120" w:line="240" w:lineRule="auto"/>
      <w:ind w:right="57"/>
      <w:jc w:val="center"/>
    </w:pPr>
    <w:rPr>
      <w:rFonts w:ascii="Arial" w:eastAsia="Times New Roman" w:hAnsi="Arial" w:cs="Times New Roman"/>
      <w:sz w:val="56"/>
      <w:szCs w:val="20"/>
      <w:lang w:val="de-DE" w:eastAsia="de-DE"/>
    </w:rPr>
  </w:style>
  <w:style w:type="paragraph" w:customStyle="1" w:styleId="CellHeading">
    <w:name w:val="CellHeading"/>
    <w:basedOn w:val="Normal"/>
    <w:rsid w:val="0013458F"/>
    <w:pPr>
      <w:tabs>
        <w:tab w:val="left" w:pos="3856"/>
        <w:tab w:val="left" w:pos="5103"/>
        <w:tab w:val="left" w:pos="6407"/>
        <w:tab w:val="left" w:pos="7711"/>
        <w:tab w:val="left" w:pos="8959"/>
      </w:tabs>
      <w:spacing w:before="60" w:after="20" w:line="240" w:lineRule="exact"/>
      <w:ind w:left="170" w:right="227"/>
    </w:pPr>
    <w:rPr>
      <w:rFonts w:ascii="Helvetica" w:eastAsia="Times New Roman" w:hAnsi="Helvetica" w:cs="Times New Roman"/>
      <w:b/>
      <w:sz w:val="20"/>
      <w:szCs w:val="20"/>
      <w:lang w:eastAsia="de-DE"/>
    </w:rPr>
  </w:style>
  <w:style w:type="paragraph" w:customStyle="1" w:styleId="RuleHeader">
    <w:name w:val="RuleHeader"/>
    <w:basedOn w:val="Rule"/>
    <w:rsid w:val="0013458F"/>
    <w:rPr>
      <w:b/>
    </w:rPr>
  </w:style>
  <w:style w:type="paragraph" w:customStyle="1" w:styleId="BulletIntendent">
    <w:name w:val="Bullet Intendent"/>
    <w:basedOn w:val="ListBullet3"/>
    <w:rsid w:val="0013458F"/>
    <w:pPr>
      <w:numPr>
        <w:numId w:val="0"/>
      </w:numPr>
      <w:tabs>
        <w:tab w:val="num" w:pos="926"/>
      </w:tabs>
      <w:spacing w:before="80" w:after="80" w:line="280" w:lineRule="exact"/>
      <w:ind w:left="926" w:hanging="360"/>
      <w:jc w:val="both"/>
    </w:pPr>
    <w:rPr>
      <w:sz w:val="24"/>
    </w:rPr>
  </w:style>
  <w:style w:type="paragraph" w:styleId="ListBullet3">
    <w:name w:val="List Bullet 3"/>
    <w:basedOn w:val="Normal"/>
    <w:autoRedefine/>
    <w:rsid w:val="0013458F"/>
    <w:pPr>
      <w:numPr>
        <w:numId w:val="10"/>
      </w:numPr>
      <w:tabs>
        <w:tab w:val="clear" w:pos="643"/>
        <w:tab w:val="num" w:pos="926"/>
      </w:tabs>
      <w:spacing w:after="0" w:line="240" w:lineRule="auto"/>
      <w:ind w:left="926"/>
    </w:pPr>
    <w:rPr>
      <w:rFonts w:ascii="Times New Roman" w:eastAsia="Times New Roman" w:hAnsi="Times New Roman" w:cs="Times New Roman"/>
      <w:sz w:val="20"/>
      <w:szCs w:val="20"/>
      <w:lang w:eastAsia="de-DE"/>
    </w:rPr>
  </w:style>
  <w:style w:type="paragraph" w:styleId="ListBullet2">
    <w:name w:val="List Bullet 2"/>
    <w:basedOn w:val="Normal"/>
    <w:autoRedefine/>
    <w:rsid w:val="0013458F"/>
    <w:pPr>
      <w:numPr>
        <w:numId w:val="12"/>
      </w:numPr>
      <w:tabs>
        <w:tab w:val="clear" w:pos="360"/>
        <w:tab w:val="num" w:pos="643"/>
      </w:tabs>
      <w:spacing w:before="80" w:after="80" w:line="280" w:lineRule="exact"/>
      <w:ind w:left="641" w:hanging="357"/>
      <w:jc w:val="both"/>
    </w:pPr>
    <w:rPr>
      <w:rFonts w:ascii="Times New Roman" w:eastAsia="Times New Roman" w:hAnsi="Times New Roman" w:cs="Times New Roman"/>
      <w:sz w:val="24"/>
      <w:szCs w:val="20"/>
      <w:lang w:eastAsia="de-DE"/>
    </w:rPr>
  </w:style>
  <w:style w:type="paragraph" w:styleId="ListBullet">
    <w:name w:val="List Bullet"/>
    <w:basedOn w:val="Normal"/>
    <w:autoRedefine/>
    <w:rsid w:val="0013458F"/>
    <w:pPr>
      <w:numPr>
        <w:numId w:val="13"/>
      </w:numPr>
      <w:tabs>
        <w:tab w:val="clear" w:pos="926"/>
        <w:tab w:val="num" w:pos="360"/>
      </w:tabs>
      <w:spacing w:before="80" w:after="80" w:line="280" w:lineRule="exact"/>
      <w:ind w:left="360"/>
      <w:jc w:val="both"/>
    </w:pPr>
    <w:rPr>
      <w:rFonts w:ascii="Arial" w:eastAsia="Times New Roman" w:hAnsi="Arial" w:cs="Times New Roman"/>
      <w:szCs w:val="20"/>
      <w:lang w:eastAsia="de-DE"/>
    </w:rPr>
  </w:style>
  <w:style w:type="paragraph" w:customStyle="1" w:styleId="BulletIndent">
    <w:name w:val="Bullet Indent"/>
    <w:basedOn w:val="ListBullet3"/>
    <w:rsid w:val="0013458F"/>
    <w:pPr>
      <w:numPr>
        <w:numId w:val="6"/>
      </w:numPr>
      <w:spacing w:before="80" w:after="80" w:line="280" w:lineRule="exact"/>
      <w:jc w:val="both"/>
    </w:pPr>
    <w:rPr>
      <w:rFonts w:ascii="Arial" w:hAnsi="Arial"/>
      <w:sz w:val="22"/>
    </w:rPr>
  </w:style>
  <w:style w:type="paragraph" w:styleId="BodyText3">
    <w:name w:val="Body Text 3"/>
    <w:basedOn w:val="Normal"/>
    <w:link w:val="BodyText3Char"/>
    <w:rsid w:val="0013458F"/>
    <w:pPr>
      <w:numPr>
        <w:numId w:val="11"/>
      </w:numPr>
      <w:tabs>
        <w:tab w:val="clear" w:pos="926"/>
      </w:tabs>
      <w:spacing w:before="240" w:after="240" w:line="280" w:lineRule="exact"/>
      <w:ind w:left="0" w:firstLine="0"/>
    </w:pPr>
    <w:rPr>
      <w:rFonts w:ascii="Times New Roman" w:eastAsia="Times New Roman" w:hAnsi="Times New Roman" w:cs="Times New Roman"/>
      <w:sz w:val="24"/>
      <w:szCs w:val="20"/>
      <w:lang w:eastAsia="de-DE"/>
    </w:rPr>
  </w:style>
  <w:style w:type="character" w:customStyle="1" w:styleId="BodyText3Char">
    <w:name w:val="Body Text 3 Char"/>
    <w:basedOn w:val="DefaultParagraphFont"/>
    <w:link w:val="BodyText3"/>
    <w:rsid w:val="0013458F"/>
    <w:rPr>
      <w:rFonts w:ascii="Times New Roman" w:eastAsia="Times New Roman" w:hAnsi="Times New Roman" w:cs="Times New Roman"/>
      <w:sz w:val="24"/>
      <w:szCs w:val="20"/>
      <w:lang w:eastAsia="de-DE"/>
    </w:rPr>
  </w:style>
  <w:style w:type="paragraph" w:styleId="TOC9">
    <w:name w:val="toc 9"/>
    <w:basedOn w:val="Normal"/>
    <w:next w:val="Normal"/>
    <w:autoRedefine/>
    <w:semiHidden/>
    <w:rsid w:val="0013458F"/>
    <w:pPr>
      <w:spacing w:before="240" w:after="240" w:line="280" w:lineRule="exact"/>
      <w:ind w:left="1920"/>
      <w:jc w:val="both"/>
    </w:pPr>
    <w:rPr>
      <w:rFonts w:ascii="Times New Roman" w:eastAsia="Times New Roman" w:hAnsi="Times New Roman" w:cs="Times New Roman"/>
      <w:sz w:val="24"/>
      <w:szCs w:val="20"/>
      <w:lang w:eastAsia="de-DE"/>
    </w:rPr>
  </w:style>
  <w:style w:type="paragraph" w:customStyle="1" w:styleId="Heading20">
    <w:name w:val="Heading_2"/>
    <w:basedOn w:val="Normal"/>
    <w:rsid w:val="0013458F"/>
    <w:pPr>
      <w:spacing w:before="360" w:after="120" w:line="240" w:lineRule="auto"/>
    </w:pPr>
    <w:rPr>
      <w:rFonts w:ascii="Arial" w:eastAsia="Times New Roman" w:hAnsi="Arial" w:cs="Times New Roman"/>
      <w:b/>
      <w:sz w:val="28"/>
      <w:szCs w:val="20"/>
      <w:lang w:eastAsia="de-DE"/>
    </w:rPr>
  </w:style>
  <w:style w:type="paragraph" w:customStyle="1" w:styleId="Text">
    <w:name w:val="Text"/>
    <w:basedOn w:val="Normal"/>
    <w:rsid w:val="0013458F"/>
    <w:pPr>
      <w:spacing w:before="120" w:after="120" w:line="240" w:lineRule="auto"/>
    </w:pPr>
    <w:rPr>
      <w:rFonts w:ascii="Arial" w:eastAsia="Times New Roman" w:hAnsi="Arial" w:cs="Times New Roman"/>
      <w:szCs w:val="20"/>
      <w:lang w:eastAsia="de-DE"/>
    </w:rPr>
  </w:style>
  <w:style w:type="paragraph" w:customStyle="1" w:styleId="Body1">
    <w:name w:val="Body_1"/>
    <w:basedOn w:val="BulletIntendent"/>
    <w:rsid w:val="0013458F"/>
    <w:pPr>
      <w:jc w:val="left"/>
    </w:pPr>
    <w:rPr>
      <w:rFonts w:ascii="Arial" w:hAnsi="Arial"/>
      <w:sz w:val="22"/>
    </w:rPr>
  </w:style>
  <w:style w:type="paragraph" w:customStyle="1" w:styleId="Bodyitalic">
    <w:name w:val="Body_italic"/>
    <w:basedOn w:val="Normal"/>
    <w:rsid w:val="0013458F"/>
    <w:pPr>
      <w:spacing w:after="0" w:line="240" w:lineRule="auto"/>
    </w:pPr>
    <w:rPr>
      <w:rFonts w:ascii="Arial" w:eastAsia="Times New Roman" w:hAnsi="Arial" w:cs="Times New Roman"/>
      <w:i/>
      <w:szCs w:val="20"/>
      <w:lang w:eastAsia="de-DE"/>
    </w:rPr>
  </w:style>
  <w:style w:type="paragraph" w:styleId="TOC1">
    <w:name w:val="toc 1"/>
    <w:basedOn w:val="Normal"/>
    <w:next w:val="Normal"/>
    <w:autoRedefine/>
    <w:semiHidden/>
    <w:rsid w:val="0013458F"/>
    <w:pPr>
      <w:tabs>
        <w:tab w:val="left" w:pos="720"/>
        <w:tab w:val="right" w:leader="dot" w:pos="9356"/>
      </w:tabs>
      <w:spacing w:before="120" w:after="0" w:line="240" w:lineRule="auto"/>
      <w:ind w:left="113" w:right="567"/>
      <w:jc w:val="both"/>
    </w:pPr>
    <w:rPr>
      <w:rFonts w:ascii="Arial" w:eastAsia="Times New Roman" w:hAnsi="Arial" w:cs="Times New Roman"/>
      <w:b/>
      <w:noProof/>
      <w:sz w:val="24"/>
      <w:szCs w:val="20"/>
      <w:lang w:eastAsia="de-DE"/>
    </w:rPr>
  </w:style>
  <w:style w:type="paragraph" w:styleId="TOC4">
    <w:name w:val="toc 4"/>
    <w:basedOn w:val="Normal"/>
    <w:next w:val="Normal"/>
    <w:autoRedefine/>
    <w:semiHidden/>
    <w:rsid w:val="0013458F"/>
    <w:pPr>
      <w:spacing w:before="240" w:after="240" w:line="280" w:lineRule="exact"/>
      <w:ind w:left="720"/>
      <w:jc w:val="both"/>
    </w:pPr>
    <w:rPr>
      <w:rFonts w:ascii="Times New Roman" w:eastAsia="Times New Roman" w:hAnsi="Times New Roman" w:cs="Times New Roman"/>
      <w:sz w:val="24"/>
      <w:szCs w:val="20"/>
      <w:lang w:eastAsia="de-DE"/>
    </w:rPr>
  </w:style>
  <w:style w:type="paragraph" w:styleId="TOC2">
    <w:name w:val="toc 2"/>
    <w:basedOn w:val="Normal"/>
    <w:next w:val="Normal"/>
    <w:autoRedefine/>
    <w:semiHidden/>
    <w:rsid w:val="0013458F"/>
    <w:pPr>
      <w:tabs>
        <w:tab w:val="left" w:pos="737"/>
        <w:tab w:val="left" w:pos="1418"/>
        <w:tab w:val="right" w:leader="dot" w:pos="9356"/>
      </w:tabs>
      <w:spacing w:before="40" w:after="20" w:line="240" w:lineRule="auto"/>
      <w:ind w:left="737"/>
      <w:jc w:val="both"/>
    </w:pPr>
    <w:rPr>
      <w:rFonts w:ascii="Arial" w:eastAsia="Times New Roman" w:hAnsi="Arial" w:cs="Times New Roman"/>
      <w:b/>
      <w:noProof/>
      <w:szCs w:val="20"/>
      <w:lang w:eastAsia="de-DE"/>
    </w:rPr>
  </w:style>
  <w:style w:type="paragraph" w:styleId="TOC3">
    <w:name w:val="toc 3"/>
    <w:basedOn w:val="Normal"/>
    <w:next w:val="Normal"/>
    <w:autoRedefine/>
    <w:semiHidden/>
    <w:rsid w:val="0013458F"/>
    <w:pPr>
      <w:tabs>
        <w:tab w:val="left" w:pos="2268"/>
        <w:tab w:val="right" w:leader="dot" w:pos="9356"/>
      </w:tabs>
      <w:spacing w:before="20" w:after="20" w:line="240" w:lineRule="auto"/>
      <w:ind w:left="1418" w:right="17"/>
      <w:jc w:val="both"/>
    </w:pPr>
    <w:rPr>
      <w:rFonts w:ascii="Arial" w:eastAsia="Times New Roman" w:hAnsi="Arial" w:cs="Times New Roman"/>
      <w:noProof/>
      <w:sz w:val="20"/>
      <w:szCs w:val="20"/>
      <w:lang w:eastAsia="de-DE"/>
    </w:rPr>
  </w:style>
  <w:style w:type="paragraph" w:styleId="TOC5">
    <w:name w:val="toc 5"/>
    <w:basedOn w:val="Normal"/>
    <w:next w:val="Normal"/>
    <w:autoRedefine/>
    <w:semiHidden/>
    <w:rsid w:val="0013458F"/>
    <w:pPr>
      <w:spacing w:before="240" w:after="240" w:line="280" w:lineRule="exact"/>
      <w:ind w:left="960"/>
      <w:jc w:val="both"/>
    </w:pPr>
    <w:rPr>
      <w:rFonts w:ascii="Times New Roman" w:eastAsia="Times New Roman" w:hAnsi="Times New Roman" w:cs="Times New Roman"/>
      <w:sz w:val="24"/>
      <w:szCs w:val="20"/>
      <w:lang w:eastAsia="de-DE"/>
    </w:rPr>
  </w:style>
  <w:style w:type="paragraph" w:styleId="TOC6">
    <w:name w:val="toc 6"/>
    <w:basedOn w:val="Normal"/>
    <w:next w:val="Normal"/>
    <w:autoRedefine/>
    <w:semiHidden/>
    <w:rsid w:val="0013458F"/>
    <w:pPr>
      <w:spacing w:before="240" w:after="240" w:line="280" w:lineRule="exact"/>
      <w:ind w:left="1200"/>
      <w:jc w:val="both"/>
    </w:pPr>
    <w:rPr>
      <w:rFonts w:ascii="Times New Roman" w:eastAsia="Times New Roman" w:hAnsi="Times New Roman" w:cs="Times New Roman"/>
      <w:sz w:val="24"/>
      <w:szCs w:val="20"/>
      <w:lang w:eastAsia="de-DE"/>
    </w:rPr>
  </w:style>
  <w:style w:type="paragraph" w:styleId="TOC7">
    <w:name w:val="toc 7"/>
    <w:basedOn w:val="Normal"/>
    <w:next w:val="Normal"/>
    <w:autoRedefine/>
    <w:semiHidden/>
    <w:rsid w:val="0013458F"/>
    <w:pPr>
      <w:spacing w:before="240" w:after="240" w:line="280" w:lineRule="exact"/>
      <w:ind w:left="1440"/>
      <w:jc w:val="both"/>
    </w:pPr>
    <w:rPr>
      <w:rFonts w:ascii="Times New Roman" w:eastAsia="Times New Roman" w:hAnsi="Times New Roman" w:cs="Times New Roman"/>
      <w:sz w:val="24"/>
      <w:szCs w:val="20"/>
      <w:lang w:eastAsia="de-DE"/>
    </w:rPr>
  </w:style>
  <w:style w:type="paragraph" w:styleId="TOC8">
    <w:name w:val="toc 8"/>
    <w:basedOn w:val="Normal"/>
    <w:next w:val="Normal"/>
    <w:autoRedefine/>
    <w:semiHidden/>
    <w:rsid w:val="0013458F"/>
    <w:pPr>
      <w:spacing w:before="240" w:after="240" w:line="280" w:lineRule="exact"/>
      <w:ind w:left="1680"/>
      <w:jc w:val="both"/>
    </w:pPr>
    <w:rPr>
      <w:rFonts w:ascii="Times New Roman" w:eastAsia="Times New Roman" w:hAnsi="Times New Roman" w:cs="Times New Roman"/>
      <w:sz w:val="24"/>
      <w:szCs w:val="20"/>
      <w:lang w:eastAsia="de-DE"/>
    </w:rPr>
  </w:style>
  <w:style w:type="paragraph" w:customStyle="1" w:styleId="TableStyle">
    <w:name w:val="TableStyle"/>
    <w:rsid w:val="0013458F"/>
    <w:pPr>
      <w:spacing w:after="0" w:line="240" w:lineRule="auto"/>
      <w:ind w:left="85"/>
    </w:pPr>
    <w:rPr>
      <w:rFonts w:ascii="Arial" w:eastAsia="Times New Roman" w:hAnsi="Arial" w:cs="Times New Roman"/>
      <w:szCs w:val="20"/>
      <w:lang w:val="en-GB"/>
    </w:rPr>
  </w:style>
  <w:style w:type="paragraph" w:customStyle="1" w:styleId="Contents">
    <w:name w:val="Contents"/>
    <w:next w:val="Text"/>
    <w:rsid w:val="0013458F"/>
    <w:pPr>
      <w:pageBreakBefore/>
      <w:spacing w:before="240" w:after="240" w:line="240" w:lineRule="auto"/>
      <w:ind w:right="1433"/>
      <w:jc w:val="center"/>
    </w:pPr>
    <w:rPr>
      <w:rFonts w:ascii="Arial" w:eastAsia="Times New Roman" w:hAnsi="Arial" w:cs="Times New Roman"/>
      <w:b/>
      <w:sz w:val="28"/>
      <w:szCs w:val="20"/>
      <w:lang w:val="fr-FR" w:eastAsia="de-DE"/>
    </w:rPr>
  </w:style>
  <w:style w:type="paragraph" w:customStyle="1" w:styleId="HelpText">
    <w:name w:val="Help Text"/>
    <w:basedOn w:val="Normal"/>
    <w:rsid w:val="0013458F"/>
    <w:pPr>
      <w:spacing w:after="0" w:line="240" w:lineRule="auto"/>
      <w:ind w:left="737" w:hanging="737"/>
    </w:pPr>
    <w:rPr>
      <w:rFonts w:ascii="Arial" w:eastAsia="Times New Roman" w:hAnsi="Arial" w:cs="Times New Roman"/>
      <w:i/>
      <w:color w:val="0000FF"/>
      <w:sz w:val="20"/>
      <w:szCs w:val="20"/>
      <w:lang w:eastAsia="de-DE"/>
    </w:rPr>
  </w:style>
  <w:style w:type="paragraph" w:customStyle="1" w:styleId="HelpCont">
    <w:name w:val="Help Cont"/>
    <w:basedOn w:val="HelpText"/>
    <w:rsid w:val="0013458F"/>
    <w:pPr>
      <w:ind w:firstLine="0"/>
    </w:pPr>
    <w:rPr>
      <w:rFonts w:ascii="Helvetica" w:hAnsi="Helvetica"/>
    </w:rPr>
  </w:style>
  <w:style w:type="paragraph" w:customStyle="1" w:styleId="HelpBullet">
    <w:name w:val="Help Bullet"/>
    <w:basedOn w:val="HelpText"/>
    <w:rsid w:val="0013458F"/>
    <w:pPr>
      <w:numPr>
        <w:numId w:val="14"/>
      </w:numPr>
      <w:tabs>
        <w:tab w:val="clear" w:pos="360"/>
        <w:tab w:val="num" w:pos="1134"/>
      </w:tabs>
      <w:ind w:left="1134" w:hanging="283"/>
    </w:pPr>
  </w:style>
  <w:style w:type="paragraph" w:customStyle="1" w:styleId="zHelp">
    <w:name w:val="zHelp"/>
    <w:basedOn w:val="Body"/>
    <w:rsid w:val="0013458F"/>
    <w:pPr>
      <w:spacing w:before="0" w:after="120"/>
      <w:ind w:left="2552" w:hanging="1134"/>
    </w:pPr>
    <w:rPr>
      <w:rFonts w:ascii="Times New Roman" w:hAnsi="Times New Roman"/>
      <w:i/>
      <w:vanish/>
      <w:color w:val="0000FF"/>
    </w:rPr>
  </w:style>
  <w:style w:type="paragraph" w:customStyle="1" w:styleId="HelpHeading">
    <w:name w:val="Help Heading"/>
    <w:basedOn w:val="Heading9"/>
    <w:rsid w:val="0013458F"/>
    <w:pPr>
      <w:keepNext w:val="0"/>
      <w:keepLines w:val="0"/>
      <w:spacing w:before="240" w:after="60" w:line="280" w:lineRule="exact"/>
      <w:ind w:left="720" w:hanging="720"/>
      <w:jc w:val="both"/>
    </w:pPr>
    <w:rPr>
      <w:rFonts w:ascii="Helvetica" w:eastAsia="Times New Roman" w:hAnsi="Helvetica" w:cs="Times New Roman"/>
      <w:b/>
      <w:i w:val="0"/>
      <w:iCs w:val="0"/>
      <w:color w:val="0000FF"/>
      <w:sz w:val="24"/>
      <w:szCs w:val="20"/>
      <w:lang w:eastAsia="de-DE"/>
    </w:rPr>
  </w:style>
  <w:style w:type="paragraph" w:customStyle="1" w:styleId="zHelpCont">
    <w:name w:val="zHelp Cont."/>
    <w:basedOn w:val="zHelp"/>
    <w:rsid w:val="0013458F"/>
    <w:pPr>
      <w:ind w:firstLine="0"/>
    </w:pPr>
  </w:style>
  <w:style w:type="paragraph" w:customStyle="1" w:styleId="zComment">
    <w:name w:val="zComment"/>
    <w:basedOn w:val="Body"/>
    <w:rsid w:val="0013458F"/>
    <w:pPr>
      <w:spacing w:before="0" w:after="120"/>
      <w:ind w:left="1418" w:hanging="1418"/>
    </w:pPr>
    <w:rPr>
      <w:rFonts w:ascii="Times New Roman" w:hAnsi="Times New Roman"/>
    </w:rPr>
  </w:style>
  <w:style w:type="paragraph" w:customStyle="1" w:styleId="BodyHeading">
    <w:name w:val="BodyHeading"/>
    <w:basedOn w:val="Normal"/>
    <w:next w:val="Body"/>
    <w:rsid w:val="0013458F"/>
    <w:pPr>
      <w:widowControl w:val="0"/>
      <w:spacing w:before="240" w:after="120" w:line="-240" w:lineRule="auto"/>
      <w:ind w:left="1134" w:right="284"/>
    </w:pPr>
    <w:rPr>
      <w:rFonts w:ascii="Helvetica" w:eastAsia="Times New Roman" w:hAnsi="Helvetica" w:cs="Times New Roman"/>
      <w:b/>
      <w:sz w:val="24"/>
      <w:szCs w:val="20"/>
      <w:lang w:eastAsia="de-DE"/>
    </w:rPr>
  </w:style>
  <w:style w:type="paragraph" w:customStyle="1" w:styleId="BodyHeader">
    <w:name w:val="BodyHeader"/>
    <w:basedOn w:val="Body"/>
    <w:rsid w:val="0013458F"/>
    <w:rPr>
      <w:rFonts w:ascii="Helvetica" w:hAnsi="Helvetica"/>
      <w:b/>
    </w:rPr>
  </w:style>
  <w:style w:type="character" w:customStyle="1" w:styleId="Helpcomments">
    <w:name w:val="Help comments"/>
    <w:rsid w:val="0013458F"/>
    <w:rPr>
      <w:i/>
      <w:color w:val="0000FF"/>
      <w:sz w:val="20"/>
    </w:rPr>
  </w:style>
  <w:style w:type="paragraph" w:customStyle="1" w:styleId="Question">
    <w:name w:val="Question"/>
    <w:basedOn w:val="Body"/>
    <w:rsid w:val="0013458F"/>
    <w:pPr>
      <w:ind w:left="1276" w:hanging="567"/>
    </w:pPr>
    <w:rPr>
      <w:snapToGrid w:val="0"/>
      <w:lang w:eastAsia="en-US"/>
    </w:rPr>
  </w:style>
  <w:style w:type="paragraph" w:customStyle="1" w:styleId="Acronym">
    <w:name w:val="Acronym"/>
    <w:basedOn w:val="Body"/>
    <w:rsid w:val="0013458F"/>
    <w:pPr>
      <w:ind w:left="1701" w:hanging="992"/>
    </w:pPr>
  </w:style>
  <w:style w:type="numbering" w:styleId="111111">
    <w:name w:val="Outline List 2"/>
    <w:basedOn w:val="NoList"/>
    <w:rsid w:val="0013458F"/>
    <w:pPr>
      <w:numPr>
        <w:numId w:val="16"/>
      </w:numPr>
    </w:pPr>
  </w:style>
  <w:style w:type="paragraph" w:customStyle="1" w:styleId="Front">
    <w:name w:val="Front"/>
    <w:basedOn w:val="Title"/>
    <w:rsid w:val="0013458F"/>
    <w:pPr>
      <w:spacing w:before="240" w:after="60" w:line="360" w:lineRule="auto"/>
      <w:outlineLvl w:val="0"/>
    </w:pPr>
    <w:rPr>
      <w:rFonts w:ascii="Arial" w:hAnsi="Arial" w:cs="Arial"/>
      <w:kern w:val="28"/>
      <w:sz w:val="32"/>
    </w:rPr>
  </w:style>
  <w:style w:type="paragraph" w:customStyle="1" w:styleId="Bold1">
    <w:name w:val="Bold1"/>
    <w:basedOn w:val="Normal"/>
    <w:rsid w:val="0013458F"/>
    <w:pPr>
      <w:spacing w:before="100" w:beforeAutospacing="1" w:after="100" w:afterAutospacing="1" w:line="360" w:lineRule="auto"/>
      <w:jc w:val="both"/>
    </w:pPr>
    <w:rPr>
      <w:rFonts w:ascii="Times New Roman" w:eastAsia="Times New Roman" w:hAnsi="Times New Roman" w:cs="Times New Roman"/>
      <w:b/>
      <w:sz w:val="24"/>
      <w:szCs w:val="24"/>
      <w:lang w:val="en-GB"/>
    </w:rPr>
  </w:style>
  <w:style w:type="character" w:customStyle="1" w:styleId="il">
    <w:name w:val="il"/>
    <w:rsid w:val="0013458F"/>
  </w:style>
  <w:style w:type="paragraph" w:customStyle="1" w:styleId="IJOPCMH1">
    <w:name w:val="IJOPCM H1"/>
    <w:basedOn w:val="Heading1"/>
    <w:rsid w:val="00725EDB"/>
    <w:pPr>
      <w:keepLines w:val="0"/>
      <w:spacing w:before="240" w:after="240" w:line="320" w:lineRule="exact"/>
      <w:jc w:val="left"/>
    </w:pPr>
    <w:rPr>
      <w:rFonts w:ascii="Times New Roman" w:eastAsia="Batang" w:hAnsi="Times New Roman" w:cs="Arial"/>
      <w:bCs/>
      <w:color w:val="auto"/>
      <w:kern w:val="32"/>
      <w:sz w:val="28"/>
      <w:szCs w:val="32"/>
      <w:lang w:eastAsia="ko-KR"/>
    </w:rPr>
  </w:style>
  <w:style w:type="paragraph" w:customStyle="1" w:styleId="Times">
    <w:name w:val="Times"/>
    <w:basedOn w:val="Normal"/>
    <w:link w:val="TimesChar"/>
    <w:qFormat/>
    <w:rsid w:val="00863188"/>
    <w:pPr>
      <w:autoSpaceDE w:val="0"/>
      <w:autoSpaceDN w:val="0"/>
      <w:adjustRightInd w:val="0"/>
      <w:spacing w:after="0" w:line="360" w:lineRule="auto"/>
      <w:jc w:val="both"/>
    </w:pPr>
    <w:rPr>
      <w:rFonts w:ascii="Times New Roman" w:eastAsia="Calibri" w:hAnsi="Times New Roman" w:cs="Times New Roman"/>
      <w:color w:val="000000"/>
      <w:sz w:val="24"/>
      <w:szCs w:val="24"/>
    </w:rPr>
  </w:style>
  <w:style w:type="character" w:customStyle="1" w:styleId="TimesChar">
    <w:name w:val="Times Char"/>
    <w:link w:val="Times"/>
    <w:rsid w:val="00863188"/>
    <w:rPr>
      <w:rFonts w:ascii="Times New Roman" w:eastAsia="Calibri" w:hAnsi="Times New Roman" w:cs="Times New Roman"/>
      <w:color w:val="000000"/>
      <w:sz w:val="24"/>
      <w:szCs w:val="24"/>
    </w:rPr>
  </w:style>
  <w:style w:type="paragraph" w:customStyle="1" w:styleId="Arial12">
    <w:name w:val="Arial 12"/>
    <w:basedOn w:val="Normal"/>
    <w:link w:val="Arial12Char"/>
    <w:qFormat/>
    <w:rsid w:val="00863188"/>
    <w:pPr>
      <w:spacing w:after="0" w:line="480" w:lineRule="auto"/>
      <w:jc w:val="both"/>
    </w:pPr>
    <w:rPr>
      <w:rFonts w:ascii="Times New Roman" w:eastAsia="Calibri" w:hAnsi="Times New Roman" w:cs="Mangal"/>
      <w:sz w:val="24"/>
      <w:szCs w:val="24"/>
      <w:lang w:bidi="hi-IN"/>
    </w:rPr>
  </w:style>
  <w:style w:type="character" w:customStyle="1" w:styleId="Arial12Char">
    <w:name w:val="Arial 12 Char"/>
    <w:link w:val="Arial12"/>
    <w:rsid w:val="00863188"/>
    <w:rPr>
      <w:rFonts w:ascii="Times New Roman" w:eastAsia="Calibri" w:hAnsi="Times New Roman" w:cs="Mangal"/>
      <w:sz w:val="24"/>
      <w:szCs w:val="24"/>
      <w:lang w:bidi="hi-IN"/>
    </w:rPr>
  </w:style>
  <w:style w:type="paragraph" w:customStyle="1" w:styleId="timesnewroman">
    <w:name w:val="times new roman"/>
    <w:basedOn w:val="Times"/>
    <w:link w:val="timesnewromanChar"/>
    <w:qFormat/>
    <w:rsid w:val="00863188"/>
    <w:rPr>
      <w:rFonts w:eastAsia="GulliverRM"/>
      <w:lang w:val="en-IN" w:bidi="hi-IN"/>
    </w:rPr>
  </w:style>
  <w:style w:type="character" w:customStyle="1" w:styleId="timesnewromanChar">
    <w:name w:val="times new roman Char"/>
    <w:link w:val="timesnewroman"/>
    <w:rsid w:val="00863188"/>
    <w:rPr>
      <w:rFonts w:ascii="Times New Roman" w:eastAsia="GulliverRM" w:hAnsi="Times New Roman" w:cs="Times New Roman"/>
      <w:color w:val="000000"/>
      <w:sz w:val="24"/>
      <w:szCs w:val="24"/>
      <w:lang w:val="en-IN" w:bidi="hi-IN"/>
    </w:rPr>
  </w:style>
  <w:style w:type="paragraph" w:customStyle="1" w:styleId="t">
    <w:name w:val="t"/>
    <w:basedOn w:val="Normal"/>
    <w:link w:val="tChar"/>
    <w:qFormat/>
    <w:rsid w:val="00863188"/>
    <w:pPr>
      <w:autoSpaceDE w:val="0"/>
      <w:autoSpaceDN w:val="0"/>
      <w:adjustRightInd w:val="0"/>
      <w:spacing w:after="200" w:line="480" w:lineRule="auto"/>
      <w:jc w:val="both"/>
    </w:pPr>
    <w:rPr>
      <w:rFonts w:ascii="Arial" w:eastAsia="Calibri" w:hAnsi="Arial" w:cs="Times New Roman"/>
      <w:color w:val="000000"/>
      <w:sz w:val="24"/>
      <w:szCs w:val="24"/>
      <w:lang w:val="en-IN"/>
    </w:rPr>
  </w:style>
  <w:style w:type="character" w:customStyle="1" w:styleId="tChar">
    <w:name w:val="t Char"/>
    <w:link w:val="t"/>
    <w:rsid w:val="00863188"/>
    <w:rPr>
      <w:rFonts w:ascii="Arial" w:eastAsia="Calibri" w:hAnsi="Arial" w:cs="Times New Roman"/>
      <w:color w:val="000000"/>
      <w:sz w:val="24"/>
      <w:szCs w:val="24"/>
      <w:lang w:val="en-IN"/>
    </w:rPr>
  </w:style>
  <w:style w:type="paragraph" w:customStyle="1" w:styleId="Arial">
    <w:name w:val="Arial"/>
    <w:basedOn w:val="Caption"/>
    <w:link w:val="ArialChar"/>
    <w:qFormat/>
    <w:rsid w:val="00863188"/>
    <w:pPr>
      <w:spacing w:line="360" w:lineRule="auto"/>
    </w:pPr>
    <w:rPr>
      <w:b w:val="0"/>
      <w:kern w:val="0"/>
      <w:sz w:val="24"/>
      <w:lang w:val="en-IN"/>
    </w:rPr>
  </w:style>
  <w:style w:type="character" w:customStyle="1" w:styleId="ArialChar">
    <w:name w:val="Arial Char"/>
    <w:link w:val="Arial"/>
    <w:rsid w:val="00863188"/>
    <w:rPr>
      <w:rFonts w:ascii="Times New Roman" w:eastAsia="Times New Roman" w:hAnsi="Times New Roman" w:cs="Times New Roman"/>
      <w:bCs/>
      <w:sz w:val="24"/>
      <w:szCs w:val="24"/>
      <w:lang w:val="en-IN"/>
    </w:rPr>
  </w:style>
  <w:style w:type="character" w:styleId="LineNumber">
    <w:name w:val="line number"/>
    <w:basedOn w:val="DefaultParagraphFont"/>
    <w:uiPriority w:val="99"/>
    <w:semiHidden/>
    <w:unhideWhenUsed/>
    <w:rsid w:val="00863188"/>
  </w:style>
  <w:style w:type="paragraph" w:customStyle="1" w:styleId="IEEEParagraph">
    <w:name w:val="IEEE Paragraph"/>
    <w:basedOn w:val="Normal"/>
    <w:link w:val="IEEEParagraphChar"/>
    <w:rsid w:val="00B30D14"/>
    <w:pPr>
      <w:adjustRightInd w:val="0"/>
      <w:snapToGrid w:val="0"/>
      <w:spacing w:after="0" w:line="240" w:lineRule="auto"/>
      <w:ind w:firstLine="216"/>
      <w:jc w:val="both"/>
    </w:pPr>
    <w:rPr>
      <w:rFonts w:ascii="Times New Roman" w:eastAsia="SimSun" w:hAnsi="Times New Roman" w:cs="Times New Roman"/>
      <w:sz w:val="20"/>
      <w:szCs w:val="24"/>
      <w:lang w:val="en-AU" w:eastAsia="zh-CN"/>
    </w:rPr>
  </w:style>
  <w:style w:type="character" w:customStyle="1" w:styleId="IEEEParagraphChar">
    <w:name w:val="IEEE Paragraph Char"/>
    <w:link w:val="IEEEParagraph"/>
    <w:rsid w:val="00B30D14"/>
    <w:rPr>
      <w:rFonts w:ascii="Times New Roman" w:eastAsia="SimSun" w:hAnsi="Times New Roman" w:cs="Times New Roman"/>
      <w:sz w:val="20"/>
      <w:szCs w:val="24"/>
      <w:lang w:val="en-AU" w:eastAsia="zh-CN"/>
    </w:rPr>
  </w:style>
  <w:style w:type="character" w:customStyle="1" w:styleId="tgnumber">
    <w:name w:val="tgnumber"/>
    <w:rsid w:val="003A1983"/>
  </w:style>
  <w:style w:type="character" w:customStyle="1" w:styleId="exlresultdetails">
    <w:name w:val="exlresultdetails"/>
    <w:rsid w:val="003A1983"/>
  </w:style>
  <w:style w:type="character" w:customStyle="1" w:styleId="medium-bold3">
    <w:name w:val="medium-bold3"/>
    <w:rsid w:val="003A1983"/>
  </w:style>
  <w:style w:type="paragraph" w:customStyle="1" w:styleId="Affiliation">
    <w:name w:val="Affiliation"/>
    <w:basedOn w:val="Normal"/>
    <w:uiPriority w:val="99"/>
    <w:qFormat/>
    <w:rsid w:val="003A1983"/>
    <w:pPr>
      <w:spacing w:after="240" w:line="240" w:lineRule="auto"/>
      <w:contextualSpacing/>
      <w:jc w:val="both"/>
    </w:pPr>
    <w:rPr>
      <w:rFonts w:ascii="LM Roman 10" w:eastAsia="Calibri" w:hAnsi="LM Roman 10" w:cs="Times New Roman"/>
      <w:sz w:val="20"/>
    </w:rPr>
  </w:style>
  <w:style w:type="paragraph" w:customStyle="1" w:styleId="Els-body-text">
    <w:name w:val="Els-body-text"/>
    <w:basedOn w:val="Default"/>
    <w:next w:val="Default"/>
    <w:uiPriority w:val="99"/>
    <w:rsid w:val="00DD3299"/>
    <w:rPr>
      <w:rFonts w:eastAsiaTheme="minorHAnsi"/>
      <w:color w:val="auto"/>
    </w:rPr>
  </w:style>
  <w:style w:type="paragraph" w:customStyle="1" w:styleId="Author">
    <w:name w:val="Author"/>
    <w:basedOn w:val="Normal"/>
    <w:next w:val="Normal"/>
    <w:uiPriority w:val="99"/>
    <w:rsid w:val="006D48FD"/>
    <w:pPr>
      <w:keepNext/>
      <w:suppressAutoHyphens/>
      <w:overflowPunct w:val="0"/>
      <w:autoSpaceDE w:val="0"/>
      <w:autoSpaceDN w:val="0"/>
      <w:adjustRightInd w:val="0"/>
      <w:spacing w:after="0" w:line="240" w:lineRule="auto"/>
      <w:jc w:val="center"/>
      <w:textAlignment w:val="baseline"/>
    </w:pPr>
    <w:rPr>
      <w:rFonts w:ascii="Arial" w:eastAsia="Times New Roman" w:hAnsi="Arial" w:cs="Times New Roman"/>
      <w:b/>
      <w:kern w:val="14"/>
      <w:sz w:val="20"/>
      <w:szCs w:val="20"/>
    </w:rPr>
  </w:style>
  <w:style w:type="paragraph" w:customStyle="1" w:styleId="BodyTextIndent0">
    <w:name w:val="BodyTextIndent"/>
    <w:basedOn w:val="Normal"/>
    <w:link w:val="BodyTextIndentChar0"/>
    <w:rsid w:val="006D48FD"/>
    <w:pPr>
      <w:spacing w:after="0" w:line="480" w:lineRule="auto"/>
      <w:ind w:firstLine="720"/>
    </w:pPr>
    <w:rPr>
      <w:rFonts w:ascii="Arial" w:eastAsia="Times New Roman" w:hAnsi="Arial" w:cs="Times New Roman"/>
      <w:sz w:val="24"/>
      <w:szCs w:val="20"/>
    </w:rPr>
  </w:style>
  <w:style w:type="character" w:customStyle="1" w:styleId="BodyTextIndentChar0">
    <w:name w:val="BodyTextIndent Char"/>
    <w:link w:val="BodyTextIndent0"/>
    <w:rsid w:val="006D48FD"/>
    <w:rPr>
      <w:rFonts w:ascii="Arial" w:eastAsia="Times New Roman" w:hAnsi="Arial" w:cs="Times New Roman"/>
      <w:sz w:val="24"/>
      <w:szCs w:val="20"/>
    </w:rPr>
  </w:style>
  <w:style w:type="paragraph" w:customStyle="1" w:styleId="MTDisplayEquation">
    <w:name w:val="MTDisplayEquation"/>
    <w:basedOn w:val="Normal"/>
    <w:next w:val="Normal"/>
    <w:link w:val="MTDisplayEquationChar"/>
    <w:rsid w:val="00056304"/>
    <w:pPr>
      <w:tabs>
        <w:tab w:val="center" w:pos="4680"/>
        <w:tab w:val="right" w:pos="9360"/>
      </w:tabs>
      <w:spacing w:after="200" w:line="276" w:lineRule="auto"/>
    </w:pPr>
    <w:rPr>
      <w:rFonts w:ascii="inherit" w:eastAsiaTheme="minorEastAsia" w:hAnsi="inherit"/>
      <w:position w:val="-10"/>
    </w:rPr>
  </w:style>
  <w:style w:type="character" w:customStyle="1" w:styleId="MTDisplayEquationChar">
    <w:name w:val="MTDisplayEquation Char"/>
    <w:basedOn w:val="DefaultParagraphFont"/>
    <w:link w:val="MTDisplayEquation"/>
    <w:rsid w:val="00056304"/>
    <w:rPr>
      <w:rFonts w:ascii="inherit" w:eastAsiaTheme="minorEastAsia" w:hAnsi="inherit"/>
      <w:position w:val="-10"/>
    </w:rPr>
  </w:style>
  <w:style w:type="paragraph" w:customStyle="1" w:styleId="IEEEHeading1">
    <w:name w:val="IEEE Heading 1"/>
    <w:basedOn w:val="Normal"/>
    <w:next w:val="Normal"/>
    <w:rsid w:val="00CA3D9B"/>
    <w:pPr>
      <w:numPr>
        <w:numId w:val="17"/>
      </w:numPr>
      <w:adjustRightInd w:val="0"/>
      <w:snapToGrid w:val="0"/>
      <w:spacing w:before="180" w:after="60" w:line="240" w:lineRule="auto"/>
      <w:jc w:val="center"/>
    </w:pPr>
    <w:rPr>
      <w:rFonts w:ascii="Times New Roman" w:eastAsia="SimSun" w:hAnsi="Times New Roman" w:cs="Times New Roman"/>
      <w:smallCaps/>
      <w:sz w:val="20"/>
      <w:szCs w:val="24"/>
      <w:lang w:val="en-AU" w:eastAsia="zh-CN"/>
    </w:rPr>
  </w:style>
  <w:style w:type="paragraph" w:customStyle="1" w:styleId="papersubtitle">
    <w:name w:val="paper subtitle"/>
    <w:rsid w:val="00CA3D9B"/>
    <w:pPr>
      <w:suppressAutoHyphens/>
      <w:spacing w:after="120" w:line="240" w:lineRule="auto"/>
      <w:jc w:val="center"/>
    </w:pPr>
    <w:rPr>
      <w:rFonts w:ascii="Times New Roman" w:eastAsia="MS Mincho" w:hAnsi="Times New Roman" w:cs="Times New Roman"/>
      <w:sz w:val="28"/>
      <w:szCs w:val="28"/>
      <w:lang w:eastAsia="en-IN"/>
    </w:rPr>
  </w:style>
  <w:style w:type="paragraph" w:customStyle="1" w:styleId="IEEEReferenceItem">
    <w:name w:val="IEEE Reference Item"/>
    <w:basedOn w:val="Normal"/>
    <w:rsid w:val="00CA3D9B"/>
    <w:pPr>
      <w:tabs>
        <w:tab w:val="num" w:pos="432"/>
      </w:tabs>
      <w:adjustRightInd w:val="0"/>
      <w:snapToGrid w:val="0"/>
      <w:spacing w:after="0" w:line="240" w:lineRule="auto"/>
      <w:ind w:left="432" w:hanging="432"/>
      <w:jc w:val="both"/>
    </w:pPr>
    <w:rPr>
      <w:rFonts w:ascii="Times New Roman" w:eastAsia="SimSun" w:hAnsi="Times New Roman" w:cs="Times New Roman"/>
      <w:sz w:val="16"/>
      <w:szCs w:val="24"/>
      <w:lang w:eastAsia="zh-CN"/>
    </w:rPr>
  </w:style>
  <w:style w:type="character" w:styleId="HTMLCite">
    <w:name w:val="HTML Cite"/>
    <w:basedOn w:val="DefaultParagraphFont"/>
    <w:uiPriority w:val="99"/>
    <w:semiHidden/>
    <w:unhideWhenUsed/>
    <w:rsid w:val="00CA3D9B"/>
    <w:rPr>
      <w:i/>
      <w:iCs/>
    </w:rPr>
  </w:style>
  <w:style w:type="character" w:customStyle="1" w:styleId="mw-headline">
    <w:name w:val="mw-headline"/>
    <w:basedOn w:val="DefaultParagraphFont"/>
    <w:rsid w:val="00BD6490"/>
  </w:style>
  <w:style w:type="character" w:customStyle="1" w:styleId="mw-editsection">
    <w:name w:val="mw-editsection"/>
    <w:basedOn w:val="DefaultParagraphFont"/>
    <w:rsid w:val="00BD6490"/>
  </w:style>
  <w:style w:type="character" w:customStyle="1" w:styleId="mw-editsection-bracket">
    <w:name w:val="mw-editsection-bracket"/>
    <w:basedOn w:val="DefaultParagraphFont"/>
    <w:rsid w:val="00BD6490"/>
  </w:style>
  <w:style w:type="character" w:customStyle="1" w:styleId="hlfld-title">
    <w:name w:val="hlfld-title"/>
    <w:basedOn w:val="DefaultParagraphFont"/>
    <w:rsid w:val="00BD6490"/>
  </w:style>
  <w:style w:type="character" w:styleId="SubtleReference">
    <w:name w:val="Subtle Reference"/>
    <w:uiPriority w:val="31"/>
    <w:qFormat/>
    <w:rsid w:val="00FB0D9B"/>
    <w:rPr>
      <w:smallCaps/>
      <w:color w:val="C0504D"/>
      <w:u w:val="single"/>
    </w:rPr>
  </w:style>
  <w:style w:type="character" w:customStyle="1" w:styleId="apple-tab-span">
    <w:name w:val="apple-tab-span"/>
    <w:basedOn w:val="DefaultParagraphFont"/>
    <w:rsid w:val="00BD5B4F"/>
  </w:style>
  <w:style w:type="character" w:customStyle="1" w:styleId="NoSpacingChar">
    <w:name w:val="No Spacing Char"/>
    <w:basedOn w:val="DefaultParagraphFont"/>
    <w:link w:val="NoSpacing"/>
    <w:uiPriority w:val="1"/>
    <w:rsid w:val="00CE2ADF"/>
  </w:style>
  <w:style w:type="paragraph" w:customStyle="1" w:styleId="CM44">
    <w:name w:val="CM44"/>
    <w:basedOn w:val="Normal"/>
    <w:next w:val="Normal"/>
    <w:rsid w:val="00440804"/>
    <w:pPr>
      <w:widowControl w:val="0"/>
      <w:autoSpaceDE w:val="0"/>
      <w:autoSpaceDN w:val="0"/>
      <w:adjustRightInd w:val="0"/>
      <w:spacing w:after="113" w:line="240" w:lineRule="auto"/>
    </w:pPr>
    <w:rPr>
      <w:rFonts w:ascii="Arial" w:eastAsia="Times New Roman" w:hAnsi="Arial" w:cs="Arial"/>
      <w:sz w:val="24"/>
      <w:szCs w:val="24"/>
    </w:rPr>
  </w:style>
  <w:style w:type="paragraph" w:customStyle="1" w:styleId="CM47">
    <w:name w:val="CM47"/>
    <w:basedOn w:val="Normal"/>
    <w:next w:val="Normal"/>
    <w:rsid w:val="00440804"/>
    <w:pPr>
      <w:widowControl w:val="0"/>
      <w:autoSpaceDE w:val="0"/>
      <w:autoSpaceDN w:val="0"/>
      <w:adjustRightInd w:val="0"/>
      <w:spacing w:after="55" w:line="240" w:lineRule="auto"/>
    </w:pPr>
    <w:rPr>
      <w:rFonts w:ascii="Arial" w:eastAsia="Times New Roman" w:hAnsi="Arial" w:cs="Arial"/>
      <w:sz w:val="24"/>
      <w:szCs w:val="24"/>
    </w:rPr>
  </w:style>
  <w:style w:type="paragraph" w:customStyle="1" w:styleId="CM20">
    <w:name w:val="CM20"/>
    <w:basedOn w:val="Normal"/>
    <w:next w:val="Normal"/>
    <w:rsid w:val="00440804"/>
    <w:pPr>
      <w:widowControl w:val="0"/>
      <w:autoSpaceDE w:val="0"/>
      <w:autoSpaceDN w:val="0"/>
      <w:adjustRightInd w:val="0"/>
      <w:spacing w:after="0" w:line="231" w:lineRule="atLeast"/>
    </w:pPr>
    <w:rPr>
      <w:rFonts w:ascii="Arial" w:eastAsia="Times New Roman" w:hAnsi="Arial" w:cs="Arial"/>
      <w:sz w:val="24"/>
      <w:szCs w:val="24"/>
    </w:rPr>
  </w:style>
  <w:style w:type="character" w:customStyle="1" w:styleId="DefaultChar">
    <w:name w:val="Default Char"/>
    <w:basedOn w:val="DefaultParagraphFont"/>
    <w:link w:val="Default"/>
    <w:locked/>
    <w:rsid w:val="00440804"/>
    <w:rPr>
      <w:rFonts w:ascii="Times New Roman" w:eastAsia="Calibri" w:hAnsi="Times New Roman" w:cs="Times New Roman"/>
      <w:color w:val="000000"/>
      <w:sz w:val="24"/>
      <w:szCs w:val="24"/>
    </w:rPr>
  </w:style>
  <w:style w:type="paragraph" w:customStyle="1" w:styleId="CM7">
    <w:name w:val="CM7"/>
    <w:basedOn w:val="Default"/>
    <w:next w:val="Default"/>
    <w:rsid w:val="00440804"/>
    <w:pPr>
      <w:widowControl w:val="0"/>
      <w:spacing w:line="231" w:lineRule="atLeast"/>
    </w:pPr>
    <w:rPr>
      <w:rFonts w:ascii="Arial" w:eastAsia="Times New Roman" w:hAnsi="Arial" w:cs="Arial"/>
      <w:color w:val="auto"/>
    </w:rPr>
  </w:style>
  <w:style w:type="paragraph" w:customStyle="1" w:styleId="CM46">
    <w:name w:val="CM46"/>
    <w:basedOn w:val="Default"/>
    <w:next w:val="Default"/>
    <w:rsid w:val="00440804"/>
    <w:pPr>
      <w:widowControl w:val="0"/>
      <w:spacing w:after="160"/>
    </w:pPr>
    <w:rPr>
      <w:rFonts w:ascii="Arial" w:eastAsia="Times New Roman" w:hAnsi="Arial" w:cs="Arial"/>
      <w:color w:val="auto"/>
    </w:rPr>
  </w:style>
  <w:style w:type="paragraph" w:customStyle="1" w:styleId="CM19">
    <w:name w:val="CM19"/>
    <w:basedOn w:val="Default"/>
    <w:next w:val="Default"/>
    <w:rsid w:val="00440804"/>
    <w:pPr>
      <w:widowControl w:val="0"/>
      <w:spacing w:line="228" w:lineRule="atLeast"/>
    </w:pPr>
    <w:rPr>
      <w:rFonts w:ascii="Arial" w:eastAsia="Times New Roman" w:hAnsi="Arial" w:cs="Arial"/>
      <w:color w:val="auto"/>
    </w:rPr>
  </w:style>
  <w:style w:type="paragraph" w:customStyle="1" w:styleId="CM21">
    <w:name w:val="CM21"/>
    <w:basedOn w:val="Default"/>
    <w:next w:val="Default"/>
    <w:rsid w:val="00440804"/>
    <w:pPr>
      <w:widowControl w:val="0"/>
      <w:spacing w:line="243" w:lineRule="atLeast"/>
    </w:pPr>
    <w:rPr>
      <w:rFonts w:ascii="Arial" w:eastAsia="Times New Roman" w:hAnsi="Arial" w:cs="Arial"/>
      <w:color w:val="auto"/>
    </w:rPr>
  </w:style>
  <w:style w:type="paragraph" w:customStyle="1" w:styleId="CM43">
    <w:name w:val="CM43"/>
    <w:basedOn w:val="Default"/>
    <w:next w:val="Default"/>
    <w:rsid w:val="00440804"/>
    <w:pPr>
      <w:widowControl w:val="0"/>
      <w:spacing w:after="223"/>
    </w:pPr>
    <w:rPr>
      <w:rFonts w:ascii="Arial" w:eastAsia="Times New Roman" w:hAnsi="Arial" w:cs="Arial"/>
      <w:color w:val="auto"/>
    </w:rPr>
  </w:style>
  <w:style w:type="paragraph" w:customStyle="1" w:styleId="CM22">
    <w:name w:val="CM22"/>
    <w:basedOn w:val="Default"/>
    <w:next w:val="Default"/>
    <w:rsid w:val="00440804"/>
    <w:pPr>
      <w:widowControl w:val="0"/>
      <w:spacing w:line="213" w:lineRule="atLeast"/>
    </w:pPr>
    <w:rPr>
      <w:rFonts w:ascii="Arial" w:eastAsia="Times New Roman" w:hAnsi="Arial" w:cs="Arial"/>
      <w:color w:val="auto"/>
    </w:rPr>
  </w:style>
  <w:style w:type="paragraph" w:customStyle="1" w:styleId="Tap-a">
    <w:name w:val="Tap-a"/>
    <w:basedOn w:val="Default"/>
    <w:link w:val="Tap-aChar"/>
    <w:rsid w:val="00440804"/>
    <w:pPr>
      <w:widowControl w:val="0"/>
      <w:tabs>
        <w:tab w:val="left" w:pos="900"/>
        <w:tab w:val="left" w:pos="2790"/>
        <w:tab w:val="left" w:pos="3119"/>
        <w:tab w:val="right" w:leader="dot" w:pos="7938"/>
      </w:tabs>
      <w:ind w:left="567"/>
    </w:pPr>
    <w:rPr>
      <w:rFonts w:ascii="Arial" w:eastAsia="Times New Roman" w:hAnsi="Arial"/>
      <w:lang w:val="fi-FI"/>
    </w:rPr>
  </w:style>
  <w:style w:type="character" w:customStyle="1" w:styleId="Tap-aChar">
    <w:name w:val="Tap-a Char"/>
    <w:basedOn w:val="DefaultChar"/>
    <w:link w:val="Tap-a"/>
    <w:locked/>
    <w:rsid w:val="00440804"/>
    <w:rPr>
      <w:rFonts w:ascii="Arial" w:eastAsia="Times New Roman" w:hAnsi="Arial" w:cs="Times New Roman"/>
      <w:color w:val="000000"/>
      <w:sz w:val="24"/>
      <w:szCs w:val="24"/>
      <w:lang w:val="fi-FI"/>
    </w:rPr>
  </w:style>
  <w:style w:type="character" w:customStyle="1" w:styleId="hps">
    <w:name w:val="hps"/>
    <w:basedOn w:val="DefaultParagraphFont"/>
    <w:rsid w:val="00440804"/>
  </w:style>
  <w:style w:type="character" w:customStyle="1" w:styleId="reference-text">
    <w:name w:val="reference-text"/>
    <w:basedOn w:val="DefaultParagraphFont"/>
    <w:rsid w:val="00440804"/>
  </w:style>
  <w:style w:type="character" w:customStyle="1" w:styleId="atn">
    <w:name w:val="atn"/>
    <w:basedOn w:val="DefaultParagraphFont"/>
    <w:rsid w:val="00440804"/>
  </w:style>
  <w:style w:type="character" w:customStyle="1" w:styleId="citation">
    <w:name w:val="citation"/>
    <w:basedOn w:val="DefaultParagraphFont"/>
    <w:rsid w:val="00440804"/>
  </w:style>
  <w:style w:type="character" w:customStyle="1" w:styleId="NormalWebChar">
    <w:name w:val="Normal (Web) Char"/>
    <w:aliases w:val=" Char Char"/>
    <w:link w:val="NormalWeb"/>
    <w:rsid w:val="00B97CB6"/>
    <w:rPr>
      <w:rFonts w:ascii="Times New Roman" w:eastAsia="Times New Roman" w:hAnsi="Times New Roman" w:cs="Times New Roman"/>
      <w:sz w:val="24"/>
      <w:szCs w:val="24"/>
    </w:rPr>
  </w:style>
  <w:style w:type="paragraph" w:customStyle="1" w:styleId="IEEEHeading2">
    <w:name w:val="IEEE Heading 2"/>
    <w:basedOn w:val="Normal"/>
    <w:next w:val="IEEEParagraph"/>
    <w:rsid w:val="00E360CE"/>
    <w:pPr>
      <w:numPr>
        <w:numId w:val="28"/>
      </w:numPr>
      <w:adjustRightInd w:val="0"/>
      <w:snapToGrid w:val="0"/>
      <w:spacing w:before="150" w:after="60" w:line="240" w:lineRule="auto"/>
    </w:pPr>
    <w:rPr>
      <w:rFonts w:ascii="Times New Roman" w:eastAsia="SimSun" w:hAnsi="Times New Roman" w:cs="Times New Roman"/>
      <w:i/>
      <w:sz w:val="20"/>
      <w:szCs w:val="24"/>
      <w:lang w:val="en-AU" w:eastAsia="zh-CN"/>
    </w:rPr>
  </w:style>
  <w:style w:type="paragraph" w:customStyle="1" w:styleId="IEEETableHeaderLeft-Justified">
    <w:name w:val="IEEE Table Header Left-Justified"/>
    <w:basedOn w:val="Normal"/>
    <w:rsid w:val="00E360CE"/>
    <w:pPr>
      <w:adjustRightInd w:val="0"/>
      <w:snapToGrid w:val="0"/>
      <w:spacing w:after="0" w:line="240" w:lineRule="auto"/>
    </w:pPr>
    <w:rPr>
      <w:rFonts w:ascii="Times New Roman" w:eastAsia="SimSun" w:hAnsi="Times New Roman" w:cs="Times New Roman"/>
      <w:b/>
      <w:bCs/>
      <w:sz w:val="18"/>
      <w:szCs w:val="24"/>
      <w:lang w:val="en-AU"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hyperlink" Target="http://en.wikipedia.org/wiki/Deepwater_Horizon" TargetMode="External"/><Relationship Id="rId21" Type="http://schemas.openxmlformats.org/officeDocument/2006/relationships/image" Target="media/image14.jpeg"/><Relationship Id="rId34" Type="http://schemas.openxmlformats.org/officeDocument/2006/relationships/image" Target="media/image24.png"/><Relationship Id="rId42"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hyperlink" Target="https://en.wikipedia.org/wiki/Technical_feasibility" TargetMode="External"/><Relationship Id="rId37" Type="http://schemas.openxmlformats.org/officeDocument/2006/relationships/hyperlink" Target="http://www.cortlandcompany.com/sites/default/files/downloads/media/product-data-sheets-vectran-12-strand.pdf" TargetMode="External"/><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oleObject" Target="embeddings/oleObject1.bin"/><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hyperlink" Target="https://en.wikipedia.org/wiki/Resources"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hyperlink" Target="https://en.wikipedia.org/wiki/Natural_environment" TargetMode="External"/><Relationship Id="rId35" Type="http://schemas.openxmlformats.org/officeDocument/2006/relationships/image" Target="media/image25.png"/><Relationship Id="rId43" Type="http://schemas.openxmlformats.org/officeDocument/2006/relationships/theme" Target="theme/theme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3.jpeg"/><Relationship Id="rId38" Type="http://schemas.openxmlformats.org/officeDocument/2006/relationships/hyperlink" Target="http://www.rsaqua.co.uk/uploads/pdfs/Products/SubCtech/Li-Ion/Brochure_PowerPack_1600Wh.pdf" TargetMode="External"/></Relationships>
</file>

<file path=word/_rels/footer1.xml.rels><?xml version="1.0" encoding="UTF-8" standalone="yes"?>
<Relationships xmlns="http://schemas.openxmlformats.org/package/2006/relationships"><Relationship Id="rId1" Type="http://schemas.openxmlformats.org/officeDocument/2006/relationships/hyperlink" Target="http://www.ijesrt.com"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6.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D5C5293-9E7D-40FA-904C-6452B82FF6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18</Pages>
  <Words>5363</Words>
  <Characters>30571</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35863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MIFIS CONCEPT: A PRINCIPAL INVESTIGATION FOR BLOW-OUT RECOVERY</dc:title>
  <dc:subject/>
  <dc:creator>Rampyari</dc:creator>
  <cp:keywords/>
  <dc:description/>
  <cp:lastModifiedBy>Rampyari</cp:lastModifiedBy>
  <cp:revision>4</cp:revision>
  <dcterms:created xsi:type="dcterms:W3CDTF">2016-10-26T07:08:00Z</dcterms:created>
  <dcterms:modified xsi:type="dcterms:W3CDTF">2016-10-26T08:09:00Z</dcterms:modified>
</cp:coreProperties>
</file>