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308E9" w:rsidRDefault="00000000">
      <w:pPr>
        <w:keepNext/>
        <w:keepLines/>
        <w:spacing w:before="64" w:after="0"/>
        <w:ind w:right="-20"/>
      </w:pPr>
      <w:r>
        <w:rPr>
          <w:b/>
          <w:color w:val="000000"/>
        </w:rPr>
        <w:t>Session Plan</w:t>
      </w:r>
    </w:p>
    <w:p w:rsidR="00D308E9" w:rsidRDefault="00000000">
      <w:pPr>
        <w:keepNext/>
        <w:keepLines/>
        <w:spacing w:before="64" w:after="0"/>
        <w:ind w:left="725" w:right="-20"/>
      </w:pPr>
      <w:r>
        <w:rPr>
          <w:b/>
          <w:color w:val="D12034"/>
        </w:rPr>
        <w:t xml:space="preserve"> </w:t>
      </w:r>
    </w:p>
    <w:tbl>
      <w:tblPr>
        <w:tblStyle w:val="a4"/>
        <w:tblW w:w="12240" w:type="dxa"/>
        <w:tblLayout w:type="fixed"/>
        <w:tblLook w:val="0600" w:firstRow="0" w:lastRow="0" w:firstColumn="0" w:lastColumn="0" w:noHBand="1" w:noVBand="1"/>
      </w:tblPr>
      <w:tblGrid>
        <w:gridCol w:w="2040"/>
        <w:gridCol w:w="2235"/>
        <w:gridCol w:w="2445"/>
        <w:gridCol w:w="5520"/>
      </w:tblGrid>
      <w:tr w:rsidR="00D308E9">
        <w:trPr>
          <w:trHeight w:val="780"/>
        </w:trPr>
        <w:tc>
          <w:tcPr>
            <w:tcW w:w="20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jc w:val="both"/>
            </w:pPr>
            <w:r>
              <w:rPr>
                <w:b/>
                <w:color w:val="000000"/>
              </w:rPr>
              <w:t>Session Name:</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pPr>
            <w:r>
              <w:t xml:space="preserve">The Ethics of Sharing Fieldwork Data </w:t>
            </w:r>
            <w:r w:rsidR="00222E55">
              <w:t>and the CARE Principles</w:t>
            </w:r>
          </w:p>
        </w:tc>
        <w:tc>
          <w:tcPr>
            <w:tcW w:w="24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ind w:left="90"/>
            </w:pPr>
            <w:r>
              <w:rPr>
                <w:b/>
                <w:color w:val="000000"/>
              </w:rPr>
              <w:t xml:space="preserve">Duration: </w:t>
            </w:r>
          </w:p>
        </w:tc>
        <w:tc>
          <w:tcPr>
            <w:tcW w:w="55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rPr>
                <w:color w:val="000000"/>
              </w:rPr>
            </w:pPr>
            <w:r>
              <w:rPr>
                <w:color w:val="000000"/>
              </w:rPr>
              <w:t xml:space="preserve"> 4 hours total, with one 20-minute and one 10-minute break in between</w:t>
            </w:r>
          </w:p>
        </w:tc>
      </w:tr>
      <w:tr w:rsidR="00D308E9">
        <w:trPr>
          <w:trHeight w:val="420"/>
        </w:trPr>
        <w:tc>
          <w:tcPr>
            <w:tcW w:w="20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jc w:val="both"/>
            </w:pPr>
            <w:r>
              <w:rPr>
                <w:b/>
                <w:color w:val="000000"/>
              </w:rPr>
              <w:t>Date:</w:t>
            </w:r>
          </w:p>
        </w:tc>
        <w:tc>
          <w:tcPr>
            <w:tcW w:w="1020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pPr>
            <w:r>
              <w:t>8 May 2025, 13.00 - 17.00</w:t>
            </w:r>
          </w:p>
        </w:tc>
      </w:tr>
      <w:tr w:rsidR="00D308E9" w:rsidRPr="00222E55">
        <w:trPr>
          <w:trHeight w:val="420"/>
        </w:trPr>
        <w:tc>
          <w:tcPr>
            <w:tcW w:w="20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jc w:val="both"/>
            </w:pPr>
            <w:r>
              <w:rPr>
                <w:b/>
                <w:color w:val="000000"/>
              </w:rPr>
              <w:t>Location:</w:t>
            </w:r>
          </w:p>
        </w:tc>
        <w:tc>
          <w:tcPr>
            <w:tcW w:w="1020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Pr="00C12288" w:rsidRDefault="00000000">
            <w:pPr>
              <w:spacing w:after="0"/>
              <w:rPr>
                <w:lang w:val="nl-NL"/>
              </w:rPr>
            </w:pPr>
            <w:r w:rsidRPr="00C12288">
              <w:rPr>
                <w:lang w:val="nl-NL"/>
              </w:rPr>
              <w:t xml:space="preserve">International </w:t>
            </w:r>
            <w:proofErr w:type="spellStart"/>
            <w:r w:rsidRPr="00C12288">
              <w:rPr>
                <w:lang w:val="nl-NL"/>
              </w:rPr>
              <w:t>Institute</w:t>
            </w:r>
            <w:proofErr w:type="spellEnd"/>
            <w:r w:rsidRPr="00C12288">
              <w:rPr>
                <w:lang w:val="nl-NL"/>
              </w:rPr>
              <w:t xml:space="preserve"> of </w:t>
            </w:r>
            <w:proofErr w:type="spellStart"/>
            <w:r w:rsidRPr="00C12288">
              <w:rPr>
                <w:lang w:val="nl-NL"/>
              </w:rPr>
              <w:t>Social</w:t>
            </w:r>
            <w:proofErr w:type="spellEnd"/>
            <w:r w:rsidRPr="00C12288">
              <w:rPr>
                <w:lang w:val="nl-NL"/>
              </w:rPr>
              <w:t xml:space="preserve"> Studies, </w:t>
            </w:r>
            <w:hyperlink r:id="rId5">
              <w:proofErr w:type="spellStart"/>
              <w:r w:rsidRPr="00C12288">
                <w:rPr>
                  <w:color w:val="467886"/>
                  <w:u w:val="single"/>
                  <w:lang w:val="nl-NL"/>
                </w:rPr>
                <w:t>Kortenaerkade</w:t>
              </w:r>
              <w:proofErr w:type="spellEnd"/>
              <w:r w:rsidRPr="00C12288">
                <w:rPr>
                  <w:color w:val="467886"/>
                  <w:u w:val="single"/>
                  <w:lang w:val="nl-NL"/>
                </w:rPr>
                <w:t xml:space="preserve"> 12, Den Haag</w:t>
              </w:r>
            </w:hyperlink>
          </w:p>
        </w:tc>
      </w:tr>
      <w:tr w:rsidR="00D308E9">
        <w:trPr>
          <w:trHeight w:val="420"/>
        </w:trPr>
        <w:tc>
          <w:tcPr>
            <w:tcW w:w="20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jc w:val="both"/>
            </w:pPr>
            <w:r>
              <w:rPr>
                <w:b/>
                <w:color w:val="000000"/>
              </w:rPr>
              <w:t>Audience:</w:t>
            </w:r>
          </w:p>
        </w:tc>
        <w:tc>
          <w:tcPr>
            <w:tcW w:w="1020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pPr>
            <w:r>
              <w:t>PhD candidates, Early Career Researchers</w:t>
            </w:r>
          </w:p>
        </w:tc>
      </w:tr>
      <w:tr w:rsidR="00D308E9" w:rsidRPr="00C12288">
        <w:trPr>
          <w:trHeight w:val="420"/>
        </w:trPr>
        <w:tc>
          <w:tcPr>
            <w:tcW w:w="20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jc w:val="both"/>
            </w:pPr>
            <w:r>
              <w:rPr>
                <w:b/>
                <w:color w:val="000000"/>
              </w:rPr>
              <w:t>Facilitators:</w:t>
            </w:r>
          </w:p>
        </w:tc>
        <w:tc>
          <w:tcPr>
            <w:tcW w:w="1020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Pr="00C12288" w:rsidRDefault="00000000">
            <w:pPr>
              <w:spacing w:after="0"/>
            </w:pPr>
            <w:r w:rsidRPr="00C12288">
              <w:t xml:space="preserve">Bora </w:t>
            </w:r>
            <w:proofErr w:type="spellStart"/>
            <w:r w:rsidRPr="00C12288">
              <w:t>Lushaj</w:t>
            </w:r>
            <w:proofErr w:type="spellEnd"/>
            <w:r w:rsidRPr="00C12288">
              <w:t xml:space="preserve">, Tijs </w:t>
            </w:r>
            <w:proofErr w:type="spellStart"/>
            <w:r w:rsidRPr="00C12288">
              <w:t>Gelens</w:t>
            </w:r>
            <w:proofErr w:type="spellEnd"/>
            <w:r w:rsidRPr="00C12288">
              <w:t xml:space="preserve">, Jing-Yi </w:t>
            </w:r>
            <w:proofErr w:type="spellStart"/>
            <w:r w:rsidRPr="00C12288">
              <w:t>Magraw</w:t>
            </w:r>
            <w:proofErr w:type="spellEnd"/>
            <w:r w:rsidR="00C12288" w:rsidRPr="00C12288">
              <w:t xml:space="preserve">, </w:t>
            </w:r>
            <w:proofErr w:type="spellStart"/>
            <w:r w:rsidR="00C12288" w:rsidRPr="00C12288">
              <w:t>Anka</w:t>
            </w:r>
            <w:proofErr w:type="spellEnd"/>
            <w:r w:rsidR="00C12288" w:rsidRPr="00C12288">
              <w:t xml:space="preserve"> Mos, </w:t>
            </w:r>
            <w:proofErr w:type="spellStart"/>
            <w:r w:rsidR="00C12288" w:rsidRPr="00C12288">
              <w:t>Rafeek</w:t>
            </w:r>
            <w:proofErr w:type="spellEnd"/>
            <w:r w:rsidR="00C12288" w:rsidRPr="00C12288">
              <w:t xml:space="preserve">-Carmelo </w:t>
            </w:r>
            <w:proofErr w:type="spellStart"/>
            <w:r w:rsidR="00C12288" w:rsidRPr="00C12288">
              <w:t>Balou</w:t>
            </w:r>
            <w:r w:rsidR="00C12288">
              <w:t>m</w:t>
            </w:r>
            <w:proofErr w:type="spellEnd"/>
            <w:r w:rsidR="00C12288">
              <w:t xml:space="preserve">, Beatrice </w:t>
            </w:r>
            <w:proofErr w:type="spellStart"/>
            <w:r w:rsidR="00C12288">
              <w:t>Hati</w:t>
            </w:r>
            <w:proofErr w:type="spellEnd"/>
            <w:r w:rsidR="00C12288">
              <w:t xml:space="preserve"> </w:t>
            </w:r>
            <w:proofErr w:type="spellStart"/>
            <w:r w:rsidR="00C12288">
              <w:t>Gitundu</w:t>
            </w:r>
            <w:proofErr w:type="spellEnd"/>
          </w:p>
        </w:tc>
      </w:tr>
      <w:tr w:rsidR="00D308E9">
        <w:trPr>
          <w:trHeight w:val="420"/>
        </w:trPr>
        <w:tc>
          <w:tcPr>
            <w:tcW w:w="20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jc w:val="both"/>
            </w:pPr>
            <w:r>
              <w:rPr>
                <w:b/>
                <w:color w:val="000000"/>
              </w:rPr>
              <w:t>Level:</w:t>
            </w:r>
          </w:p>
        </w:tc>
        <w:tc>
          <w:tcPr>
            <w:tcW w:w="1020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pPr>
            <w:r>
              <w:rPr>
                <w:i/>
                <w:color w:val="000000"/>
              </w:rPr>
              <w:t>Beginner</w:t>
            </w:r>
          </w:p>
        </w:tc>
      </w:tr>
      <w:tr w:rsidR="00D308E9">
        <w:trPr>
          <w:trHeight w:val="420"/>
        </w:trPr>
        <w:tc>
          <w:tcPr>
            <w:tcW w:w="20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jc w:val="both"/>
            </w:pPr>
            <w:r>
              <w:rPr>
                <w:b/>
                <w:color w:val="000000"/>
              </w:rPr>
              <w:t xml:space="preserve">Language: </w:t>
            </w:r>
          </w:p>
        </w:tc>
        <w:tc>
          <w:tcPr>
            <w:tcW w:w="1020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pPr>
            <w:r>
              <w:rPr>
                <w:color w:val="000000"/>
              </w:rPr>
              <w:t>English</w:t>
            </w:r>
          </w:p>
        </w:tc>
      </w:tr>
      <w:tr w:rsidR="00D308E9">
        <w:trPr>
          <w:trHeight w:val="435"/>
        </w:trPr>
        <w:tc>
          <w:tcPr>
            <w:tcW w:w="20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jc w:val="both"/>
            </w:pPr>
            <w:r>
              <w:rPr>
                <w:b/>
                <w:color w:val="000000"/>
              </w:rPr>
              <w:t>Topics:</w:t>
            </w:r>
          </w:p>
        </w:tc>
        <w:tc>
          <w:tcPr>
            <w:tcW w:w="1020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pPr>
            <w:r>
              <w:t>CARE Principles, Ethics in Fieldwork, Community data, Collective Benefit, Data Governance, Responsibility, Research Impact</w:t>
            </w:r>
          </w:p>
        </w:tc>
      </w:tr>
      <w:tr w:rsidR="00D308E9">
        <w:trPr>
          <w:trHeight w:val="435"/>
        </w:trPr>
        <w:tc>
          <w:tcPr>
            <w:tcW w:w="20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jc w:val="both"/>
            </w:pPr>
            <w:r>
              <w:rPr>
                <w:b/>
                <w:color w:val="000000"/>
              </w:rPr>
              <w:t>Summary:</w:t>
            </w:r>
          </w:p>
        </w:tc>
        <w:tc>
          <w:tcPr>
            <w:tcW w:w="1020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before="240" w:after="240"/>
            </w:pPr>
            <w:r>
              <w:t xml:space="preserve">The CARE Principles are a framework for the governance of data collected in indigenous communities worldwide. These principles – Collective Benefit, Authority to Control, Responsibility, and Ethics – serve as high-level guidelines that can be adapted and implemented to respect the unique contexts and needs of particular indigenous communities. At the same </w:t>
            </w:r>
            <w:r>
              <w:lastRenderedPageBreak/>
              <w:t xml:space="preserve">time, these principles feed also into broader conversations about the governance and sharing of data collected in wide-ranging fieldwork contexts. </w:t>
            </w:r>
          </w:p>
          <w:p w:rsidR="00D308E9" w:rsidRDefault="00000000">
            <w:pPr>
              <w:spacing w:before="240" w:after="240"/>
            </w:pPr>
            <w:r>
              <w:t>The workshop is designed to be both informative and interactive. In the first part, participants explore how the CARE principles relate to participatory research, gain insight into how the Ethics Review process addresses CARE elements, and learn about the legal frameworks Dutch research institutions use for data governance and sharing.</w:t>
            </w:r>
          </w:p>
          <w:p w:rsidR="00D308E9" w:rsidRDefault="00000000">
            <w:pPr>
              <w:spacing w:before="240" w:after="240"/>
            </w:pPr>
            <w:r>
              <w:t xml:space="preserve">The second part invites participants to actively engage in working groups guided by experienced researchers from the International Institute of Social Studies. Together, they will dive into three key CARE dimensions—Collective Benefit, Authority to Control, and Responsibility—through discussion and hands-on exploration. </w:t>
            </w:r>
          </w:p>
          <w:p w:rsidR="00D308E9" w:rsidRDefault="00000000">
            <w:pPr>
              <w:spacing w:before="240" w:after="240"/>
            </w:pPr>
            <w:r>
              <w:t>The session concludes with an invitation to storytelling, where participants can share their own fieldwork experiences and learn from each other.</w:t>
            </w:r>
          </w:p>
          <w:p w:rsidR="00D308E9" w:rsidRDefault="00000000">
            <w:pPr>
              <w:spacing w:before="240" w:after="240"/>
            </w:pPr>
            <w:r>
              <w:t xml:space="preserve">The session is highly interactive and encourages participants to suggest viable pathways to address these elements in their own research contexts. As such, while mainly focused on the Dutch Higher Education sector, this training format is likely to benefit users in other EEA countries or further abroad. </w:t>
            </w:r>
          </w:p>
        </w:tc>
      </w:tr>
    </w:tbl>
    <w:p w:rsidR="00D308E9" w:rsidRDefault="00D308E9">
      <w:pPr>
        <w:widowControl w:val="0"/>
        <w:pBdr>
          <w:top w:val="nil"/>
          <w:left w:val="nil"/>
          <w:bottom w:val="nil"/>
          <w:right w:val="nil"/>
          <w:between w:val="nil"/>
        </w:pBdr>
        <w:spacing w:after="0" w:line="276" w:lineRule="auto"/>
      </w:pPr>
    </w:p>
    <w:p w:rsidR="00C12288" w:rsidRDefault="00C12288">
      <w:pPr>
        <w:widowControl w:val="0"/>
        <w:pBdr>
          <w:top w:val="nil"/>
          <w:left w:val="nil"/>
          <w:bottom w:val="nil"/>
          <w:right w:val="nil"/>
          <w:between w:val="nil"/>
        </w:pBdr>
        <w:spacing w:after="0" w:line="276" w:lineRule="auto"/>
      </w:pPr>
    </w:p>
    <w:tbl>
      <w:tblPr>
        <w:tblStyle w:val="a5"/>
        <w:tblpPr w:leftFromText="180" w:rightFromText="180" w:vertAnchor="text" w:tblpY="1337"/>
        <w:tblW w:w="9960" w:type="dxa"/>
        <w:tblLayout w:type="fixed"/>
        <w:tblLook w:val="0600" w:firstRow="0" w:lastRow="0" w:firstColumn="0" w:lastColumn="0" w:noHBand="1" w:noVBand="1"/>
      </w:tblPr>
      <w:tblGrid>
        <w:gridCol w:w="630"/>
        <w:gridCol w:w="9330"/>
      </w:tblGrid>
      <w:tr w:rsidR="00D308E9">
        <w:trPr>
          <w:trHeight w:val="300"/>
        </w:trPr>
        <w:tc>
          <w:tcPr>
            <w:tcW w:w="996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ind w:left="-20" w:right="-20"/>
              <w:jc w:val="center"/>
              <w:rPr>
                <w:b/>
                <w:color w:val="000000"/>
              </w:rPr>
            </w:pPr>
            <w:r>
              <w:rPr>
                <w:b/>
                <w:color w:val="000000"/>
              </w:rPr>
              <w:lastRenderedPageBreak/>
              <w:t>Learning outcomes:</w:t>
            </w:r>
          </w:p>
          <w:p w:rsidR="00D308E9" w:rsidRDefault="00000000">
            <w:pPr>
              <w:spacing w:after="0"/>
              <w:ind w:left="-20" w:right="-20"/>
              <w:rPr>
                <w:color w:val="000000"/>
              </w:rPr>
            </w:pPr>
            <w:r>
              <w:rPr>
                <w:color w:val="000000"/>
              </w:rPr>
              <w:t>By the end of the workshop, participants will be able to:</w:t>
            </w:r>
          </w:p>
        </w:tc>
      </w:tr>
      <w:tr w:rsidR="00D308E9">
        <w:trPr>
          <w:trHeight w:val="870"/>
        </w:trPr>
        <w:tc>
          <w:tcPr>
            <w:tcW w:w="63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ind w:left="-20" w:right="-20"/>
            </w:pPr>
            <w:r>
              <w:rPr>
                <w:b/>
                <w:color w:val="000000"/>
              </w:rPr>
              <w:t>1.</w:t>
            </w:r>
          </w:p>
        </w:tc>
        <w:tc>
          <w:tcPr>
            <w:tcW w:w="933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rPr>
                <w:color w:val="000000"/>
              </w:rPr>
            </w:pPr>
            <w:r>
              <w:rPr>
                <w:color w:val="000000"/>
              </w:rPr>
              <w:t>Outline the CARE principles and discuss how these fit with participatory and engaged research methods.</w:t>
            </w:r>
          </w:p>
        </w:tc>
      </w:tr>
      <w:tr w:rsidR="00D308E9">
        <w:trPr>
          <w:trHeight w:val="300"/>
        </w:trPr>
        <w:tc>
          <w:tcPr>
            <w:tcW w:w="63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ind w:left="-20" w:right="-20"/>
            </w:pPr>
            <w:r>
              <w:rPr>
                <w:b/>
                <w:color w:val="000000"/>
              </w:rPr>
              <w:t>2.</w:t>
            </w:r>
          </w:p>
        </w:tc>
        <w:tc>
          <w:tcPr>
            <w:tcW w:w="933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rPr>
                <w:color w:val="000000"/>
              </w:rPr>
            </w:pPr>
            <w:r>
              <w:rPr>
                <w:color w:val="000000"/>
              </w:rPr>
              <w:t xml:space="preserve">Describe and illustrate the inherent uncertainty of the research lifecycle, especially in relation to the Ethics Review process. </w:t>
            </w:r>
          </w:p>
        </w:tc>
      </w:tr>
      <w:tr w:rsidR="00D308E9">
        <w:trPr>
          <w:trHeight w:val="300"/>
        </w:trPr>
        <w:tc>
          <w:tcPr>
            <w:tcW w:w="63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ind w:left="-20" w:right="-20"/>
            </w:pPr>
            <w:r>
              <w:rPr>
                <w:b/>
                <w:color w:val="000000"/>
              </w:rPr>
              <w:t>3.</w:t>
            </w:r>
          </w:p>
        </w:tc>
        <w:tc>
          <w:tcPr>
            <w:tcW w:w="933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rPr>
                <w:color w:val="000000"/>
              </w:rPr>
            </w:pPr>
            <w:r>
              <w:rPr>
                <w:color w:val="000000"/>
              </w:rPr>
              <w:t xml:space="preserve">Summarize the types of legal agreements on data governance that researchers themselves can consider discussing with communities, and their </w:t>
            </w:r>
            <w:r>
              <w:t>applicability.</w:t>
            </w:r>
            <w:r>
              <w:rPr>
                <w:color w:val="000000"/>
              </w:rPr>
              <w:t xml:space="preserve"> </w:t>
            </w:r>
          </w:p>
        </w:tc>
      </w:tr>
      <w:tr w:rsidR="00D308E9">
        <w:trPr>
          <w:trHeight w:val="300"/>
        </w:trPr>
        <w:tc>
          <w:tcPr>
            <w:tcW w:w="63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ind w:left="-20" w:right="-20"/>
            </w:pPr>
            <w:r>
              <w:rPr>
                <w:b/>
                <w:color w:val="000000"/>
              </w:rPr>
              <w:t>4.</w:t>
            </w:r>
          </w:p>
        </w:tc>
        <w:tc>
          <w:tcPr>
            <w:tcW w:w="933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spacing w:after="0"/>
            </w:pPr>
            <w:r>
              <w:t xml:space="preserve">Discuss at depth and interpret different elements of CARE and create feasible paths for their implementation in their own contexts </w:t>
            </w:r>
          </w:p>
        </w:tc>
      </w:tr>
      <w:tr w:rsidR="00D308E9">
        <w:trPr>
          <w:trHeight w:val="300"/>
        </w:trPr>
        <w:tc>
          <w:tcPr>
            <w:tcW w:w="63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pPr>
              <w:rPr>
                <w:b/>
                <w:color w:val="000000"/>
              </w:rPr>
            </w:pPr>
            <w:r>
              <w:rPr>
                <w:b/>
                <w:color w:val="000000"/>
              </w:rPr>
              <w:t xml:space="preserve">5. </w:t>
            </w:r>
          </w:p>
        </w:tc>
        <w:tc>
          <w:tcPr>
            <w:tcW w:w="933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308E9" w:rsidRDefault="00000000">
            <w:r>
              <w:t>Share and learn from other participants’ experiences on the human side of fieldwork</w:t>
            </w:r>
          </w:p>
        </w:tc>
      </w:tr>
    </w:tbl>
    <w:p w:rsidR="00D308E9" w:rsidRDefault="00000000">
      <w:pPr>
        <w:keepNext/>
        <w:keepLines/>
        <w:spacing w:before="64" w:after="0"/>
        <w:ind w:left="725" w:right="750"/>
      </w:pPr>
      <w:r>
        <w:rPr>
          <w:b/>
          <w:color w:val="00989E"/>
        </w:rPr>
        <w:t xml:space="preserve"> </w:t>
      </w:r>
    </w:p>
    <w:p w:rsidR="00D308E9" w:rsidRDefault="00000000">
      <w:r>
        <w:br w:type="page"/>
      </w:r>
    </w:p>
    <w:tbl>
      <w:tblPr>
        <w:tblStyle w:val="a6"/>
        <w:tblW w:w="12875" w:type="dxa"/>
        <w:tblLayout w:type="fixed"/>
        <w:tblLook w:val="0400" w:firstRow="0" w:lastRow="0" w:firstColumn="0" w:lastColumn="0" w:noHBand="0" w:noVBand="1"/>
      </w:tblPr>
      <w:tblGrid>
        <w:gridCol w:w="1860"/>
        <w:gridCol w:w="1800"/>
        <w:gridCol w:w="3945"/>
        <w:gridCol w:w="1962"/>
        <w:gridCol w:w="3308"/>
      </w:tblGrid>
      <w:tr w:rsidR="00D308E9">
        <w:trPr>
          <w:trHeight w:val="1095"/>
        </w:trPr>
        <w:tc>
          <w:tcPr>
            <w:tcW w:w="1860" w:type="dxa"/>
            <w:tcBorders>
              <w:top w:val="single" w:sz="6" w:space="0" w:color="000000"/>
              <w:left w:val="single" w:sz="6"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pPr>
            <w:r>
              <w:rPr>
                <w:b/>
                <w:color w:val="000000"/>
              </w:rPr>
              <w:lastRenderedPageBreak/>
              <w:t>Time/</w:t>
            </w:r>
          </w:p>
          <w:p w:rsidR="00D308E9" w:rsidRDefault="00000000">
            <w:pPr>
              <w:spacing w:after="0" w:line="240" w:lineRule="auto"/>
            </w:pPr>
            <w:r>
              <w:rPr>
                <w:b/>
                <w:color w:val="000000"/>
              </w:rPr>
              <w:t>Duration</w:t>
            </w:r>
          </w:p>
        </w:tc>
        <w:tc>
          <w:tcPr>
            <w:tcW w:w="1800" w:type="dxa"/>
            <w:tcBorders>
              <w:top w:val="single" w:sz="6"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pPr>
            <w:r>
              <w:rPr>
                <w:b/>
                <w:color w:val="000000"/>
              </w:rPr>
              <w:t>Topic</w:t>
            </w:r>
          </w:p>
        </w:tc>
        <w:tc>
          <w:tcPr>
            <w:tcW w:w="3945" w:type="dxa"/>
            <w:tcBorders>
              <w:top w:val="single" w:sz="6"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pPr>
            <w:r>
              <w:rPr>
                <w:b/>
                <w:color w:val="000000"/>
              </w:rPr>
              <w:t>Instructional activity</w:t>
            </w:r>
          </w:p>
        </w:tc>
        <w:tc>
          <w:tcPr>
            <w:tcW w:w="1962" w:type="dxa"/>
            <w:tcBorders>
              <w:top w:val="single" w:sz="6"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pPr>
            <w:r>
              <w:rPr>
                <w:b/>
                <w:color w:val="000000"/>
              </w:rPr>
              <w:t>Learner activity</w:t>
            </w:r>
          </w:p>
        </w:tc>
        <w:tc>
          <w:tcPr>
            <w:tcW w:w="3308" w:type="dxa"/>
            <w:tcBorders>
              <w:top w:val="single" w:sz="6" w:space="0" w:color="000000"/>
              <w:left w:val="single" w:sz="4" w:space="0" w:color="000000"/>
              <w:bottom w:val="single" w:sz="4" w:space="0" w:color="000000"/>
              <w:right w:val="single" w:sz="6" w:space="0" w:color="000000"/>
            </w:tcBorders>
            <w:tcMar>
              <w:top w:w="0" w:type="dxa"/>
              <w:left w:w="105" w:type="dxa"/>
              <w:bottom w:w="0" w:type="dxa"/>
              <w:right w:w="105" w:type="dxa"/>
            </w:tcMar>
          </w:tcPr>
          <w:p w:rsidR="00D308E9" w:rsidRDefault="00000000">
            <w:pPr>
              <w:spacing w:after="0" w:line="240" w:lineRule="auto"/>
            </w:pPr>
            <w:r>
              <w:rPr>
                <w:b/>
                <w:color w:val="000000"/>
              </w:rPr>
              <w:t>Resources</w:t>
            </w:r>
          </w:p>
        </w:tc>
      </w:tr>
      <w:tr w:rsidR="00D308E9">
        <w:trPr>
          <w:trHeight w:val="300"/>
        </w:trPr>
        <w:tc>
          <w:tcPr>
            <w:tcW w:w="1860" w:type="dxa"/>
            <w:tcBorders>
              <w:top w:val="single" w:sz="4" w:space="0" w:color="000000"/>
              <w:left w:val="single" w:sz="6" w:space="0" w:color="000000"/>
              <w:bottom w:val="single" w:sz="4" w:space="0" w:color="000000"/>
              <w:right w:val="single" w:sz="4" w:space="0" w:color="000000"/>
            </w:tcBorders>
            <w:tcMar>
              <w:top w:w="0" w:type="dxa"/>
              <w:left w:w="105" w:type="dxa"/>
              <w:bottom w:w="0" w:type="dxa"/>
              <w:right w:w="105" w:type="dxa"/>
            </w:tcMar>
          </w:tcPr>
          <w:p w:rsidR="00D308E9" w:rsidRDefault="00D308E9">
            <w:pPr>
              <w:spacing w:after="0" w:line="240" w:lineRule="auto"/>
            </w:pPr>
          </w:p>
          <w:p w:rsidR="00D308E9" w:rsidRDefault="00D308E9">
            <w:pPr>
              <w:spacing w:after="0" w:line="240" w:lineRule="auto"/>
            </w:pPr>
          </w:p>
          <w:p w:rsidR="00D308E9" w:rsidRDefault="00000000">
            <w:pPr>
              <w:spacing w:after="0" w:line="240" w:lineRule="auto"/>
              <w:rPr>
                <w:i/>
                <w:color w:val="000000"/>
              </w:rPr>
            </w:pPr>
            <w:r>
              <w:rPr>
                <w:i/>
                <w:color w:val="000000"/>
              </w:rPr>
              <w:t>13.00</w:t>
            </w:r>
          </w:p>
        </w:tc>
        <w:tc>
          <w:tcPr>
            <w:tcW w:w="1800"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pPr>
            <w:r>
              <w:rPr>
                <w:color w:val="000000"/>
              </w:rPr>
              <w:t xml:space="preserve">Introduction </w:t>
            </w:r>
          </w:p>
        </w:tc>
        <w:tc>
          <w:tcPr>
            <w:tcW w:w="3945"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rPr>
                <w:color w:val="000000"/>
              </w:rPr>
            </w:pPr>
            <w:r>
              <w:rPr>
                <w:color w:val="000000"/>
              </w:rPr>
              <w:t xml:space="preserve">Introduction and Outline the CARE principles and discuss how these fit with participatory and engaged research methods </w:t>
            </w:r>
          </w:p>
          <w:p w:rsidR="00D308E9" w:rsidRDefault="00D308E9">
            <w:pPr>
              <w:spacing w:after="0" w:line="240" w:lineRule="auto"/>
            </w:pPr>
          </w:p>
          <w:p w:rsidR="00D308E9" w:rsidRDefault="00000000">
            <w:pPr>
              <w:spacing w:after="0" w:line="240" w:lineRule="auto"/>
            </w:pPr>
            <w:r>
              <w:rPr>
                <w:b/>
              </w:rPr>
              <w:t>Bora</w:t>
            </w:r>
          </w:p>
        </w:tc>
        <w:tc>
          <w:tcPr>
            <w:tcW w:w="1962"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rPr>
                <w:color w:val="000000"/>
              </w:rPr>
            </w:pPr>
            <w:r>
              <w:rPr>
                <w:color w:val="000000"/>
              </w:rPr>
              <w:t>Listening to presentation</w:t>
            </w:r>
          </w:p>
          <w:p w:rsidR="00D308E9" w:rsidRDefault="00D308E9">
            <w:pPr>
              <w:spacing w:after="0" w:line="240" w:lineRule="auto"/>
            </w:pPr>
          </w:p>
          <w:p w:rsidR="00D308E9" w:rsidRDefault="00000000">
            <w:pPr>
              <w:spacing w:after="0" w:line="240" w:lineRule="auto"/>
            </w:pPr>
            <w:r>
              <w:rPr>
                <w:color w:val="000000"/>
              </w:rPr>
              <w:t>Asking questions</w:t>
            </w:r>
          </w:p>
        </w:tc>
        <w:tc>
          <w:tcPr>
            <w:tcW w:w="3308"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pPr>
            <w:r>
              <w:rPr>
                <w:color w:val="000000"/>
              </w:rPr>
              <w:t>Slides; gauge knowledge of participants as well with green/red cards</w:t>
            </w:r>
          </w:p>
          <w:p w:rsidR="00D308E9" w:rsidRDefault="00D308E9">
            <w:pPr>
              <w:spacing w:after="0" w:line="240" w:lineRule="auto"/>
            </w:pPr>
          </w:p>
        </w:tc>
      </w:tr>
      <w:tr w:rsidR="00D308E9">
        <w:trPr>
          <w:trHeight w:val="300"/>
        </w:trPr>
        <w:tc>
          <w:tcPr>
            <w:tcW w:w="1860" w:type="dxa"/>
            <w:tcBorders>
              <w:top w:val="single" w:sz="4" w:space="0" w:color="000000"/>
              <w:left w:val="single" w:sz="6" w:space="0" w:color="000000"/>
              <w:bottom w:val="single" w:sz="4" w:space="0" w:color="000000"/>
              <w:right w:val="single" w:sz="4" w:space="0" w:color="000000"/>
            </w:tcBorders>
            <w:tcMar>
              <w:top w:w="0" w:type="dxa"/>
              <w:left w:w="105" w:type="dxa"/>
              <w:bottom w:w="0" w:type="dxa"/>
              <w:right w:w="105" w:type="dxa"/>
            </w:tcMar>
          </w:tcPr>
          <w:p w:rsidR="00D308E9" w:rsidRDefault="00D308E9">
            <w:pPr>
              <w:spacing w:after="0" w:line="240" w:lineRule="auto"/>
            </w:pPr>
          </w:p>
          <w:p w:rsidR="00D308E9" w:rsidRDefault="00D308E9">
            <w:pPr>
              <w:spacing w:after="0" w:line="240" w:lineRule="auto"/>
            </w:pPr>
          </w:p>
          <w:p w:rsidR="00D308E9" w:rsidRDefault="00000000">
            <w:pPr>
              <w:spacing w:after="0" w:line="240" w:lineRule="auto"/>
            </w:pPr>
            <w:r>
              <w:rPr>
                <w:i/>
                <w:color w:val="000000"/>
              </w:rPr>
              <w:t>13.20</w:t>
            </w:r>
          </w:p>
        </w:tc>
        <w:tc>
          <w:tcPr>
            <w:tcW w:w="1800"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pPr>
            <w:r>
              <w:rPr>
                <w:color w:val="212121"/>
              </w:rPr>
              <w:t>Uncertainty in ethics review</w:t>
            </w:r>
          </w:p>
          <w:p w:rsidR="00D308E9" w:rsidRDefault="00D308E9">
            <w:pPr>
              <w:spacing w:after="0" w:line="240" w:lineRule="auto"/>
            </w:pPr>
          </w:p>
        </w:tc>
        <w:tc>
          <w:tcPr>
            <w:tcW w:w="3945"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rPr>
                <w:color w:val="000000"/>
              </w:rPr>
            </w:pPr>
            <w:r>
              <w:rPr>
                <w:color w:val="000000"/>
              </w:rPr>
              <w:t xml:space="preserve">Describe and illustrate the inherent uncertainty of the research lifecycle in their own research based on lessons from specific case studies that have successfully communicated uncertainty during the Ethics Review process. </w:t>
            </w:r>
          </w:p>
          <w:p w:rsidR="00D308E9" w:rsidRDefault="00000000">
            <w:pPr>
              <w:rPr>
                <w:b/>
              </w:rPr>
            </w:pPr>
            <w:r>
              <w:rPr>
                <w:b/>
                <w:color w:val="000000"/>
              </w:rPr>
              <w:t>Tijs and Jing-Yi</w:t>
            </w:r>
          </w:p>
        </w:tc>
        <w:tc>
          <w:tcPr>
            <w:tcW w:w="1962"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pPr>
            <w:r>
              <w:rPr>
                <w:color w:val="000000"/>
              </w:rPr>
              <w:t>Listening to presentation</w:t>
            </w:r>
          </w:p>
          <w:p w:rsidR="00D308E9" w:rsidRDefault="00D308E9">
            <w:pPr>
              <w:spacing w:after="0" w:line="240" w:lineRule="auto"/>
            </w:pPr>
          </w:p>
          <w:p w:rsidR="00D308E9" w:rsidRDefault="00000000">
            <w:pPr>
              <w:spacing w:after="0" w:line="240" w:lineRule="auto"/>
            </w:pPr>
            <w:r>
              <w:rPr>
                <w:color w:val="000000"/>
              </w:rPr>
              <w:t>Exchange own experience</w:t>
            </w:r>
          </w:p>
        </w:tc>
        <w:tc>
          <w:tcPr>
            <w:tcW w:w="3308"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pPr>
            <w:r>
              <w:rPr>
                <w:color w:val="000000"/>
              </w:rPr>
              <w:t>Slides</w:t>
            </w:r>
          </w:p>
          <w:p w:rsidR="00D308E9" w:rsidRDefault="00D308E9">
            <w:pPr>
              <w:spacing w:after="0" w:line="240" w:lineRule="auto"/>
            </w:pPr>
          </w:p>
          <w:p w:rsidR="00D308E9" w:rsidRDefault="00D308E9">
            <w:pPr>
              <w:spacing w:after="0" w:line="240" w:lineRule="auto"/>
            </w:pPr>
          </w:p>
        </w:tc>
      </w:tr>
      <w:tr w:rsidR="00D308E9">
        <w:trPr>
          <w:trHeight w:val="300"/>
        </w:trPr>
        <w:tc>
          <w:tcPr>
            <w:tcW w:w="1860" w:type="dxa"/>
            <w:tcBorders>
              <w:top w:val="single" w:sz="4" w:space="0" w:color="000000"/>
              <w:left w:val="single" w:sz="6" w:space="0" w:color="000000"/>
              <w:bottom w:val="single" w:sz="4" w:space="0" w:color="000000"/>
              <w:right w:val="single" w:sz="4" w:space="0" w:color="000000"/>
            </w:tcBorders>
            <w:tcMar>
              <w:top w:w="0" w:type="dxa"/>
              <w:left w:w="105" w:type="dxa"/>
              <w:bottom w:w="0" w:type="dxa"/>
              <w:right w:w="105" w:type="dxa"/>
            </w:tcMar>
          </w:tcPr>
          <w:p w:rsidR="00D308E9" w:rsidRDefault="00D308E9">
            <w:pPr>
              <w:spacing w:after="0" w:line="240" w:lineRule="auto"/>
            </w:pPr>
          </w:p>
          <w:p w:rsidR="00D308E9" w:rsidRDefault="00000000">
            <w:pPr>
              <w:spacing w:after="0" w:line="240" w:lineRule="auto"/>
            </w:pPr>
            <w:r>
              <w:rPr>
                <w:i/>
                <w:color w:val="000000"/>
              </w:rPr>
              <w:t>13.40</w:t>
            </w:r>
          </w:p>
        </w:tc>
        <w:tc>
          <w:tcPr>
            <w:tcW w:w="1800"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pPr>
            <w:r>
              <w:t>Legal agreements</w:t>
            </w:r>
          </w:p>
        </w:tc>
        <w:tc>
          <w:tcPr>
            <w:tcW w:w="3945"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rPr>
                <w:color w:val="000000"/>
              </w:rPr>
            </w:pPr>
            <w:r>
              <w:rPr>
                <w:color w:val="000000"/>
              </w:rPr>
              <w:t xml:space="preserve">3.a. Describe different types of legal agreements needed to share data inside and outside of EEA (DSA, SCCs) with local partners and applicability to making data available to communities </w:t>
            </w:r>
          </w:p>
          <w:p w:rsidR="00D308E9" w:rsidRDefault="00000000">
            <w:pPr>
              <w:rPr>
                <w:color w:val="000000"/>
              </w:rPr>
            </w:pPr>
            <w:r>
              <w:rPr>
                <w:color w:val="000000"/>
              </w:rPr>
              <w:t xml:space="preserve">3.b. Describe additional agreements within the context of the CARE principles, e.g., </w:t>
            </w:r>
            <w:r>
              <w:rPr>
                <w:color w:val="000000"/>
              </w:rPr>
              <w:lastRenderedPageBreak/>
              <w:t>Memorandum of Understanding, Research Agreement with a community, etc.</w:t>
            </w:r>
          </w:p>
          <w:p w:rsidR="00D308E9" w:rsidRDefault="00000000">
            <w:pPr>
              <w:spacing w:after="0" w:line="240" w:lineRule="auto"/>
              <w:rPr>
                <w:color w:val="000000"/>
              </w:rPr>
            </w:pPr>
            <w:r>
              <w:rPr>
                <w:color w:val="000000"/>
              </w:rPr>
              <w:t>3.c. Break down the key points to consider when evaluating which of these additional agreements is possible within the general research data management, privacy, and ethical guidelines in The Netherlands.</w:t>
            </w:r>
          </w:p>
          <w:p w:rsidR="00D308E9" w:rsidRDefault="00D308E9">
            <w:pPr>
              <w:spacing w:after="0" w:line="240" w:lineRule="auto"/>
              <w:rPr>
                <w:color w:val="000000"/>
              </w:rPr>
            </w:pPr>
          </w:p>
          <w:p w:rsidR="00D308E9" w:rsidRDefault="00C12288">
            <w:pPr>
              <w:spacing w:after="0" w:line="240" w:lineRule="auto"/>
              <w:rPr>
                <w:b/>
                <w:color w:val="000000"/>
              </w:rPr>
            </w:pPr>
            <w:proofErr w:type="spellStart"/>
            <w:r>
              <w:rPr>
                <w:b/>
                <w:color w:val="000000"/>
              </w:rPr>
              <w:t>Anka</w:t>
            </w:r>
            <w:proofErr w:type="spellEnd"/>
            <w:r>
              <w:rPr>
                <w:b/>
                <w:color w:val="000000"/>
              </w:rPr>
              <w:t xml:space="preserve"> Mos and </w:t>
            </w:r>
            <w:proofErr w:type="spellStart"/>
            <w:r>
              <w:rPr>
                <w:b/>
                <w:color w:val="000000"/>
              </w:rPr>
              <w:t>Rafeek</w:t>
            </w:r>
            <w:proofErr w:type="spellEnd"/>
          </w:p>
        </w:tc>
        <w:tc>
          <w:tcPr>
            <w:tcW w:w="1962"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pPr>
            <w:r>
              <w:rPr>
                <w:color w:val="000000"/>
              </w:rPr>
              <w:lastRenderedPageBreak/>
              <w:t>Listening to presentations</w:t>
            </w:r>
          </w:p>
          <w:p w:rsidR="00D308E9" w:rsidRDefault="00D308E9">
            <w:pPr>
              <w:spacing w:after="0" w:line="240" w:lineRule="auto"/>
            </w:pPr>
          </w:p>
          <w:p w:rsidR="00D308E9" w:rsidRDefault="00000000">
            <w:pPr>
              <w:spacing w:after="0" w:line="240" w:lineRule="auto"/>
            </w:pPr>
            <w:r>
              <w:rPr>
                <w:color w:val="000000"/>
              </w:rPr>
              <w:t>Sharing experiences</w:t>
            </w:r>
          </w:p>
        </w:tc>
        <w:tc>
          <w:tcPr>
            <w:tcW w:w="3308"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D308E9">
            <w:pPr>
              <w:spacing w:after="0" w:line="240" w:lineRule="auto"/>
            </w:pPr>
          </w:p>
          <w:p w:rsidR="00D308E9" w:rsidRDefault="00000000">
            <w:pPr>
              <w:spacing w:after="0" w:line="240" w:lineRule="auto"/>
            </w:pPr>
            <w:r>
              <w:rPr>
                <w:color w:val="000000"/>
              </w:rPr>
              <w:t>Collaborative notes document; collect feedback on worries dealing with this element of the work and experiences of mitigation (or we can refer to mitigation from content)</w:t>
            </w:r>
          </w:p>
        </w:tc>
      </w:tr>
      <w:tr w:rsidR="00D308E9">
        <w:trPr>
          <w:trHeight w:val="300"/>
        </w:trPr>
        <w:tc>
          <w:tcPr>
            <w:tcW w:w="1860" w:type="dxa"/>
            <w:tcBorders>
              <w:top w:val="single" w:sz="4" w:space="0" w:color="000000"/>
              <w:left w:val="single" w:sz="6"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pPr>
            <w:r>
              <w:t>14.00</w:t>
            </w:r>
          </w:p>
        </w:tc>
        <w:tc>
          <w:tcPr>
            <w:tcW w:w="1800"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pPr>
            <w:r>
              <w:t>Q&amp;A</w:t>
            </w:r>
          </w:p>
        </w:tc>
        <w:tc>
          <w:tcPr>
            <w:tcW w:w="3945"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D308E9">
            <w:pPr>
              <w:spacing w:after="0" w:line="240" w:lineRule="auto"/>
              <w:rPr>
                <w:color w:val="000000"/>
              </w:rPr>
            </w:pPr>
          </w:p>
        </w:tc>
        <w:tc>
          <w:tcPr>
            <w:tcW w:w="1962"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rPr>
                <w:color w:val="000000"/>
              </w:rPr>
            </w:pPr>
            <w:r>
              <w:rPr>
                <w:color w:val="000000"/>
              </w:rPr>
              <w:t>Asking questions</w:t>
            </w:r>
          </w:p>
        </w:tc>
        <w:tc>
          <w:tcPr>
            <w:tcW w:w="3308"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D308E9">
            <w:pPr>
              <w:spacing w:after="0" w:line="240" w:lineRule="auto"/>
            </w:pPr>
          </w:p>
        </w:tc>
      </w:tr>
      <w:tr w:rsidR="00D308E9">
        <w:trPr>
          <w:trHeight w:val="747"/>
        </w:trPr>
        <w:tc>
          <w:tcPr>
            <w:tcW w:w="1860" w:type="dxa"/>
            <w:tcBorders>
              <w:top w:val="single" w:sz="4" w:space="0" w:color="000000"/>
              <w:left w:val="single" w:sz="6" w:space="0" w:color="000000"/>
              <w:bottom w:val="single" w:sz="4" w:space="0" w:color="000000"/>
              <w:right w:val="single" w:sz="4" w:space="0" w:color="000000"/>
            </w:tcBorders>
            <w:tcMar>
              <w:top w:w="0" w:type="dxa"/>
              <w:left w:w="105" w:type="dxa"/>
              <w:bottom w:w="0" w:type="dxa"/>
              <w:right w:w="105" w:type="dxa"/>
            </w:tcMar>
          </w:tcPr>
          <w:p w:rsidR="00D308E9" w:rsidRDefault="00D308E9">
            <w:pPr>
              <w:spacing w:after="0" w:line="240" w:lineRule="auto"/>
            </w:pPr>
          </w:p>
          <w:p w:rsidR="00D308E9" w:rsidRDefault="00D308E9">
            <w:pPr>
              <w:spacing w:after="0" w:line="240" w:lineRule="auto"/>
            </w:pPr>
          </w:p>
          <w:p w:rsidR="00D308E9" w:rsidRDefault="00000000">
            <w:pPr>
              <w:spacing w:after="0" w:line="240" w:lineRule="auto"/>
              <w:rPr>
                <w:i/>
                <w:color w:val="000000"/>
              </w:rPr>
            </w:pPr>
            <w:r>
              <w:rPr>
                <w:i/>
                <w:color w:val="000000"/>
              </w:rPr>
              <w:t>(14.10)</w:t>
            </w:r>
          </w:p>
        </w:tc>
        <w:tc>
          <w:tcPr>
            <w:tcW w:w="11015" w:type="dxa"/>
            <w:gridSpan w:val="4"/>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D308E9">
            <w:pPr>
              <w:spacing w:after="0" w:line="240" w:lineRule="auto"/>
            </w:pPr>
          </w:p>
          <w:p w:rsidR="00D308E9" w:rsidRDefault="00000000">
            <w:pPr>
              <w:spacing w:after="0" w:line="240" w:lineRule="auto"/>
              <w:jc w:val="center"/>
            </w:pPr>
            <w:r>
              <w:rPr>
                <w:color w:val="212121"/>
              </w:rPr>
              <w:t>Break (Catering)</w:t>
            </w:r>
          </w:p>
          <w:p w:rsidR="00D308E9" w:rsidRDefault="00D308E9">
            <w:pPr>
              <w:spacing w:after="240" w:line="240" w:lineRule="auto"/>
            </w:pPr>
          </w:p>
        </w:tc>
      </w:tr>
      <w:tr w:rsidR="00D308E9">
        <w:trPr>
          <w:trHeight w:val="300"/>
        </w:trPr>
        <w:tc>
          <w:tcPr>
            <w:tcW w:w="1860" w:type="dxa"/>
            <w:tcBorders>
              <w:top w:val="single" w:sz="4" w:space="0" w:color="000000"/>
              <w:left w:val="single" w:sz="6" w:space="0" w:color="000000"/>
              <w:bottom w:val="single" w:sz="4" w:space="0" w:color="000000"/>
              <w:right w:val="single" w:sz="4" w:space="0" w:color="000000"/>
            </w:tcBorders>
            <w:tcMar>
              <w:top w:w="0" w:type="dxa"/>
              <w:left w:w="105" w:type="dxa"/>
              <w:bottom w:w="0" w:type="dxa"/>
              <w:right w:w="105" w:type="dxa"/>
            </w:tcMar>
          </w:tcPr>
          <w:p w:rsidR="00D308E9" w:rsidRDefault="00D308E9">
            <w:pPr>
              <w:spacing w:after="0" w:line="240" w:lineRule="auto"/>
            </w:pPr>
          </w:p>
          <w:p w:rsidR="00D308E9" w:rsidRDefault="00D308E9">
            <w:pPr>
              <w:spacing w:after="0" w:line="240" w:lineRule="auto"/>
            </w:pPr>
          </w:p>
          <w:p w:rsidR="00D308E9" w:rsidRDefault="00000000">
            <w:pPr>
              <w:spacing w:after="0" w:line="240" w:lineRule="auto"/>
            </w:pPr>
            <w:r>
              <w:rPr>
                <w:i/>
                <w:color w:val="000000"/>
              </w:rPr>
              <w:t>14.30</w:t>
            </w:r>
          </w:p>
          <w:p w:rsidR="00D308E9" w:rsidRDefault="00D308E9">
            <w:pPr>
              <w:spacing w:after="0" w:line="240" w:lineRule="auto"/>
            </w:pPr>
          </w:p>
        </w:tc>
        <w:tc>
          <w:tcPr>
            <w:tcW w:w="1800"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pPr>
            <w:r>
              <w:t xml:space="preserve">The different elements of CARE as applicable through the ethics review process </w:t>
            </w:r>
          </w:p>
        </w:tc>
        <w:tc>
          <w:tcPr>
            <w:tcW w:w="3945"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pPr>
            <w:r>
              <w:t xml:space="preserve">4.a. Integrate the concept of </w:t>
            </w:r>
            <w:r>
              <w:rPr>
                <w:i/>
              </w:rPr>
              <w:t>Collective Benefit</w:t>
            </w:r>
            <w:r>
              <w:t xml:space="preserve"> into the ethics applications ahead of fieldwork, allowing for flexibility to co-create feasible paths to Collective Benefit while maintaining accountability to both communities [consent-as-process] and ethics committees </w:t>
            </w:r>
            <w:r>
              <w:rPr>
                <w:b/>
              </w:rPr>
              <w:t>[ conversation guide; facilitator/note-taker]</w:t>
            </w:r>
          </w:p>
          <w:p w:rsidR="00D308E9" w:rsidRDefault="00D308E9">
            <w:pPr>
              <w:spacing w:after="0"/>
            </w:pPr>
          </w:p>
          <w:p w:rsidR="00D308E9" w:rsidRDefault="00000000">
            <w:pPr>
              <w:spacing w:after="0"/>
            </w:pPr>
            <w:r>
              <w:lastRenderedPageBreak/>
              <w:t xml:space="preserve">4.b. Generate scenarios on how </w:t>
            </w:r>
            <w:r>
              <w:rPr>
                <w:i/>
              </w:rPr>
              <w:t xml:space="preserve">Authority to Control </w:t>
            </w:r>
            <w:r>
              <w:t xml:space="preserve">can interact with data journeys in Dutch institutions and relevant characteristics of communities: existing governance, technological advancement, consent-as-a-process, etc. </w:t>
            </w:r>
            <w:r>
              <w:rPr>
                <w:b/>
              </w:rPr>
              <w:t>[conversation guide; facilitator/note-taker]</w:t>
            </w:r>
          </w:p>
          <w:p w:rsidR="00D308E9" w:rsidRDefault="00D308E9">
            <w:pPr>
              <w:spacing w:after="0"/>
            </w:pPr>
          </w:p>
          <w:p w:rsidR="00D308E9" w:rsidRDefault="00000000">
            <w:pPr>
              <w:spacing w:after="0"/>
            </w:pPr>
            <w:r>
              <w:t xml:space="preserve">4.c. Model dimensions of </w:t>
            </w:r>
            <w:r>
              <w:rPr>
                <w:i/>
              </w:rPr>
              <w:t xml:space="preserve">Responsibility as </w:t>
            </w:r>
            <w:r>
              <w:t xml:space="preserve">different choices researchers can make to give back and for research impact, balancing community acknowledgement, community needs, as well as community evaluation of research findings (e.g., community peer review) </w:t>
            </w:r>
            <w:r>
              <w:rPr>
                <w:b/>
              </w:rPr>
              <w:t>[conversation guide; facilitator/note-taker].</w:t>
            </w:r>
          </w:p>
          <w:p w:rsidR="00D308E9" w:rsidRDefault="00D308E9">
            <w:pPr>
              <w:spacing w:after="0" w:line="240" w:lineRule="auto"/>
              <w:rPr>
                <w:color w:val="000000"/>
              </w:rPr>
            </w:pPr>
          </w:p>
          <w:p w:rsidR="00D308E9" w:rsidRDefault="00D308E9">
            <w:pPr>
              <w:spacing w:after="0" w:line="240" w:lineRule="auto"/>
            </w:pPr>
          </w:p>
        </w:tc>
        <w:tc>
          <w:tcPr>
            <w:tcW w:w="1962"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rsidR="00D308E9" w:rsidRDefault="00000000">
            <w:pPr>
              <w:spacing w:after="0" w:line="240" w:lineRule="auto"/>
            </w:pPr>
            <w:r>
              <w:lastRenderedPageBreak/>
              <w:t>Group work with preparatory materials and tools at hand</w:t>
            </w:r>
          </w:p>
        </w:tc>
        <w:tc>
          <w:tcPr>
            <w:tcW w:w="3308" w:type="dxa"/>
            <w:tcBorders>
              <w:top w:val="single" w:sz="4" w:space="0" w:color="000000"/>
              <w:left w:val="single" w:sz="4" w:space="0" w:color="000000"/>
              <w:bottom w:val="single" w:sz="4" w:space="0" w:color="000000"/>
              <w:right w:val="single" w:sz="6" w:space="0" w:color="000000"/>
            </w:tcBorders>
            <w:tcMar>
              <w:top w:w="0" w:type="dxa"/>
              <w:left w:w="105" w:type="dxa"/>
              <w:bottom w:w="0" w:type="dxa"/>
              <w:right w:w="105" w:type="dxa"/>
            </w:tcMar>
          </w:tcPr>
          <w:p w:rsidR="00D308E9" w:rsidRDefault="00000000">
            <w:pPr>
              <w:spacing w:after="240" w:line="240" w:lineRule="auto"/>
            </w:pPr>
            <w:r>
              <w:t xml:space="preserve">Preparatory materials: set of prepared questions for discussion, shared notes (written by organizers, not participants); voting on possible solutions, no screen time for participants. </w:t>
            </w:r>
          </w:p>
          <w:p w:rsidR="00D308E9" w:rsidRDefault="00D308E9">
            <w:pPr>
              <w:spacing w:after="240" w:line="240" w:lineRule="auto"/>
            </w:pPr>
          </w:p>
          <w:p w:rsidR="00D308E9" w:rsidRDefault="00000000">
            <w:pPr>
              <w:spacing w:after="240" w:line="240" w:lineRule="auto"/>
            </w:pPr>
            <w:r>
              <w:lastRenderedPageBreak/>
              <w:t xml:space="preserve">Output: concrete suggestions from each group are noted down. </w:t>
            </w:r>
          </w:p>
        </w:tc>
      </w:tr>
      <w:tr w:rsidR="00D308E9">
        <w:trPr>
          <w:trHeight w:val="561"/>
        </w:trPr>
        <w:tc>
          <w:tcPr>
            <w:tcW w:w="1860" w:type="dxa"/>
            <w:tcBorders>
              <w:top w:val="single" w:sz="4" w:space="0" w:color="000000"/>
              <w:left w:val="single" w:sz="6" w:space="0" w:color="000000"/>
              <w:bottom w:val="single" w:sz="4" w:space="0" w:color="000000"/>
              <w:right w:val="single" w:sz="4" w:space="0" w:color="000000"/>
            </w:tcBorders>
            <w:tcMar>
              <w:top w:w="0" w:type="dxa"/>
              <w:left w:w="105" w:type="dxa"/>
              <w:bottom w:w="0" w:type="dxa"/>
              <w:right w:w="105" w:type="dxa"/>
            </w:tcMar>
          </w:tcPr>
          <w:p w:rsidR="00D308E9" w:rsidRDefault="00D308E9">
            <w:pPr>
              <w:spacing w:after="0" w:line="240" w:lineRule="auto"/>
            </w:pPr>
          </w:p>
        </w:tc>
        <w:tc>
          <w:tcPr>
            <w:tcW w:w="11015" w:type="dxa"/>
            <w:gridSpan w:val="4"/>
            <w:tcBorders>
              <w:top w:val="single" w:sz="4" w:space="0" w:color="000000"/>
              <w:left w:val="single" w:sz="4" w:space="0" w:color="000000"/>
              <w:bottom w:val="single" w:sz="4" w:space="0" w:color="000000"/>
              <w:right w:val="single" w:sz="6" w:space="0" w:color="000000"/>
            </w:tcBorders>
            <w:tcMar>
              <w:top w:w="0" w:type="dxa"/>
              <w:left w:w="105" w:type="dxa"/>
              <w:bottom w:w="0" w:type="dxa"/>
              <w:right w:w="105" w:type="dxa"/>
            </w:tcMar>
          </w:tcPr>
          <w:p w:rsidR="00D308E9" w:rsidRDefault="00000000">
            <w:pPr>
              <w:spacing w:after="0" w:line="240" w:lineRule="auto"/>
            </w:pPr>
            <w:r>
              <w:t xml:space="preserve">Evaluation (informal, anonymous notes) + </w:t>
            </w:r>
            <w:proofErr w:type="gramStart"/>
            <w:r>
              <w:t>10 minute</w:t>
            </w:r>
            <w:proofErr w:type="gramEnd"/>
            <w:r>
              <w:t xml:space="preserve"> break</w:t>
            </w:r>
          </w:p>
        </w:tc>
      </w:tr>
      <w:tr w:rsidR="00D308E9">
        <w:trPr>
          <w:trHeight w:val="300"/>
        </w:trPr>
        <w:tc>
          <w:tcPr>
            <w:tcW w:w="1860" w:type="dxa"/>
            <w:tcBorders>
              <w:top w:val="single" w:sz="4" w:space="0" w:color="000000"/>
              <w:left w:val="single" w:sz="6" w:space="0" w:color="000000"/>
              <w:bottom w:val="single" w:sz="6" w:space="0" w:color="000000"/>
              <w:right w:val="single" w:sz="4" w:space="0" w:color="000000"/>
            </w:tcBorders>
            <w:tcMar>
              <w:top w:w="0" w:type="dxa"/>
              <w:left w:w="105" w:type="dxa"/>
              <w:bottom w:w="0" w:type="dxa"/>
              <w:right w:w="105" w:type="dxa"/>
            </w:tcMar>
          </w:tcPr>
          <w:p w:rsidR="00D308E9" w:rsidRDefault="00000000">
            <w:pPr>
              <w:spacing w:after="0" w:line="240" w:lineRule="auto"/>
            </w:pPr>
            <w:r>
              <w:rPr>
                <w:color w:val="000000"/>
              </w:rPr>
              <w:t>16.10</w:t>
            </w:r>
          </w:p>
          <w:p w:rsidR="00D308E9" w:rsidRDefault="00D308E9">
            <w:pPr>
              <w:spacing w:after="240" w:line="240" w:lineRule="auto"/>
            </w:pPr>
          </w:p>
          <w:p w:rsidR="00D308E9" w:rsidRDefault="00D308E9">
            <w:pPr>
              <w:spacing w:after="0" w:line="240" w:lineRule="auto"/>
            </w:pPr>
          </w:p>
        </w:tc>
        <w:tc>
          <w:tcPr>
            <w:tcW w:w="1800" w:type="dxa"/>
            <w:tcBorders>
              <w:top w:val="single" w:sz="4" w:space="0" w:color="000000"/>
              <w:left w:val="single" w:sz="4" w:space="0" w:color="000000"/>
              <w:bottom w:val="single" w:sz="6" w:space="0" w:color="000000"/>
              <w:right w:val="single" w:sz="4" w:space="0" w:color="000000"/>
            </w:tcBorders>
            <w:tcMar>
              <w:top w:w="0" w:type="dxa"/>
              <w:left w:w="105" w:type="dxa"/>
              <w:bottom w:w="0" w:type="dxa"/>
              <w:right w:w="105" w:type="dxa"/>
            </w:tcMar>
          </w:tcPr>
          <w:p w:rsidR="00D308E9" w:rsidRDefault="00000000">
            <w:pPr>
              <w:spacing w:after="0" w:line="240" w:lineRule="auto"/>
            </w:pPr>
            <w:r>
              <w:rPr>
                <w:color w:val="000000"/>
              </w:rPr>
              <w:t>My story: what</w:t>
            </w:r>
            <w:r>
              <w:t xml:space="preserve"> I learned in the field that </w:t>
            </w:r>
            <w:r>
              <w:lastRenderedPageBreak/>
              <w:t>school didn’t teach me</w:t>
            </w:r>
          </w:p>
          <w:p w:rsidR="00D308E9" w:rsidRDefault="00D308E9">
            <w:pPr>
              <w:spacing w:after="240" w:line="240" w:lineRule="auto"/>
            </w:pPr>
          </w:p>
          <w:p w:rsidR="00D308E9" w:rsidRDefault="00D308E9">
            <w:pPr>
              <w:spacing w:after="0" w:line="240" w:lineRule="auto"/>
              <w:rPr>
                <w:color w:val="000000"/>
              </w:rPr>
            </w:pPr>
          </w:p>
          <w:p w:rsidR="00D308E9" w:rsidRDefault="00000000">
            <w:pPr>
              <w:spacing w:after="0" w:line="240" w:lineRule="auto"/>
              <w:rPr>
                <w:color w:val="000000"/>
              </w:rPr>
            </w:pPr>
            <w:r>
              <w:rPr>
                <w:color w:val="000000"/>
              </w:rPr>
              <w:t>Wrap up</w:t>
            </w:r>
          </w:p>
          <w:p w:rsidR="00D308E9" w:rsidRDefault="00D308E9">
            <w:pPr>
              <w:spacing w:after="0" w:line="240" w:lineRule="auto"/>
            </w:pPr>
          </w:p>
        </w:tc>
        <w:tc>
          <w:tcPr>
            <w:tcW w:w="3945" w:type="dxa"/>
            <w:tcBorders>
              <w:top w:val="single" w:sz="4" w:space="0" w:color="000000"/>
              <w:left w:val="single" w:sz="4" w:space="0" w:color="000000"/>
              <w:bottom w:val="single" w:sz="6" w:space="0" w:color="000000"/>
              <w:right w:val="single" w:sz="4" w:space="0" w:color="000000"/>
            </w:tcBorders>
            <w:tcMar>
              <w:top w:w="0" w:type="dxa"/>
              <w:left w:w="105" w:type="dxa"/>
              <w:bottom w:w="0" w:type="dxa"/>
              <w:right w:w="105" w:type="dxa"/>
            </w:tcMar>
          </w:tcPr>
          <w:p w:rsidR="00D308E9" w:rsidRDefault="00000000">
            <w:pPr>
              <w:spacing w:after="0" w:line="240" w:lineRule="auto"/>
            </w:pPr>
            <w:r>
              <w:rPr>
                <w:color w:val="000000"/>
              </w:rPr>
              <w:lastRenderedPageBreak/>
              <w:t xml:space="preserve">Bea </w:t>
            </w:r>
            <w:proofErr w:type="spellStart"/>
            <w:r>
              <w:rPr>
                <w:color w:val="000000"/>
              </w:rPr>
              <w:t>Gitundu</w:t>
            </w:r>
            <w:proofErr w:type="spellEnd"/>
            <w:r>
              <w:rPr>
                <w:color w:val="000000"/>
              </w:rPr>
              <w:t xml:space="preserve"> [moderator]</w:t>
            </w:r>
          </w:p>
          <w:p w:rsidR="00D308E9" w:rsidRDefault="00D308E9">
            <w:pPr>
              <w:spacing w:after="240" w:line="240" w:lineRule="auto"/>
            </w:pPr>
          </w:p>
          <w:p w:rsidR="00D308E9" w:rsidRDefault="00000000">
            <w:pPr>
              <w:spacing w:after="240" w:line="240" w:lineRule="auto"/>
            </w:pPr>
            <w:r>
              <w:lastRenderedPageBreak/>
              <w:br/>
            </w:r>
          </w:p>
          <w:p w:rsidR="00D308E9" w:rsidRDefault="00D308E9">
            <w:pPr>
              <w:spacing w:after="240" w:line="240" w:lineRule="auto"/>
            </w:pPr>
          </w:p>
          <w:p w:rsidR="00D308E9" w:rsidRDefault="00000000">
            <w:pPr>
              <w:spacing w:after="240" w:line="240" w:lineRule="auto"/>
            </w:pPr>
            <w:r>
              <w:t>Bora</w:t>
            </w:r>
          </w:p>
        </w:tc>
        <w:tc>
          <w:tcPr>
            <w:tcW w:w="1962" w:type="dxa"/>
            <w:tcBorders>
              <w:top w:val="single" w:sz="4" w:space="0" w:color="000000"/>
              <w:left w:val="single" w:sz="4" w:space="0" w:color="000000"/>
              <w:bottom w:val="single" w:sz="6" w:space="0" w:color="000000"/>
              <w:right w:val="single" w:sz="4" w:space="0" w:color="000000"/>
            </w:tcBorders>
            <w:tcMar>
              <w:top w:w="0" w:type="dxa"/>
              <w:left w:w="105" w:type="dxa"/>
              <w:bottom w:w="0" w:type="dxa"/>
              <w:right w:w="105" w:type="dxa"/>
            </w:tcMar>
          </w:tcPr>
          <w:p w:rsidR="00D308E9" w:rsidRDefault="00000000">
            <w:pPr>
              <w:spacing w:after="0" w:line="240" w:lineRule="auto"/>
            </w:pPr>
            <w:r>
              <w:lastRenderedPageBreak/>
              <w:t xml:space="preserve">Sharing of personal experiences, informal, </w:t>
            </w:r>
            <w:r>
              <w:lastRenderedPageBreak/>
              <w:t>trusting. Participants will be asked to bring an object to focus their stories.</w:t>
            </w:r>
          </w:p>
        </w:tc>
        <w:tc>
          <w:tcPr>
            <w:tcW w:w="3308" w:type="dxa"/>
            <w:tcBorders>
              <w:top w:val="single" w:sz="4" w:space="0" w:color="000000"/>
              <w:left w:val="single" w:sz="4" w:space="0" w:color="000000"/>
              <w:bottom w:val="single" w:sz="6" w:space="0" w:color="000000"/>
              <w:right w:val="single" w:sz="6" w:space="0" w:color="000000"/>
            </w:tcBorders>
            <w:tcMar>
              <w:top w:w="0" w:type="dxa"/>
              <w:left w:w="105" w:type="dxa"/>
              <w:bottom w:w="0" w:type="dxa"/>
              <w:right w:w="105" w:type="dxa"/>
            </w:tcMar>
          </w:tcPr>
          <w:p w:rsidR="00D308E9" w:rsidRDefault="00000000">
            <w:pPr>
              <w:spacing w:after="0" w:line="240" w:lineRule="auto"/>
            </w:pPr>
            <w:r>
              <w:rPr>
                <w:color w:val="000000"/>
              </w:rPr>
              <w:lastRenderedPageBreak/>
              <w:t>Storyboard</w:t>
            </w:r>
          </w:p>
          <w:p w:rsidR="00D308E9" w:rsidRDefault="00D308E9">
            <w:pPr>
              <w:spacing w:after="0" w:line="240" w:lineRule="auto"/>
            </w:pPr>
          </w:p>
          <w:p w:rsidR="00D308E9" w:rsidRDefault="00D308E9">
            <w:pPr>
              <w:spacing w:after="240" w:line="240" w:lineRule="auto"/>
            </w:pPr>
          </w:p>
          <w:p w:rsidR="00D308E9" w:rsidRDefault="00D308E9">
            <w:pPr>
              <w:spacing w:after="0" w:line="240" w:lineRule="auto"/>
            </w:pPr>
          </w:p>
        </w:tc>
      </w:tr>
    </w:tbl>
    <w:p w:rsidR="00D308E9" w:rsidRDefault="00000000">
      <w:pPr>
        <w:spacing w:after="240" w:line="240" w:lineRule="auto"/>
      </w:pPr>
      <w:r>
        <w:rPr>
          <w:color w:val="000000"/>
        </w:rPr>
        <w:lastRenderedPageBreak/>
        <w:br/>
      </w:r>
      <w:r>
        <w:rPr>
          <w:color w:val="000000"/>
        </w:rPr>
        <w:br/>
      </w:r>
      <w:r>
        <w:rPr>
          <w:color w:val="000000"/>
        </w:rPr>
        <w:br/>
      </w:r>
      <w:r>
        <w:rPr>
          <w:color w:val="000000"/>
        </w:rPr>
        <w:br/>
      </w:r>
      <w:r>
        <w:rPr>
          <w:color w:val="000000"/>
        </w:rPr>
        <w:br/>
      </w:r>
      <w:r>
        <w:rPr>
          <w:color w:val="000000"/>
        </w:rPr>
        <w:br/>
      </w:r>
      <w:r>
        <w:rPr>
          <w:color w:val="000000"/>
        </w:rPr>
        <w:br/>
      </w:r>
      <w:r>
        <w:rPr>
          <w:color w:val="000000"/>
        </w:rPr>
        <w:br/>
      </w:r>
      <w:r>
        <w:rPr>
          <w:color w:val="000000"/>
        </w:rPr>
        <w:br/>
      </w:r>
      <w:r>
        <w:rPr>
          <w:color w:val="000000"/>
        </w:rPr>
        <w:br/>
      </w:r>
      <w:r>
        <w:rPr>
          <w:color w:val="000000"/>
        </w:rPr>
        <w:br/>
      </w:r>
      <w:r>
        <w:rPr>
          <w:color w:val="000000"/>
        </w:rPr>
        <w:br/>
      </w:r>
      <w:r>
        <w:rPr>
          <w:color w:val="000000"/>
        </w:rPr>
        <w:br/>
      </w:r>
      <w:r>
        <w:rPr>
          <w:color w:val="000000"/>
        </w:rPr>
        <w:br/>
      </w:r>
    </w:p>
    <w:sectPr w:rsidR="00D308E9">
      <w:pgSz w:w="15840" w:h="12240"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8E9"/>
    <w:rsid w:val="00222E55"/>
    <w:rsid w:val="00836993"/>
    <w:rsid w:val="00C12288"/>
    <w:rsid w:val="00D30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ADBDD1"/>
  <w15:docId w15:val="{72D236F8-3E1C-AE4E-863E-725E3BE05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Aptos" w:hAnsi="Aptos" w:cs="Aptos"/>
        <w:sz w:val="24"/>
        <w:szCs w:val="24"/>
        <w:lang w:val="en-U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rPr>
      <w:color w:val="595959"/>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AAB7936"/>
    <w:pPr>
      <w:ind w:left="720"/>
      <w:contextualSpacing/>
    </w:pPr>
  </w:style>
  <w:style w:type="character" w:styleId="Hyperlink">
    <w:name w:val="Hyperlink"/>
    <w:basedOn w:val="DefaultParagraphFont"/>
    <w:uiPriority w:val="99"/>
    <w:unhideWhenUsed/>
    <w:rsid w:val="5ED188AE"/>
    <w:rPr>
      <w:color w:val="467886"/>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9E4B157"/>
    <w:rPr>
      <w:color w:val="2B579A"/>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semiHidden/>
    <w:unhideWhenUsed/>
    <w:rsid w:val="005702D4"/>
    <w:pPr>
      <w:spacing w:before="100" w:beforeAutospacing="1" w:after="100" w:afterAutospacing="1" w:line="240" w:lineRule="auto"/>
    </w:pPr>
    <w:rPr>
      <w:rFonts w:ascii="Times New Roman" w:eastAsia="Times New Roman" w:hAnsi="Times New Roman" w:cs="Times New Roman"/>
    </w:rPr>
  </w:style>
  <w:style w:type="paragraph" w:styleId="Header">
    <w:name w:val="header"/>
    <w:basedOn w:val="Normal"/>
    <w:link w:val="HeaderChar"/>
    <w:uiPriority w:val="99"/>
    <w:unhideWhenUsed/>
    <w:rsid w:val="005702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02D4"/>
  </w:style>
  <w:style w:type="paragraph" w:styleId="Footer">
    <w:name w:val="footer"/>
    <w:basedOn w:val="Normal"/>
    <w:link w:val="FooterChar"/>
    <w:uiPriority w:val="99"/>
    <w:unhideWhenUsed/>
    <w:rsid w:val="005702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02D4"/>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maps.app.goo.gl/rrKq9Qawhge76ngf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IO+vQesTeMkzmPgQ2yBfzFcGug==">CgMxLjA4AHIhMVQwdFlrTzMxVlY1NmNBR0dTYVUwV3k2azZHVWZfS1FP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922</Words>
  <Characters>5262</Characters>
  <Application>Microsoft Office Word</Application>
  <DocSecurity>0</DocSecurity>
  <Lines>43</Lines>
  <Paragraphs>12</Paragraphs>
  <ScaleCrop>false</ScaleCrop>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Bora Lushaj</dc:creator>
  <cp:lastModifiedBy>Deborah Thorpe</cp:lastModifiedBy>
  <cp:revision>3</cp:revision>
  <dcterms:created xsi:type="dcterms:W3CDTF">2025-06-11T14:12:00Z</dcterms:created>
  <dcterms:modified xsi:type="dcterms:W3CDTF">2025-06-11T14:18:00Z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0x010100DB18EA8FF754D84396F4CA3F66969E97</vt:lpwstr>
  </property>
  <property fmtid="{D5CDD505-2E9C-101B-9397-08002B2CF9AE}" pid="3" name="MSIP_Label_8772ba27-cab8-4042-a351-a31f6e4eacdc_Enabled">
    <vt:lpwstr>true</vt:lpwstr>
  </property>
  <property fmtid="{D5CDD505-2E9C-101B-9397-08002B2CF9AE}" pid="4" name="MSIP_Label_8772ba27-cab8-4042-a351-a31f6e4eacdc_SetDate">
    <vt:lpwstr>2025-02-05T09:10:42Z</vt:lpwstr>
  </property>
  <property fmtid="{D5CDD505-2E9C-101B-9397-08002B2CF9AE}" pid="5" name="MSIP_Label_8772ba27-cab8-4042-a351-a31f6e4eacdc_Method">
    <vt:lpwstr>Standard</vt:lpwstr>
  </property>
  <property fmtid="{D5CDD505-2E9C-101B-9397-08002B2CF9AE}" pid="6" name="MSIP_Label_8772ba27-cab8-4042-a351-a31f6e4eacdc_Name">
    <vt:lpwstr>Internal</vt:lpwstr>
  </property>
  <property fmtid="{D5CDD505-2E9C-101B-9397-08002B2CF9AE}" pid="7" name="MSIP_Label_8772ba27-cab8-4042-a351-a31f6e4eacdc_SiteId">
    <vt:lpwstr>715902d6-f63e-4b8d-929b-4bb170bad492</vt:lpwstr>
  </property>
  <property fmtid="{D5CDD505-2E9C-101B-9397-08002B2CF9AE}" pid="8" name="MSIP_Label_8772ba27-cab8-4042-a351-a31f6e4eacdc_ActionId">
    <vt:lpwstr>ed186135-d666-41af-a3e3-e374c93551c3</vt:lpwstr>
  </property>
  <property fmtid="{D5CDD505-2E9C-101B-9397-08002B2CF9AE}" pid="9" name="MSIP_Label_8772ba27-cab8-4042-a351-a31f6e4eacdc_ContentBits">
    <vt:lpwstr>0</vt:lpwstr>
  </property>
  <property fmtid="{D5CDD505-2E9C-101B-9397-08002B2CF9AE}" pid="10" name="MSIP_Label_8772ba27-cab8-4042-a351-a31f6e4eacdc_Tag">
    <vt:lpwstr>10, 3, 0, 2</vt:lpwstr>
  </property>
</Properties>
</file>