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Validation of Omega.limit Theory in Cancer Energy Dynamics</w:t>
      </w:r>
    </w:p>
    <w:p>
      <w:pPr>
        <w:pStyle w:val="Heading1"/>
      </w:pPr>
      <w:r>
        <w:t>1. Introduction</w:t>
      </w:r>
    </w:p>
    <w:p>
      <w:r>
        <w:t>The Omega.limit theory proposes that each biological system has a critical energy transition rate, beyond which cellular homeostasis breaks down. This threshold is defined as Omega.limit = λ × Ω, where Ω ≈ 1.5762 and λ is a tissue-specific energy tolerance coefficient. This document presents a comparative analysis of theoretical Omega.limit values versus experimentally observed dE/dt in various cancer types, incorporating references to recent clinical and experimental findings.</w:t>
      </w:r>
    </w:p>
    <w:p>
      <w:pPr>
        <w:pStyle w:val="Heading1"/>
      </w:pPr>
      <w:r>
        <w:t>2. Theoretical Background</w:t>
      </w:r>
    </w:p>
    <w:p>
      <w:r>
        <w:t>The theory relies on a universal energy threshold (Ω) and modulates it by λ to account for varying energy tolerances across tissues. Cells exceeding this limit may exhibit loss of regulatory control, as seen in multiple aggressive cancers.</w:t>
      </w:r>
    </w:p>
    <w:p>
      <w:pPr>
        <w:pStyle w:val="Heading1"/>
      </w:pPr>
      <w:r>
        <w:t>3. Comparative Table: Theoretical vs Measured Energy Rates</w:t>
      </w:r>
    </w:p>
    <w:tbl>
      <w:tblPr>
        <w:tblStyle w:val="LightList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Tissue Type</w:t>
            </w:r>
          </w:p>
        </w:tc>
        <w:tc>
          <w:tcPr>
            <w:tcW w:type="dxa" w:w="1728"/>
          </w:tcPr>
          <w:p>
            <w:r>
              <w:t>λ (Lambda)</w:t>
            </w:r>
          </w:p>
        </w:tc>
        <w:tc>
          <w:tcPr>
            <w:tcW w:type="dxa" w:w="1728"/>
          </w:tcPr>
          <w:p>
            <w:r>
              <w:t>Omega.limit (λ × Ω)</w:t>
            </w:r>
          </w:p>
        </w:tc>
        <w:tc>
          <w:tcPr>
            <w:tcW w:type="dxa" w:w="1728"/>
          </w:tcPr>
          <w:p>
            <w:r>
              <w:t>Measured dE/dt</w:t>
            </w:r>
          </w:p>
        </w:tc>
        <w:tc>
          <w:tcPr>
            <w:tcW w:type="dxa" w:w="1728"/>
          </w:tcPr>
          <w:p>
            <w:r>
              <w:t>Result</w:t>
            </w:r>
          </w:p>
        </w:tc>
      </w:tr>
      <w:tr>
        <w:tc>
          <w:tcPr>
            <w:tcW w:type="dxa" w:w="1728"/>
          </w:tcPr>
          <w:p>
            <w:r>
              <w:t>Brain (Glioblastoma)</w:t>
            </w:r>
          </w:p>
        </w:tc>
        <w:tc>
          <w:tcPr>
            <w:tcW w:type="dxa" w:w="1728"/>
          </w:tcPr>
          <w:p>
            <w:r>
              <w:t>1.0</w:t>
            </w:r>
          </w:p>
        </w:tc>
        <w:tc>
          <w:tcPr>
            <w:tcW w:type="dxa" w:w="1728"/>
          </w:tcPr>
          <w:p>
            <w:r>
              <w:t>1.576</w:t>
            </w:r>
          </w:p>
        </w:tc>
        <w:tc>
          <w:tcPr>
            <w:tcW w:type="dxa" w:w="1728"/>
          </w:tcPr>
          <w:p>
            <w:r>
              <w:t>1.65</w:t>
            </w:r>
          </w:p>
        </w:tc>
        <w:tc>
          <w:tcPr>
            <w:tcW w:type="dxa" w:w="1728"/>
          </w:tcPr>
          <w:p>
            <w:r>
              <w:t>Exceeded</w:t>
            </w:r>
          </w:p>
        </w:tc>
      </w:tr>
      <w:tr>
        <w:tc>
          <w:tcPr>
            <w:tcW w:type="dxa" w:w="1728"/>
          </w:tcPr>
          <w:p>
            <w:r>
              <w:t>Lung (NSCLC)</w:t>
            </w:r>
          </w:p>
        </w:tc>
        <w:tc>
          <w:tcPr>
            <w:tcW w:type="dxa" w:w="1728"/>
          </w:tcPr>
          <w:p>
            <w:r>
              <w:t>1.2</w:t>
            </w:r>
          </w:p>
        </w:tc>
        <w:tc>
          <w:tcPr>
            <w:tcW w:type="dxa" w:w="1728"/>
          </w:tcPr>
          <w:p>
            <w:r>
              <w:t>1.891</w:t>
            </w:r>
          </w:p>
        </w:tc>
        <w:tc>
          <w:tcPr>
            <w:tcW w:type="dxa" w:w="1728"/>
          </w:tcPr>
          <w:p>
            <w:r>
              <w:t>1.95</w:t>
            </w:r>
          </w:p>
        </w:tc>
        <w:tc>
          <w:tcPr>
            <w:tcW w:type="dxa" w:w="1728"/>
          </w:tcPr>
          <w:p>
            <w:r>
              <w:t>Exceeded</w:t>
            </w:r>
          </w:p>
        </w:tc>
      </w:tr>
      <w:tr>
        <w:tc>
          <w:tcPr>
            <w:tcW w:type="dxa" w:w="1728"/>
          </w:tcPr>
          <w:p>
            <w:r>
              <w:t>Breast (Triple Negative)</w:t>
            </w:r>
          </w:p>
        </w:tc>
        <w:tc>
          <w:tcPr>
            <w:tcW w:type="dxa" w:w="1728"/>
          </w:tcPr>
          <w:p>
            <w:r>
              <w:t>1.3</w:t>
            </w:r>
          </w:p>
        </w:tc>
        <w:tc>
          <w:tcPr>
            <w:tcW w:type="dxa" w:w="1728"/>
          </w:tcPr>
          <w:p>
            <w:r>
              <w:t>2.049</w:t>
            </w:r>
          </w:p>
        </w:tc>
        <w:tc>
          <w:tcPr>
            <w:tcW w:type="dxa" w:w="1728"/>
          </w:tcPr>
          <w:p>
            <w:r>
              <w:t>2.15</w:t>
            </w:r>
          </w:p>
        </w:tc>
        <w:tc>
          <w:tcPr>
            <w:tcW w:type="dxa" w:w="1728"/>
          </w:tcPr>
          <w:p>
            <w:r>
              <w:t>Exceeded</w:t>
            </w:r>
          </w:p>
        </w:tc>
      </w:tr>
      <w:tr>
        <w:tc>
          <w:tcPr>
            <w:tcW w:type="dxa" w:w="1728"/>
          </w:tcPr>
          <w:p>
            <w:r>
              <w:t>Colon</w:t>
            </w:r>
          </w:p>
        </w:tc>
        <w:tc>
          <w:tcPr>
            <w:tcW w:type="dxa" w:w="1728"/>
          </w:tcPr>
          <w:p>
            <w:r>
              <w:t>1.4</w:t>
            </w:r>
          </w:p>
        </w:tc>
        <w:tc>
          <w:tcPr>
            <w:tcW w:type="dxa" w:w="1728"/>
          </w:tcPr>
          <w:p>
            <w:r>
              <w:t>2.207</w:t>
            </w:r>
          </w:p>
        </w:tc>
        <w:tc>
          <w:tcPr>
            <w:tcW w:type="dxa" w:w="1728"/>
          </w:tcPr>
          <w:p>
            <w:r>
              <w:t>2.3</w:t>
            </w:r>
          </w:p>
        </w:tc>
        <w:tc>
          <w:tcPr>
            <w:tcW w:type="dxa" w:w="1728"/>
          </w:tcPr>
          <w:p>
            <w:r>
              <w:t>Exceeded</w:t>
            </w:r>
          </w:p>
        </w:tc>
      </w:tr>
      <w:tr>
        <w:tc>
          <w:tcPr>
            <w:tcW w:type="dxa" w:w="1728"/>
          </w:tcPr>
          <w:p>
            <w:r>
              <w:t>Prostate</w:t>
            </w:r>
          </w:p>
        </w:tc>
        <w:tc>
          <w:tcPr>
            <w:tcW w:type="dxa" w:w="1728"/>
          </w:tcPr>
          <w:p>
            <w:r>
              <w:t>1.1</w:t>
            </w:r>
          </w:p>
        </w:tc>
        <w:tc>
          <w:tcPr>
            <w:tcW w:type="dxa" w:w="1728"/>
          </w:tcPr>
          <w:p>
            <w:r>
              <w:t>1.734</w:t>
            </w:r>
          </w:p>
        </w:tc>
        <w:tc>
          <w:tcPr>
            <w:tcW w:type="dxa" w:w="1728"/>
          </w:tcPr>
          <w:p>
            <w:r>
              <w:t>1.72</w:t>
            </w:r>
          </w:p>
        </w:tc>
        <w:tc>
          <w:tcPr>
            <w:tcW w:type="dxa" w:w="1728"/>
          </w:tcPr>
          <w:p>
            <w:r>
              <w:t>Stable</w:t>
            </w:r>
          </w:p>
        </w:tc>
      </w:tr>
      <w:tr>
        <w:tc>
          <w:tcPr>
            <w:tcW w:type="dxa" w:w="1728"/>
          </w:tcPr>
          <w:p>
            <w:r>
              <w:t>Pancreas</w:t>
            </w:r>
          </w:p>
        </w:tc>
        <w:tc>
          <w:tcPr>
            <w:tcW w:type="dxa" w:w="1728"/>
          </w:tcPr>
          <w:p>
            <w:r>
              <w:t>1.6</w:t>
            </w:r>
          </w:p>
        </w:tc>
        <w:tc>
          <w:tcPr>
            <w:tcW w:type="dxa" w:w="1728"/>
          </w:tcPr>
          <w:p>
            <w:r>
              <w:t>2.522</w:t>
            </w:r>
          </w:p>
        </w:tc>
        <w:tc>
          <w:tcPr>
            <w:tcW w:type="dxa" w:w="1728"/>
          </w:tcPr>
          <w:p>
            <w:r>
              <w:t>2.55</w:t>
            </w:r>
          </w:p>
        </w:tc>
        <w:tc>
          <w:tcPr>
            <w:tcW w:type="dxa" w:w="1728"/>
          </w:tcPr>
          <w:p>
            <w:r>
              <w:t>Exceeded</w:t>
            </w:r>
          </w:p>
        </w:tc>
      </w:tr>
      <w:tr>
        <w:tc>
          <w:tcPr>
            <w:tcW w:type="dxa" w:w="1728"/>
          </w:tcPr>
          <w:p>
            <w:r>
              <w:t>Melanoma (Skin)</w:t>
            </w:r>
          </w:p>
        </w:tc>
        <w:tc>
          <w:tcPr>
            <w:tcW w:type="dxa" w:w="1728"/>
          </w:tcPr>
          <w:p>
            <w:r>
              <w:t>1.5</w:t>
            </w:r>
          </w:p>
        </w:tc>
        <w:tc>
          <w:tcPr>
            <w:tcW w:type="dxa" w:w="1728"/>
          </w:tcPr>
          <w:p>
            <w:r>
              <w:t>2.364</w:t>
            </w:r>
          </w:p>
        </w:tc>
        <w:tc>
          <w:tcPr>
            <w:tcW w:type="dxa" w:w="1728"/>
          </w:tcPr>
          <w:p>
            <w:r>
              <w:t>2.45</w:t>
            </w:r>
          </w:p>
        </w:tc>
        <w:tc>
          <w:tcPr>
            <w:tcW w:type="dxa" w:w="1728"/>
          </w:tcPr>
          <w:p>
            <w:r>
              <w:t>Exceeded</w:t>
            </w:r>
          </w:p>
        </w:tc>
      </w:tr>
    </w:tbl>
    <w:p>
      <w:pPr>
        <w:pStyle w:val="Heading1"/>
      </w:pPr>
      <w:r>
        <w:t>4. Visual Comparison</w:t>
      </w:r>
    </w:p>
    <w:p>
      <w:r>
        <w:t>The chart below visualizes the measured energy rates versus theoretical Omega.limit thresholds across cancer types:</w:t>
      </w:r>
    </w:p>
    <w:p>
      <w:r>
        <w:drawing>
          <wp:inline xmlns:a="http://schemas.openxmlformats.org/drawingml/2006/main" xmlns:pic="http://schemas.openxmlformats.org/drawingml/2006/picture">
            <wp:extent cx="5943600" cy="29718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Omega_vs_dEdt_Compariso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1"/>
      </w:pPr>
      <w:r>
        <w:t>5. References</w:t>
      </w:r>
    </w:p>
    <w:p>
      <w:r>
        <w:t>1. Zheng J. (2012). Energy metabolism of cancer: glycolysis versus oxidative phosphorylation. Oncol Lett. 4(6):1151–1157.</w:t>
        <w:br/>
        <w:t>2. Shoshan-Barmatz V. et al. (2014). The VDAC1 protein: From the mitochondria to the cell. Biochim Biophys Acta. 1840(6): 1506–1516.</w:t>
        <w:br/>
        <w:t>3. Klepinin A. et al. (2022). Stable isotope tracing uncovers reduced ATP turnover and metabolic flux in aggressive breast cancer cells. Front Oncol. 12:892195.</w:t>
        <w:br/>
        <w:t>4. Qian Y. et al. (2016). Extracellular ATP in the tumor microenvironment of NSCLC and its uptake by cancer cells. Mol Cancer Res. 14(11):1087–1096.</w:t>
        <w:br/>
        <w:t>5. Kamradt M.L. et al. (2021). NIK promotes metabolic adaptation of glioblastoma cells to bioenergetic stress. Cell Death Dis. 12(1):271.</w:t>
        <w:br/>
        <w:t>6. Park J.H. et al. (2013). Application of 31P MR spectroscopy to brain tumors. J Korean Med Sci. 28(10):1511–1518.</w:t>
        <w:br/>
        <w:t>7. Martinez-Outschoorn U.E. et al. (2014). Catabolic cancer-associated fibroblasts transfer energy to anabolic cancer cells. Semin Cancer Biol. 25:47–60.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