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5B85" w:rsidRPr="009E5808" w:rsidRDefault="00EC5B85" w:rsidP="00F42AAF">
      <w:pPr>
        <w:bidi w:val="0"/>
        <w:jc w:val="both"/>
        <w:rPr>
          <w:rStyle w:val="Strong"/>
          <w:rFonts w:asciiTheme="majorBidi" w:hAnsiTheme="majorBidi" w:cstheme="majorBidi"/>
          <w:sz w:val="24"/>
          <w:szCs w:val="24"/>
        </w:rPr>
      </w:pPr>
      <w:r w:rsidRPr="009E5808">
        <w:rPr>
          <w:rStyle w:val="Strong"/>
          <w:rFonts w:asciiTheme="majorBidi" w:hAnsiTheme="majorBidi" w:cstheme="majorBidi"/>
          <w:sz w:val="24"/>
          <w:szCs w:val="24"/>
        </w:rPr>
        <w:t xml:space="preserve">A </w:t>
      </w:r>
      <w:r w:rsidR="00F42AAF">
        <w:rPr>
          <w:rStyle w:val="Strong"/>
          <w:rFonts w:asciiTheme="majorBidi" w:hAnsiTheme="majorBidi" w:cstheme="majorBidi"/>
          <w:sz w:val="24"/>
          <w:szCs w:val="24"/>
        </w:rPr>
        <w:t>Hypothesis</w:t>
      </w:r>
      <w:r w:rsidRPr="009E5808">
        <w:rPr>
          <w:rStyle w:val="Strong"/>
          <w:rFonts w:asciiTheme="majorBidi" w:hAnsiTheme="majorBidi" w:cstheme="majorBidi"/>
          <w:sz w:val="24"/>
          <w:szCs w:val="24"/>
        </w:rPr>
        <w:t xml:space="preserve"> on the Etiology of Polar T3 Syndrome and Related Polar Syndromes: The Role of Atmospheric</w:t>
      </w:r>
      <w:r w:rsidR="00E26FB8" w:rsidRPr="009E5808">
        <w:rPr>
          <w:rStyle w:val="Strong"/>
          <w:rFonts w:asciiTheme="majorBidi" w:hAnsiTheme="majorBidi" w:cstheme="majorBidi"/>
          <w:sz w:val="24"/>
          <w:szCs w:val="24"/>
        </w:rPr>
        <w:t xml:space="preserve"> </w:t>
      </w:r>
      <w:r w:rsidRPr="009E5808">
        <w:rPr>
          <w:rStyle w:val="Strong"/>
          <w:rFonts w:asciiTheme="majorBidi" w:hAnsiTheme="majorBidi" w:cstheme="majorBidi"/>
          <w:sz w:val="24"/>
          <w:szCs w:val="24"/>
        </w:rPr>
        <w:t>/Oceanic Iodine in Human Hormonal Cycles in Polar Regions</w:t>
      </w:r>
    </w:p>
    <w:p w:rsidR="00E26FB8" w:rsidRPr="009E5808" w:rsidRDefault="00E26FB8" w:rsidP="00E26FB8">
      <w:pPr>
        <w:bidi w:val="0"/>
        <w:rPr>
          <w:rStyle w:val="Strong"/>
          <w:rFonts w:asciiTheme="majorBidi" w:hAnsiTheme="majorBidi" w:cstheme="majorBidi"/>
          <w:sz w:val="24"/>
          <w:szCs w:val="24"/>
        </w:rPr>
      </w:pPr>
    </w:p>
    <w:p w:rsidR="00E26FB8" w:rsidRDefault="00E26FB8" w:rsidP="00F558F8">
      <w:pPr>
        <w:bidi w:val="0"/>
        <w:rPr>
          <w:rStyle w:val="Strong"/>
          <w:rFonts w:asciiTheme="majorBidi" w:hAnsiTheme="majorBidi" w:cstheme="majorBidi"/>
          <w:b w:val="0"/>
          <w:bCs w:val="0"/>
          <w:sz w:val="24"/>
          <w:szCs w:val="24"/>
          <w:vertAlign w:val="superscript"/>
        </w:rPr>
      </w:pPr>
      <w:r w:rsidRPr="003E022D">
        <w:rPr>
          <w:rStyle w:val="Strong"/>
          <w:rFonts w:asciiTheme="majorBidi" w:hAnsiTheme="majorBidi" w:cstheme="majorBidi"/>
          <w:b w:val="0"/>
          <w:bCs w:val="0"/>
          <w:sz w:val="24"/>
          <w:szCs w:val="24"/>
        </w:rPr>
        <w:t>Mohammad Reza Besharati</w:t>
      </w:r>
      <w:r w:rsidR="00F558F8">
        <w:rPr>
          <w:rStyle w:val="Strong"/>
          <w:rFonts w:asciiTheme="majorBidi" w:hAnsiTheme="majorBidi" w:cstheme="majorBidi"/>
          <w:b w:val="0"/>
          <w:bCs w:val="0"/>
          <w:sz w:val="24"/>
          <w:szCs w:val="24"/>
          <w:vertAlign w:val="superscript"/>
        </w:rPr>
        <w:t>1</w:t>
      </w:r>
      <w:r w:rsidRPr="003E022D">
        <w:rPr>
          <w:rStyle w:val="Strong"/>
          <w:rFonts w:asciiTheme="majorBidi" w:hAnsiTheme="majorBidi" w:cstheme="majorBidi"/>
          <w:b w:val="0"/>
          <w:bCs w:val="0"/>
          <w:sz w:val="24"/>
          <w:szCs w:val="24"/>
        </w:rPr>
        <w:t>, Mohammad Izadi</w:t>
      </w:r>
      <w:r w:rsidR="00F558F8">
        <w:rPr>
          <w:rStyle w:val="Strong"/>
          <w:rFonts w:asciiTheme="majorBidi" w:hAnsiTheme="majorBidi" w:cstheme="majorBidi"/>
          <w:b w:val="0"/>
          <w:bCs w:val="0"/>
          <w:sz w:val="24"/>
          <w:szCs w:val="24"/>
          <w:vertAlign w:val="superscript"/>
        </w:rPr>
        <w:t>2</w:t>
      </w:r>
      <w:r w:rsidRPr="003E022D">
        <w:rPr>
          <w:rStyle w:val="Strong"/>
          <w:rFonts w:asciiTheme="majorBidi" w:hAnsiTheme="majorBidi" w:cstheme="majorBidi"/>
          <w:b w:val="0"/>
          <w:bCs w:val="0"/>
          <w:sz w:val="24"/>
          <w:szCs w:val="24"/>
        </w:rPr>
        <w:t xml:space="preserve">, </w:t>
      </w:r>
      <w:proofErr w:type="spellStart"/>
      <w:r w:rsidRPr="003E022D">
        <w:rPr>
          <w:rStyle w:val="Strong"/>
          <w:rFonts w:asciiTheme="majorBidi" w:hAnsiTheme="majorBidi" w:cstheme="majorBidi"/>
          <w:b w:val="0"/>
          <w:bCs w:val="0"/>
          <w:sz w:val="24"/>
          <w:szCs w:val="24"/>
        </w:rPr>
        <w:t>Alireza</w:t>
      </w:r>
      <w:proofErr w:type="spellEnd"/>
      <w:r w:rsidRPr="003E022D">
        <w:rPr>
          <w:rStyle w:val="Strong"/>
          <w:rFonts w:asciiTheme="majorBidi" w:hAnsiTheme="majorBidi" w:cstheme="majorBidi"/>
          <w:b w:val="0"/>
          <w:bCs w:val="0"/>
          <w:sz w:val="24"/>
          <w:szCs w:val="24"/>
        </w:rPr>
        <w:t xml:space="preserve"> Talebpour</w:t>
      </w:r>
      <w:r w:rsidR="00F558F8">
        <w:rPr>
          <w:rStyle w:val="Strong"/>
          <w:rFonts w:asciiTheme="majorBidi" w:hAnsiTheme="majorBidi" w:cstheme="majorBidi"/>
          <w:b w:val="0"/>
          <w:bCs w:val="0"/>
          <w:sz w:val="24"/>
          <w:szCs w:val="24"/>
          <w:vertAlign w:val="superscript"/>
        </w:rPr>
        <w:t>3</w:t>
      </w:r>
      <w:r w:rsidR="003E022D">
        <w:rPr>
          <w:rStyle w:val="Strong"/>
          <w:rFonts w:asciiTheme="majorBidi" w:hAnsiTheme="majorBidi" w:cstheme="majorBidi"/>
          <w:b w:val="0"/>
          <w:bCs w:val="0"/>
          <w:sz w:val="24"/>
          <w:szCs w:val="24"/>
        </w:rPr>
        <w:t xml:space="preserve">, </w:t>
      </w:r>
      <w:proofErr w:type="spellStart"/>
      <w:r w:rsidR="003E022D">
        <w:rPr>
          <w:rStyle w:val="Strong"/>
          <w:rFonts w:asciiTheme="majorBidi" w:hAnsiTheme="majorBidi" w:cstheme="majorBidi"/>
          <w:b w:val="0"/>
          <w:bCs w:val="0"/>
          <w:sz w:val="24"/>
          <w:szCs w:val="24"/>
        </w:rPr>
        <w:t>Nafiseh</w:t>
      </w:r>
      <w:proofErr w:type="spellEnd"/>
      <w:r w:rsidR="003E022D">
        <w:rPr>
          <w:rStyle w:val="Strong"/>
          <w:rFonts w:asciiTheme="majorBidi" w:hAnsiTheme="majorBidi" w:cstheme="majorBidi"/>
          <w:b w:val="0"/>
          <w:bCs w:val="0"/>
          <w:sz w:val="24"/>
          <w:szCs w:val="24"/>
        </w:rPr>
        <w:t xml:space="preserve"> Jafari</w:t>
      </w:r>
      <w:r w:rsidR="00F558F8">
        <w:rPr>
          <w:rStyle w:val="Strong"/>
          <w:rFonts w:asciiTheme="majorBidi" w:hAnsiTheme="majorBidi" w:cstheme="majorBidi"/>
          <w:b w:val="0"/>
          <w:bCs w:val="0"/>
          <w:sz w:val="24"/>
          <w:szCs w:val="24"/>
          <w:vertAlign w:val="superscript"/>
        </w:rPr>
        <w:t>4</w:t>
      </w:r>
    </w:p>
    <w:p w:rsidR="003E022D" w:rsidRDefault="00F558F8" w:rsidP="00F42AAF">
      <w:pPr>
        <w:bidi w:val="0"/>
        <w:rPr>
          <w:rStyle w:val="Strong"/>
          <w:rFonts w:asciiTheme="majorBidi" w:hAnsiTheme="majorBidi" w:cstheme="majorBidi"/>
          <w:b w:val="0"/>
          <w:bCs w:val="0"/>
          <w:sz w:val="24"/>
          <w:szCs w:val="24"/>
          <w:vertAlign w:val="superscript"/>
        </w:rPr>
      </w:pPr>
      <w:r>
        <w:rPr>
          <w:rStyle w:val="Strong"/>
          <w:rFonts w:asciiTheme="majorBidi" w:hAnsiTheme="majorBidi" w:cstheme="majorBidi"/>
          <w:b w:val="0"/>
          <w:bCs w:val="0"/>
          <w:sz w:val="24"/>
          <w:szCs w:val="24"/>
          <w:vertAlign w:val="superscript"/>
        </w:rPr>
        <w:t xml:space="preserve">1- </w:t>
      </w:r>
      <w:r w:rsidR="00F42AAF">
        <w:rPr>
          <w:rStyle w:val="Strong"/>
          <w:rFonts w:asciiTheme="majorBidi" w:hAnsiTheme="majorBidi" w:cstheme="majorBidi"/>
          <w:b w:val="0"/>
          <w:bCs w:val="0"/>
          <w:sz w:val="24"/>
          <w:szCs w:val="24"/>
          <w:vertAlign w:val="superscript"/>
        </w:rPr>
        <w:t xml:space="preserve">PhD Candidate, </w:t>
      </w:r>
      <w:r w:rsidRPr="00F558F8">
        <w:rPr>
          <w:rStyle w:val="Strong"/>
          <w:rFonts w:asciiTheme="majorBidi" w:hAnsiTheme="majorBidi" w:cstheme="majorBidi"/>
          <w:b w:val="0"/>
          <w:bCs w:val="0"/>
          <w:sz w:val="24"/>
          <w:szCs w:val="24"/>
          <w:vertAlign w:val="superscript"/>
        </w:rPr>
        <w:t>Sharif University of Technology, Tehran, Ira</w:t>
      </w:r>
      <w:r>
        <w:rPr>
          <w:rStyle w:val="Strong"/>
          <w:rFonts w:asciiTheme="majorBidi" w:hAnsiTheme="majorBidi" w:cstheme="majorBidi"/>
          <w:b w:val="0"/>
          <w:bCs w:val="0"/>
          <w:sz w:val="24"/>
          <w:szCs w:val="24"/>
          <w:vertAlign w:val="superscript"/>
        </w:rPr>
        <w:t xml:space="preserve">n, </w:t>
      </w:r>
      <w:hyperlink r:id="rId6" w:history="1">
        <w:r w:rsidRPr="00A17710">
          <w:rPr>
            <w:rStyle w:val="Hyperlink"/>
            <w:rFonts w:asciiTheme="majorBidi" w:hAnsiTheme="majorBidi" w:cstheme="majorBidi"/>
            <w:sz w:val="24"/>
            <w:szCs w:val="24"/>
            <w:vertAlign w:val="superscript"/>
          </w:rPr>
          <w:t>mr.besharati@gmail.com</w:t>
        </w:r>
      </w:hyperlink>
      <w:r>
        <w:rPr>
          <w:rStyle w:val="Strong"/>
          <w:rFonts w:asciiTheme="majorBidi" w:hAnsiTheme="majorBidi" w:cstheme="majorBidi"/>
          <w:b w:val="0"/>
          <w:bCs w:val="0"/>
          <w:sz w:val="24"/>
          <w:szCs w:val="24"/>
          <w:vertAlign w:val="superscript"/>
        </w:rPr>
        <w:t>.</w:t>
      </w:r>
    </w:p>
    <w:p w:rsidR="00F558F8" w:rsidRDefault="00F558F8" w:rsidP="00F558F8">
      <w:pPr>
        <w:bidi w:val="0"/>
        <w:rPr>
          <w:rStyle w:val="Strong"/>
          <w:rFonts w:asciiTheme="majorBidi" w:hAnsiTheme="majorBidi" w:cstheme="majorBidi"/>
          <w:b w:val="0"/>
          <w:bCs w:val="0"/>
          <w:sz w:val="24"/>
          <w:szCs w:val="24"/>
          <w:vertAlign w:val="superscript"/>
        </w:rPr>
      </w:pPr>
      <w:r>
        <w:rPr>
          <w:rStyle w:val="Strong"/>
          <w:rFonts w:asciiTheme="majorBidi" w:hAnsiTheme="majorBidi" w:cstheme="majorBidi"/>
          <w:b w:val="0"/>
          <w:bCs w:val="0"/>
          <w:sz w:val="24"/>
          <w:szCs w:val="24"/>
          <w:vertAlign w:val="superscript"/>
        </w:rPr>
        <w:t xml:space="preserve">2- </w:t>
      </w:r>
      <w:r w:rsidRPr="00F558F8">
        <w:rPr>
          <w:rStyle w:val="Strong"/>
          <w:rFonts w:asciiTheme="majorBidi" w:hAnsiTheme="majorBidi" w:cstheme="majorBidi"/>
          <w:b w:val="0"/>
          <w:bCs w:val="0"/>
          <w:sz w:val="24"/>
          <w:szCs w:val="24"/>
          <w:vertAlign w:val="superscript"/>
        </w:rPr>
        <w:t>Associate Professor, Sharif University of Technology, Tehran, Ir</w:t>
      </w:r>
      <w:r>
        <w:rPr>
          <w:rStyle w:val="Strong"/>
          <w:rFonts w:asciiTheme="majorBidi" w:hAnsiTheme="majorBidi" w:cstheme="majorBidi"/>
          <w:b w:val="0"/>
          <w:bCs w:val="0"/>
          <w:sz w:val="24"/>
          <w:szCs w:val="24"/>
          <w:vertAlign w:val="superscript"/>
        </w:rPr>
        <w:t>an.</w:t>
      </w:r>
    </w:p>
    <w:p w:rsidR="00F558F8" w:rsidRDefault="00F558F8" w:rsidP="00F558F8">
      <w:pPr>
        <w:bidi w:val="0"/>
        <w:rPr>
          <w:rStyle w:val="Strong"/>
          <w:rFonts w:asciiTheme="majorBidi" w:hAnsiTheme="majorBidi" w:cstheme="majorBidi"/>
          <w:b w:val="0"/>
          <w:bCs w:val="0"/>
          <w:sz w:val="24"/>
          <w:szCs w:val="24"/>
          <w:vertAlign w:val="superscript"/>
        </w:rPr>
      </w:pPr>
      <w:r>
        <w:rPr>
          <w:rStyle w:val="Strong"/>
          <w:rFonts w:asciiTheme="majorBidi" w:hAnsiTheme="majorBidi" w:cstheme="majorBidi"/>
          <w:b w:val="0"/>
          <w:bCs w:val="0"/>
          <w:sz w:val="24"/>
          <w:szCs w:val="24"/>
          <w:vertAlign w:val="superscript"/>
        </w:rPr>
        <w:t xml:space="preserve">3- </w:t>
      </w:r>
      <w:r w:rsidRPr="00F558F8">
        <w:rPr>
          <w:rStyle w:val="Strong"/>
          <w:rFonts w:asciiTheme="majorBidi" w:hAnsiTheme="majorBidi" w:cstheme="majorBidi"/>
          <w:b w:val="0"/>
          <w:bCs w:val="0"/>
          <w:sz w:val="24"/>
          <w:szCs w:val="24"/>
          <w:vertAlign w:val="superscript"/>
        </w:rPr>
        <w:t xml:space="preserve">Associate Professor, </w:t>
      </w:r>
      <w:proofErr w:type="spellStart"/>
      <w:r w:rsidRPr="00F558F8">
        <w:rPr>
          <w:rStyle w:val="Strong"/>
          <w:rFonts w:asciiTheme="majorBidi" w:hAnsiTheme="majorBidi" w:cstheme="majorBidi"/>
          <w:b w:val="0"/>
          <w:bCs w:val="0"/>
          <w:sz w:val="24"/>
          <w:szCs w:val="24"/>
          <w:vertAlign w:val="superscript"/>
        </w:rPr>
        <w:t>Shahid</w:t>
      </w:r>
      <w:proofErr w:type="spellEnd"/>
      <w:r w:rsidRPr="00F558F8">
        <w:rPr>
          <w:rStyle w:val="Strong"/>
          <w:rFonts w:asciiTheme="majorBidi" w:hAnsiTheme="majorBidi" w:cstheme="majorBidi"/>
          <w:b w:val="0"/>
          <w:bCs w:val="0"/>
          <w:sz w:val="24"/>
          <w:szCs w:val="24"/>
          <w:vertAlign w:val="superscript"/>
        </w:rPr>
        <w:t xml:space="preserve"> </w:t>
      </w:r>
      <w:proofErr w:type="spellStart"/>
      <w:r w:rsidRPr="00F558F8">
        <w:rPr>
          <w:rStyle w:val="Strong"/>
          <w:rFonts w:asciiTheme="majorBidi" w:hAnsiTheme="majorBidi" w:cstheme="majorBidi"/>
          <w:b w:val="0"/>
          <w:bCs w:val="0"/>
          <w:sz w:val="24"/>
          <w:szCs w:val="24"/>
          <w:vertAlign w:val="superscript"/>
        </w:rPr>
        <w:t>Beheshti</w:t>
      </w:r>
      <w:proofErr w:type="spellEnd"/>
      <w:r w:rsidRPr="00F558F8">
        <w:rPr>
          <w:rStyle w:val="Strong"/>
          <w:rFonts w:asciiTheme="majorBidi" w:hAnsiTheme="majorBidi" w:cstheme="majorBidi"/>
          <w:b w:val="0"/>
          <w:bCs w:val="0"/>
          <w:sz w:val="24"/>
          <w:szCs w:val="24"/>
          <w:vertAlign w:val="superscript"/>
        </w:rPr>
        <w:t xml:space="preserve"> University, Tehran, Ir</w:t>
      </w:r>
      <w:r>
        <w:rPr>
          <w:rStyle w:val="Strong"/>
          <w:rFonts w:asciiTheme="majorBidi" w:hAnsiTheme="majorBidi" w:cstheme="majorBidi"/>
          <w:b w:val="0"/>
          <w:bCs w:val="0"/>
          <w:sz w:val="24"/>
          <w:szCs w:val="24"/>
          <w:vertAlign w:val="superscript"/>
        </w:rPr>
        <w:t>an.</w:t>
      </w:r>
    </w:p>
    <w:p w:rsidR="00F558F8" w:rsidRDefault="00F558F8" w:rsidP="00F42AAF">
      <w:pPr>
        <w:bidi w:val="0"/>
        <w:rPr>
          <w:rStyle w:val="Strong"/>
          <w:rFonts w:asciiTheme="majorBidi" w:hAnsiTheme="majorBidi" w:cstheme="majorBidi"/>
          <w:b w:val="0"/>
          <w:bCs w:val="0"/>
          <w:sz w:val="24"/>
          <w:szCs w:val="24"/>
          <w:vertAlign w:val="superscript"/>
        </w:rPr>
      </w:pPr>
      <w:r>
        <w:rPr>
          <w:rStyle w:val="Strong"/>
          <w:rFonts w:asciiTheme="majorBidi" w:hAnsiTheme="majorBidi" w:cstheme="majorBidi"/>
          <w:b w:val="0"/>
          <w:bCs w:val="0"/>
          <w:sz w:val="24"/>
          <w:szCs w:val="24"/>
          <w:vertAlign w:val="superscript"/>
        </w:rPr>
        <w:t xml:space="preserve">4- </w:t>
      </w:r>
      <w:r w:rsidRPr="00F558F8">
        <w:rPr>
          <w:rStyle w:val="Strong"/>
          <w:rFonts w:asciiTheme="majorBidi" w:hAnsiTheme="majorBidi" w:cstheme="majorBidi"/>
          <w:b w:val="0"/>
          <w:bCs w:val="0"/>
          <w:sz w:val="24"/>
          <w:szCs w:val="24"/>
          <w:vertAlign w:val="superscript"/>
        </w:rPr>
        <w:t>Master’s graduate</w:t>
      </w:r>
      <w:r>
        <w:rPr>
          <w:rStyle w:val="Strong"/>
          <w:rFonts w:asciiTheme="majorBidi" w:hAnsiTheme="majorBidi" w:cstheme="majorBidi"/>
          <w:b w:val="0"/>
          <w:bCs w:val="0"/>
          <w:sz w:val="24"/>
          <w:szCs w:val="24"/>
          <w:vertAlign w:val="superscript"/>
        </w:rPr>
        <w:t>,</w:t>
      </w:r>
      <w:r w:rsidR="00F42AAF">
        <w:rPr>
          <w:rStyle w:val="Strong"/>
          <w:rFonts w:asciiTheme="majorBidi" w:hAnsiTheme="majorBidi" w:cstheme="majorBidi"/>
          <w:b w:val="0"/>
          <w:bCs w:val="0"/>
          <w:sz w:val="24"/>
          <w:szCs w:val="24"/>
          <w:vertAlign w:val="superscript"/>
        </w:rPr>
        <w:t xml:space="preserve"> </w:t>
      </w:r>
      <w:proofErr w:type="spellStart"/>
      <w:r w:rsidR="00F42AAF" w:rsidRPr="00F42AAF">
        <w:rPr>
          <w:rStyle w:val="Strong"/>
          <w:rFonts w:asciiTheme="majorBidi" w:hAnsiTheme="majorBidi" w:cstheme="majorBidi"/>
          <w:b w:val="0"/>
          <w:bCs w:val="0"/>
          <w:sz w:val="24"/>
          <w:szCs w:val="24"/>
          <w:vertAlign w:val="superscript"/>
        </w:rPr>
        <w:t>Malek</w:t>
      </w:r>
      <w:proofErr w:type="spellEnd"/>
      <w:r w:rsidR="00F42AAF" w:rsidRPr="00F42AAF">
        <w:rPr>
          <w:rStyle w:val="Strong"/>
          <w:rFonts w:asciiTheme="majorBidi" w:hAnsiTheme="majorBidi" w:cstheme="majorBidi"/>
          <w:b w:val="0"/>
          <w:bCs w:val="0"/>
          <w:sz w:val="24"/>
          <w:szCs w:val="24"/>
          <w:vertAlign w:val="superscript"/>
        </w:rPr>
        <w:t xml:space="preserve"> </w:t>
      </w:r>
      <w:proofErr w:type="spellStart"/>
      <w:r w:rsidR="00F42AAF" w:rsidRPr="00F42AAF">
        <w:rPr>
          <w:rStyle w:val="Strong"/>
          <w:rFonts w:asciiTheme="majorBidi" w:hAnsiTheme="majorBidi" w:cstheme="majorBidi"/>
          <w:b w:val="0"/>
          <w:bCs w:val="0"/>
          <w:sz w:val="24"/>
          <w:szCs w:val="24"/>
          <w:vertAlign w:val="superscript"/>
        </w:rPr>
        <w:t>Ashtar</w:t>
      </w:r>
      <w:proofErr w:type="spellEnd"/>
      <w:r w:rsidR="00F42AAF" w:rsidRPr="00F42AAF">
        <w:rPr>
          <w:rStyle w:val="Strong"/>
          <w:rFonts w:asciiTheme="majorBidi" w:hAnsiTheme="majorBidi" w:cstheme="majorBidi"/>
          <w:b w:val="0"/>
          <w:bCs w:val="0"/>
          <w:sz w:val="24"/>
          <w:szCs w:val="24"/>
          <w:vertAlign w:val="superscript"/>
        </w:rPr>
        <w:t xml:space="preserve"> University of Technology</w:t>
      </w:r>
      <w:r w:rsidR="00F42AAF">
        <w:rPr>
          <w:rStyle w:val="Strong"/>
          <w:rFonts w:asciiTheme="majorBidi" w:hAnsiTheme="majorBidi" w:cstheme="majorBidi"/>
          <w:b w:val="0"/>
          <w:bCs w:val="0"/>
          <w:sz w:val="24"/>
          <w:szCs w:val="24"/>
          <w:vertAlign w:val="superscript"/>
        </w:rPr>
        <w:t xml:space="preserve">, </w:t>
      </w:r>
      <w:r w:rsidR="00F42AAF" w:rsidRPr="00F558F8">
        <w:rPr>
          <w:rStyle w:val="Strong"/>
          <w:rFonts w:asciiTheme="majorBidi" w:hAnsiTheme="majorBidi" w:cstheme="majorBidi"/>
          <w:b w:val="0"/>
          <w:bCs w:val="0"/>
          <w:sz w:val="24"/>
          <w:szCs w:val="24"/>
          <w:vertAlign w:val="superscript"/>
        </w:rPr>
        <w:t>Tehran, Ir</w:t>
      </w:r>
      <w:r w:rsidR="00F42AAF">
        <w:rPr>
          <w:rStyle w:val="Strong"/>
          <w:rFonts w:asciiTheme="majorBidi" w:hAnsiTheme="majorBidi" w:cstheme="majorBidi"/>
          <w:b w:val="0"/>
          <w:bCs w:val="0"/>
          <w:sz w:val="24"/>
          <w:szCs w:val="24"/>
          <w:vertAlign w:val="superscript"/>
        </w:rPr>
        <w:t>an.</w:t>
      </w:r>
    </w:p>
    <w:p w:rsidR="00E26FB8" w:rsidRPr="00F558F8" w:rsidRDefault="00E26FB8" w:rsidP="00E26FB8">
      <w:pPr>
        <w:bidi w:val="0"/>
        <w:rPr>
          <w:rStyle w:val="Strong"/>
          <w:rFonts w:asciiTheme="majorBidi" w:hAnsiTheme="majorBidi" w:cstheme="majorBidi"/>
          <w:b w:val="0"/>
          <w:bCs w:val="0"/>
          <w:sz w:val="24"/>
          <w:szCs w:val="24"/>
        </w:rPr>
      </w:pPr>
    </w:p>
    <w:p w:rsidR="00E26FB8" w:rsidRPr="009E5808" w:rsidRDefault="00E26FB8" w:rsidP="00144C22">
      <w:pPr>
        <w:bidi w:val="0"/>
        <w:jc w:val="both"/>
        <w:rPr>
          <w:rFonts w:asciiTheme="majorBidi" w:hAnsiTheme="majorBidi" w:cstheme="majorBidi"/>
          <w:sz w:val="24"/>
          <w:szCs w:val="24"/>
        </w:rPr>
      </w:pPr>
      <w:r w:rsidRPr="009E5808">
        <w:rPr>
          <w:rFonts w:asciiTheme="majorBidi" w:hAnsiTheme="majorBidi" w:cstheme="majorBidi"/>
          <w:sz w:val="24"/>
          <w:szCs w:val="24"/>
        </w:rPr>
        <w:t>Emerging evidence suggests that atmospheric and oceanic iodine cycles may influence human metabolic and hormonal profiles in polar environments. The Polar T3 Syndrome-characterized by altered triiodothyronine (T3) kinetics, cognitive impairment, and metabolic adaptations during prolonged Antarctic residence-could partially stem from unique iodine dynamics in these regions</w:t>
      </w:r>
      <w:r w:rsidRPr="009E5808">
        <w:rPr>
          <w:rFonts w:asciiTheme="majorBidi" w:hAnsiTheme="majorBidi" w:cstheme="majorBidi"/>
          <w:sz w:val="24"/>
          <w:szCs w:val="24"/>
        </w:rPr>
        <w:t>.</w:t>
      </w:r>
    </w:p>
    <w:p w:rsidR="00E26FB8" w:rsidRPr="009E5808" w:rsidRDefault="004E586A" w:rsidP="00A300E6">
      <w:pPr>
        <w:bidi w:val="0"/>
        <w:jc w:val="both"/>
        <w:rPr>
          <w:rStyle w:val="Strong"/>
          <w:rFonts w:asciiTheme="majorBidi" w:hAnsiTheme="majorBidi" w:cstheme="majorBidi"/>
          <w:b w:val="0"/>
          <w:bCs w:val="0"/>
          <w:sz w:val="24"/>
          <w:szCs w:val="24"/>
        </w:rPr>
      </w:pPr>
      <w:r w:rsidRPr="009E5808">
        <w:rPr>
          <w:rStyle w:val="Strong"/>
          <w:rFonts w:asciiTheme="majorBidi" w:hAnsiTheme="majorBidi" w:cstheme="majorBidi"/>
          <w:b w:val="0"/>
          <w:bCs w:val="0"/>
          <w:sz w:val="24"/>
          <w:szCs w:val="24"/>
        </w:rPr>
        <w:t>Previous p</w:t>
      </w:r>
      <w:r w:rsidR="00E26FB8" w:rsidRPr="009E5808">
        <w:rPr>
          <w:rStyle w:val="Strong"/>
          <w:rFonts w:asciiTheme="majorBidi" w:hAnsiTheme="majorBidi" w:cstheme="majorBidi"/>
          <w:b w:val="0"/>
          <w:bCs w:val="0"/>
          <w:sz w:val="24"/>
          <w:szCs w:val="24"/>
        </w:rPr>
        <w:t>reliminary studies suggest atmospheric iodine might influence metabolic-hormonal networks that intersect with viral susceptibility</w:t>
      </w:r>
      <w:r w:rsidR="00144C22" w:rsidRPr="009E5808">
        <w:rPr>
          <w:rStyle w:val="Strong"/>
          <w:rFonts w:asciiTheme="majorBidi" w:hAnsiTheme="majorBidi" w:cstheme="majorBidi"/>
          <w:b w:val="0"/>
          <w:bCs w:val="0"/>
          <w:sz w:val="24"/>
          <w:szCs w:val="24"/>
        </w:rPr>
        <w:t xml:space="preserve"> [1][2][3][4][5]</w:t>
      </w:r>
      <w:r w:rsidR="00A300E6" w:rsidRPr="009E5808">
        <w:rPr>
          <w:rStyle w:val="Strong"/>
          <w:rFonts w:asciiTheme="majorBidi" w:hAnsiTheme="majorBidi" w:cstheme="majorBidi"/>
          <w:b w:val="0"/>
          <w:bCs w:val="0"/>
          <w:sz w:val="24"/>
          <w:szCs w:val="24"/>
        </w:rPr>
        <w:t>[6][7][8][9][10][11][12][13]</w:t>
      </w:r>
      <w:r w:rsidR="00E26FB8" w:rsidRPr="009E5808">
        <w:rPr>
          <w:rStyle w:val="Strong"/>
          <w:rFonts w:asciiTheme="majorBidi" w:hAnsiTheme="majorBidi" w:cstheme="majorBidi"/>
          <w:b w:val="0"/>
          <w:bCs w:val="0"/>
          <w:sz w:val="24"/>
          <w:szCs w:val="24"/>
        </w:rPr>
        <w:t>.</w:t>
      </w:r>
      <w:r w:rsidRPr="009E5808">
        <w:rPr>
          <w:rStyle w:val="Strong"/>
          <w:rFonts w:asciiTheme="majorBidi" w:hAnsiTheme="majorBidi" w:cstheme="majorBidi"/>
          <w:b w:val="0"/>
          <w:bCs w:val="0"/>
          <w:sz w:val="24"/>
          <w:szCs w:val="24"/>
        </w:rPr>
        <w:t xml:space="preserve"> </w:t>
      </w:r>
      <w:r w:rsidR="00A300E6" w:rsidRPr="009E5808">
        <w:rPr>
          <w:rStyle w:val="Strong"/>
          <w:rFonts w:asciiTheme="majorBidi" w:hAnsiTheme="majorBidi" w:cstheme="majorBidi"/>
          <w:b w:val="0"/>
          <w:bCs w:val="0"/>
          <w:sz w:val="24"/>
          <w:szCs w:val="24"/>
        </w:rPr>
        <w:t>While direct rigorous evidence linking atmospheric</w:t>
      </w:r>
      <w:r w:rsidR="00E26FB8" w:rsidRPr="009E5808">
        <w:rPr>
          <w:rStyle w:val="Strong"/>
          <w:rFonts w:asciiTheme="majorBidi" w:hAnsiTheme="majorBidi" w:cstheme="majorBidi"/>
          <w:b w:val="0"/>
          <w:bCs w:val="0"/>
          <w:sz w:val="24"/>
          <w:szCs w:val="24"/>
        </w:rPr>
        <w:t xml:space="preserve"> iodine cycles</w:t>
      </w:r>
      <w:r w:rsidR="00A300E6" w:rsidRPr="009E5808">
        <w:rPr>
          <w:rStyle w:val="Strong"/>
          <w:rFonts w:asciiTheme="majorBidi" w:hAnsiTheme="majorBidi" w:cstheme="majorBidi"/>
          <w:b w:val="0"/>
          <w:bCs w:val="0"/>
          <w:sz w:val="24"/>
          <w:szCs w:val="24"/>
        </w:rPr>
        <w:t xml:space="preserve"> (or other forms such as oceanic or nutritional iodine)</w:t>
      </w:r>
      <w:r w:rsidR="00E26FB8" w:rsidRPr="009E5808">
        <w:rPr>
          <w:rStyle w:val="Strong"/>
          <w:rFonts w:asciiTheme="majorBidi" w:hAnsiTheme="majorBidi" w:cstheme="majorBidi"/>
          <w:b w:val="0"/>
          <w:bCs w:val="0"/>
          <w:sz w:val="24"/>
          <w:szCs w:val="24"/>
        </w:rPr>
        <w:t xml:space="preserve"> to COVID-19 outcomes remains absent, the theory posits that iodine-mediated shifts in thyroid function (e.g., altered T3/T4 ratios) could modulate immune-metabolic pathways, potentially affecting disease severity.</w:t>
      </w:r>
    </w:p>
    <w:p w:rsidR="004E586A" w:rsidRPr="009E5808" w:rsidRDefault="004E586A" w:rsidP="00A300E6">
      <w:pPr>
        <w:bidi w:val="0"/>
        <w:jc w:val="both"/>
        <w:rPr>
          <w:rStyle w:val="Strong"/>
          <w:rFonts w:asciiTheme="majorBidi" w:hAnsiTheme="majorBidi" w:cstheme="majorBidi"/>
          <w:b w:val="0"/>
          <w:bCs w:val="0"/>
          <w:sz w:val="24"/>
          <w:szCs w:val="24"/>
        </w:rPr>
      </w:pPr>
      <w:r w:rsidRPr="009E5808">
        <w:rPr>
          <w:rStyle w:val="Strong"/>
          <w:rFonts w:asciiTheme="majorBidi" w:hAnsiTheme="majorBidi" w:cstheme="majorBidi"/>
          <w:b w:val="0"/>
          <w:bCs w:val="0"/>
          <w:sz w:val="24"/>
          <w:szCs w:val="24"/>
        </w:rPr>
        <w:t xml:space="preserve">A mechanism </w:t>
      </w:r>
      <w:r w:rsidR="00144C22" w:rsidRPr="009E5808">
        <w:rPr>
          <w:rStyle w:val="Strong"/>
          <w:rFonts w:asciiTheme="majorBidi" w:hAnsiTheme="majorBidi" w:cstheme="majorBidi"/>
          <w:b w:val="0"/>
          <w:bCs w:val="0"/>
          <w:sz w:val="24"/>
          <w:szCs w:val="24"/>
        </w:rPr>
        <w:t xml:space="preserve">somehow </w:t>
      </w:r>
      <w:r w:rsidRPr="009E5808">
        <w:rPr>
          <w:rStyle w:val="Strong"/>
          <w:rFonts w:asciiTheme="majorBidi" w:hAnsiTheme="majorBidi" w:cstheme="majorBidi"/>
          <w:b w:val="0"/>
          <w:bCs w:val="0"/>
          <w:sz w:val="24"/>
          <w:szCs w:val="24"/>
        </w:rPr>
        <w:t>like the above mentioned, could be responsible for some aspects of regulatory network of polar syndromes biologic-system (in the realm of systems dynamics, systems biology, epigenetics</w:t>
      </w:r>
      <w:r w:rsidR="00851F07" w:rsidRPr="009E5808">
        <w:rPr>
          <w:rStyle w:val="Strong"/>
          <w:rFonts w:asciiTheme="majorBidi" w:hAnsiTheme="majorBidi" w:cstheme="majorBidi"/>
          <w:b w:val="0"/>
          <w:bCs w:val="0"/>
          <w:sz w:val="24"/>
          <w:szCs w:val="24"/>
        </w:rPr>
        <w:t>, pathophysiology</w:t>
      </w:r>
      <w:r w:rsidR="00144C22" w:rsidRPr="009E5808">
        <w:rPr>
          <w:rStyle w:val="Strong"/>
          <w:rFonts w:asciiTheme="majorBidi" w:hAnsiTheme="majorBidi" w:cstheme="majorBidi"/>
          <w:b w:val="0"/>
          <w:bCs w:val="0"/>
          <w:sz w:val="24"/>
          <w:szCs w:val="24"/>
        </w:rPr>
        <w:t>,</w:t>
      </w:r>
      <w:r w:rsidRPr="009E5808">
        <w:rPr>
          <w:rStyle w:val="Strong"/>
          <w:rFonts w:asciiTheme="majorBidi" w:hAnsiTheme="majorBidi" w:cstheme="majorBidi"/>
          <w:b w:val="0"/>
          <w:bCs w:val="0"/>
          <w:sz w:val="24"/>
          <w:szCs w:val="24"/>
        </w:rPr>
        <w:t xml:space="preserve"> metabolomics</w:t>
      </w:r>
      <w:r w:rsidR="00144C22" w:rsidRPr="009E5808">
        <w:rPr>
          <w:rStyle w:val="Strong"/>
          <w:rFonts w:asciiTheme="majorBidi" w:hAnsiTheme="majorBidi" w:cstheme="majorBidi"/>
          <w:b w:val="0"/>
          <w:bCs w:val="0"/>
          <w:sz w:val="24"/>
          <w:szCs w:val="24"/>
        </w:rPr>
        <w:t xml:space="preserve">, precision medicine and AI/ML biology </w:t>
      </w:r>
      <w:r w:rsidRPr="009E5808">
        <w:rPr>
          <w:rStyle w:val="Strong"/>
          <w:rFonts w:asciiTheme="majorBidi" w:hAnsiTheme="majorBidi" w:cstheme="majorBidi"/>
          <w:b w:val="0"/>
          <w:bCs w:val="0"/>
          <w:sz w:val="24"/>
          <w:szCs w:val="24"/>
        </w:rPr>
        <w:t>studies</w:t>
      </w:r>
      <w:r w:rsidR="006E666C" w:rsidRPr="009E5808">
        <w:rPr>
          <w:rStyle w:val="Strong"/>
          <w:rFonts w:asciiTheme="majorBidi" w:hAnsiTheme="majorBidi" w:cstheme="majorBidi"/>
          <w:b w:val="0"/>
          <w:bCs w:val="0"/>
          <w:sz w:val="24"/>
          <w:szCs w:val="24"/>
        </w:rPr>
        <w:t xml:space="preserve"> [1</w:t>
      </w:r>
      <w:proofErr w:type="gramStart"/>
      <w:r w:rsidR="006E666C" w:rsidRPr="009E5808">
        <w:rPr>
          <w:rStyle w:val="Strong"/>
          <w:rFonts w:asciiTheme="majorBidi" w:hAnsiTheme="majorBidi" w:cstheme="majorBidi"/>
          <w:b w:val="0"/>
          <w:bCs w:val="0"/>
          <w:sz w:val="24"/>
          <w:szCs w:val="24"/>
        </w:rPr>
        <w:t>][</w:t>
      </w:r>
      <w:proofErr w:type="gramEnd"/>
      <w:r w:rsidR="00A300E6" w:rsidRPr="009E5808">
        <w:rPr>
          <w:rStyle w:val="Strong"/>
          <w:rFonts w:asciiTheme="majorBidi" w:hAnsiTheme="majorBidi" w:cstheme="majorBidi"/>
          <w:b w:val="0"/>
          <w:bCs w:val="0"/>
          <w:sz w:val="24"/>
          <w:szCs w:val="24"/>
        </w:rPr>
        <w:t>8</w:t>
      </w:r>
      <w:r w:rsidR="006E666C" w:rsidRPr="009E5808">
        <w:rPr>
          <w:rStyle w:val="Strong"/>
          <w:rFonts w:asciiTheme="majorBidi" w:hAnsiTheme="majorBidi" w:cstheme="majorBidi"/>
          <w:b w:val="0"/>
          <w:bCs w:val="0"/>
          <w:sz w:val="24"/>
          <w:szCs w:val="24"/>
        </w:rPr>
        <w:t>]</w:t>
      </w:r>
      <w:r w:rsidR="00A300E6" w:rsidRPr="009E5808">
        <w:rPr>
          <w:rStyle w:val="Strong"/>
          <w:rFonts w:asciiTheme="majorBidi" w:hAnsiTheme="majorBidi" w:cstheme="majorBidi"/>
          <w:b w:val="0"/>
          <w:bCs w:val="0"/>
          <w:sz w:val="24"/>
          <w:szCs w:val="24"/>
        </w:rPr>
        <w:t>[14]</w:t>
      </w:r>
      <w:r w:rsidR="00D90D65" w:rsidRPr="009E5808">
        <w:rPr>
          <w:rStyle w:val="Strong"/>
          <w:rFonts w:asciiTheme="majorBidi" w:hAnsiTheme="majorBidi" w:cstheme="majorBidi"/>
          <w:b w:val="0"/>
          <w:bCs w:val="0"/>
          <w:sz w:val="24"/>
          <w:szCs w:val="24"/>
        </w:rPr>
        <w:t>[15]</w:t>
      </w:r>
      <w:r w:rsidRPr="009E5808">
        <w:rPr>
          <w:rStyle w:val="Strong"/>
          <w:rFonts w:asciiTheme="majorBidi" w:hAnsiTheme="majorBidi" w:cstheme="majorBidi"/>
          <w:b w:val="0"/>
          <w:bCs w:val="0"/>
          <w:sz w:val="24"/>
          <w:szCs w:val="24"/>
        </w:rPr>
        <w:t>).</w:t>
      </w:r>
    </w:p>
    <w:p w:rsidR="00851F07" w:rsidRPr="009E5808" w:rsidRDefault="00851F07" w:rsidP="009E5808">
      <w:pPr>
        <w:bidi w:val="0"/>
        <w:jc w:val="both"/>
        <w:rPr>
          <w:rStyle w:val="Strong"/>
          <w:rFonts w:asciiTheme="majorBidi" w:hAnsiTheme="majorBidi" w:cstheme="majorBidi"/>
          <w:b w:val="0"/>
          <w:bCs w:val="0"/>
          <w:sz w:val="24"/>
          <w:szCs w:val="24"/>
        </w:rPr>
      </w:pPr>
      <w:r w:rsidRPr="009E5808">
        <w:rPr>
          <w:rStyle w:val="Strong"/>
          <w:rFonts w:asciiTheme="majorBidi" w:hAnsiTheme="majorBidi" w:cstheme="majorBidi"/>
          <w:b w:val="0"/>
          <w:bCs w:val="0"/>
          <w:sz w:val="24"/>
          <w:szCs w:val="24"/>
        </w:rPr>
        <w:t>According to modern and advanced interdisciplinary studies (and consistent with previously proposed concepts in complementary medicine traditions such as Iranian and Chinese medicine), even small amounts of bioactive natural, botanical,</w:t>
      </w:r>
      <w:r w:rsidR="00144C22" w:rsidRPr="009E5808">
        <w:rPr>
          <w:rStyle w:val="Strong"/>
          <w:rFonts w:asciiTheme="majorBidi" w:hAnsiTheme="majorBidi" w:cstheme="majorBidi"/>
          <w:b w:val="0"/>
          <w:bCs w:val="0"/>
          <w:sz w:val="24"/>
          <w:szCs w:val="24"/>
        </w:rPr>
        <w:t xml:space="preserve"> phytochemical,</w:t>
      </w:r>
      <w:r w:rsidRPr="009E5808">
        <w:rPr>
          <w:rStyle w:val="Strong"/>
          <w:rFonts w:asciiTheme="majorBidi" w:hAnsiTheme="majorBidi" w:cstheme="majorBidi"/>
          <w:b w:val="0"/>
          <w:bCs w:val="0"/>
          <w:sz w:val="24"/>
          <w:szCs w:val="24"/>
        </w:rPr>
        <w:t xml:space="preserve"> </w:t>
      </w:r>
      <w:r w:rsidR="00A300E6" w:rsidRPr="009E5808">
        <w:rPr>
          <w:rStyle w:val="Strong"/>
          <w:rFonts w:asciiTheme="majorBidi" w:hAnsiTheme="majorBidi" w:cstheme="majorBidi"/>
          <w:b w:val="0"/>
          <w:bCs w:val="0"/>
          <w:sz w:val="24"/>
          <w:szCs w:val="24"/>
        </w:rPr>
        <w:t xml:space="preserve">metabolite, </w:t>
      </w:r>
      <w:r w:rsidRPr="009E5808">
        <w:rPr>
          <w:rStyle w:val="Strong"/>
          <w:rFonts w:asciiTheme="majorBidi" w:hAnsiTheme="majorBidi" w:cstheme="majorBidi"/>
          <w:b w:val="0"/>
          <w:bCs w:val="0"/>
          <w:sz w:val="24"/>
          <w:szCs w:val="24"/>
        </w:rPr>
        <w:t xml:space="preserve">organic, or mineral substances </w:t>
      </w:r>
      <w:r w:rsidR="00144C22" w:rsidRPr="009E5808">
        <w:rPr>
          <w:rStyle w:val="Strong"/>
          <w:rFonts w:asciiTheme="majorBidi" w:hAnsiTheme="majorBidi" w:cstheme="majorBidi"/>
          <w:b w:val="0"/>
          <w:bCs w:val="0"/>
          <w:sz w:val="24"/>
          <w:szCs w:val="24"/>
        </w:rPr>
        <w:t>could</w:t>
      </w:r>
      <w:r w:rsidRPr="009E5808">
        <w:rPr>
          <w:rStyle w:val="Strong"/>
          <w:rFonts w:asciiTheme="majorBidi" w:hAnsiTheme="majorBidi" w:cstheme="majorBidi"/>
          <w:b w:val="0"/>
          <w:bCs w:val="0"/>
          <w:sz w:val="24"/>
          <w:szCs w:val="24"/>
        </w:rPr>
        <w:t xml:space="preserve"> exert regulatory effects on the body's metabolic, hormonal, microbial,</w:t>
      </w:r>
      <w:r w:rsidR="00144C22" w:rsidRPr="009E5808">
        <w:rPr>
          <w:rStyle w:val="Strong"/>
          <w:rFonts w:asciiTheme="majorBidi" w:hAnsiTheme="majorBidi" w:cstheme="majorBidi"/>
          <w:b w:val="0"/>
          <w:bCs w:val="0"/>
          <w:sz w:val="24"/>
          <w:szCs w:val="24"/>
        </w:rPr>
        <w:t xml:space="preserve"> epigenetic</w:t>
      </w:r>
      <w:r w:rsidR="009E5808" w:rsidRPr="009E5808">
        <w:rPr>
          <w:rStyle w:val="Strong"/>
          <w:rFonts w:asciiTheme="majorBidi" w:hAnsiTheme="majorBidi" w:cstheme="majorBidi"/>
          <w:b w:val="0"/>
          <w:bCs w:val="0"/>
          <w:sz w:val="24"/>
          <w:szCs w:val="24"/>
        </w:rPr>
        <w:t xml:space="preserve">, bacterial flora </w:t>
      </w:r>
      <w:r w:rsidRPr="009E5808">
        <w:rPr>
          <w:rStyle w:val="Strong"/>
          <w:rFonts w:asciiTheme="majorBidi" w:hAnsiTheme="majorBidi" w:cstheme="majorBidi"/>
          <w:b w:val="0"/>
          <w:bCs w:val="0"/>
          <w:sz w:val="24"/>
          <w:szCs w:val="24"/>
        </w:rPr>
        <w:t>and physiological systems.</w:t>
      </w:r>
    </w:p>
    <w:p w:rsidR="00D90D65" w:rsidRPr="009E5808" w:rsidRDefault="00D90D65" w:rsidP="009E5808">
      <w:pPr>
        <w:bidi w:val="0"/>
        <w:jc w:val="both"/>
        <w:rPr>
          <w:rStyle w:val="Strong"/>
          <w:rFonts w:asciiTheme="majorBidi" w:hAnsiTheme="majorBidi" w:cstheme="majorBidi"/>
          <w:b w:val="0"/>
          <w:bCs w:val="0"/>
          <w:sz w:val="24"/>
          <w:szCs w:val="24"/>
        </w:rPr>
      </w:pPr>
      <w:r w:rsidRPr="009E5808">
        <w:rPr>
          <w:rStyle w:val="Strong"/>
          <w:rFonts w:asciiTheme="majorBidi" w:hAnsiTheme="majorBidi" w:cstheme="majorBidi"/>
          <w:b w:val="0"/>
          <w:bCs w:val="0"/>
          <w:sz w:val="24"/>
          <w:szCs w:val="24"/>
        </w:rPr>
        <w:t>Using proper and rigorous controlled experiments, and also using advanced computational methods (such as hybrid semantics-aware data-driven approaches [16])</w:t>
      </w:r>
      <w:r w:rsidR="009E5808" w:rsidRPr="009E5808">
        <w:rPr>
          <w:rStyle w:val="Strong"/>
          <w:rFonts w:asciiTheme="majorBidi" w:hAnsiTheme="majorBidi" w:cstheme="majorBidi"/>
          <w:b w:val="0"/>
          <w:bCs w:val="0"/>
          <w:sz w:val="24"/>
          <w:szCs w:val="24"/>
        </w:rPr>
        <w:t>,</w:t>
      </w:r>
      <w:r w:rsidRPr="009E5808">
        <w:rPr>
          <w:rStyle w:val="Strong"/>
          <w:rFonts w:asciiTheme="majorBidi" w:hAnsiTheme="majorBidi" w:cstheme="majorBidi"/>
          <w:b w:val="0"/>
          <w:bCs w:val="0"/>
          <w:sz w:val="24"/>
          <w:szCs w:val="24"/>
        </w:rPr>
        <w:t xml:space="preserve"> could promote </w:t>
      </w:r>
      <w:r w:rsidR="009E5808" w:rsidRPr="009E5808">
        <w:rPr>
          <w:rStyle w:val="Strong"/>
          <w:rFonts w:asciiTheme="majorBidi" w:hAnsiTheme="majorBidi" w:cstheme="majorBidi"/>
          <w:b w:val="0"/>
          <w:bCs w:val="0"/>
          <w:sz w:val="24"/>
          <w:szCs w:val="24"/>
        </w:rPr>
        <w:t>studies and findings in this research area.</w:t>
      </w:r>
    </w:p>
    <w:p w:rsidR="00144C22" w:rsidRPr="009E5808" w:rsidRDefault="00144C22" w:rsidP="00144C22">
      <w:pPr>
        <w:bidi w:val="0"/>
        <w:jc w:val="both"/>
        <w:rPr>
          <w:rStyle w:val="Strong"/>
          <w:rFonts w:asciiTheme="majorBidi" w:hAnsiTheme="majorBidi" w:cstheme="majorBidi"/>
          <w:b w:val="0"/>
          <w:bCs w:val="0"/>
          <w:sz w:val="24"/>
          <w:szCs w:val="24"/>
        </w:rPr>
      </w:pPr>
    </w:p>
    <w:p w:rsidR="009E5808" w:rsidRDefault="009E5808">
      <w:pPr>
        <w:bidi w:val="0"/>
        <w:rPr>
          <w:rStyle w:val="Strong"/>
          <w:rFonts w:asciiTheme="majorBidi" w:hAnsiTheme="majorBidi" w:cstheme="majorBidi"/>
          <w:sz w:val="24"/>
          <w:szCs w:val="24"/>
        </w:rPr>
      </w:pPr>
      <w:r>
        <w:rPr>
          <w:rStyle w:val="Strong"/>
          <w:rFonts w:asciiTheme="majorBidi" w:hAnsiTheme="majorBidi" w:cstheme="majorBidi"/>
          <w:sz w:val="24"/>
          <w:szCs w:val="24"/>
        </w:rPr>
        <w:br w:type="page"/>
      </w:r>
    </w:p>
    <w:p w:rsidR="00144C22" w:rsidRPr="009E5808" w:rsidRDefault="009E5808" w:rsidP="00144C22">
      <w:pPr>
        <w:bidi w:val="0"/>
        <w:rPr>
          <w:rStyle w:val="Strong"/>
          <w:rFonts w:asciiTheme="majorBidi" w:hAnsiTheme="majorBidi" w:cstheme="majorBidi"/>
          <w:sz w:val="24"/>
          <w:szCs w:val="24"/>
        </w:rPr>
      </w:pPr>
      <w:r w:rsidRPr="009E5808">
        <w:rPr>
          <w:rStyle w:val="Strong"/>
          <w:rFonts w:asciiTheme="majorBidi" w:hAnsiTheme="majorBidi" w:cstheme="majorBidi"/>
          <w:sz w:val="24"/>
          <w:szCs w:val="24"/>
        </w:rPr>
        <w:lastRenderedPageBreak/>
        <w:t>References</w:t>
      </w:r>
    </w:p>
    <w:p w:rsidR="004E586A" w:rsidRPr="009E5808" w:rsidRDefault="004E586A" w:rsidP="004E586A">
      <w:pPr>
        <w:bidi w:val="0"/>
        <w:rPr>
          <w:rStyle w:val="Strong"/>
          <w:rFonts w:asciiTheme="majorBidi" w:hAnsiTheme="majorBidi" w:cstheme="majorBidi"/>
          <w:sz w:val="24"/>
          <w:szCs w:val="24"/>
        </w:rPr>
      </w:pPr>
    </w:p>
    <w:p w:rsidR="006E666C" w:rsidRPr="009E5808" w:rsidRDefault="00144C22" w:rsidP="009E5808">
      <w:pPr>
        <w:bidi w:val="0"/>
        <w:ind w:left="720" w:hanging="720"/>
        <w:jc w:val="both"/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</w:pPr>
      <w:r w:rsidRPr="009E5808">
        <w:rPr>
          <w:rFonts w:asciiTheme="majorBidi" w:hAnsiTheme="majorBidi" w:cstheme="majorBidi"/>
          <w:sz w:val="24"/>
          <w:szCs w:val="24"/>
        </w:rPr>
        <w:t>[1]</w:t>
      </w:r>
      <w:r w:rsidR="006E666C" w:rsidRPr="009E5808">
        <w:rPr>
          <w:rFonts w:asciiTheme="majorBidi" w:hAnsiTheme="majorBidi" w:cstheme="majorBidi"/>
          <w:sz w:val="24"/>
          <w:szCs w:val="24"/>
        </w:rPr>
        <w:tab/>
      </w:r>
      <w:proofErr w:type="spellStart"/>
      <w:r w:rsidR="006E666C"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>Besharati</w:t>
      </w:r>
      <w:proofErr w:type="spellEnd"/>
      <w:r w:rsidR="006E666C"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 xml:space="preserve">, Mohammad Reza, Mohammad Izadi, and </w:t>
      </w:r>
      <w:proofErr w:type="spellStart"/>
      <w:r w:rsidR="006E666C"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>Alireza</w:t>
      </w:r>
      <w:proofErr w:type="spellEnd"/>
      <w:r w:rsidR="006E666C"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 xml:space="preserve"> </w:t>
      </w:r>
      <w:proofErr w:type="spellStart"/>
      <w:r w:rsidR="006E666C"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>Talebpour</w:t>
      </w:r>
      <w:proofErr w:type="spellEnd"/>
      <w:r w:rsidR="006E666C"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 xml:space="preserve">. "Some natural </w:t>
      </w:r>
      <w:proofErr w:type="spellStart"/>
      <w:r w:rsidR="006E666C"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>hypomethylating</w:t>
      </w:r>
      <w:proofErr w:type="spellEnd"/>
      <w:r w:rsidR="006E666C"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 xml:space="preserve"> agents in food, water and environment are against distribution and risks of COVID-19 pandemic: Results of a big-data research." </w:t>
      </w:r>
      <w:r w:rsidR="006E666C" w:rsidRPr="009E5808">
        <w:rPr>
          <w:rFonts w:asciiTheme="majorBidi" w:eastAsia="Times New Roman" w:hAnsiTheme="majorBidi" w:cstheme="majorBidi"/>
          <w:i/>
          <w:iCs/>
          <w:kern w:val="0"/>
          <w:sz w:val="24"/>
          <w:szCs w:val="24"/>
          <w:lang w:bidi="ar-SA"/>
          <w14:ligatures w14:val="none"/>
        </w:rPr>
        <w:t xml:space="preserve">Avicenna Journal of </w:t>
      </w:r>
      <w:proofErr w:type="spellStart"/>
      <w:r w:rsidR="006E666C" w:rsidRPr="009E5808">
        <w:rPr>
          <w:rFonts w:asciiTheme="majorBidi" w:eastAsia="Times New Roman" w:hAnsiTheme="majorBidi" w:cstheme="majorBidi"/>
          <w:i/>
          <w:iCs/>
          <w:kern w:val="0"/>
          <w:sz w:val="24"/>
          <w:szCs w:val="24"/>
          <w:lang w:bidi="ar-SA"/>
          <w14:ligatures w14:val="none"/>
        </w:rPr>
        <w:t>Phytomedicine</w:t>
      </w:r>
      <w:proofErr w:type="spellEnd"/>
      <w:r w:rsidR="006E666C"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 xml:space="preserve"> 12, no. 3 (2022): 309.</w:t>
      </w:r>
    </w:p>
    <w:p w:rsidR="002D0F58" w:rsidRPr="009E5808" w:rsidRDefault="00144C22" w:rsidP="009E5808">
      <w:pPr>
        <w:bidi w:val="0"/>
        <w:ind w:left="720" w:hanging="720"/>
        <w:jc w:val="both"/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</w:pPr>
      <w:r w:rsidRPr="009E5808">
        <w:rPr>
          <w:rFonts w:asciiTheme="majorBidi" w:hAnsiTheme="majorBidi" w:cstheme="majorBidi"/>
          <w:sz w:val="24"/>
          <w:szCs w:val="24"/>
        </w:rPr>
        <w:t>[2]</w:t>
      </w:r>
      <w:r w:rsidR="006E666C" w:rsidRPr="009E5808">
        <w:rPr>
          <w:rFonts w:asciiTheme="majorBidi" w:hAnsiTheme="majorBidi" w:cstheme="majorBidi"/>
          <w:sz w:val="24"/>
          <w:szCs w:val="24"/>
        </w:rPr>
        <w:tab/>
      </w:r>
      <w:r w:rsidR="002D0F58"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 xml:space="preserve">Mohammad Reza </w:t>
      </w:r>
      <w:proofErr w:type="spellStart"/>
      <w:r w:rsidR="002D0F58"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>Besharati</w:t>
      </w:r>
      <w:proofErr w:type="spellEnd"/>
      <w:r w:rsidR="002D0F58"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 xml:space="preserve">, </w:t>
      </w:r>
      <w:proofErr w:type="spellStart"/>
      <w:r w:rsidR="002D0F58"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>Nafiseh</w:t>
      </w:r>
      <w:proofErr w:type="spellEnd"/>
      <w:r w:rsidR="002D0F58"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 xml:space="preserve"> </w:t>
      </w:r>
      <w:proofErr w:type="spellStart"/>
      <w:r w:rsidR="002D0F58"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>Jafari</w:t>
      </w:r>
      <w:proofErr w:type="spellEnd"/>
      <w:r w:rsidR="002D0F58"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 xml:space="preserve">, Ehsan </w:t>
      </w:r>
      <w:proofErr w:type="spellStart"/>
      <w:r w:rsidR="002D0F58"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>Mostafavi</w:t>
      </w:r>
      <w:proofErr w:type="spellEnd"/>
      <w:r w:rsidR="002D0F58"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 xml:space="preserve">, Mohammad Izadi, &amp; </w:t>
      </w:r>
      <w:proofErr w:type="spellStart"/>
      <w:r w:rsidR="002D0F58"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>Alireza</w:t>
      </w:r>
      <w:proofErr w:type="spellEnd"/>
      <w:r w:rsidR="002D0F58"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 xml:space="preserve"> </w:t>
      </w:r>
      <w:proofErr w:type="spellStart"/>
      <w:r w:rsidR="002D0F58"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>Talebpour</w:t>
      </w:r>
      <w:proofErr w:type="spellEnd"/>
      <w:r w:rsidR="002D0F58"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 xml:space="preserve">. (2021). A Hypothesis about the Cause of Fatal Outcomes in SARS-Cov-2 (Version 12). </w:t>
      </w:r>
      <w:proofErr w:type="spellStart"/>
      <w:r w:rsidR="002D0F58"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>Zenodo</w:t>
      </w:r>
      <w:proofErr w:type="spellEnd"/>
      <w:r w:rsidR="002D0F58"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 xml:space="preserve">. </w:t>
      </w:r>
      <w:hyperlink r:id="rId7" w:tgtFrame="_blank" w:history="1">
        <w:r w:rsidR="002D0F58" w:rsidRPr="009E5808">
          <w:rPr>
            <w:rFonts w:asciiTheme="majorBidi" w:eastAsia="Times New Roman" w:hAnsiTheme="majorBidi" w:cstheme="majorBidi"/>
            <w:color w:val="0000FF"/>
            <w:kern w:val="0"/>
            <w:sz w:val="24"/>
            <w:szCs w:val="24"/>
            <w:u w:val="single"/>
            <w:lang w:bidi="ar-SA"/>
            <w14:ligatures w14:val="none"/>
          </w:rPr>
          <w:t>https://doi.org/10.5281/zenodo.5856318</w:t>
        </w:r>
      </w:hyperlink>
      <w:r w:rsidR="002D0F58" w:rsidRPr="009E5808">
        <w:rPr>
          <w:rFonts w:asciiTheme="majorBidi" w:hAnsiTheme="majorBidi" w:cstheme="majorBidi"/>
          <w:sz w:val="24"/>
          <w:szCs w:val="24"/>
        </w:rPr>
        <w:tab/>
      </w:r>
    </w:p>
    <w:p w:rsidR="002D0F58" w:rsidRPr="009E5808" w:rsidRDefault="002D0F58" w:rsidP="009E5808">
      <w:pPr>
        <w:bidi w:val="0"/>
        <w:ind w:left="720" w:hanging="720"/>
        <w:jc w:val="both"/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</w:pPr>
      <w:r w:rsidRPr="009E5808">
        <w:rPr>
          <w:rFonts w:asciiTheme="majorBidi" w:hAnsiTheme="majorBidi" w:cstheme="majorBidi"/>
          <w:sz w:val="24"/>
          <w:szCs w:val="24"/>
        </w:rPr>
        <w:t>[3]</w:t>
      </w:r>
      <w:r w:rsidRPr="009E5808">
        <w:rPr>
          <w:rFonts w:asciiTheme="majorBidi" w:hAnsiTheme="majorBidi" w:cstheme="majorBidi"/>
          <w:sz w:val="24"/>
          <w:szCs w:val="24"/>
        </w:rPr>
        <w:tab/>
      </w:r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 xml:space="preserve">Mohammad Reza </w:t>
      </w:r>
      <w:proofErr w:type="spellStart"/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>Besharati</w:t>
      </w:r>
      <w:proofErr w:type="spellEnd"/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 xml:space="preserve">, Mohammad Izadi, &amp; </w:t>
      </w:r>
      <w:proofErr w:type="spellStart"/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>Alireza</w:t>
      </w:r>
      <w:proofErr w:type="spellEnd"/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 xml:space="preserve"> </w:t>
      </w:r>
      <w:proofErr w:type="spellStart"/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>Talebpour</w:t>
      </w:r>
      <w:proofErr w:type="spellEnd"/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 xml:space="preserve">. (2021). </w:t>
      </w:r>
      <w:proofErr w:type="gramStart"/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>The</w:t>
      </w:r>
      <w:proofErr w:type="gramEnd"/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 xml:space="preserve"> Candidate Cause of Global Fluctuations of SARS-CoV-2 Mortality Rates (Version 1). </w:t>
      </w:r>
      <w:proofErr w:type="spellStart"/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>Zenodo</w:t>
      </w:r>
      <w:proofErr w:type="spellEnd"/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 xml:space="preserve">. </w:t>
      </w:r>
      <w:hyperlink r:id="rId8" w:tgtFrame="_blank" w:history="1">
        <w:r w:rsidRPr="009E5808">
          <w:rPr>
            <w:rFonts w:asciiTheme="majorBidi" w:eastAsia="Times New Roman" w:hAnsiTheme="majorBidi" w:cstheme="majorBidi"/>
            <w:color w:val="0000FF"/>
            <w:kern w:val="0"/>
            <w:sz w:val="24"/>
            <w:szCs w:val="24"/>
            <w:u w:val="single"/>
            <w:lang w:bidi="ar-SA"/>
            <w14:ligatures w14:val="none"/>
          </w:rPr>
          <w:t>https://doi.org/10.5281/zenodo.5168994</w:t>
        </w:r>
      </w:hyperlink>
    </w:p>
    <w:p w:rsidR="002D0F58" w:rsidRPr="009E5808" w:rsidRDefault="00144C22" w:rsidP="009E5808">
      <w:pPr>
        <w:bidi w:val="0"/>
        <w:ind w:left="720" w:hanging="720"/>
        <w:jc w:val="both"/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</w:pPr>
      <w:r w:rsidRPr="009E5808">
        <w:rPr>
          <w:rFonts w:asciiTheme="majorBidi" w:hAnsiTheme="majorBidi" w:cstheme="majorBidi"/>
          <w:sz w:val="24"/>
          <w:szCs w:val="24"/>
        </w:rPr>
        <w:t>[</w:t>
      </w:r>
      <w:r w:rsidR="002D0F58" w:rsidRPr="009E5808">
        <w:rPr>
          <w:rFonts w:asciiTheme="majorBidi" w:hAnsiTheme="majorBidi" w:cstheme="majorBidi"/>
          <w:sz w:val="24"/>
          <w:szCs w:val="24"/>
        </w:rPr>
        <w:t>4</w:t>
      </w:r>
      <w:r w:rsidRPr="009E5808">
        <w:rPr>
          <w:rFonts w:asciiTheme="majorBidi" w:hAnsiTheme="majorBidi" w:cstheme="majorBidi"/>
          <w:sz w:val="24"/>
          <w:szCs w:val="24"/>
        </w:rPr>
        <w:t>]</w:t>
      </w:r>
      <w:r w:rsidR="002D0F58" w:rsidRPr="009E5808">
        <w:rPr>
          <w:rFonts w:asciiTheme="majorBidi" w:hAnsiTheme="majorBidi" w:cstheme="majorBidi"/>
          <w:sz w:val="24"/>
          <w:szCs w:val="24"/>
        </w:rPr>
        <w:tab/>
      </w:r>
      <w:r w:rsidR="002D0F58"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 xml:space="preserve">Mohammad Reza </w:t>
      </w:r>
      <w:proofErr w:type="spellStart"/>
      <w:r w:rsidR="002D0F58"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>Besharati</w:t>
      </w:r>
      <w:proofErr w:type="spellEnd"/>
      <w:r w:rsidR="002D0F58"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 xml:space="preserve">, Mohammad Izadi, &amp; </w:t>
      </w:r>
      <w:proofErr w:type="spellStart"/>
      <w:r w:rsidR="002D0F58"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>Alireza</w:t>
      </w:r>
      <w:proofErr w:type="spellEnd"/>
      <w:r w:rsidR="002D0F58"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 xml:space="preserve"> </w:t>
      </w:r>
      <w:proofErr w:type="spellStart"/>
      <w:r w:rsidR="002D0F58"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>Talebpour</w:t>
      </w:r>
      <w:proofErr w:type="spellEnd"/>
      <w:r w:rsidR="002D0F58"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 xml:space="preserve">. (2021). Co-occurrence of Cough Outbreaks during the COVID-19 Pandemic: An indication of the effect of atmospheric oceanic iodine on the severity of the SARS-CoV-2 outbreaks (Version 1). </w:t>
      </w:r>
      <w:proofErr w:type="spellStart"/>
      <w:r w:rsidR="002D0F58"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>Zenodo</w:t>
      </w:r>
      <w:proofErr w:type="spellEnd"/>
      <w:r w:rsidR="002D0F58"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 xml:space="preserve">. </w:t>
      </w:r>
      <w:hyperlink r:id="rId9" w:tgtFrame="_blank" w:history="1">
        <w:r w:rsidR="002D0F58" w:rsidRPr="009E5808">
          <w:rPr>
            <w:rFonts w:asciiTheme="majorBidi" w:eastAsia="Times New Roman" w:hAnsiTheme="majorBidi" w:cstheme="majorBidi"/>
            <w:color w:val="0000FF"/>
            <w:kern w:val="0"/>
            <w:sz w:val="24"/>
            <w:szCs w:val="24"/>
            <w:u w:val="single"/>
            <w:lang w:bidi="ar-SA"/>
            <w14:ligatures w14:val="none"/>
          </w:rPr>
          <w:t>https://doi.org/10.5281/zenodo.4939806</w:t>
        </w:r>
      </w:hyperlink>
    </w:p>
    <w:p w:rsidR="002D0F58" w:rsidRPr="009E5808" w:rsidRDefault="00144C22" w:rsidP="009E5808">
      <w:pPr>
        <w:bidi w:val="0"/>
        <w:ind w:left="720" w:hanging="720"/>
        <w:jc w:val="both"/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</w:pPr>
      <w:r w:rsidRPr="009E5808">
        <w:rPr>
          <w:rFonts w:asciiTheme="majorBidi" w:hAnsiTheme="majorBidi" w:cstheme="majorBidi"/>
          <w:sz w:val="24"/>
          <w:szCs w:val="24"/>
        </w:rPr>
        <w:t>[</w:t>
      </w:r>
      <w:r w:rsidR="002D0F58" w:rsidRPr="009E5808">
        <w:rPr>
          <w:rFonts w:asciiTheme="majorBidi" w:hAnsiTheme="majorBidi" w:cstheme="majorBidi"/>
          <w:sz w:val="24"/>
          <w:szCs w:val="24"/>
        </w:rPr>
        <w:t>5</w:t>
      </w:r>
      <w:r w:rsidRPr="009E5808">
        <w:rPr>
          <w:rFonts w:asciiTheme="majorBidi" w:hAnsiTheme="majorBidi" w:cstheme="majorBidi"/>
          <w:sz w:val="24"/>
          <w:szCs w:val="24"/>
        </w:rPr>
        <w:t>]</w:t>
      </w:r>
      <w:r w:rsidR="002D0F58" w:rsidRPr="009E5808">
        <w:rPr>
          <w:rFonts w:asciiTheme="majorBidi" w:hAnsiTheme="majorBidi" w:cstheme="majorBidi"/>
          <w:sz w:val="24"/>
          <w:szCs w:val="24"/>
        </w:rPr>
        <w:tab/>
      </w:r>
      <w:r w:rsidR="002D0F58"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 xml:space="preserve">Mohammad Reza </w:t>
      </w:r>
      <w:proofErr w:type="spellStart"/>
      <w:r w:rsidR="002D0F58"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>Besharati</w:t>
      </w:r>
      <w:proofErr w:type="spellEnd"/>
      <w:r w:rsidR="002D0F58"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 xml:space="preserve">. (2021). T3 Thyroid Hormone Level, Age and SARS-CoV-2 Mortality\Severity (Version 1). </w:t>
      </w:r>
      <w:proofErr w:type="spellStart"/>
      <w:r w:rsidR="002D0F58"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>Zenodo</w:t>
      </w:r>
      <w:proofErr w:type="spellEnd"/>
      <w:r w:rsidR="002D0F58"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 xml:space="preserve">. </w:t>
      </w:r>
      <w:hyperlink r:id="rId10" w:tgtFrame="_blank" w:history="1">
        <w:r w:rsidR="002D0F58" w:rsidRPr="009E5808">
          <w:rPr>
            <w:rFonts w:asciiTheme="majorBidi" w:eastAsia="Times New Roman" w:hAnsiTheme="majorBidi" w:cstheme="majorBidi"/>
            <w:color w:val="0000FF"/>
            <w:kern w:val="0"/>
            <w:sz w:val="24"/>
            <w:szCs w:val="24"/>
            <w:u w:val="single"/>
            <w:lang w:bidi="ar-SA"/>
            <w14:ligatures w14:val="none"/>
          </w:rPr>
          <w:t>https://doi.org/10.5281/zenodo.5214671</w:t>
        </w:r>
      </w:hyperlink>
    </w:p>
    <w:p w:rsidR="002D0F58" w:rsidRPr="009E5808" w:rsidRDefault="00144C22" w:rsidP="009E5808">
      <w:pPr>
        <w:bidi w:val="0"/>
        <w:ind w:left="720" w:hanging="720"/>
        <w:jc w:val="both"/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</w:pPr>
      <w:r w:rsidRPr="009E5808">
        <w:rPr>
          <w:rFonts w:asciiTheme="majorBidi" w:hAnsiTheme="majorBidi" w:cstheme="majorBidi"/>
          <w:sz w:val="24"/>
          <w:szCs w:val="24"/>
        </w:rPr>
        <w:t>[</w:t>
      </w:r>
      <w:r w:rsidR="002D0F58" w:rsidRPr="009E5808">
        <w:rPr>
          <w:rFonts w:asciiTheme="majorBidi" w:hAnsiTheme="majorBidi" w:cstheme="majorBidi"/>
          <w:sz w:val="24"/>
          <w:szCs w:val="24"/>
        </w:rPr>
        <w:t>6</w:t>
      </w:r>
      <w:r w:rsidRPr="009E5808">
        <w:rPr>
          <w:rFonts w:asciiTheme="majorBidi" w:hAnsiTheme="majorBidi" w:cstheme="majorBidi"/>
          <w:sz w:val="24"/>
          <w:szCs w:val="24"/>
        </w:rPr>
        <w:t>]</w:t>
      </w:r>
      <w:r w:rsidR="002D0F58" w:rsidRPr="009E5808">
        <w:rPr>
          <w:rFonts w:asciiTheme="majorBidi" w:hAnsiTheme="majorBidi" w:cstheme="majorBidi"/>
          <w:sz w:val="24"/>
          <w:szCs w:val="24"/>
        </w:rPr>
        <w:tab/>
      </w:r>
      <w:r w:rsidR="002D0F58"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 xml:space="preserve">Mohammad Reza </w:t>
      </w:r>
      <w:proofErr w:type="spellStart"/>
      <w:r w:rsidR="002D0F58"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>Besharati</w:t>
      </w:r>
      <w:proofErr w:type="spellEnd"/>
      <w:r w:rsidR="002D0F58"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 xml:space="preserve">, Mohammad Izadi, &amp; </w:t>
      </w:r>
      <w:proofErr w:type="spellStart"/>
      <w:r w:rsidR="002D0F58"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>Alireza</w:t>
      </w:r>
      <w:proofErr w:type="spellEnd"/>
      <w:r w:rsidR="002D0F58"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 xml:space="preserve"> </w:t>
      </w:r>
      <w:proofErr w:type="spellStart"/>
      <w:r w:rsidR="002D0F58"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>Talebpour</w:t>
      </w:r>
      <w:proofErr w:type="spellEnd"/>
      <w:r w:rsidR="002D0F58"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 xml:space="preserve">. (2021). People's Mood and SARS-Cov-2 Mortality (Version 2). </w:t>
      </w:r>
      <w:proofErr w:type="spellStart"/>
      <w:r w:rsidR="002D0F58"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>Zenodo</w:t>
      </w:r>
      <w:proofErr w:type="spellEnd"/>
      <w:r w:rsidR="002D0F58"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 xml:space="preserve">. </w:t>
      </w:r>
      <w:hyperlink r:id="rId11" w:tgtFrame="_blank" w:history="1">
        <w:r w:rsidR="002D0F58" w:rsidRPr="009E5808">
          <w:rPr>
            <w:rFonts w:asciiTheme="majorBidi" w:eastAsia="Times New Roman" w:hAnsiTheme="majorBidi" w:cstheme="majorBidi"/>
            <w:color w:val="0000FF"/>
            <w:kern w:val="0"/>
            <w:sz w:val="24"/>
            <w:szCs w:val="24"/>
            <w:u w:val="single"/>
            <w:lang w:bidi="ar-SA"/>
            <w14:ligatures w14:val="none"/>
          </w:rPr>
          <w:t>https://doi.org/10.5281/zenodo.5020498</w:t>
        </w:r>
      </w:hyperlink>
    </w:p>
    <w:p w:rsidR="002D0F58" w:rsidRPr="009E5808" w:rsidRDefault="00144C22" w:rsidP="009E5808">
      <w:pPr>
        <w:bidi w:val="0"/>
        <w:ind w:left="720" w:hanging="720"/>
        <w:jc w:val="both"/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</w:pPr>
      <w:r w:rsidRPr="009E5808">
        <w:rPr>
          <w:rFonts w:asciiTheme="majorBidi" w:hAnsiTheme="majorBidi" w:cstheme="majorBidi"/>
          <w:sz w:val="24"/>
          <w:szCs w:val="24"/>
        </w:rPr>
        <w:t>[</w:t>
      </w:r>
      <w:r w:rsidR="002D0F58" w:rsidRPr="009E5808">
        <w:rPr>
          <w:rFonts w:asciiTheme="majorBidi" w:hAnsiTheme="majorBidi" w:cstheme="majorBidi"/>
          <w:sz w:val="24"/>
          <w:szCs w:val="24"/>
        </w:rPr>
        <w:t>7</w:t>
      </w:r>
      <w:r w:rsidRPr="009E5808">
        <w:rPr>
          <w:rFonts w:asciiTheme="majorBidi" w:hAnsiTheme="majorBidi" w:cstheme="majorBidi"/>
          <w:sz w:val="24"/>
          <w:szCs w:val="24"/>
        </w:rPr>
        <w:t>]</w:t>
      </w:r>
      <w:r w:rsidR="002D0F58" w:rsidRPr="009E5808">
        <w:rPr>
          <w:rFonts w:asciiTheme="majorBidi" w:hAnsiTheme="majorBidi" w:cstheme="majorBidi"/>
          <w:sz w:val="24"/>
          <w:szCs w:val="24"/>
        </w:rPr>
        <w:tab/>
      </w:r>
      <w:r w:rsidR="002D0F58"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 xml:space="preserve">Mohammad Reza </w:t>
      </w:r>
      <w:proofErr w:type="spellStart"/>
      <w:r w:rsidR="002D0F58"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>Besharati</w:t>
      </w:r>
      <w:proofErr w:type="spellEnd"/>
      <w:r w:rsidR="002D0F58"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 xml:space="preserve">, Mohammad Izadi, &amp; </w:t>
      </w:r>
      <w:proofErr w:type="spellStart"/>
      <w:r w:rsidR="002D0F58"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>Alireza</w:t>
      </w:r>
      <w:proofErr w:type="spellEnd"/>
      <w:r w:rsidR="002D0F58"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 xml:space="preserve"> </w:t>
      </w:r>
      <w:proofErr w:type="spellStart"/>
      <w:r w:rsidR="002D0F58"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>Talebpour</w:t>
      </w:r>
      <w:proofErr w:type="spellEnd"/>
      <w:r w:rsidR="002D0F58"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 xml:space="preserve">. (2021). The Farther From Ocean, </w:t>
      </w:r>
      <w:proofErr w:type="gramStart"/>
      <w:r w:rsidR="002D0F58"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>The</w:t>
      </w:r>
      <w:proofErr w:type="gramEnd"/>
      <w:r w:rsidR="002D0F58"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 xml:space="preserve"> Later Occurred Outburst: The Role of Atmospheric Oceanic Iodine? (Version 1). </w:t>
      </w:r>
      <w:proofErr w:type="spellStart"/>
      <w:r w:rsidR="002D0F58"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>Zenodo</w:t>
      </w:r>
      <w:proofErr w:type="spellEnd"/>
      <w:r w:rsidR="002D0F58"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 xml:space="preserve">. </w:t>
      </w:r>
      <w:hyperlink r:id="rId12" w:tgtFrame="_blank" w:history="1">
        <w:r w:rsidR="002D0F58" w:rsidRPr="009E5808">
          <w:rPr>
            <w:rFonts w:asciiTheme="majorBidi" w:eastAsia="Times New Roman" w:hAnsiTheme="majorBidi" w:cstheme="majorBidi"/>
            <w:color w:val="0000FF"/>
            <w:kern w:val="0"/>
            <w:sz w:val="24"/>
            <w:szCs w:val="24"/>
            <w:u w:val="single"/>
            <w:lang w:bidi="ar-SA"/>
            <w14:ligatures w14:val="none"/>
          </w:rPr>
          <w:t>https://doi.org/10.5281/zenodo.4695224</w:t>
        </w:r>
      </w:hyperlink>
    </w:p>
    <w:p w:rsidR="002D0F58" w:rsidRPr="009E5808" w:rsidRDefault="002D0F58" w:rsidP="009E5808">
      <w:pPr>
        <w:bidi w:val="0"/>
        <w:ind w:left="720" w:hanging="720"/>
        <w:jc w:val="both"/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</w:pPr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>[8]</w:t>
      </w:r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ab/>
        <w:t xml:space="preserve">Mohammad Reza </w:t>
      </w:r>
      <w:proofErr w:type="spellStart"/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>Besharati</w:t>
      </w:r>
      <w:proofErr w:type="spellEnd"/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 xml:space="preserve">, Mohammad Izadi, &amp; </w:t>
      </w:r>
      <w:proofErr w:type="spellStart"/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>Alireza</w:t>
      </w:r>
      <w:proofErr w:type="spellEnd"/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 xml:space="preserve"> </w:t>
      </w:r>
      <w:proofErr w:type="spellStart"/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>Talebpour</w:t>
      </w:r>
      <w:proofErr w:type="spellEnd"/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 xml:space="preserve">. (2021). </w:t>
      </w:r>
      <w:proofErr w:type="gramStart"/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>An</w:t>
      </w:r>
      <w:proofErr w:type="gramEnd"/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 xml:space="preserve"> Evidence-Based Regulatory Network for Control Paths in SARS-Cov-2 Risk and Severity (Version 1). </w:t>
      </w:r>
      <w:proofErr w:type="spellStart"/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>Zenodo</w:t>
      </w:r>
      <w:proofErr w:type="spellEnd"/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 xml:space="preserve">. </w:t>
      </w:r>
      <w:hyperlink r:id="rId13" w:tgtFrame="_blank" w:history="1">
        <w:r w:rsidRPr="009E5808">
          <w:rPr>
            <w:rFonts w:asciiTheme="majorBidi" w:eastAsia="Times New Roman" w:hAnsiTheme="majorBidi" w:cstheme="majorBidi"/>
            <w:color w:val="0000FF"/>
            <w:kern w:val="0"/>
            <w:sz w:val="24"/>
            <w:szCs w:val="24"/>
            <w:u w:val="single"/>
            <w:lang w:bidi="ar-SA"/>
            <w14:ligatures w14:val="none"/>
          </w:rPr>
          <w:t>https://doi.org/10.5281/zenodo.4579906</w:t>
        </w:r>
      </w:hyperlink>
    </w:p>
    <w:p w:rsidR="002D0F58" w:rsidRPr="009E5808" w:rsidRDefault="002D0F58" w:rsidP="009E5808">
      <w:pPr>
        <w:bidi w:val="0"/>
        <w:ind w:left="720" w:hanging="720"/>
        <w:jc w:val="both"/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</w:pPr>
      <w:r w:rsidRPr="009E5808">
        <w:rPr>
          <w:rFonts w:asciiTheme="majorBidi" w:hAnsiTheme="majorBidi" w:cstheme="majorBidi"/>
          <w:sz w:val="24"/>
          <w:szCs w:val="24"/>
        </w:rPr>
        <w:t>[9]</w:t>
      </w:r>
      <w:r w:rsidRPr="009E5808">
        <w:rPr>
          <w:rFonts w:asciiTheme="majorBidi" w:hAnsiTheme="majorBidi" w:cstheme="majorBidi"/>
          <w:sz w:val="24"/>
          <w:szCs w:val="24"/>
        </w:rPr>
        <w:tab/>
      </w:r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 xml:space="preserve">Mohammad Reza </w:t>
      </w:r>
      <w:proofErr w:type="spellStart"/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>Besharati</w:t>
      </w:r>
      <w:proofErr w:type="spellEnd"/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 xml:space="preserve">, Mohammad Izadi, </w:t>
      </w:r>
      <w:proofErr w:type="spellStart"/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>Nafiseh</w:t>
      </w:r>
      <w:proofErr w:type="spellEnd"/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 xml:space="preserve"> </w:t>
      </w:r>
      <w:proofErr w:type="spellStart"/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>Jafari</w:t>
      </w:r>
      <w:proofErr w:type="spellEnd"/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 xml:space="preserve">, &amp; </w:t>
      </w:r>
      <w:proofErr w:type="spellStart"/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>Alireza</w:t>
      </w:r>
      <w:proofErr w:type="spellEnd"/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 xml:space="preserve"> </w:t>
      </w:r>
      <w:proofErr w:type="spellStart"/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>Talebpour</w:t>
      </w:r>
      <w:proofErr w:type="spellEnd"/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 xml:space="preserve">. (2021). </w:t>
      </w:r>
      <w:proofErr w:type="gramStart"/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>The</w:t>
      </w:r>
      <w:proofErr w:type="gramEnd"/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 xml:space="preserve"> Role of Climatic Factors in the 2021-Summer COVID-19 Outbreak-Intensification in Iran (Version 1). </w:t>
      </w:r>
      <w:proofErr w:type="spellStart"/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>Zenodo</w:t>
      </w:r>
      <w:proofErr w:type="spellEnd"/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 xml:space="preserve">. </w:t>
      </w:r>
      <w:hyperlink r:id="rId14" w:tgtFrame="_blank" w:history="1">
        <w:r w:rsidRPr="009E5808">
          <w:rPr>
            <w:rFonts w:asciiTheme="majorBidi" w:eastAsia="Times New Roman" w:hAnsiTheme="majorBidi" w:cstheme="majorBidi"/>
            <w:color w:val="0000FF"/>
            <w:kern w:val="0"/>
            <w:sz w:val="24"/>
            <w:szCs w:val="24"/>
            <w:u w:val="single"/>
            <w:lang w:bidi="ar-SA"/>
            <w14:ligatures w14:val="none"/>
          </w:rPr>
          <w:t>https://doi.org/10.5281/zenodo.5514330</w:t>
        </w:r>
      </w:hyperlink>
    </w:p>
    <w:p w:rsidR="002D0F58" w:rsidRPr="009E5808" w:rsidRDefault="002D0F58" w:rsidP="009E5808">
      <w:pPr>
        <w:bidi w:val="0"/>
        <w:ind w:left="720" w:hanging="720"/>
        <w:jc w:val="both"/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</w:pPr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>[10]</w:t>
      </w:r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ab/>
        <w:t xml:space="preserve">Mohammad Reza </w:t>
      </w:r>
      <w:proofErr w:type="spellStart"/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>Besharati</w:t>
      </w:r>
      <w:proofErr w:type="spellEnd"/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 xml:space="preserve">, </w:t>
      </w:r>
      <w:proofErr w:type="spellStart"/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>Nafiseh</w:t>
      </w:r>
      <w:proofErr w:type="spellEnd"/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 xml:space="preserve"> </w:t>
      </w:r>
      <w:proofErr w:type="spellStart"/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>Jafari</w:t>
      </w:r>
      <w:proofErr w:type="spellEnd"/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 xml:space="preserve">, Mohammad Izadi, &amp; </w:t>
      </w:r>
      <w:proofErr w:type="spellStart"/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>Alireza</w:t>
      </w:r>
      <w:proofErr w:type="spellEnd"/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 xml:space="preserve"> </w:t>
      </w:r>
      <w:proofErr w:type="spellStart"/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>Talebpour</w:t>
      </w:r>
      <w:proofErr w:type="spellEnd"/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 xml:space="preserve">. (2021). Oceanic Iodine, Wind Direction </w:t>
      </w:r>
      <w:proofErr w:type="gramStart"/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>And</w:t>
      </w:r>
      <w:proofErr w:type="gramEnd"/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 xml:space="preserve"> Countries Severely Affected By COVID-19 Mortality (Version 1). </w:t>
      </w:r>
      <w:proofErr w:type="spellStart"/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>Zenodo</w:t>
      </w:r>
      <w:proofErr w:type="spellEnd"/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 xml:space="preserve">. </w:t>
      </w:r>
      <w:hyperlink r:id="rId15" w:tgtFrame="_blank" w:history="1">
        <w:r w:rsidRPr="009E5808">
          <w:rPr>
            <w:rFonts w:asciiTheme="majorBidi" w:eastAsia="Times New Roman" w:hAnsiTheme="majorBidi" w:cstheme="majorBidi"/>
            <w:color w:val="0000FF"/>
            <w:kern w:val="0"/>
            <w:sz w:val="24"/>
            <w:szCs w:val="24"/>
            <w:u w:val="single"/>
            <w:lang w:bidi="ar-SA"/>
            <w14:ligatures w14:val="none"/>
          </w:rPr>
          <w:t>https://doi.org/10.5281/zenodo.4711982</w:t>
        </w:r>
      </w:hyperlink>
    </w:p>
    <w:p w:rsidR="002D0F58" w:rsidRPr="009E5808" w:rsidRDefault="002D0F58" w:rsidP="009E5808">
      <w:pPr>
        <w:bidi w:val="0"/>
        <w:ind w:left="720" w:hanging="720"/>
        <w:jc w:val="both"/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</w:pPr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>[11]</w:t>
      </w:r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ab/>
        <w:t xml:space="preserve">Mohammad Reza </w:t>
      </w:r>
      <w:proofErr w:type="spellStart"/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>Besharati</w:t>
      </w:r>
      <w:proofErr w:type="spellEnd"/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 xml:space="preserve">, </w:t>
      </w:r>
      <w:proofErr w:type="spellStart"/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>Nafiseh</w:t>
      </w:r>
      <w:proofErr w:type="spellEnd"/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 xml:space="preserve"> </w:t>
      </w:r>
      <w:proofErr w:type="spellStart"/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>Jafari</w:t>
      </w:r>
      <w:proofErr w:type="spellEnd"/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 xml:space="preserve">, Mohammad Izadi, &amp; </w:t>
      </w:r>
      <w:proofErr w:type="spellStart"/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>Alireza</w:t>
      </w:r>
      <w:proofErr w:type="spellEnd"/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 xml:space="preserve"> </w:t>
      </w:r>
      <w:proofErr w:type="spellStart"/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>Talebpour</w:t>
      </w:r>
      <w:proofErr w:type="spellEnd"/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 xml:space="preserve">. (2021). Machine Learning for Outbreak Prediction, based on Outbreak-Data of other 6 Countries (In the passage of atmospheric oceanic iodine) (Version 1) [Data set]. </w:t>
      </w:r>
      <w:proofErr w:type="spellStart"/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>Zenodo</w:t>
      </w:r>
      <w:proofErr w:type="spellEnd"/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 xml:space="preserve">. </w:t>
      </w:r>
      <w:hyperlink r:id="rId16" w:tgtFrame="_blank" w:history="1">
        <w:r w:rsidRPr="009E5808">
          <w:rPr>
            <w:rFonts w:asciiTheme="majorBidi" w:eastAsia="Times New Roman" w:hAnsiTheme="majorBidi" w:cstheme="majorBidi"/>
            <w:color w:val="0000FF"/>
            <w:kern w:val="0"/>
            <w:sz w:val="24"/>
            <w:szCs w:val="24"/>
            <w:u w:val="single"/>
            <w:lang w:bidi="ar-SA"/>
            <w14:ligatures w14:val="none"/>
          </w:rPr>
          <w:t>https://doi.org/10.5281/zenodo.4939978</w:t>
        </w:r>
      </w:hyperlink>
    </w:p>
    <w:p w:rsidR="002D0F58" w:rsidRPr="009E5808" w:rsidRDefault="002D0F58" w:rsidP="009E5808">
      <w:pPr>
        <w:bidi w:val="0"/>
        <w:ind w:left="720" w:hanging="720"/>
        <w:jc w:val="both"/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</w:pPr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>[12]</w:t>
      </w:r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ab/>
        <w:t xml:space="preserve">Mohammad Reza </w:t>
      </w:r>
      <w:proofErr w:type="spellStart"/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>Besharati</w:t>
      </w:r>
      <w:proofErr w:type="spellEnd"/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 xml:space="preserve">, </w:t>
      </w:r>
      <w:proofErr w:type="spellStart"/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>Nafiseh</w:t>
      </w:r>
      <w:proofErr w:type="spellEnd"/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 xml:space="preserve"> </w:t>
      </w:r>
      <w:proofErr w:type="spellStart"/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>Jafari</w:t>
      </w:r>
      <w:proofErr w:type="spellEnd"/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 xml:space="preserve">, Mohammad Izadi, &amp; </w:t>
      </w:r>
      <w:proofErr w:type="spellStart"/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>Alireza</w:t>
      </w:r>
      <w:proofErr w:type="spellEnd"/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 xml:space="preserve"> </w:t>
      </w:r>
      <w:proofErr w:type="spellStart"/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>Talebpour</w:t>
      </w:r>
      <w:proofErr w:type="spellEnd"/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 xml:space="preserve">. (2021). Atmospheric Iodine and Fluctuations of SARS-Cov-2 Prevalence in Iran, </w:t>
      </w:r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lastRenderedPageBreak/>
        <w:t xml:space="preserve">Germany, Turkey and France (Version 2). </w:t>
      </w:r>
      <w:proofErr w:type="spellStart"/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>Zenodo</w:t>
      </w:r>
      <w:proofErr w:type="spellEnd"/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 xml:space="preserve">. </w:t>
      </w:r>
      <w:hyperlink r:id="rId17" w:history="1">
        <w:r w:rsidRPr="009E5808">
          <w:rPr>
            <w:rStyle w:val="Hyperlink"/>
            <w:rFonts w:asciiTheme="majorBidi" w:eastAsia="Times New Roman" w:hAnsiTheme="majorBidi" w:cstheme="majorBidi"/>
            <w:kern w:val="0"/>
            <w:sz w:val="24"/>
            <w:szCs w:val="24"/>
            <w:lang w:bidi="ar-SA"/>
            <w14:ligatures w14:val="none"/>
          </w:rPr>
          <w:t>https://doi.org/10.5281/zenodo.4667669</w:t>
        </w:r>
      </w:hyperlink>
    </w:p>
    <w:p w:rsidR="002D0F58" w:rsidRPr="009E5808" w:rsidRDefault="002D0F58" w:rsidP="009E5808">
      <w:pPr>
        <w:bidi w:val="0"/>
        <w:ind w:left="720" w:hanging="720"/>
        <w:jc w:val="both"/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</w:pPr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>[13]</w:t>
      </w:r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ab/>
        <w:t xml:space="preserve">Mohammad Reza </w:t>
      </w:r>
      <w:proofErr w:type="spellStart"/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>Besharati</w:t>
      </w:r>
      <w:proofErr w:type="spellEnd"/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 xml:space="preserve">, </w:t>
      </w:r>
      <w:proofErr w:type="spellStart"/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>Nafiseh</w:t>
      </w:r>
      <w:proofErr w:type="spellEnd"/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 xml:space="preserve"> </w:t>
      </w:r>
      <w:proofErr w:type="spellStart"/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>Jafari</w:t>
      </w:r>
      <w:proofErr w:type="spellEnd"/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 xml:space="preserve">, Mohammad Izadi, &amp; </w:t>
      </w:r>
      <w:proofErr w:type="spellStart"/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>Alireza</w:t>
      </w:r>
      <w:proofErr w:type="spellEnd"/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 xml:space="preserve"> </w:t>
      </w:r>
      <w:proofErr w:type="spellStart"/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>Talebpour</w:t>
      </w:r>
      <w:proofErr w:type="spellEnd"/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 xml:space="preserve">. (2021). Seasonal Thyroid Hormone Fluctuations </w:t>
      </w:r>
      <w:proofErr w:type="gramStart"/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>As</w:t>
      </w:r>
      <w:proofErr w:type="gramEnd"/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 xml:space="preserve"> a Candidate Cause of a Global SARS-CoV-2 Peak (Version 2). </w:t>
      </w:r>
      <w:proofErr w:type="spellStart"/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>Zenodo</w:t>
      </w:r>
      <w:proofErr w:type="spellEnd"/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 xml:space="preserve">. </w:t>
      </w:r>
      <w:hyperlink r:id="rId18" w:tgtFrame="_blank" w:history="1">
        <w:r w:rsidRPr="009E5808">
          <w:rPr>
            <w:rFonts w:asciiTheme="majorBidi" w:eastAsia="Times New Roman" w:hAnsiTheme="majorBidi" w:cstheme="majorBidi"/>
            <w:color w:val="0000FF"/>
            <w:kern w:val="0"/>
            <w:sz w:val="24"/>
            <w:szCs w:val="24"/>
            <w:u w:val="single"/>
            <w:lang w:bidi="ar-SA"/>
            <w14:ligatures w14:val="none"/>
          </w:rPr>
          <w:t>https://doi.org/10.5281/zenodo.5258464</w:t>
        </w:r>
      </w:hyperlink>
    </w:p>
    <w:p w:rsidR="002D0F58" w:rsidRPr="009E5808" w:rsidRDefault="002D0F58" w:rsidP="009E5808">
      <w:pPr>
        <w:bidi w:val="0"/>
        <w:ind w:left="720" w:hanging="720"/>
        <w:jc w:val="both"/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</w:pPr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>[14]</w:t>
      </w:r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ab/>
      </w:r>
      <w:proofErr w:type="spellStart"/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>Jafari</w:t>
      </w:r>
      <w:proofErr w:type="spellEnd"/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 xml:space="preserve">, </w:t>
      </w:r>
      <w:proofErr w:type="spellStart"/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>Nafiseh</w:t>
      </w:r>
      <w:proofErr w:type="spellEnd"/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 xml:space="preserve">, Mohammad Reza </w:t>
      </w:r>
      <w:proofErr w:type="spellStart"/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>Besharati</w:t>
      </w:r>
      <w:proofErr w:type="spellEnd"/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 xml:space="preserve">, Mohammad Izadi, and </w:t>
      </w:r>
      <w:proofErr w:type="spellStart"/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>Alireza</w:t>
      </w:r>
      <w:proofErr w:type="spellEnd"/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 xml:space="preserve"> </w:t>
      </w:r>
      <w:proofErr w:type="spellStart"/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>Talebpour</w:t>
      </w:r>
      <w:proofErr w:type="spellEnd"/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>. "COVID and nutrition: A machine learning perspective." Informatics in Medicine Unlocked 28 (2022): 100857.</w:t>
      </w:r>
    </w:p>
    <w:p w:rsidR="00D90D65" w:rsidRPr="009E5808" w:rsidRDefault="00D90D65" w:rsidP="009E5808">
      <w:pPr>
        <w:bidi w:val="0"/>
        <w:ind w:left="720" w:hanging="720"/>
        <w:jc w:val="both"/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</w:pPr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>[15]</w:t>
      </w:r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ab/>
        <w:t xml:space="preserve">Mohammad Reza </w:t>
      </w:r>
      <w:proofErr w:type="spellStart"/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>Besharati</w:t>
      </w:r>
      <w:proofErr w:type="spellEnd"/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 xml:space="preserve">, Mohammad Izadi, &amp; </w:t>
      </w:r>
      <w:proofErr w:type="spellStart"/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>Alireza</w:t>
      </w:r>
      <w:proofErr w:type="spellEnd"/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 xml:space="preserve"> </w:t>
      </w:r>
      <w:proofErr w:type="spellStart"/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>Talebpour</w:t>
      </w:r>
      <w:proofErr w:type="spellEnd"/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 xml:space="preserve">. (2021). Blood Plasma </w:t>
      </w:r>
      <w:proofErr w:type="spellStart"/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>Trigonelline</w:t>
      </w:r>
      <w:proofErr w:type="spellEnd"/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 xml:space="preserve"> Concentration and the Early Prognosis of Death in SARS-Cov-2 Patients (Version 12). </w:t>
      </w:r>
      <w:proofErr w:type="spellStart"/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>Zenodo</w:t>
      </w:r>
      <w:proofErr w:type="spellEnd"/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>. https://doi.org/10.5281/zenodo.5856445</w:t>
      </w:r>
    </w:p>
    <w:p w:rsidR="002D0F58" w:rsidRPr="009E5808" w:rsidRDefault="002D0F58" w:rsidP="009E5808">
      <w:pPr>
        <w:bidi w:val="0"/>
        <w:ind w:left="720" w:hanging="720"/>
        <w:jc w:val="both"/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</w:pPr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>[1</w:t>
      </w:r>
      <w:r w:rsidR="00D90D65"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>6</w:t>
      </w:r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>]</w:t>
      </w:r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ab/>
      </w:r>
      <w:proofErr w:type="spellStart"/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>Besharati</w:t>
      </w:r>
      <w:proofErr w:type="spellEnd"/>
      <w:r w:rsidRPr="009E5808"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  <w:t>, Mohammad Reza, and Mohammad Izadi. "DD-KARB: data-driven compliance to quality by rule based benchmarking." Journal of Big Data 9, no. 1 (2022): 103.</w:t>
      </w:r>
    </w:p>
    <w:p w:rsidR="002D0F58" w:rsidRPr="009E5808" w:rsidRDefault="002D0F58" w:rsidP="002D0F58">
      <w:pPr>
        <w:bidi w:val="0"/>
        <w:ind w:left="720" w:hanging="720"/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</w:pPr>
    </w:p>
    <w:p w:rsidR="002D0F58" w:rsidRPr="009E5808" w:rsidRDefault="002D0F58" w:rsidP="002D0F58">
      <w:pPr>
        <w:bidi w:val="0"/>
        <w:ind w:left="720" w:hanging="720"/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</w:pPr>
    </w:p>
    <w:p w:rsidR="002D0F58" w:rsidRPr="009E5808" w:rsidRDefault="002D0F58" w:rsidP="002D0F58">
      <w:pPr>
        <w:bidi w:val="0"/>
        <w:ind w:left="720" w:hanging="720"/>
        <w:rPr>
          <w:rFonts w:asciiTheme="majorBidi" w:eastAsia="Times New Roman" w:hAnsiTheme="majorBidi" w:cstheme="majorBidi"/>
          <w:kern w:val="0"/>
          <w:sz w:val="24"/>
          <w:szCs w:val="24"/>
          <w:lang w:bidi="ar-SA"/>
          <w14:ligatures w14:val="none"/>
        </w:rPr>
      </w:pPr>
    </w:p>
    <w:p w:rsidR="00144C22" w:rsidRPr="009E5808" w:rsidRDefault="00144C22" w:rsidP="00144C22">
      <w:pPr>
        <w:bidi w:val="0"/>
        <w:rPr>
          <w:rFonts w:asciiTheme="majorBidi" w:hAnsiTheme="majorBidi" w:cstheme="majorBidi"/>
          <w:sz w:val="24"/>
          <w:szCs w:val="24"/>
        </w:rPr>
      </w:pPr>
      <w:bookmarkStart w:id="0" w:name="_GoBack"/>
      <w:bookmarkEnd w:id="0"/>
    </w:p>
    <w:sectPr w:rsidR="00144C22" w:rsidRPr="009E5808" w:rsidSect="00032B44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65A4" w:rsidRDefault="006465A4" w:rsidP="00F42AAF">
      <w:pPr>
        <w:spacing w:after="0" w:line="240" w:lineRule="auto"/>
      </w:pPr>
      <w:r>
        <w:separator/>
      </w:r>
    </w:p>
  </w:endnote>
  <w:endnote w:type="continuationSeparator" w:id="0">
    <w:p w:rsidR="006465A4" w:rsidRDefault="006465A4" w:rsidP="00F42A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65A4" w:rsidRDefault="006465A4" w:rsidP="00F42AAF">
      <w:pPr>
        <w:spacing w:after="0" w:line="240" w:lineRule="auto"/>
      </w:pPr>
      <w:r>
        <w:separator/>
      </w:r>
    </w:p>
  </w:footnote>
  <w:footnote w:type="continuationSeparator" w:id="0">
    <w:p w:rsidR="006465A4" w:rsidRDefault="006465A4" w:rsidP="00F42A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B85"/>
    <w:rsid w:val="000235D2"/>
    <w:rsid w:val="00032B44"/>
    <w:rsid w:val="000A59F2"/>
    <w:rsid w:val="00144C22"/>
    <w:rsid w:val="002D0F58"/>
    <w:rsid w:val="003E022D"/>
    <w:rsid w:val="004E586A"/>
    <w:rsid w:val="006465A4"/>
    <w:rsid w:val="006E666C"/>
    <w:rsid w:val="00851F07"/>
    <w:rsid w:val="00984FF9"/>
    <w:rsid w:val="009E5808"/>
    <w:rsid w:val="009F3834"/>
    <w:rsid w:val="00A300E6"/>
    <w:rsid w:val="00CE74C1"/>
    <w:rsid w:val="00D90D65"/>
    <w:rsid w:val="00E26FB8"/>
    <w:rsid w:val="00EC5B85"/>
    <w:rsid w:val="00F42AAF"/>
    <w:rsid w:val="00F5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34AF5E3F"/>
  <w15:chartTrackingRefBased/>
  <w15:docId w15:val="{74AA28A8-670D-4CF3-9B84-275D13963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fa-IR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C5B85"/>
    <w:rPr>
      <w:b/>
      <w:bCs/>
    </w:rPr>
  </w:style>
  <w:style w:type="character" w:styleId="Hyperlink">
    <w:name w:val="Hyperlink"/>
    <w:basedOn w:val="DefaultParagraphFont"/>
    <w:uiPriority w:val="99"/>
    <w:unhideWhenUsed/>
    <w:rsid w:val="002D0F5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558F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42A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2AAF"/>
  </w:style>
  <w:style w:type="paragraph" w:styleId="Footer">
    <w:name w:val="footer"/>
    <w:basedOn w:val="Normal"/>
    <w:link w:val="FooterChar"/>
    <w:uiPriority w:val="99"/>
    <w:unhideWhenUsed/>
    <w:rsid w:val="00F42A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2A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9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69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82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89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88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63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44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3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4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8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21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3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14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3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42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845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48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32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69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15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76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32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97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862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71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74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473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4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891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038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26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782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363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72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4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372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00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682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46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5281/zenodo.5168994" TargetMode="External"/><Relationship Id="rId13" Type="http://schemas.openxmlformats.org/officeDocument/2006/relationships/hyperlink" Target="https://doi.org/10.5281/zenodo.4579906" TargetMode="External"/><Relationship Id="rId18" Type="http://schemas.openxmlformats.org/officeDocument/2006/relationships/hyperlink" Target="https://doi.org/10.5281/zenodo.525846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doi.org/10.5281/zenodo.5856318" TargetMode="External"/><Relationship Id="rId12" Type="http://schemas.openxmlformats.org/officeDocument/2006/relationships/hyperlink" Target="https://doi.org/10.5281/zenodo.4695224" TargetMode="External"/><Relationship Id="rId17" Type="http://schemas.openxmlformats.org/officeDocument/2006/relationships/hyperlink" Target="https://doi.org/10.5281/zenodo.4667669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doi.org/10.5281/zenodo.4939978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mr.besharati@gmail.com" TargetMode="External"/><Relationship Id="rId11" Type="http://schemas.openxmlformats.org/officeDocument/2006/relationships/hyperlink" Target="https://doi.org/10.5281/zenodo.5020498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doi.org/10.5281/zenodo.4711982" TargetMode="External"/><Relationship Id="rId10" Type="http://schemas.openxmlformats.org/officeDocument/2006/relationships/hyperlink" Target="https://doi.org/10.5281/zenodo.5214671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doi.org/10.5281/zenodo.4939806" TargetMode="External"/><Relationship Id="rId14" Type="http://schemas.openxmlformats.org/officeDocument/2006/relationships/hyperlink" Target="https://doi.org/10.5281/zenodo.551433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1028</Words>
  <Characters>5860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SanCo--</dc:creator>
  <cp:keywords/>
  <dc:description/>
  <cp:lastModifiedBy>SanCo--</cp:lastModifiedBy>
  <cp:revision>2</cp:revision>
  <cp:lastPrinted>2025-05-06T04:34:00Z</cp:lastPrinted>
  <dcterms:created xsi:type="dcterms:W3CDTF">2025-05-06T04:35:00Z</dcterms:created>
  <dcterms:modified xsi:type="dcterms:W3CDTF">2025-05-06T04:35:00Z</dcterms:modified>
</cp:coreProperties>
</file>