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6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824"/>
        <w:gridCol w:w="3539"/>
        <w:gridCol w:w="277"/>
      </w:tblGrid>
      <w:tr w:rsidR="005D4B0C" w14:paraId="1349C006" w14:textId="77777777">
        <w:trPr>
          <w:trHeight w:val="2645"/>
        </w:trPr>
        <w:tc>
          <w:tcPr>
            <w:tcW w:w="4823" w:type="dxa"/>
            <w:tcBorders>
              <w:top w:val="nil"/>
              <w:left w:val="nil"/>
              <w:bottom w:val="single" w:sz="4" w:space="0" w:color="000000"/>
              <w:right w:val="nil"/>
            </w:tcBorders>
            <w:shd w:val="clear" w:color="auto" w:fill="auto"/>
            <w:tcMar>
              <w:top w:w="80" w:type="dxa"/>
              <w:left w:w="80" w:type="dxa"/>
              <w:bottom w:w="80" w:type="dxa"/>
              <w:right w:w="80" w:type="dxa"/>
            </w:tcMar>
          </w:tcPr>
          <w:p w14:paraId="1349BFFE" w14:textId="77777777" w:rsidR="005D4B0C" w:rsidRDefault="004364FE">
            <w:pPr>
              <w:pStyle w:val="Body"/>
              <w:spacing w:line="240" w:lineRule="auto"/>
              <w:ind w:firstLine="0"/>
              <w:rPr>
                <w:rFonts w:ascii="Arial" w:eastAsia="Arial" w:hAnsi="Arial" w:cs="Arial"/>
                <w:b/>
                <w:bCs/>
                <w:caps/>
                <w:color w:val="000066"/>
                <w:spacing w:val="-5"/>
                <w:sz w:val="20"/>
                <w:szCs w:val="20"/>
                <w:u w:val="single" w:color="000066"/>
              </w:rPr>
            </w:pPr>
            <w:r>
              <w:rPr>
                <w:rFonts w:ascii="Arial" w:hAnsi="Arial"/>
                <w:b/>
                <w:bCs/>
                <w:caps/>
                <w:color w:val="000066"/>
                <w:spacing w:val="-5"/>
                <w:sz w:val="20"/>
                <w:szCs w:val="20"/>
                <w:u w:val="single" w:color="000066"/>
              </w:rPr>
              <w:t>Response paper</w:t>
            </w:r>
          </w:p>
          <w:p w14:paraId="1349BFFF" w14:textId="77777777" w:rsidR="005D4B0C" w:rsidRDefault="004364FE">
            <w:pPr>
              <w:pStyle w:val="Body"/>
              <w:spacing w:line="240" w:lineRule="auto"/>
              <w:ind w:firstLine="0"/>
              <w:jc w:val="left"/>
              <w:rPr>
                <w:rFonts w:ascii="Arial" w:eastAsia="Arial" w:hAnsi="Arial" w:cs="Arial"/>
                <w:b/>
                <w:bCs/>
                <w:color w:val="000066"/>
                <w:spacing w:val="-5"/>
                <w:sz w:val="20"/>
                <w:szCs w:val="20"/>
                <w:u w:color="000066"/>
              </w:rPr>
            </w:pPr>
            <w:r>
              <w:rPr>
                <w:rFonts w:ascii="Arial" w:hAnsi="Arial"/>
                <w:b/>
                <w:bCs/>
                <w:color w:val="000066"/>
                <w:spacing w:val="-5"/>
                <w:sz w:val="20"/>
                <w:szCs w:val="20"/>
                <w:u w:color="000066"/>
              </w:rPr>
              <w:t>LAST NAME: VASILIU-FELTES</w:t>
            </w:r>
          </w:p>
          <w:p w14:paraId="1349C000" w14:textId="77777777" w:rsidR="005D4B0C" w:rsidRDefault="004364FE">
            <w:pPr>
              <w:pStyle w:val="Body"/>
              <w:spacing w:line="240" w:lineRule="auto"/>
              <w:ind w:firstLine="0"/>
              <w:jc w:val="left"/>
              <w:rPr>
                <w:rFonts w:ascii="Arial" w:eastAsia="Arial" w:hAnsi="Arial" w:cs="Arial"/>
                <w:b/>
                <w:bCs/>
                <w:caps/>
                <w:color w:val="000066"/>
                <w:spacing w:val="-5"/>
                <w:sz w:val="20"/>
                <w:szCs w:val="20"/>
                <w:u w:color="000066"/>
              </w:rPr>
            </w:pPr>
            <w:r>
              <w:rPr>
                <w:rFonts w:ascii="Arial" w:hAnsi="Arial"/>
                <w:b/>
                <w:bCs/>
                <w:color w:val="000066"/>
                <w:spacing w:val="-5"/>
                <w:sz w:val="20"/>
                <w:szCs w:val="20"/>
                <w:u w:color="000066"/>
              </w:rPr>
              <w:t>FIRST NAME: INGRID</w:t>
            </w:r>
          </w:p>
          <w:p w14:paraId="1349C001" w14:textId="5F68C12C" w:rsidR="005D4B0C" w:rsidRDefault="004364FE">
            <w:pPr>
              <w:pStyle w:val="Body"/>
              <w:spacing w:line="240" w:lineRule="auto"/>
              <w:ind w:firstLine="0"/>
              <w:jc w:val="left"/>
              <w:rPr>
                <w:rFonts w:ascii="Arial" w:eastAsia="Arial" w:hAnsi="Arial" w:cs="Arial"/>
                <w:b/>
                <w:bCs/>
                <w:color w:val="000066"/>
                <w:spacing w:val="-5"/>
                <w:sz w:val="20"/>
                <w:szCs w:val="20"/>
                <w:u w:color="000066"/>
              </w:rPr>
            </w:pPr>
            <w:r>
              <w:rPr>
                <w:rFonts w:ascii="Arial" w:hAnsi="Arial"/>
                <w:b/>
                <w:bCs/>
                <w:color w:val="000066"/>
                <w:spacing w:val="-5"/>
                <w:sz w:val="20"/>
                <w:szCs w:val="20"/>
                <w:u w:color="000066"/>
                <w:lang w:val="fr-FR"/>
              </w:rPr>
              <w:t xml:space="preserve">PROGRAM </w:t>
            </w:r>
            <w:proofErr w:type="gramStart"/>
            <w:r>
              <w:rPr>
                <w:rFonts w:ascii="Arial" w:hAnsi="Arial"/>
                <w:b/>
                <w:bCs/>
                <w:color w:val="000066"/>
                <w:spacing w:val="-5"/>
                <w:sz w:val="20"/>
                <w:szCs w:val="20"/>
                <w:u w:color="000066"/>
                <w:lang w:val="fr-FR"/>
              </w:rPr>
              <w:t>CODE:</w:t>
            </w:r>
            <w:proofErr w:type="gramEnd"/>
            <w:r>
              <w:rPr>
                <w:rFonts w:ascii="Arial" w:hAnsi="Arial"/>
                <w:b/>
                <w:bCs/>
                <w:color w:val="000066"/>
                <w:spacing w:val="-5"/>
                <w:sz w:val="20"/>
                <w:szCs w:val="20"/>
                <w:u w:color="000066"/>
                <w:lang w:val="fr-FR"/>
              </w:rPr>
              <w:t xml:space="preserve"> </w:t>
            </w:r>
            <w:r w:rsidR="00202BCE">
              <w:rPr>
                <w:rFonts w:ascii="Arial" w:hAnsi="Arial"/>
                <w:b/>
                <w:bCs/>
                <w:color w:val="000066"/>
                <w:spacing w:val="-5"/>
                <w:sz w:val="20"/>
                <w:szCs w:val="20"/>
                <w:u w:color="000066"/>
                <w:lang w:val="fr-FR"/>
              </w:rPr>
              <w:t>DBIO</w:t>
            </w:r>
          </w:p>
          <w:p w14:paraId="1349C002" w14:textId="50C78ED3" w:rsidR="005D4B0C" w:rsidRDefault="004364FE">
            <w:pPr>
              <w:pStyle w:val="Body"/>
              <w:spacing w:line="240" w:lineRule="auto"/>
              <w:ind w:firstLine="0"/>
              <w:jc w:val="left"/>
              <w:rPr>
                <w:rFonts w:ascii="Arial" w:eastAsia="Arial" w:hAnsi="Arial" w:cs="Arial"/>
                <w:b/>
                <w:bCs/>
                <w:caps/>
                <w:color w:val="000066"/>
                <w:spacing w:val="-5"/>
                <w:sz w:val="20"/>
                <w:szCs w:val="20"/>
                <w:u w:color="000066"/>
              </w:rPr>
            </w:pPr>
            <w:r>
              <w:rPr>
                <w:rFonts w:ascii="Arial" w:hAnsi="Arial"/>
                <w:b/>
                <w:bCs/>
                <w:color w:val="000066"/>
                <w:spacing w:val="-5"/>
                <w:sz w:val="20"/>
                <w:szCs w:val="20"/>
                <w:u w:color="000066"/>
                <w:lang w:val="fr-FR"/>
              </w:rPr>
              <w:t>COURSE CODE</w:t>
            </w:r>
            <w:r>
              <w:rPr>
                <w:rFonts w:ascii="Arial" w:hAnsi="Arial"/>
                <w:b/>
                <w:bCs/>
                <w:color w:val="000066"/>
                <w:spacing w:val="-5"/>
                <w:sz w:val="20"/>
                <w:szCs w:val="20"/>
                <w:u w:color="000066"/>
                <w:lang w:val="fr-FR"/>
              </w:rPr>
              <w:t> </w:t>
            </w:r>
            <w:r>
              <w:rPr>
                <w:rFonts w:ascii="Arial" w:hAnsi="Arial"/>
                <w:b/>
                <w:bCs/>
                <w:color w:val="000066"/>
                <w:spacing w:val="-5"/>
                <w:sz w:val="20"/>
                <w:szCs w:val="20"/>
                <w:u w:color="000066"/>
                <w:lang w:val="fr-FR"/>
              </w:rPr>
              <w:t xml:space="preserve">: </w:t>
            </w:r>
            <w:r w:rsidR="00285B3F">
              <w:rPr>
                <w:rFonts w:ascii="Arial" w:hAnsi="Arial"/>
                <w:b/>
                <w:bCs/>
                <w:color w:val="000066"/>
                <w:spacing w:val="-5"/>
                <w:sz w:val="20"/>
                <w:szCs w:val="20"/>
                <w:u w:color="000066"/>
                <w:lang w:val="fr-FR"/>
              </w:rPr>
              <w:t>ACA-</w:t>
            </w:r>
            <w:r>
              <w:rPr>
                <w:rFonts w:ascii="Arial" w:hAnsi="Arial"/>
                <w:b/>
                <w:bCs/>
                <w:color w:val="000066"/>
                <w:spacing w:val="-5"/>
                <w:sz w:val="20"/>
                <w:szCs w:val="20"/>
                <w:u w:color="000066"/>
                <w:lang w:val="fr-FR"/>
              </w:rPr>
              <w:t>401D</w:t>
            </w:r>
          </w:p>
          <w:p w14:paraId="1349C003" w14:textId="77777777" w:rsidR="005D4B0C" w:rsidRDefault="004364FE">
            <w:pPr>
              <w:pStyle w:val="Body"/>
              <w:spacing w:line="240" w:lineRule="auto"/>
              <w:ind w:firstLine="0"/>
              <w:jc w:val="left"/>
              <w:rPr>
                <w:rFonts w:ascii="Arial" w:eastAsia="Arial" w:hAnsi="Arial" w:cs="Arial"/>
                <w:b/>
                <w:bCs/>
                <w:caps/>
                <w:color w:val="000066"/>
                <w:spacing w:val="-5"/>
                <w:sz w:val="20"/>
                <w:szCs w:val="20"/>
                <w:u w:color="000066"/>
              </w:rPr>
            </w:pPr>
            <w:r>
              <w:rPr>
                <w:rFonts w:ascii="Arial" w:hAnsi="Arial"/>
                <w:b/>
                <w:bCs/>
                <w:color w:val="000066"/>
                <w:spacing w:val="-5"/>
                <w:sz w:val="20"/>
                <w:szCs w:val="20"/>
                <w:u w:color="000066"/>
              </w:rPr>
              <w:t>PERIOD NUMBER: 1</w:t>
            </w:r>
          </w:p>
          <w:p w14:paraId="1349C004" w14:textId="4562778B" w:rsidR="005D4B0C" w:rsidRDefault="004364FE">
            <w:pPr>
              <w:pStyle w:val="Body"/>
              <w:spacing w:line="240" w:lineRule="auto"/>
              <w:ind w:firstLine="0"/>
              <w:jc w:val="left"/>
            </w:pPr>
            <w:r>
              <w:rPr>
                <w:rFonts w:ascii="Arial" w:hAnsi="Arial"/>
                <w:b/>
                <w:bCs/>
                <w:color w:val="000066"/>
                <w:spacing w:val="-5"/>
                <w:sz w:val="20"/>
                <w:szCs w:val="20"/>
                <w:u w:color="000066"/>
              </w:rPr>
              <w:t xml:space="preserve">INSTRUCTOR: </w:t>
            </w:r>
            <w:r>
              <w:rPr>
                <w:rFonts w:ascii="Arial" w:hAnsi="Arial"/>
                <w:b/>
                <w:bCs/>
                <w:color w:val="000066"/>
                <w:spacing w:val="-5"/>
                <w:sz w:val="20"/>
                <w:szCs w:val="20"/>
                <w:u w:color="000066"/>
              </w:rPr>
              <w:t>GULMA</w:t>
            </w:r>
          </w:p>
        </w:tc>
        <w:tc>
          <w:tcPr>
            <w:tcW w:w="3816" w:type="dxa"/>
            <w:gridSpan w:val="2"/>
            <w:tcBorders>
              <w:top w:val="nil"/>
              <w:left w:val="nil"/>
              <w:bottom w:val="single" w:sz="4" w:space="0" w:color="000000"/>
              <w:right w:val="nil"/>
            </w:tcBorders>
            <w:shd w:val="clear" w:color="auto" w:fill="auto"/>
            <w:tcMar>
              <w:top w:w="80" w:type="dxa"/>
              <w:left w:w="80" w:type="dxa"/>
              <w:bottom w:w="80" w:type="dxa"/>
              <w:right w:w="80" w:type="dxa"/>
            </w:tcMar>
          </w:tcPr>
          <w:p w14:paraId="1349C005" w14:textId="77777777" w:rsidR="005D4B0C" w:rsidRDefault="004364FE">
            <w:pPr>
              <w:pStyle w:val="Body"/>
              <w:spacing w:line="240" w:lineRule="auto"/>
              <w:ind w:firstLine="0"/>
            </w:pPr>
            <w:r>
              <w:rPr>
                <w:b/>
                <w:bCs/>
                <w:noProof/>
              </w:rPr>
              <w:drawing>
                <wp:inline distT="0" distB="0" distL="0" distR="0" wp14:anchorId="1349C02E" wp14:editId="1349C02F">
                  <wp:extent cx="1533525" cy="1514475"/>
                  <wp:effectExtent l="0" t="0" r="0" b="0"/>
                  <wp:docPr id="1073741827" name="officeArt object" descr="Picture 1"/>
                  <wp:cNvGraphicFramePr/>
                  <a:graphic xmlns:a="http://schemas.openxmlformats.org/drawingml/2006/main">
                    <a:graphicData uri="http://schemas.openxmlformats.org/drawingml/2006/picture">
                      <pic:pic xmlns:pic="http://schemas.openxmlformats.org/drawingml/2006/picture">
                        <pic:nvPicPr>
                          <pic:cNvPr id="1073741827" name="Picture 1" descr="Picture 1"/>
                          <pic:cNvPicPr>
                            <a:picLocks noChangeAspect="1"/>
                          </pic:cNvPicPr>
                        </pic:nvPicPr>
                        <pic:blipFill>
                          <a:blip r:embed="rId7"/>
                          <a:stretch>
                            <a:fillRect/>
                          </a:stretch>
                        </pic:blipFill>
                        <pic:spPr>
                          <a:xfrm>
                            <a:off x="0" y="0"/>
                            <a:ext cx="1533525" cy="1514475"/>
                          </a:xfrm>
                          <a:prstGeom prst="rect">
                            <a:avLst/>
                          </a:prstGeom>
                          <a:ln w="12700" cap="flat">
                            <a:noFill/>
                            <a:miter lim="400000"/>
                          </a:ln>
                          <a:effectLst/>
                        </pic:spPr>
                      </pic:pic>
                    </a:graphicData>
                  </a:graphic>
                </wp:inline>
              </w:drawing>
            </w:r>
          </w:p>
        </w:tc>
      </w:tr>
      <w:tr w:rsidR="005D4B0C" w14:paraId="1349C015" w14:textId="77777777">
        <w:trPr>
          <w:trHeight w:val="3119"/>
        </w:trPr>
        <w:tc>
          <w:tcPr>
            <w:tcW w:w="8362" w:type="dxa"/>
            <w:gridSpan w:val="2"/>
            <w:tcBorders>
              <w:top w:val="single" w:sz="4" w:space="0" w:color="000000"/>
              <w:left w:val="nil"/>
              <w:bottom w:val="nil"/>
              <w:right w:val="nil"/>
            </w:tcBorders>
            <w:shd w:val="clear" w:color="auto" w:fill="auto"/>
            <w:tcMar>
              <w:top w:w="80" w:type="dxa"/>
              <w:left w:w="80" w:type="dxa"/>
              <w:bottom w:w="80" w:type="dxa"/>
              <w:right w:w="80" w:type="dxa"/>
            </w:tcMar>
          </w:tcPr>
          <w:p w14:paraId="1349C008" w14:textId="3507A8DA" w:rsidR="005D4B0C" w:rsidRDefault="004364FE">
            <w:pPr>
              <w:pStyle w:val="Body"/>
              <w:spacing w:after="0" w:line="260" w:lineRule="exact"/>
              <w:ind w:firstLine="0"/>
              <w:jc w:val="left"/>
              <w:rPr>
                <w:rFonts w:ascii="Arial Narrow" w:eastAsia="Arial Narrow" w:hAnsi="Arial Narrow" w:cs="Arial Narrow"/>
                <w:i/>
                <w:iCs/>
                <w:sz w:val="20"/>
                <w:szCs w:val="20"/>
              </w:rPr>
            </w:pPr>
            <w:r>
              <w:rPr>
                <w:rFonts w:ascii="Arial Narrow" w:hAnsi="Arial Narrow"/>
                <w:b/>
                <w:bCs/>
                <w:sz w:val="20"/>
                <w:szCs w:val="20"/>
              </w:rPr>
              <w:t xml:space="preserve"> </w:t>
            </w:r>
            <w:r>
              <w:rPr>
                <w:rFonts w:ascii="Arial Narrow" w:hAnsi="Arial Narrow"/>
                <w:sz w:val="20"/>
                <w:szCs w:val="20"/>
              </w:rPr>
              <w:t>The author applied US conventions of grammar, usage, and mechanics</w:t>
            </w:r>
          </w:p>
          <w:p w14:paraId="1349C009" w14:textId="77777777" w:rsidR="005D4B0C" w:rsidRDefault="004364FE">
            <w:pPr>
              <w:pStyle w:val="Body"/>
              <w:spacing w:after="0" w:line="260" w:lineRule="exact"/>
              <w:ind w:firstLine="0"/>
              <w:jc w:val="left"/>
              <w:rPr>
                <w:rFonts w:ascii="Arial Narrow" w:eastAsia="Arial Narrow" w:hAnsi="Arial Narrow" w:cs="Arial Narrow"/>
                <w:sz w:val="20"/>
                <w:szCs w:val="20"/>
              </w:rPr>
            </w:pPr>
            <w:r>
              <w:rPr>
                <w:rFonts w:ascii="Arial Narrow" w:hAnsi="Arial Narrow"/>
                <w:sz w:val="20"/>
                <w:szCs w:val="20"/>
              </w:rPr>
              <w:t xml:space="preserve">The author did not use </w:t>
            </w:r>
            <w:r>
              <w:rPr>
                <w:rFonts w:ascii="Arial Narrow" w:hAnsi="Arial Narrow"/>
                <w:sz w:val="20"/>
                <w:szCs w:val="20"/>
              </w:rPr>
              <w:t>Zotero to insert references</w:t>
            </w:r>
          </w:p>
          <w:p w14:paraId="1349C00A" w14:textId="77777777" w:rsidR="005D4B0C" w:rsidRDefault="004364FE">
            <w:pPr>
              <w:pStyle w:val="Body"/>
              <w:spacing w:after="0" w:line="260" w:lineRule="exact"/>
              <w:ind w:firstLine="0"/>
              <w:jc w:val="left"/>
              <w:rPr>
                <w:rFonts w:ascii="Arial Narrow" w:eastAsia="Arial Narrow" w:hAnsi="Arial Narrow" w:cs="Arial Narrow"/>
                <w:sz w:val="20"/>
                <w:szCs w:val="20"/>
              </w:rPr>
            </w:pPr>
            <w:r>
              <w:rPr>
                <w:rFonts w:ascii="Arial Narrow" w:hAnsi="Arial Narrow"/>
                <w:sz w:val="20"/>
                <w:szCs w:val="20"/>
              </w:rPr>
              <w:t xml:space="preserve">The author </w:t>
            </w:r>
            <w:r>
              <w:rPr>
                <w:rFonts w:ascii="Segoe UI Symbol" w:eastAsia="Segoe UI Symbol" w:hAnsi="Segoe UI Symbol" w:cs="Segoe UI Symbol"/>
                <w:sz w:val="20"/>
                <w:szCs w:val="20"/>
              </w:rPr>
              <w:t>d</w:t>
            </w:r>
            <w:r>
              <w:rPr>
                <w:rFonts w:ascii="Arial Narrow" w:hAnsi="Arial Narrow"/>
                <w:sz w:val="20"/>
                <w:szCs w:val="20"/>
              </w:rPr>
              <w:t>id use Grammarly Premium (owned account prior to EUCLID)</w:t>
            </w:r>
          </w:p>
          <w:p w14:paraId="1349C00B" w14:textId="77777777" w:rsidR="005D4B0C" w:rsidRDefault="004364FE">
            <w:pPr>
              <w:pStyle w:val="Body"/>
              <w:spacing w:after="0" w:line="260" w:lineRule="exact"/>
              <w:ind w:firstLine="0"/>
              <w:jc w:val="left"/>
              <w:rPr>
                <w:rFonts w:ascii="Arial Narrow" w:eastAsia="Arial Narrow" w:hAnsi="Arial Narrow" w:cs="Arial Narrow"/>
                <w:sz w:val="20"/>
                <w:szCs w:val="20"/>
              </w:rPr>
            </w:pPr>
            <w:r>
              <w:rPr>
                <w:rFonts w:ascii="Arial Narrow" w:hAnsi="Arial Narrow"/>
                <w:sz w:val="20"/>
                <w:szCs w:val="20"/>
              </w:rPr>
              <w:t>My plagiarism rate (per Grammarly Premium) is: 0%</w:t>
            </w:r>
          </w:p>
          <w:p w14:paraId="1349C00C" w14:textId="77777777" w:rsidR="005D4B0C" w:rsidRDefault="004364FE">
            <w:pPr>
              <w:pStyle w:val="Body"/>
              <w:spacing w:after="0" w:line="240" w:lineRule="auto"/>
              <w:ind w:firstLine="0"/>
              <w:jc w:val="left"/>
              <w:rPr>
                <w:rFonts w:ascii="Arial Narrow" w:eastAsia="Arial Narrow" w:hAnsi="Arial Narrow" w:cs="Arial Narrow"/>
                <w:sz w:val="20"/>
                <w:szCs w:val="20"/>
              </w:rPr>
            </w:pPr>
            <w:r>
              <w:rPr>
                <w:rFonts w:ascii="Arial Narrow" w:hAnsi="Arial Narrow"/>
                <w:sz w:val="20"/>
                <w:szCs w:val="20"/>
              </w:rPr>
              <w:t>The author used the following software: (e.g., M</w:t>
            </w:r>
          </w:p>
          <w:p w14:paraId="1349C00D" w14:textId="77777777" w:rsidR="005D4B0C" w:rsidRDefault="005D4B0C">
            <w:pPr>
              <w:pStyle w:val="Body"/>
              <w:spacing w:after="0" w:line="240" w:lineRule="auto"/>
              <w:ind w:firstLine="0"/>
              <w:jc w:val="left"/>
              <w:rPr>
                <w:rFonts w:ascii="Arial" w:eastAsia="Arial" w:hAnsi="Arial" w:cs="Arial"/>
                <w:sz w:val="18"/>
                <w:szCs w:val="18"/>
              </w:rPr>
            </w:pPr>
          </w:p>
          <w:p w14:paraId="1349C00E" w14:textId="77777777" w:rsidR="005D4B0C" w:rsidRDefault="004364FE">
            <w:pPr>
              <w:pStyle w:val="Body"/>
              <w:spacing w:after="0" w:line="240" w:lineRule="auto"/>
              <w:ind w:firstLine="0"/>
              <w:jc w:val="left"/>
              <w:rPr>
                <w:rFonts w:ascii="Arial" w:eastAsia="Arial" w:hAnsi="Arial" w:cs="Arial"/>
                <w:b/>
                <w:bCs/>
                <w:sz w:val="18"/>
                <w:szCs w:val="18"/>
              </w:rPr>
            </w:pPr>
            <w:r>
              <w:rPr>
                <w:rFonts w:ascii="Arial" w:hAnsi="Arial"/>
                <w:b/>
                <w:bCs/>
                <w:sz w:val="18"/>
                <w:szCs w:val="18"/>
              </w:rPr>
              <w:t>Key Concepts</w:t>
            </w:r>
          </w:p>
          <w:p w14:paraId="1349C00F" w14:textId="36CA22EE" w:rsidR="005D4B0C" w:rsidRDefault="004364FE">
            <w:pPr>
              <w:pStyle w:val="Body"/>
              <w:numPr>
                <w:ilvl w:val="0"/>
                <w:numId w:val="1"/>
              </w:numPr>
              <w:spacing w:after="0" w:line="240" w:lineRule="auto"/>
              <w:jc w:val="left"/>
              <w:rPr>
                <w:rFonts w:ascii="Arial" w:hAnsi="Arial"/>
                <w:sz w:val="18"/>
                <w:szCs w:val="18"/>
              </w:rPr>
            </w:pPr>
            <w:r>
              <w:rPr>
                <w:rFonts w:ascii="Arial" w:hAnsi="Arial"/>
                <w:sz w:val="18"/>
                <w:szCs w:val="18"/>
              </w:rPr>
              <w:t>Plagiarism (</w:t>
            </w:r>
            <w:r w:rsidR="00735D04">
              <w:rPr>
                <w:rFonts w:ascii="Arial" w:hAnsi="Arial"/>
                <w:sz w:val="18"/>
                <w:szCs w:val="18"/>
              </w:rPr>
              <w:t xml:space="preserve">Cleenewerck and </w:t>
            </w:r>
            <w:r>
              <w:rPr>
                <w:rFonts w:ascii="Arial" w:hAnsi="Arial"/>
                <w:sz w:val="18"/>
                <w:szCs w:val="18"/>
              </w:rPr>
              <w:t>Gulma 2024, 33-36)</w:t>
            </w:r>
          </w:p>
          <w:p w14:paraId="1349C010" w14:textId="1E735E73" w:rsidR="005D4B0C" w:rsidRDefault="004364FE">
            <w:pPr>
              <w:pStyle w:val="Body"/>
              <w:numPr>
                <w:ilvl w:val="0"/>
                <w:numId w:val="1"/>
              </w:numPr>
              <w:spacing w:after="0" w:line="240" w:lineRule="auto"/>
              <w:jc w:val="left"/>
              <w:rPr>
                <w:rFonts w:ascii="Arial" w:hAnsi="Arial"/>
                <w:sz w:val="18"/>
                <w:szCs w:val="18"/>
              </w:rPr>
            </w:pPr>
            <w:r>
              <w:rPr>
                <w:rFonts w:ascii="Arial" w:hAnsi="Arial"/>
                <w:sz w:val="18"/>
                <w:szCs w:val="18"/>
              </w:rPr>
              <w:t>Language Nuances (</w:t>
            </w:r>
            <w:r w:rsidR="00735D04">
              <w:rPr>
                <w:rFonts w:ascii="Arial" w:hAnsi="Arial"/>
                <w:sz w:val="18"/>
                <w:szCs w:val="18"/>
              </w:rPr>
              <w:t xml:space="preserve">Cleenewerck and </w:t>
            </w:r>
            <w:r>
              <w:rPr>
                <w:rFonts w:ascii="Arial" w:hAnsi="Arial"/>
                <w:sz w:val="18"/>
                <w:szCs w:val="18"/>
              </w:rPr>
              <w:t>Gulma 2024, 24-30, 58)</w:t>
            </w:r>
          </w:p>
          <w:p w14:paraId="1349C011" w14:textId="54C3C77E" w:rsidR="005D4B0C" w:rsidRDefault="004364FE">
            <w:pPr>
              <w:pStyle w:val="Body"/>
              <w:numPr>
                <w:ilvl w:val="0"/>
                <w:numId w:val="1"/>
              </w:numPr>
              <w:spacing w:after="0" w:line="240" w:lineRule="auto"/>
              <w:jc w:val="left"/>
              <w:rPr>
                <w:rFonts w:ascii="Arial" w:hAnsi="Arial"/>
                <w:sz w:val="18"/>
                <w:szCs w:val="18"/>
              </w:rPr>
            </w:pPr>
            <w:r>
              <w:rPr>
                <w:rFonts w:ascii="Arial" w:hAnsi="Arial"/>
                <w:sz w:val="18"/>
                <w:szCs w:val="18"/>
              </w:rPr>
              <w:t>Equality (</w:t>
            </w:r>
            <w:r w:rsidR="00735D04">
              <w:rPr>
                <w:rFonts w:ascii="Arial" w:hAnsi="Arial"/>
                <w:sz w:val="18"/>
                <w:szCs w:val="18"/>
              </w:rPr>
              <w:t xml:space="preserve">Cleenewerck and </w:t>
            </w:r>
            <w:r>
              <w:rPr>
                <w:rFonts w:ascii="Arial" w:hAnsi="Arial"/>
                <w:sz w:val="18"/>
                <w:szCs w:val="18"/>
              </w:rPr>
              <w:t>Gulma 2024, 29)</w:t>
            </w:r>
          </w:p>
          <w:p w14:paraId="1349C012" w14:textId="3433111F" w:rsidR="005D4B0C" w:rsidRDefault="004364FE">
            <w:pPr>
              <w:pStyle w:val="Body"/>
              <w:numPr>
                <w:ilvl w:val="0"/>
                <w:numId w:val="1"/>
              </w:numPr>
              <w:spacing w:after="0" w:line="240" w:lineRule="auto"/>
              <w:jc w:val="left"/>
              <w:rPr>
                <w:rFonts w:ascii="Arial" w:hAnsi="Arial"/>
                <w:sz w:val="18"/>
                <w:szCs w:val="18"/>
              </w:rPr>
            </w:pPr>
            <w:r>
              <w:rPr>
                <w:rFonts w:ascii="Arial" w:hAnsi="Arial"/>
                <w:sz w:val="18"/>
                <w:szCs w:val="18"/>
              </w:rPr>
              <w:t>Stereotyping (</w:t>
            </w:r>
            <w:r w:rsidR="00735D04">
              <w:rPr>
                <w:rFonts w:ascii="Arial" w:hAnsi="Arial"/>
                <w:sz w:val="18"/>
                <w:szCs w:val="18"/>
              </w:rPr>
              <w:t xml:space="preserve">Cleenewerck and </w:t>
            </w:r>
            <w:r>
              <w:rPr>
                <w:rFonts w:ascii="Arial" w:hAnsi="Arial"/>
                <w:sz w:val="18"/>
                <w:szCs w:val="18"/>
              </w:rPr>
              <w:t>Gulma 2024, 30)</w:t>
            </w:r>
          </w:p>
          <w:p w14:paraId="1349C013" w14:textId="2C9307AC" w:rsidR="005D4B0C" w:rsidRDefault="004364FE">
            <w:pPr>
              <w:pStyle w:val="Body"/>
              <w:numPr>
                <w:ilvl w:val="0"/>
                <w:numId w:val="1"/>
              </w:numPr>
              <w:spacing w:after="0" w:line="240" w:lineRule="auto"/>
              <w:jc w:val="left"/>
              <w:rPr>
                <w:rFonts w:ascii="Arial" w:hAnsi="Arial"/>
                <w:sz w:val="18"/>
                <w:szCs w:val="18"/>
              </w:rPr>
            </w:pPr>
            <w:r>
              <w:rPr>
                <w:rFonts w:ascii="Arial" w:hAnsi="Arial"/>
                <w:sz w:val="18"/>
                <w:szCs w:val="18"/>
              </w:rPr>
              <w:t>Political Nuances (</w:t>
            </w:r>
            <w:r w:rsidR="00735D04">
              <w:rPr>
                <w:rFonts w:ascii="Arial" w:hAnsi="Arial"/>
                <w:sz w:val="18"/>
                <w:szCs w:val="18"/>
              </w:rPr>
              <w:t xml:space="preserve">Cleenewerck and </w:t>
            </w:r>
            <w:r>
              <w:rPr>
                <w:rFonts w:ascii="Arial" w:hAnsi="Arial"/>
                <w:sz w:val="18"/>
                <w:szCs w:val="18"/>
              </w:rPr>
              <w:t>Gulma 2024, 29)</w:t>
            </w:r>
          </w:p>
        </w:tc>
        <w:tc>
          <w:tcPr>
            <w:tcW w:w="277" w:type="dxa"/>
            <w:tcBorders>
              <w:top w:val="nil"/>
              <w:left w:val="nil"/>
              <w:bottom w:val="nil"/>
              <w:right w:val="nil"/>
            </w:tcBorders>
            <w:shd w:val="clear" w:color="auto" w:fill="auto"/>
            <w:tcMar>
              <w:top w:w="80" w:type="dxa"/>
              <w:left w:w="80" w:type="dxa"/>
              <w:bottom w:w="80" w:type="dxa"/>
              <w:right w:w="80" w:type="dxa"/>
            </w:tcMar>
          </w:tcPr>
          <w:p w14:paraId="1349C014" w14:textId="77777777" w:rsidR="005D4B0C" w:rsidRDefault="005D4B0C"/>
        </w:tc>
      </w:tr>
    </w:tbl>
    <w:p w14:paraId="1349C017" w14:textId="77777777" w:rsidR="005D4B0C" w:rsidRDefault="004364FE" w:rsidP="00735D04">
      <w:pPr>
        <w:pStyle w:val="RPTitle"/>
        <w:spacing w:before="0"/>
      </w:pPr>
      <w:r>
        <w:t>Complexities and nuances of academic writing</w:t>
      </w:r>
    </w:p>
    <w:p w14:paraId="1349C018" w14:textId="77777777" w:rsidR="005D4B0C" w:rsidRDefault="004364FE">
      <w:pPr>
        <w:pStyle w:val="RPHead1"/>
        <w:numPr>
          <w:ilvl w:val="0"/>
          <w:numId w:val="3"/>
        </w:numPr>
      </w:pPr>
      <w:r>
        <w:t>Introduction</w:t>
      </w:r>
    </w:p>
    <w:p w14:paraId="1349C019" w14:textId="6D90DDB8" w:rsidR="005D4B0C" w:rsidRDefault="004364FE">
      <w:pPr>
        <w:pStyle w:val="RPNormal"/>
      </w:pPr>
      <w:r>
        <w:t xml:space="preserve">Generating novel ideas and viewpoints with </w:t>
      </w:r>
      <w:r>
        <w:t>unambiguousness and exactness is crucial in the academic domain. Academic writing is often regarded as a complex endeavor, as it involves a multitude of writing skills that serve a variety of industries, disciplines, and interdisciplinary purposes. The requirement is for rigorous formatting, just as much as for original content. There are some rules that overlap and others that are unique to a specific writing style. Many styles, including the Turabian style, have been developed to suit different industry o</w:t>
      </w:r>
      <w:r>
        <w:t xml:space="preserve">r topic-specific needs. There are several crucial differences </w:t>
      </w:r>
      <w:r w:rsidR="00735D04">
        <w:t>between</w:t>
      </w:r>
      <w:r w:rsidR="00735D04">
        <w:t xml:space="preserve"> </w:t>
      </w:r>
      <w:r>
        <w:t>various accepted writing styles and some common features, such as those covering plagiarism, originality, quotations, citations, grammar, syntax, and writing clarity.</w:t>
      </w:r>
    </w:p>
    <w:p w14:paraId="1349C01A" w14:textId="77777777" w:rsidR="005D4B0C" w:rsidRDefault="004364FE">
      <w:pPr>
        <w:pStyle w:val="RPHead2"/>
        <w:numPr>
          <w:ilvl w:val="0"/>
          <w:numId w:val="5"/>
        </w:numPr>
      </w:pPr>
      <w:r>
        <w:lastRenderedPageBreak/>
        <w:t>Importance of Originality</w:t>
      </w:r>
    </w:p>
    <w:p w14:paraId="1349C01B" w14:textId="0AFD4ABA" w:rsidR="005D4B0C" w:rsidRDefault="004364FE">
      <w:pPr>
        <w:pStyle w:val="RPNormal"/>
      </w:pPr>
      <w:r>
        <w:t xml:space="preserve">While </w:t>
      </w:r>
      <w:r>
        <w:rPr>
          <w:b/>
          <w:bCs/>
        </w:rPr>
        <w:t>originality</w:t>
      </w:r>
      <w:r>
        <w:t xml:space="preserve"> is related to plagiarism, they are not the same. Plagiarism happens when someone fails to give correct credit for work that is not their own. There is a straightforward way to teach students how to avoid this. It is much more difficult to offer guidance on the creative process of generating new content, including concepts, frameworks, perspectives, or opinions. Additionally, we must be careful </w:t>
      </w:r>
      <w:r>
        <w:t xml:space="preserve">not </w:t>
      </w:r>
      <w:r w:rsidR="00735D04">
        <w:t xml:space="preserve">to </w:t>
      </w:r>
      <w:r>
        <w:t>confuse the intentional act of not crediting authors when quoting their work</w:t>
      </w:r>
      <w:r>
        <w:t xml:space="preserve"> with not having enough knowledge to do so. The ACA-401 </w:t>
      </w:r>
      <w:proofErr w:type="spellStart"/>
      <w:r>
        <w:t>coursepack</w:t>
      </w:r>
      <w:proofErr w:type="spellEnd"/>
      <w:r>
        <w:t xml:space="preserve"> offers extremely helpful advice on these subjects. For instance, it instructs students on the correct ways of introducing quotations, including using a "signal phrase." These signal phrases can alert the reader that a quotation is about to happen and </w:t>
      </w:r>
      <w:r w:rsidR="00462EFB">
        <w:t>ensure</w:t>
      </w:r>
      <w:r w:rsidR="00462EFB">
        <w:t xml:space="preserve"> </w:t>
      </w:r>
      <w:r>
        <w:t>a nice blending of the quotation with the student's original content (Cleenewerck and Gulma 2024, 37).</w:t>
      </w:r>
    </w:p>
    <w:p w14:paraId="1349C01C" w14:textId="32286B9B" w:rsidR="005D4B0C" w:rsidRDefault="004364FE">
      <w:pPr>
        <w:pStyle w:val="RPNormal"/>
      </w:pPr>
      <w:r>
        <w:t xml:space="preserve">Paraphrasing is one of the rules of academic writing students find especially hard to master. </w:t>
      </w:r>
      <w:r w:rsidR="00462EFB">
        <w:t>Paraphrasing well—to produce something that is genuine and original yet accurate and faithful to the meaning of the source—requires a lot of reading, understanding, and reflection, which</w:t>
      </w:r>
      <w:r>
        <w:t xml:space="preserve"> most students find challenging. </w:t>
      </w:r>
    </w:p>
    <w:p w14:paraId="1349C01D" w14:textId="53B4EF53" w:rsidR="005D4B0C" w:rsidRDefault="004364FE">
      <w:pPr>
        <w:pStyle w:val="RPNormal"/>
      </w:pPr>
      <w:r>
        <w:t>The recent large-scale adoption of artificial intelligence tools has further amplified the risk of plagiarism and can potentially negatively impact students' ability to generate original content. As highlighted in a recent publication by Nguyen et al., human and AI collaboration is evolving and is clearly influencing academic writing (Nguyen</w:t>
      </w:r>
      <w:r w:rsidR="00462EFB">
        <w:t xml:space="preserve"> </w:t>
      </w:r>
      <w:r w:rsidR="00E927D6">
        <w:t>et al.</w:t>
      </w:r>
      <w:r>
        <w:t xml:space="preserve"> 2024, 1-18).</w:t>
      </w:r>
    </w:p>
    <w:p w14:paraId="1349C01E" w14:textId="77777777" w:rsidR="005D4B0C" w:rsidRDefault="004364FE">
      <w:pPr>
        <w:pStyle w:val="RPHead2"/>
        <w:numPr>
          <w:ilvl w:val="0"/>
          <w:numId w:val="5"/>
        </w:numPr>
      </w:pPr>
      <w:r>
        <w:t>Language Nuances</w:t>
      </w:r>
    </w:p>
    <w:p w14:paraId="1349C01F" w14:textId="77777777" w:rsidR="005D4B0C" w:rsidRDefault="004364FE">
      <w:pPr>
        <w:pStyle w:val="RPNormal"/>
      </w:pPr>
      <w:r>
        <w:t xml:space="preserve">Academic writing projects require attention to and consideration of many different </w:t>
      </w:r>
      <w:r>
        <w:rPr>
          <w:b/>
          <w:bCs/>
        </w:rPr>
        <w:t>language</w:t>
      </w:r>
      <w:r>
        <w:t xml:space="preserve"> variations, such as British versus American English (Cleenewerck and Gulma 2024, 25). Being cognizant of historic Yiddish, Black, and Latin influences also fosters clarity and avoids confusion in the academic content we aim to convey (Cleenewerck and Gulma 2024, 30). The correct approach is to use the kind of language that anticipated audiences can understand and are comfortable with.  </w:t>
      </w:r>
    </w:p>
    <w:p w14:paraId="1349C020" w14:textId="77777777" w:rsidR="005D4B0C" w:rsidRDefault="004364FE">
      <w:pPr>
        <w:pStyle w:val="RPHead2"/>
        <w:numPr>
          <w:ilvl w:val="0"/>
          <w:numId w:val="5"/>
        </w:numPr>
      </w:pPr>
      <w:r>
        <w:t xml:space="preserve">Equality </w:t>
      </w:r>
    </w:p>
    <w:p w14:paraId="1349C021" w14:textId="77777777" w:rsidR="005D4B0C" w:rsidRDefault="004364FE">
      <w:pPr>
        <w:pStyle w:val="RPNormal"/>
      </w:pPr>
      <w:r>
        <w:t>In addition to all foundational elements of academic writing -grammar and syntax, correct punctuation, accurate quotations, and the nuanced use of language—</w:t>
      </w:r>
      <w:r>
        <w:t xml:space="preserve">it is also essential to follow </w:t>
      </w:r>
      <w:r>
        <w:rPr>
          <w:b/>
          <w:bCs/>
        </w:rPr>
        <w:t>equality</w:t>
      </w:r>
      <w:r>
        <w:t xml:space="preserve"> guidelines in academic writing. To be inclusive and diverse involves much more diligence than only following a particular style or method; it is about being committed to fairness and respect for everyone. This is a topic that is worth reading and engaging with more deeply because it requires continuous learning from a diverse global academic community. One way to exemplify this in practice is to avoid the term "chairman," which is not inclusive. Instead, one can use "</w:t>
      </w:r>
      <w:r>
        <w:t>chairperson" or "chair," terms that are more likely to be free of gender stereotyping.</w:t>
      </w:r>
    </w:p>
    <w:p w14:paraId="1349C022" w14:textId="77777777" w:rsidR="005D4B0C" w:rsidRDefault="004364FE">
      <w:pPr>
        <w:pStyle w:val="RPHead2"/>
        <w:numPr>
          <w:ilvl w:val="0"/>
          <w:numId w:val="5"/>
        </w:numPr>
      </w:pPr>
      <w:r>
        <w:lastRenderedPageBreak/>
        <w:t>Stereotyping</w:t>
      </w:r>
    </w:p>
    <w:p w14:paraId="1349C023" w14:textId="77777777" w:rsidR="005D4B0C" w:rsidRDefault="004364FE">
      <w:pPr>
        <w:pStyle w:val="RPNormal"/>
      </w:pPr>
      <w:r>
        <w:t xml:space="preserve">Not </w:t>
      </w:r>
      <w:r>
        <w:rPr>
          <w:b/>
          <w:bCs/>
        </w:rPr>
        <w:t>stereotyping</w:t>
      </w:r>
      <w:r>
        <w:t xml:space="preserve"> in our academic writing requires more than just language pattern awareness; it relies on an understanding of multiple complex factors. The ACA-401 </w:t>
      </w:r>
      <w:proofErr w:type="spellStart"/>
      <w:r>
        <w:t>Coursepack</w:t>
      </w:r>
      <w:proofErr w:type="spellEnd"/>
      <w:r>
        <w:t xml:space="preserve"> identifies </w:t>
      </w:r>
      <w:proofErr w:type="gramStart"/>
      <w:r>
        <w:t>a number of</w:t>
      </w:r>
      <w:proofErr w:type="gramEnd"/>
      <w:r>
        <w:t xml:space="preserve"> specific stereotypes that writers must avoid. These include gender (Cleenewerck and Gulma 2024, 29), cultural, ethnic, and socioeconomic stereotypes, as well as stereotypes based on education and geographic region (Cleenewerck and Gulma 2024, 30). Inclusive and diverse academic writing is both a basic courtesy and a requirement </w:t>
      </w:r>
      <w:r>
        <w:t>of the writing and ethical codes of the academic community. It also allows our work to be understood by a wide range of readers and engenders trust within the community.</w:t>
      </w:r>
    </w:p>
    <w:p w14:paraId="1349C024" w14:textId="77777777" w:rsidR="005D4B0C" w:rsidRDefault="004364FE">
      <w:pPr>
        <w:pStyle w:val="RPHead2"/>
        <w:numPr>
          <w:ilvl w:val="0"/>
          <w:numId w:val="5"/>
        </w:numPr>
      </w:pPr>
      <w:r>
        <w:t>Political Nuances</w:t>
      </w:r>
    </w:p>
    <w:p w14:paraId="1349C025" w14:textId="77777777" w:rsidR="005D4B0C" w:rsidRDefault="004364FE">
      <w:pPr>
        <w:pStyle w:val="RPNormal"/>
      </w:pPr>
      <w:r>
        <w:t xml:space="preserve">One of the most difficult areas for students to master in academic writing is the careful use of </w:t>
      </w:r>
      <w:r>
        <w:rPr>
          <w:b/>
          <w:bCs/>
        </w:rPr>
        <w:t xml:space="preserve">political </w:t>
      </w:r>
      <w:r>
        <w:t>terminology—terms for which their meanings may have shifted, sometimes dramatically, over the last few decades. It is not enough to have a passing acquaintanceship with recent history; successful and thoughtful academic writers must be tuned in to the current political climate. We must have a good reason for using the terms we do, especially when there are alternatives available, and we must be especially vigilant to not disrespect any of our readers. Examples include using "chair" or "chairperson</w:t>
      </w:r>
      <w:r>
        <w:t xml:space="preserve">" instead of "chairman" or "stay at home mom" instead of house-wife, </w:t>
      </w:r>
      <w:proofErr w:type="gramStart"/>
      <w:r>
        <w:t>or ”Native</w:t>
      </w:r>
      <w:proofErr w:type="gramEnd"/>
      <w:r>
        <w:t xml:space="preserve"> American" replacing "Indian" to more accurately and respectfully refer to Indigenous peoples (Cleenewerck and Gulma 2024, 29). </w:t>
      </w:r>
    </w:p>
    <w:p w14:paraId="1349C026" w14:textId="77777777" w:rsidR="005D4B0C" w:rsidRDefault="004364FE">
      <w:pPr>
        <w:pStyle w:val="RPHead1"/>
        <w:numPr>
          <w:ilvl w:val="0"/>
          <w:numId w:val="3"/>
        </w:numPr>
      </w:pPr>
      <w:r>
        <w:t>Conclusion</w:t>
      </w:r>
    </w:p>
    <w:p w14:paraId="1349C027" w14:textId="5F4E3112" w:rsidR="005D4B0C" w:rsidRDefault="004364FE">
      <w:pPr>
        <w:pStyle w:val="RPNormal"/>
        <w:rPr>
          <w:i/>
          <w:iCs/>
        </w:rPr>
      </w:pPr>
      <w:r>
        <w:t xml:space="preserve">Concise and clear, the </w:t>
      </w:r>
      <w:r>
        <w:rPr>
          <w:i/>
          <w:iCs/>
        </w:rPr>
        <w:t xml:space="preserve">ACA-401 </w:t>
      </w:r>
      <w:proofErr w:type="spellStart"/>
      <w:r>
        <w:rPr>
          <w:i/>
          <w:iCs/>
        </w:rPr>
        <w:t>Coursepack</w:t>
      </w:r>
      <w:proofErr w:type="spellEnd"/>
      <w:r>
        <w:rPr>
          <w:i/>
          <w:iCs/>
        </w:rPr>
        <w:t xml:space="preserve"> </w:t>
      </w:r>
      <w:r>
        <w:t xml:space="preserve">provides direction on writing socially responsible, academic prose. The </w:t>
      </w:r>
      <w:r w:rsidR="007657B0">
        <w:t>first</w:t>
      </w:r>
      <w:r>
        <w:t xml:space="preserve"> chapter describes the basic components of an academic essay, while the next chapters elaborate on several crucial components of an academic essay, such as plagiarism, vocabulary, abbreviations, and expressions. </w:t>
      </w:r>
    </w:p>
    <w:p w14:paraId="1349C028" w14:textId="77777777" w:rsidR="005D4B0C" w:rsidRDefault="005D4B0C">
      <w:pPr>
        <w:pStyle w:val="RPNormal"/>
        <w:rPr>
          <w:i/>
          <w:iCs/>
        </w:rPr>
      </w:pPr>
    </w:p>
    <w:p w14:paraId="0DFD02EE" w14:textId="1C351548" w:rsidR="00FA77C3" w:rsidRDefault="00FA77C3" w:rsidP="00FA77C3">
      <w:pPr>
        <w:pStyle w:val="RPTitle"/>
        <w:spacing w:before="0"/>
      </w:pPr>
      <w:r>
        <w:t>REFERENCES</w:t>
      </w:r>
    </w:p>
    <w:p w14:paraId="1349C02C" w14:textId="73A95F27" w:rsidR="005D4B0C" w:rsidRDefault="004364FE" w:rsidP="004364FE">
      <w:pPr>
        <w:pStyle w:val="RPReferences"/>
        <w:jc w:val="both"/>
      </w:pPr>
      <w:r>
        <w:t>Cleenewerck, Laurent</w:t>
      </w:r>
      <w:r>
        <w:t xml:space="preserve"> and Kabiru Gulma. 2024. </w:t>
      </w:r>
      <w:r w:rsidRPr="004364FE">
        <w:rPr>
          <w:i/>
          <w:iCs/>
        </w:rPr>
        <w:t xml:space="preserve">ACA-401/ACA-401D </w:t>
      </w:r>
      <w:proofErr w:type="spellStart"/>
      <w:r w:rsidRPr="004364FE">
        <w:rPr>
          <w:i/>
          <w:iCs/>
        </w:rPr>
        <w:t>Coursepack</w:t>
      </w:r>
      <w:proofErr w:type="spellEnd"/>
      <w:r w:rsidRPr="004364FE">
        <w:rPr>
          <w:i/>
          <w:iCs/>
        </w:rPr>
        <w:t>: Period 1</w:t>
      </w:r>
      <w:r w:rsidR="00DB1F8E">
        <w:t>.</w:t>
      </w:r>
      <w:r>
        <w:t xml:space="preserve"> Fifth Edition. Washington, D.C.: Euclid University Press.</w:t>
      </w:r>
    </w:p>
    <w:p w14:paraId="1349C02D" w14:textId="77777777" w:rsidR="005D4B0C" w:rsidRDefault="004364FE" w:rsidP="004364FE">
      <w:pPr>
        <w:pStyle w:val="RPReferences"/>
        <w:jc w:val="both"/>
      </w:pPr>
      <w:r>
        <w:t xml:space="preserve">Nguyen, Andy, Yvonne Hong, Belle Dang, and </w:t>
      </w:r>
      <w:proofErr w:type="spellStart"/>
      <w:r>
        <w:t>Xiaoshan</w:t>
      </w:r>
      <w:proofErr w:type="spellEnd"/>
      <w:r>
        <w:t xml:space="preserve"> Huang. 2024. "Human-AI Collaboration Patterns in AI-Assisted Academic Writing." </w:t>
      </w:r>
      <w:r w:rsidRPr="004364FE">
        <w:rPr>
          <w:i/>
          <w:iCs/>
        </w:rPr>
        <w:t>Studies in Higher Education</w:t>
      </w:r>
      <w:r>
        <w:t xml:space="preserve"> 1-18.</w:t>
      </w:r>
    </w:p>
    <w:p/>
    <w:p>
      <w:r>
        <w:t>Cleenewerck, Laurent and Kabiru Abubakar Gulma. 2025. ACA-401/ACA-401D Course Pack: Period 1. 6th ed. Washington, D.C.: Euclid University Press. https://doi.org/10.5281/zenodo.15245536.</w:t>
      </w:r>
    </w:p>
    <w:sectPr w:rsidR="005D4B0C">
      <w:head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9C036" w14:textId="77777777" w:rsidR="004364FE" w:rsidRDefault="004364FE">
      <w:r>
        <w:separator/>
      </w:r>
    </w:p>
  </w:endnote>
  <w:endnote w:type="continuationSeparator" w:id="0">
    <w:p w14:paraId="1349C038" w14:textId="77777777" w:rsidR="004364FE" w:rsidRDefault="0043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9C032" w14:textId="77777777" w:rsidR="004364FE" w:rsidRDefault="004364FE">
      <w:r>
        <w:separator/>
      </w:r>
    </w:p>
  </w:footnote>
  <w:footnote w:type="continuationSeparator" w:id="0">
    <w:p w14:paraId="1349C034" w14:textId="77777777" w:rsidR="004364FE" w:rsidRDefault="0043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9C030" w14:textId="68175644" w:rsidR="005D4B0C" w:rsidRDefault="004364FE">
    <w:pPr>
      <w:pStyle w:val="Body"/>
      <w:tabs>
        <w:tab w:val="center" w:pos="4320"/>
        <w:tab w:val="right" w:pos="8620"/>
      </w:tabs>
      <w:spacing w:after="0" w:line="240" w:lineRule="auto"/>
      <w:ind w:firstLine="0"/>
    </w:pPr>
    <w:r>
      <w:rPr>
        <w:noProof/>
      </w:rPr>
      <mc:AlternateContent>
        <mc:Choice Requires="wps">
          <w:drawing>
            <wp:anchor distT="152400" distB="152400" distL="152400" distR="152400" simplePos="0" relativeHeight="251657216" behindDoc="1" locked="0" layoutInCell="1" allowOverlap="1" wp14:anchorId="1349C032" wp14:editId="1349C033">
              <wp:simplePos x="0" y="0"/>
              <wp:positionH relativeFrom="page">
                <wp:posOffset>1141730</wp:posOffset>
              </wp:positionH>
              <wp:positionV relativeFrom="page">
                <wp:posOffset>652779</wp:posOffset>
              </wp:positionV>
              <wp:extent cx="5492750" cy="0"/>
              <wp:effectExtent l="0" t="0" r="0" b="0"/>
              <wp:wrapNone/>
              <wp:docPr id="1073741825" name="officeArt object" descr="Straight Connector 3"/>
              <wp:cNvGraphicFramePr/>
              <a:graphic xmlns:a="http://schemas.openxmlformats.org/drawingml/2006/main">
                <a:graphicData uri="http://schemas.microsoft.com/office/word/2010/wordprocessingShape">
                  <wps:wsp>
                    <wps:cNvCnPr/>
                    <wps:spPr>
                      <a:xfrm>
                        <a:off x="0" y="0"/>
                        <a:ext cx="5492750" cy="0"/>
                      </a:xfrm>
                      <a:prstGeom prst="line">
                        <a:avLst/>
                      </a:prstGeom>
                      <a:noFill/>
                      <a:ln w="12700" cap="flat">
                        <a:solidFill>
                          <a:srgbClr val="203864"/>
                        </a:solidFill>
                        <a:prstDash val="solid"/>
                        <a:miter lim="800000"/>
                      </a:ln>
                      <a:effectLst/>
                    </wps:spPr>
                    <wps:bodyPr/>
                  </wps:wsp>
                </a:graphicData>
              </a:graphic>
            </wp:anchor>
          </w:drawing>
        </mc:Choice>
        <mc:Fallback>
          <w:pict>
            <v:line w14:anchorId="6D1FA838" id="officeArt object" o:spid="_x0000_s1026" alt="Straight Connector 3" style="position:absolute;z-index:-251659264;visibility:visible;mso-wrap-style:square;mso-wrap-distance-left:12pt;mso-wrap-distance-top:12pt;mso-wrap-distance-right:12pt;mso-wrap-distance-bottom:12pt;mso-position-horizontal:absolute;mso-position-horizontal-relative:page;mso-position-vertical:absolute;mso-position-vertical-relative:page" from="89.9pt,51.4pt" to="522.4pt,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" strokecolor="#203864" strokeweight="1pt">
              <v:stroke joinstyle="miter"/>
              <w10:wrap anchorx="page" anchory="page"/>
            </v:line>
          </w:pict>
        </mc:Fallback>
      </mc:AlternateContent>
    </w:r>
    <w:r>
      <w:rPr>
        <w:noProof/>
      </w:rPr>
      <mc:AlternateContent>
        <mc:Choice Requires="wps">
          <w:drawing>
            <wp:anchor distT="152400" distB="152400" distL="152400" distR="152400" simplePos="0" relativeHeight="251719680" behindDoc="1" locked="0" layoutInCell="1" allowOverlap="1" wp14:anchorId="1349C034" wp14:editId="1349C035">
              <wp:simplePos x="0" y="0"/>
              <wp:positionH relativeFrom="page">
                <wp:posOffset>-45719</wp:posOffset>
              </wp:positionH>
              <wp:positionV relativeFrom="page">
                <wp:posOffset>-7620</wp:posOffset>
              </wp:positionV>
              <wp:extent cx="480060" cy="10066021"/>
              <wp:effectExtent l="0" t="0" r="0" b="0"/>
              <wp:wrapNone/>
              <wp:docPr id="1073741826" name="officeArt object" descr="Rectangle 2"/>
              <wp:cNvGraphicFramePr/>
              <a:graphic xmlns:a="http://schemas.openxmlformats.org/drawingml/2006/main">
                <a:graphicData uri="http://schemas.microsoft.com/office/word/2010/wordprocessingShape">
                  <wps:wsp>
                    <wps:cNvSpPr/>
                    <wps:spPr>
                      <a:xfrm>
                        <a:off x="0" y="0"/>
                        <a:ext cx="480060" cy="10066021"/>
                      </a:xfrm>
                      <a:prstGeom prst="rect">
                        <a:avLst/>
                      </a:prstGeom>
                      <a:solidFill>
                        <a:schemeClr val="accent1"/>
                      </a:solidFill>
                      <a:ln w="12700" cap="flat">
                        <a:solidFill>
                          <a:srgbClr val="32538F"/>
                        </a:solidFill>
                        <a:prstDash val="solid"/>
                        <a:miter lim="800000"/>
                      </a:ln>
                      <a:effectLst/>
                    </wps:spPr>
                    <wps:bodyPr/>
                  </wps:wsp>
                </a:graphicData>
              </a:graphic>
            </wp:anchor>
          </w:drawing>
        </mc:Choice>
        <mc:Fallback>
          <w:pict>
            <v:rect w14:anchorId="3DB71B01" id="officeArt object" o:spid="_x0000_s1026" alt="Rectangle 2" style="position:absolute;margin-left:-3.6pt;margin-top:-.6pt;width:37.8pt;height:792.6pt;z-index:-2515968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" fillcolor="#4472c4 [3204]" strokecolor="#32538f" strokeweight="1pt">
              <w10:wrap anchorx="page" anchory="page"/>
            </v:rect>
          </w:pict>
        </mc:Fallback>
      </mc:AlternateContent>
    </w:r>
    <w:r>
      <w:rPr>
        <w:rFonts w:ascii="Arial" w:hAnsi="Arial"/>
        <w:b/>
        <w:bCs/>
        <w:caps/>
        <w:color w:val="808080"/>
        <w:sz w:val="18"/>
        <w:szCs w:val="18"/>
        <w:u w:color="808080"/>
      </w:rPr>
      <w:t>VASILIU-FELTES</w:t>
    </w:r>
    <w:r>
      <w:rPr>
        <w:rFonts w:ascii="Arial" w:eastAsia="Arial" w:hAnsi="Arial" w:cs="Arial"/>
        <w:b/>
        <w:bCs/>
        <w:sz w:val="18"/>
        <w:szCs w:val="18"/>
      </w:rPr>
      <w:tab/>
    </w:r>
    <w:r w:rsidR="00202BCE">
      <w:rPr>
        <w:rFonts w:ascii="Arial" w:eastAsia="Arial" w:hAnsi="Arial" w:cs="Arial"/>
        <w:b/>
        <w:bCs/>
        <w:sz w:val="18"/>
        <w:szCs w:val="18"/>
      </w:rPr>
      <w:t>ACA-401D PERIOD 1</w:t>
    </w:r>
    <w:r>
      <w:rPr>
        <w:rFonts w:ascii="Arial" w:eastAsia="Arial" w:hAnsi="Arial" w:cs="Arial"/>
        <w:b/>
        <w:bCs/>
        <w:sz w:val="18"/>
        <w:szCs w:val="18"/>
      </w:rPr>
      <w:tab/>
    </w:r>
    <w:r>
      <w:rPr>
        <w:rFonts w:ascii="Arial" w:hAnsi="Arial"/>
        <w:b/>
        <w:bCs/>
        <w:caps/>
        <w:sz w:val="18"/>
        <w:szCs w:val="18"/>
        <w:lang w:val="da-DK"/>
      </w:rPr>
      <w:t xml:space="preserve">Page </w:t>
    </w:r>
    <w:r>
      <w:rPr>
        <w:rFonts w:ascii="Arial" w:eastAsia="Arial" w:hAnsi="Arial" w:cs="Arial"/>
        <w:b/>
        <w:bCs/>
        <w:caps/>
        <w:sz w:val="18"/>
        <w:szCs w:val="18"/>
      </w:rPr>
      <w:fldChar w:fldCharType="begin"/>
    </w:r>
    <w:r>
      <w:rPr>
        <w:rFonts w:ascii="Arial" w:eastAsia="Arial" w:hAnsi="Arial" w:cs="Arial"/>
        <w:b/>
        <w:bCs/>
        <w:caps/>
        <w:sz w:val="18"/>
        <w:szCs w:val="18"/>
      </w:rPr>
      <w:instrText xml:space="preserve"> PAGE </w:instrText>
    </w:r>
    <w:r>
      <w:rPr>
        <w:rFonts w:ascii="Arial" w:eastAsia="Arial" w:hAnsi="Arial" w:cs="Arial"/>
        <w:b/>
        <w:bCs/>
        <w:caps/>
        <w:sz w:val="18"/>
        <w:szCs w:val="18"/>
      </w:rPr>
      <w:fldChar w:fldCharType="separate"/>
    </w:r>
    <w:r>
      <w:rPr>
        <w:rFonts w:ascii="Arial" w:eastAsia="Arial" w:hAnsi="Arial" w:cs="Arial"/>
        <w:b/>
        <w:bCs/>
        <w:caps/>
        <w:sz w:val="18"/>
        <w:szCs w:val="18"/>
      </w:rPr>
      <w:t>4</w:t>
    </w:r>
    <w:r>
      <w:rPr>
        <w:rFonts w:ascii="Arial" w:eastAsia="Arial" w:hAnsi="Arial" w:cs="Arial"/>
        <w:b/>
        <w:bCs/>
        <w:caps/>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7213B"/>
    <w:multiLevelType w:val="hybridMultilevel"/>
    <w:tmpl w:val="3D10FB1E"/>
    <w:lvl w:ilvl="0" w:tplc="44585C6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FA027C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50AF814">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DE817D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ED2638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28CF19E">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D3C021D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514C6C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2C203A">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9113960"/>
    <w:multiLevelType w:val="hybridMultilevel"/>
    <w:tmpl w:val="AC607C58"/>
    <w:styleLink w:val="ImportedStyle2"/>
    <w:lvl w:ilvl="0" w:tplc="D042F4DE">
      <w:start w:val="1"/>
      <w:numFmt w:val="lowerLetter"/>
      <w:lvlText w:val="%1)"/>
      <w:lvlJc w:val="left"/>
      <w:pPr>
        <w:ind w:left="90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98069228">
      <w:start w:val="1"/>
      <w:numFmt w:val="lowerLetter"/>
      <w:lvlText w:val="%2."/>
      <w:lvlJc w:val="left"/>
      <w:pPr>
        <w:ind w:left="162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6C58FE3E">
      <w:start w:val="1"/>
      <w:numFmt w:val="lowerRoman"/>
      <w:lvlText w:val="%3)"/>
      <w:lvlJc w:val="left"/>
      <w:pPr>
        <w:ind w:left="2347" w:hanging="527"/>
      </w:pPr>
      <w:rPr>
        <w:rFonts w:hAnsi="Arial Unicode MS"/>
        <w:b/>
        <w:bCs/>
        <w:caps w:val="0"/>
        <w:smallCaps w:val="0"/>
        <w:strike w:val="0"/>
        <w:dstrike w:val="0"/>
        <w:outline w:val="0"/>
        <w:emboss w:val="0"/>
        <w:imprint w:val="0"/>
        <w:color w:val="000000"/>
        <w:spacing w:val="0"/>
        <w:w w:val="100"/>
        <w:kern w:val="0"/>
        <w:position w:val="0"/>
        <w:sz w:val="28"/>
        <w:szCs w:val="28"/>
        <w:highlight w:val="none"/>
        <w:vertAlign w:val="baseline"/>
      </w:rPr>
    </w:lvl>
    <w:lvl w:ilvl="3" w:tplc="55C24472">
      <w:start w:val="1"/>
      <w:numFmt w:val="decimal"/>
      <w:lvlText w:val="%4."/>
      <w:lvlJc w:val="left"/>
      <w:pPr>
        <w:ind w:left="306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4658ECBC">
      <w:start w:val="1"/>
      <w:numFmt w:val="lowerLetter"/>
      <w:lvlText w:val="%5."/>
      <w:lvlJc w:val="left"/>
      <w:pPr>
        <w:ind w:left="378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A934C7A8">
      <w:start w:val="1"/>
      <w:numFmt w:val="lowerRoman"/>
      <w:lvlText w:val="%6."/>
      <w:lvlJc w:val="left"/>
      <w:pPr>
        <w:ind w:left="4507" w:hanging="52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FD4C0268">
      <w:start w:val="1"/>
      <w:numFmt w:val="decimal"/>
      <w:lvlText w:val="%7."/>
      <w:lvlJc w:val="left"/>
      <w:pPr>
        <w:ind w:left="522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A1188D9A">
      <w:start w:val="1"/>
      <w:numFmt w:val="lowerLetter"/>
      <w:lvlText w:val="%8."/>
      <w:lvlJc w:val="left"/>
      <w:pPr>
        <w:ind w:left="594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E2461B00">
      <w:start w:val="1"/>
      <w:numFmt w:val="lowerRoman"/>
      <w:lvlText w:val="%9."/>
      <w:lvlJc w:val="left"/>
      <w:pPr>
        <w:ind w:left="6667" w:hanging="52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49B736E9"/>
    <w:multiLevelType w:val="hybridMultilevel"/>
    <w:tmpl w:val="4A586304"/>
    <w:numStyleLink w:val="ImportedStyle1"/>
  </w:abstractNum>
  <w:abstractNum w:abstractNumId="3" w15:restartNumberingAfterBreak="0">
    <w:nsid w:val="653C0BF0"/>
    <w:multiLevelType w:val="hybridMultilevel"/>
    <w:tmpl w:val="4A586304"/>
    <w:styleLink w:val="ImportedStyle1"/>
    <w:lvl w:ilvl="0" w:tplc="F6B29300">
      <w:start w:val="1"/>
      <w:numFmt w:val="decimal"/>
      <w:lvlText w:val="%1)"/>
      <w:lvlJc w:val="left"/>
      <w:pPr>
        <w:ind w:left="54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01324D78">
      <w:start w:val="1"/>
      <w:numFmt w:val="lowerLetter"/>
      <w:lvlText w:val="%2)"/>
      <w:lvlJc w:val="left"/>
      <w:pPr>
        <w:ind w:left="117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55643A5C">
      <w:start w:val="1"/>
      <w:numFmt w:val="lowerRoman"/>
      <w:lvlText w:val="%3)"/>
      <w:lvlJc w:val="left"/>
      <w:pPr>
        <w:ind w:left="126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48929974">
      <w:start w:val="1"/>
      <w:numFmt w:val="decimal"/>
      <w:lvlText w:val="(%4)"/>
      <w:lvlJc w:val="left"/>
      <w:pPr>
        <w:ind w:left="162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A2AAE24E">
      <w:start w:val="1"/>
      <w:numFmt w:val="lowerLetter"/>
      <w:lvlText w:val="(%5)"/>
      <w:lvlJc w:val="left"/>
      <w:pPr>
        <w:ind w:left="198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71B0C558">
      <w:start w:val="1"/>
      <w:numFmt w:val="lowerRoman"/>
      <w:lvlText w:val="(%6)"/>
      <w:lvlJc w:val="left"/>
      <w:pPr>
        <w:ind w:left="234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5BD2E3D2">
      <w:start w:val="1"/>
      <w:numFmt w:val="decimal"/>
      <w:lvlText w:val="%7."/>
      <w:lvlJc w:val="left"/>
      <w:pPr>
        <w:ind w:left="270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6D54919E">
      <w:start w:val="1"/>
      <w:numFmt w:val="lowerLetter"/>
      <w:lvlText w:val="%8."/>
      <w:lvlJc w:val="left"/>
      <w:pPr>
        <w:ind w:left="306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DFC073CC">
      <w:start w:val="1"/>
      <w:numFmt w:val="lowerRoman"/>
      <w:lvlText w:val="%9."/>
      <w:lvlJc w:val="left"/>
      <w:pPr>
        <w:ind w:left="3427" w:hanging="54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71713DCD"/>
    <w:multiLevelType w:val="hybridMultilevel"/>
    <w:tmpl w:val="AC607C58"/>
    <w:numStyleLink w:val="ImportedStyle2"/>
  </w:abstractNum>
  <w:num w:numId="1" w16cid:durableId="1552887937">
    <w:abstractNumId w:val="0"/>
  </w:num>
  <w:num w:numId="2" w16cid:durableId="1474325549">
    <w:abstractNumId w:val="3"/>
  </w:num>
  <w:num w:numId="3" w16cid:durableId="409691465">
    <w:abstractNumId w:val="2"/>
  </w:num>
  <w:num w:numId="4" w16cid:durableId="327440324">
    <w:abstractNumId w:val="1"/>
  </w:num>
  <w:num w:numId="5" w16cid:durableId="11066580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IwNTczMDQwNTWwNDVR0lEKTi0uzszPAykwrAUAOPlkICwAAAA="/>
  </w:docVars>
  <w:rsids>
    <w:rsidRoot w:val="005D4B0C"/>
    <w:rsid w:val="00202BCE"/>
    <w:rsid w:val="002162C8"/>
    <w:rsid w:val="00285B3F"/>
    <w:rsid w:val="003C14E1"/>
    <w:rsid w:val="004364FE"/>
    <w:rsid w:val="00462EFB"/>
    <w:rsid w:val="005D4B0C"/>
    <w:rsid w:val="00735D04"/>
    <w:rsid w:val="007657B0"/>
    <w:rsid w:val="00B37B40"/>
    <w:rsid w:val="00DB1F8E"/>
    <w:rsid w:val="00E927D6"/>
    <w:rsid w:val="00FA7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9BFFE"/>
  <w15:docId w15:val="{79D322C6-9136-432C-9FC4-0146C261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spacing w:after="120" w:line="480" w:lineRule="auto"/>
      <w:ind w:firstLine="432"/>
      <w:jc w:val="both"/>
    </w:pPr>
    <w:rPr>
      <w:rFonts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RPTitle">
    <w:name w:val="RP Title"/>
    <w:pPr>
      <w:pBdr>
        <w:bottom w:val="single" w:sz="8" w:space="0" w:color="2F5496"/>
      </w:pBdr>
      <w:spacing w:before="400" w:after="400"/>
      <w:jc w:val="center"/>
    </w:pPr>
    <w:rPr>
      <w:rFonts w:ascii="Cambria" w:eastAsia="Cambria" w:hAnsi="Cambria" w:cs="Cambria"/>
      <w:b/>
      <w:bCs/>
      <w:caps/>
      <w:color w:val="000000"/>
      <w:spacing w:val="-5"/>
      <w:sz w:val="40"/>
      <w:szCs w:val="40"/>
      <w:u w:color="000000"/>
    </w:rPr>
  </w:style>
  <w:style w:type="paragraph" w:customStyle="1" w:styleId="RPHead1">
    <w:name w:val="RP Head1"/>
    <w:pPr>
      <w:keepNext/>
      <w:keepLines/>
      <w:spacing w:before="360" w:after="360"/>
      <w:outlineLvl w:val="0"/>
    </w:pPr>
    <w:rPr>
      <w:rFonts w:ascii="Cambria" w:eastAsia="Cambria" w:hAnsi="Cambria" w:cs="Cambria"/>
      <w:b/>
      <w:bCs/>
      <w:caps/>
      <w:color w:val="000000"/>
      <w:spacing w:val="-5"/>
      <w:sz w:val="36"/>
      <w:szCs w:val="36"/>
      <w:u w:val="single" w:color="000000"/>
    </w:rPr>
  </w:style>
  <w:style w:type="numbering" w:customStyle="1" w:styleId="ImportedStyle1">
    <w:name w:val="Imported Style 1"/>
    <w:pPr>
      <w:numPr>
        <w:numId w:val="2"/>
      </w:numPr>
    </w:pPr>
  </w:style>
  <w:style w:type="paragraph" w:customStyle="1" w:styleId="RPNormal">
    <w:name w:val="RP Normal"/>
    <w:pPr>
      <w:spacing w:after="240"/>
      <w:ind w:firstLine="720"/>
      <w:jc w:val="both"/>
    </w:pPr>
    <w:rPr>
      <w:rFonts w:cs="Arial Unicode MS"/>
      <w:color w:val="000000"/>
      <w:sz w:val="24"/>
      <w:szCs w:val="24"/>
      <w:u w:color="000000"/>
    </w:rPr>
  </w:style>
  <w:style w:type="paragraph" w:customStyle="1" w:styleId="RPHead2">
    <w:name w:val="RP Head2"/>
    <w:pPr>
      <w:keepNext/>
      <w:keepLines/>
      <w:spacing w:before="320" w:after="320"/>
      <w:outlineLvl w:val="1"/>
    </w:pPr>
    <w:rPr>
      <w:rFonts w:ascii="Cambria" w:eastAsia="Cambria" w:hAnsi="Cambria" w:cs="Cambria"/>
      <w:b/>
      <w:bCs/>
      <w:color w:val="000000"/>
      <w:spacing w:val="-5"/>
      <w:sz w:val="32"/>
      <w:szCs w:val="32"/>
      <w:u w:color="000000"/>
    </w:rPr>
  </w:style>
  <w:style w:type="numbering" w:customStyle="1" w:styleId="ImportedStyle2">
    <w:name w:val="Imported Style 2"/>
    <w:pPr>
      <w:numPr>
        <w:numId w:val="4"/>
      </w:numPr>
    </w:pPr>
  </w:style>
  <w:style w:type="paragraph" w:customStyle="1" w:styleId="RPReferences">
    <w:name w:val="RP References"/>
    <w:pPr>
      <w:spacing w:after="240"/>
      <w:ind w:left="720" w:hanging="720"/>
    </w:pPr>
    <w:rPr>
      <w:rFonts w:cs="Arial Unicode MS"/>
      <w:color w:val="000000"/>
      <w:sz w:val="24"/>
      <w:szCs w:val="24"/>
      <w:u w:color="000000"/>
    </w:rPr>
  </w:style>
  <w:style w:type="paragraph" w:styleId="Header">
    <w:name w:val="header"/>
    <w:basedOn w:val="Normal"/>
    <w:link w:val="HeaderChar"/>
    <w:uiPriority w:val="99"/>
    <w:unhideWhenUsed/>
    <w:rsid w:val="00202BCE"/>
    <w:pPr>
      <w:tabs>
        <w:tab w:val="center" w:pos="4680"/>
        <w:tab w:val="right" w:pos="9360"/>
      </w:tabs>
    </w:pPr>
  </w:style>
  <w:style w:type="character" w:customStyle="1" w:styleId="HeaderChar">
    <w:name w:val="Header Char"/>
    <w:basedOn w:val="DefaultParagraphFont"/>
    <w:link w:val="Header"/>
    <w:uiPriority w:val="99"/>
    <w:rsid w:val="00202BCE"/>
    <w:rPr>
      <w:sz w:val="24"/>
      <w:szCs w:val="24"/>
    </w:rPr>
  </w:style>
  <w:style w:type="paragraph" w:styleId="Footer">
    <w:name w:val="footer"/>
    <w:basedOn w:val="Normal"/>
    <w:link w:val="FooterChar"/>
    <w:uiPriority w:val="99"/>
    <w:unhideWhenUsed/>
    <w:rsid w:val="00202BCE"/>
    <w:pPr>
      <w:tabs>
        <w:tab w:val="center" w:pos="4680"/>
        <w:tab w:val="right" w:pos="9360"/>
      </w:tabs>
    </w:pPr>
  </w:style>
  <w:style w:type="character" w:customStyle="1" w:styleId="FooterChar">
    <w:name w:val="Footer Char"/>
    <w:basedOn w:val="DefaultParagraphFont"/>
    <w:link w:val="Footer"/>
    <w:uiPriority w:val="99"/>
    <w:rsid w:val="00202BCE"/>
    <w:rPr>
      <w:sz w:val="24"/>
      <w:szCs w:val="24"/>
    </w:rPr>
  </w:style>
  <w:style w:type="paragraph" w:styleId="Revision">
    <w:name w:val="Revision"/>
    <w:hidden/>
    <w:uiPriority w:val="99"/>
    <w:semiHidden/>
    <w:rsid w:val="00202BC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E927D6"/>
    <w:rPr>
      <w:sz w:val="16"/>
      <w:szCs w:val="16"/>
    </w:rPr>
  </w:style>
  <w:style w:type="paragraph" w:styleId="CommentText">
    <w:name w:val="annotation text"/>
    <w:basedOn w:val="Normal"/>
    <w:link w:val="CommentTextChar"/>
    <w:uiPriority w:val="99"/>
    <w:unhideWhenUsed/>
    <w:rsid w:val="00E927D6"/>
    <w:rPr>
      <w:sz w:val="20"/>
      <w:szCs w:val="20"/>
    </w:rPr>
  </w:style>
  <w:style w:type="character" w:customStyle="1" w:styleId="CommentTextChar">
    <w:name w:val="Comment Text Char"/>
    <w:basedOn w:val="DefaultParagraphFont"/>
    <w:link w:val="CommentText"/>
    <w:uiPriority w:val="99"/>
    <w:rsid w:val="00E927D6"/>
  </w:style>
  <w:style w:type="paragraph" w:styleId="CommentSubject">
    <w:name w:val="annotation subject"/>
    <w:basedOn w:val="CommentText"/>
    <w:next w:val="CommentText"/>
    <w:link w:val="CommentSubjectChar"/>
    <w:uiPriority w:val="99"/>
    <w:semiHidden/>
    <w:unhideWhenUsed/>
    <w:rsid w:val="00E927D6"/>
    <w:rPr>
      <w:b/>
      <w:bCs/>
    </w:rPr>
  </w:style>
  <w:style w:type="character" w:customStyle="1" w:styleId="CommentSubjectChar">
    <w:name w:val="Comment Subject Char"/>
    <w:basedOn w:val="CommentTextChar"/>
    <w:link w:val="CommentSubject"/>
    <w:uiPriority w:val="99"/>
    <w:semiHidden/>
    <w:rsid w:val="00E927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999</Words>
  <Characters>5640</Characters>
  <Application>Microsoft Office Word</Application>
  <DocSecurity>0</DocSecurity>
  <Lines>106</Lines>
  <Paragraphs>44</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 Kabiru Gulma</cp:lastModifiedBy>
  <cp:revision>3</cp:revision>
  <dcterms:created xsi:type="dcterms:W3CDTF">2024-10-08T10:49:00Z</dcterms:created>
  <dcterms:modified xsi:type="dcterms:W3CDTF">2024-10-08T10:49:00Z</dcterms:modified>
</cp:coreProperties>
</file>