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8417D4" w14:textId="77777777" w:rsidR="00F62C8B" w:rsidRPr="00F338AB" w:rsidRDefault="000F3A41" w:rsidP="004C531E">
      <w:pPr>
        <w:pStyle w:val="RSCM01ReceivedAccepted"/>
        <w:rPr>
          <w:noProof w:val="0"/>
        </w:rPr>
      </w:pPr>
      <w:r w:rsidRPr="00F338AB">
        <mc:AlternateContent>
          <mc:Choice Requires="wps">
            <w:drawing>
              <wp:anchor distT="180340" distB="0" distL="114300" distR="114300" simplePos="0" relativeHeight="251653120" behindDoc="1" locked="1" layoutInCell="0" allowOverlap="0" wp14:anchorId="5B54B28E" wp14:editId="5B52E845">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38C41621" w14:textId="46C901D4" w:rsidR="00126027" w:rsidRPr="00794F5B" w:rsidRDefault="0063361B" w:rsidP="00422897">
                            <w:pPr>
                              <w:pStyle w:val="RSCF01FootnoteAuthorAddress"/>
                              <w:pBdr>
                                <w:top w:val="single" w:sz="12" w:space="0" w:color="A6A6A6" w:themeColor="background1" w:themeShade="A6"/>
                              </w:pBdr>
                              <w:jc w:val="both"/>
                            </w:pPr>
                            <w:r w:rsidRPr="00794F5B">
                              <w:t>Department of Inorganic Chemistry. University of Granada and “Unidad de Excelencia en Química (UEQ)”, Avda. Fuente Nueva s/n, 18071, Granada, Spain</w:t>
                            </w:r>
                            <w:r w:rsidR="008C682F" w:rsidRPr="00794F5B">
                              <w:t>.</w:t>
                            </w:r>
                          </w:p>
                          <w:p w14:paraId="5591C28F" w14:textId="1BCC62E6" w:rsidR="00126027" w:rsidRPr="00794F5B" w:rsidRDefault="0063361B" w:rsidP="00422897">
                            <w:pPr>
                              <w:pStyle w:val="RSCF01FootnoteAuthorAddress"/>
                              <w:pBdr>
                                <w:top w:val="single" w:sz="12" w:space="0" w:color="A6A6A6" w:themeColor="background1" w:themeShade="A6"/>
                              </w:pBdr>
                              <w:jc w:val="both"/>
                            </w:pPr>
                            <w:r w:rsidRPr="00794F5B">
                              <w:t>Department of Analytical and Inorganic Chemistry. University of Geneva. 30 quai Ernest Ansermet, CH-1211 Geneva 4, Switzerland.</w:t>
                            </w:r>
                          </w:p>
                          <w:p w14:paraId="53E1C83B" w14:textId="376B3F17" w:rsidR="000D6963" w:rsidRPr="00794F5B" w:rsidRDefault="0063361B" w:rsidP="00422897">
                            <w:pPr>
                              <w:pStyle w:val="RSCF01FootnoteAuthorAddress"/>
                              <w:pBdr>
                                <w:top w:val="single" w:sz="12" w:space="0" w:color="A6A6A6" w:themeColor="background1" w:themeShade="A6"/>
                              </w:pBdr>
                              <w:jc w:val="both"/>
                            </w:pPr>
                            <w:bookmarkStart w:id="0" w:name="_Hlk147333644"/>
                            <w:r w:rsidRPr="00794F5B">
                              <w:t>Department of Chemistry, University of Basel, St. Johanns-Ring 19, 4056, Basel, Switzerland</w:t>
                            </w:r>
                            <w:bookmarkEnd w:id="0"/>
                          </w:p>
                          <w:p w14:paraId="77AA2230" w14:textId="79F9D8CF" w:rsidR="0063361B" w:rsidRPr="00794F5B" w:rsidRDefault="0063361B" w:rsidP="00422897">
                            <w:pPr>
                              <w:pStyle w:val="RSCF01FootnoteAuthorAddress"/>
                              <w:pBdr>
                                <w:top w:val="single" w:sz="12" w:space="0" w:color="A6A6A6" w:themeColor="background1" w:themeShade="A6"/>
                              </w:pBdr>
                              <w:jc w:val="both"/>
                            </w:pPr>
                            <w:r w:rsidRPr="00794F5B">
                              <w:t>Department of Organic Chemistry. University of Granada and “Unidad de Excelencia en Química (UEQ)”, Avda. Fuente Nueva s/n, 18071, Granada, Spain.</w:t>
                            </w:r>
                          </w:p>
                          <w:p w14:paraId="17CB68EF" w14:textId="183AD6DC" w:rsidR="008C682F" w:rsidRPr="00E77A60" w:rsidRDefault="0063361B" w:rsidP="00241ACD">
                            <w:pPr>
                              <w:pStyle w:val="RSCF01FootnoteAuthorAddress"/>
                              <w:pBdr>
                                <w:top w:val="single" w:sz="12" w:space="0" w:color="A6A6A6" w:themeColor="background1" w:themeShade="A6"/>
                              </w:pBdr>
                              <w:jc w:val="both"/>
                              <w:rPr>
                                <w:lang w:val="fr-CH"/>
                              </w:rPr>
                            </w:pPr>
                            <w:r w:rsidRPr="00E77A60">
                              <w:rPr>
                                <w:lang w:val="fr-CH"/>
                              </w:rPr>
                              <w:t>Laboratoire de Chimie et de Biochimie Pharmacologiques et Toxicologiques, Université Paris Cité, CNRS, 45 rue des Saint-Pères  F-75006 Paris, France.</w:t>
                            </w:r>
                          </w:p>
                          <w:p w14:paraId="71856912" w14:textId="77777777" w:rsidR="00C405FD" w:rsidRPr="00794F5B" w:rsidRDefault="008C682F" w:rsidP="00241ACD">
                            <w:pPr>
                              <w:pStyle w:val="RSCF02FootnotestoTitleAuthors"/>
                            </w:pPr>
                            <w:r w:rsidRPr="00794F5B">
                              <w:t>Electronic Supplementary Information (ESI) available: [details of any supplementary information available should be included here]. See DOI: 10.1039/x0xx00000x</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0;margin-top:0;width:248.75pt;height:128.2pt;z-index:-251663360;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" o:allowincell="f" o:allowoverlap="f" stroked="f">
                <o:lock v:ext="edit" aspectratio="t"/>
                <v:textbox style="mso-fit-shape-to-text:t" inset="0,1mm,0,1mm">
                  <w:txbxContent>
                    <w:p w14:paraId="38C41621" w14:textId="46C901D4" w:rsidR="00126027" w:rsidRPr="00794F5B" w:rsidRDefault="0063361B" w:rsidP="00422897">
                      <w:pPr>
                        <w:pStyle w:val="RSCF01FootnoteAuthorAddress"/>
                        <w:pBdr>
                          <w:top w:val="single" w:sz="12" w:space="0" w:color="A6A6A6" w:themeColor="background1" w:themeShade="A6"/>
                        </w:pBdr>
                        <w:jc w:val="both"/>
                      </w:pPr>
                      <w:r w:rsidRPr="00794F5B">
                        <w:t>Department of Inorganic Chemistry. University of Granada and “Unidad de Excelencia en Química (UEQ)”, Avda. Fuente Nueva s/n, 18071, Granada, Spain</w:t>
                      </w:r>
                      <w:r w:rsidR="008C682F" w:rsidRPr="00794F5B">
                        <w:t>.</w:t>
                      </w:r>
                    </w:p>
                    <w:p w14:paraId="5591C28F" w14:textId="1BCC62E6" w:rsidR="00126027" w:rsidRPr="00794F5B" w:rsidRDefault="0063361B" w:rsidP="00422897">
                      <w:pPr>
                        <w:pStyle w:val="RSCF01FootnoteAuthorAddress"/>
                        <w:pBdr>
                          <w:top w:val="single" w:sz="12" w:space="0" w:color="A6A6A6" w:themeColor="background1" w:themeShade="A6"/>
                        </w:pBdr>
                        <w:jc w:val="both"/>
                      </w:pPr>
                      <w:r w:rsidRPr="00794F5B">
                        <w:t>Department of Analytical and Inorganic Chemistry. University of Geneva. 30 quai Ernest Ansermet, CH-1211 Geneva 4, Switzerland.</w:t>
                      </w:r>
                    </w:p>
                    <w:p w14:paraId="53E1C83B" w14:textId="376B3F17" w:rsidR="000D6963" w:rsidRPr="00794F5B" w:rsidRDefault="0063361B" w:rsidP="00422897">
                      <w:pPr>
                        <w:pStyle w:val="RSCF01FootnoteAuthorAddress"/>
                        <w:pBdr>
                          <w:top w:val="single" w:sz="12" w:space="0" w:color="A6A6A6" w:themeColor="background1" w:themeShade="A6"/>
                        </w:pBdr>
                        <w:jc w:val="both"/>
                      </w:pPr>
                      <w:bookmarkStart w:id="1" w:name="_Hlk147333644"/>
                      <w:r w:rsidRPr="00794F5B">
                        <w:t>Department of Chemistry, University of Basel, St. Johanns-Ring 19, 4056, Basel, Switzerland</w:t>
                      </w:r>
                      <w:bookmarkEnd w:id="1"/>
                    </w:p>
                    <w:p w14:paraId="77AA2230" w14:textId="79F9D8CF" w:rsidR="0063361B" w:rsidRPr="00794F5B" w:rsidRDefault="0063361B" w:rsidP="00422897">
                      <w:pPr>
                        <w:pStyle w:val="RSCF01FootnoteAuthorAddress"/>
                        <w:pBdr>
                          <w:top w:val="single" w:sz="12" w:space="0" w:color="A6A6A6" w:themeColor="background1" w:themeShade="A6"/>
                        </w:pBdr>
                        <w:jc w:val="both"/>
                      </w:pPr>
                      <w:r w:rsidRPr="00794F5B">
                        <w:t>Department of Organic Chemistry. University of Granada and “Unidad de Excelencia en Química (UEQ)”, Avda. Fuente Nueva s/n, 18071, Granada, Spain.</w:t>
                      </w:r>
                    </w:p>
                    <w:p w14:paraId="17CB68EF" w14:textId="183AD6DC" w:rsidR="008C682F" w:rsidRPr="00E77A60" w:rsidRDefault="0063361B" w:rsidP="00241ACD">
                      <w:pPr>
                        <w:pStyle w:val="RSCF01FootnoteAuthorAddress"/>
                        <w:pBdr>
                          <w:top w:val="single" w:sz="12" w:space="0" w:color="A6A6A6" w:themeColor="background1" w:themeShade="A6"/>
                        </w:pBdr>
                        <w:jc w:val="both"/>
                        <w:rPr>
                          <w:lang w:val="fr-CH"/>
                        </w:rPr>
                      </w:pPr>
                      <w:r w:rsidRPr="00E77A60">
                        <w:rPr>
                          <w:lang w:val="fr-CH"/>
                        </w:rPr>
                        <w:t>Laboratoire de Chimie et de Biochimie Pharmacologiques et Toxicologiques, Université Paris Cité, CNRS, 45 rue des Saint-Pères  F-75006 Paris, France.</w:t>
                      </w:r>
                    </w:p>
                    <w:p w14:paraId="71856912" w14:textId="77777777" w:rsidR="00C405FD" w:rsidRPr="00794F5B" w:rsidRDefault="008C682F" w:rsidP="00241ACD">
                      <w:pPr>
                        <w:pStyle w:val="RSCF02FootnotestoTitleAuthors"/>
                      </w:pPr>
                      <w:r w:rsidRPr="00794F5B">
                        <w:t>Electronic Supplementary Information (ESI) available: [details of any supplementary information available should be included here]. See DOI: 10.1039/x0xx00000x</w:t>
                      </w:r>
                    </w:p>
                  </w:txbxContent>
                </v:textbox>
                <w10:wrap type="topAndBottom" anchory="margin"/>
                <w10:anchorlock/>
              </v:shape>
            </w:pict>
          </mc:Fallback>
        </mc:AlternateContent>
      </w:r>
      <w:r w:rsidR="00F62C8B" w:rsidRPr="00F338AB">
        <w:rPr>
          <w:noProof w:val="0"/>
        </w:rPr>
        <w:t>Received 00th January 20</w:t>
      </w:r>
      <w:r w:rsidR="00F15F90" w:rsidRPr="00F338AB">
        <w:rPr>
          <w:noProof w:val="0"/>
        </w:rPr>
        <w:t>xx</w:t>
      </w:r>
      <w:r w:rsidR="00F62C8B" w:rsidRPr="00F338AB">
        <w:rPr>
          <w:noProof w:val="0"/>
        </w:rPr>
        <w:t>,</w:t>
      </w:r>
    </w:p>
    <w:p w14:paraId="5E930491" w14:textId="77777777" w:rsidR="00F62C8B" w:rsidRPr="00F338AB" w:rsidRDefault="00F62C8B" w:rsidP="004C531E">
      <w:pPr>
        <w:pStyle w:val="RSCM01ReceivedAccepted"/>
        <w:rPr>
          <w:noProof w:val="0"/>
        </w:rPr>
      </w:pPr>
      <w:r w:rsidRPr="00F338AB">
        <w:rPr>
          <w:noProof w:val="0"/>
        </w:rPr>
        <w:t>Accepted 00th January 20</w:t>
      </w:r>
      <w:r w:rsidR="00F15F90" w:rsidRPr="00F338AB">
        <w:rPr>
          <w:noProof w:val="0"/>
        </w:rPr>
        <w:t>xx</w:t>
      </w:r>
    </w:p>
    <w:p w14:paraId="492325BD" w14:textId="77777777" w:rsidR="00F62C8B" w:rsidRPr="00F338AB" w:rsidRDefault="00F62C8B" w:rsidP="004C531E">
      <w:pPr>
        <w:pStyle w:val="RSCM02DOI"/>
      </w:pPr>
      <w:r w:rsidRPr="00F338AB">
        <w:t>DOI: 10.1039/x0xx00000x</w:t>
      </w:r>
    </w:p>
    <w:p w14:paraId="646B8F30" w14:textId="6358663E" w:rsidR="00A9649E" w:rsidRPr="00F338AB" w:rsidRDefault="00A9649E" w:rsidP="004C531E">
      <w:pPr>
        <w:pStyle w:val="RSCM03Website"/>
      </w:pPr>
    </w:p>
    <w:p w14:paraId="51574338" w14:textId="77777777" w:rsidR="002B62B5" w:rsidRPr="00F338AB" w:rsidRDefault="002B62B5" w:rsidP="004C531E">
      <w:pPr>
        <w:pStyle w:val="RSCM03Website"/>
      </w:pPr>
    </w:p>
    <w:p w14:paraId="0D6101E0" w14:textId="6F18288E" w:rsidR="004414A5" w:rsidRPr="00F338AB" w:rsidRDefault="00F62C8B" w:rsidP="005273C0">
      <w:pPr>
        <w:pStyle w:val="RSCH01PaperTitle"/>
        <w:jc w:val="both"/>
      </w:pPr>
      <w:r w:rsidRPr="00F338AB">
        <w:br w:type="column"/>
      </w:r>
      <w:bookmarkStart w:id="2" w:name="_Hlk178928103"/>
      <w:r w:rsidR="005273C0" w:rsidRPr="00F338AB">
        <w:t>Modulating the</w:t>
      </w:r>
      <w:r w:rsidR="004B324C" w:rsidRPr="00F338AB">
        <w:t xml:space="preserve"> spin-flip</w:t>
      </w:r>
      <w:r w:rsidR="005273C0" w:rsidRPr="00F338AB">
        <w:t xml:space="preserve"> rate</w:t>
      </w:r>
      <w:r w:rsidR="004B324C" w:rsidRPr="00F338AB">
        <w:t>s</w:t>
      </w:r>
      <w:r w:rsidR="005273C0" w:rsidRPr="00F338AB">
        <w:t xml:space="preserve"> and emission </w:t>
      </w:r>
      <w:r w:rsidR="009F1C48" w:rsidRPr="00F338AB">
        <w:t xml:space="preserve">energies </w:t>
      </w:r>
      <w:r w:rsidR="005273C0" w:rsidRPr="00F338AB">
        <w:t xml:space="preserve">through ligand design in </w:t>
      </w:r>
      <w:proofErr w:type="gramStart"/>
      <w:r w:rsidR="00193320" w:rsidRPr="00F338AB">
        <w:t>chromium(</w:t>
      </w:r>
      <w:proofErr w:type="gramEnd"/>
      <w:r w:rsidR="00193320" w:rsidRPr="00F338AB">
        <w:t>III)</w:t>
      </w:r>
      <w:r w:rsidR="005273C0" w:rsidRPr="00F338AB">
        <w:t xml:space="preserve"> molecular rubies</w:t>
      </w:r>
      <w:bookmarkEnd w:id="2"/>
    </w:p>
    <w:p w14:paraId="0BEE2B22" w14:textId="39DB0FBE" w:rsidR="00B03A7F" w:rsidRPr="00F338AB" w:rsidRDefault="00B03A7F" w:rsidP="00FA2DA2">
      <w:pPr>
        <w:pStyle w:val="RSCB01ARTAbstract"/>
        <w:rPr>
          <w:rFonts w:cs="Times New Roman"/>
          <w:noProof w:val="0"/>
          <w:sz w:val="20"/>
          <w:lang w:val="es-ES"/>
        </w:rPr>
      </w:pPr>
      <w:bookmarkStart w:id="3" w:name="_Hlk178928118"/>
      <w:bookmarkStart w:id="4" w:name="_Hlk182206710"/>
      <w:proofErr w:type="spellStart"/>
      <w:r w:rsidRPr="00F338AB">
        <w:rPr>
          <w:rFonts w:cs="Times New Roman"/>
          <w:noProof w:val="0"/>
          <w:sz w:val="20"/>
          <w:lang w:val="es-ES"/>
        </w:rPr>
        <w:t>Yating</w:t>
      </w:r>
      <w:proofErr w:type="spellEnd"/>
      <w:r w:rsidRPr="00F338AB">
        <w:rPr>
          <w:rFonts w:cs="Times New Roman"/>
          <w:noProof w:val="0"/>
          <w:sz w:val="20"/>
          <w:lang w:val="es-ES"/>
        </w:rPr>
        <w:t xml:space="preserve"> </w:t>
      </w:r>
      <w:proofErr w:type="spellStart"/>
      <w:proofErr w:type="gramStart"/>
      <w:r w:rsidRPr="00F338AB">
        <w:rPr>
          <w:rFonts w:cs="Times New Roman"/>
          <w:noProof w:val="0"/>
          <w:sz w:val="20"/>
          <w:lang w:val="es-ES"/>
        </w:rPr>
        <w:t>Ye,</w:t>
      </w:r>
      <w:r w:rsidRPr="00F338AB">
        <w:rPr>
          <w:rFonts w:cs="Times New Roman"/>
          <w:noProof w:val="0"/>
          <w:sz w:val="20"/>
          <w:vertAlign w:val="superscript"/>
          <w:lang w:val="es-ES"/>
        </w:rPr>
        <w:t>a</w:t>
      </w:r>
      <w:proofErr w:type="spellEnd"/>
      <w:proofErr w:type="gramEnd"/>
      <w:r w:rsidRPr="00F338AB">
        <w:rPr>
          <w:rFonts w:cs="Times New Roman"/>
          <w:noProof w:val="0"/>
          <w:sz w:val="20"/>
          <w:lang w:val="es-ES"/>
        </w:rPr>
        <w:t xml:space="preserve"> Maxime </w:t>
      </w:r>
      <w:proofErr w:type="spellStart"/>
      <w:r w:rsidRPr="00F338AB">
        <w:rPr>
          <w:rFonts w:cs="Times New Roman"/>
          <w:noProof w:val="0"/>
          <w:sz w:val="20"/>
          <w:lang w:val="es-ES"/>
        </w:rPr>
        <w:t>Poncet,</w:t>
      </w:r>
      <w:r w:rsidRPr="00F338AB">
        <w:rPr>
          <w:rFonts w:cs="Times New Roman"/>
          <w:noProof w:val="0"/>
          <w:sz w:val="20"/>
          <w:vertAlign w:val="superscript"/>
          <w:lang w:val="es-ES"/>
        </w:rPr>
        <w:t>b</w:t>
      </w:r>
      <w:proofErr w:type="spellEnd"/>
      <w:r w:rsidRPr="00F338AB">
        <w:rPr>
          <w:rFonts w:cs="Times New Roman"/>
          <w:noProof w:val="0"/>
          <w:sz w:val="20"/>
          <w:lang w:val="es-ES"/>
        </w:rPr>
        <w:t xml:space="preserve"> </w:t>
      </w:r>
      <w:proofErr w:type="spellStart"/>
      <w:r w:rsidRPr="00F338AB">
        <w:rPr>
          <w:rFonts w:cs="Times New Roman"/>
          <w:noProof w:val="0"/>
          <w:sz w:val="20"/>
          <w:lang w:val="es-ES"/>
        </w:rPr>
        <w:t>Polina</w:t>
      </w:r>
      <w:proofErr w:type="spellEnd"/>
      <w:r w:rsidRPr="00F338AB">
        <w:rPr>
          <w:rFonts w:cs="Times New Roman"/>
          <w:noProof w:val="0"/>
          <w:sz w:val="20"/>
          <w:lang w:val="es-ES"/>
        </w:rPr>
        <w:t xml:space="preserve"> </w:t>
      </w:r>
      <w:proofErr w:type="spellStart"/>
      <w:r w:rsidRPr="00F338AB">
        <w:rPr>
          <w:rFonts w:cs="Times New Roman"/>
          <w:noProof w:val="0"/>
          <w:sz w:val="20"/>
          <w:lang w:val="es-ES"/>
        </w:rPr>
        <w:t>Yaltseva,</w:t>
      </w:r>
      <w:r w:rsidRPr="00F338AB">
        <w:rPr>
          <w:rFonts w:cs="Times New Roman"/>
          <w:noProof w:val="0"/>
          <w:sz w:val="20"/>
          <w:vertAlign w:val="superscript"/>
          <w:lang w:val="es-ES"/>
        </w:rPr>
        <w:t>c</w:t>
      </w:r>
      <w:proofErr w:type="spellEnd"/>
      <w:r w:rsidRPr="00F338AB">
        <w:rPr>
          <w:rFonts w:cs="Times New Roman"/>
          <w:noProof w:val="0"/>
          <w:sz w:val="20"/>
          <w:lang w:val="es-ES"/>
        </w:rPr>
        <w:t xml:space="preserve"> </w:t>
      </w:r>
      <w:r w:rsidR="00F60DA8" w:rsidRPr="00F338AB">
        <w:rPr>
          <w:rFonts w:cs="Times New Roman"/>
          <w:noProof w:val="0"/>
          <w:sz w:val="20"/>
          <w:lang w:val="es-ES"/>
        </w:rPr>
        <w:t>Pablo Salcedo-</w:t>
      </w:r>
      <w:proofErr w:type="spellStart"/>
      <w:r w:rsidR="00F60DA8" w:rsidRPr="00F338AB">
        <w:rPr>
          <w:rFonts w:cs="Times New Roman"/>
          <w:noProof w:val="0"/>
          <w:sz w:val="20"/>
          <w:lang w:val="es-ES"/>
        </w:rPr>
        <w:t>Abraira,</w:t>
      </w:r>
      <w:r w:rsidR="0063361B" w:rsidRPr="00F338AB">
        <w:rPr>
          <w:rFonts w:cs="Times New Roman"/>
          <w:noProof w:val="0"/>
          <w:sz w:val="20"/>
          <w:vertAlign w:val="superscript"/>
          <w:lang w:val="es-ES"/>
        </w:rPr>
        <w:t>a</w:t>
      </w:r>
      <w:proofErr w:type="spellEnd"/>
      <w:r w:rsidR="00F60DA8" w:rsidRPr="00F338AB">
        <w:rPr>
          <w:rFonts w:cs="Times New Roman"/>
          <w:noProof w:val="0"/>
          <w:sz w:val="20"/>
          <w:vertAlign w:val="superscript"/>
          <w:lang w:val="es-ES"/>
        </w:rPr>
        <w:t xml:space="preserve"> </w:t>
      </w:r>
      <w:r w:rsidR="00F60DA8" w:rsidRPr="00F338AB">
        <w:rPr>
          <w:rFonts w:cs="Times New Roman"/>
          <w:noProof w:val="0"/>
          <w:sz w:val="20"/>
          <w:lang w:val="es-ES"/>
        </w:rPr>
        <w:t>Antonio Rodríguez-</w:t>
      </w:r>
      <w:proofErr w:type="spellStart"/>
      <w:r w:rsidR="00F60DA8" w:rsidRPr="00F338AB">
        <w:rPr>
          <w:rFonts w:cs="Times New Roman"/>
          <w:noProof w:val="0"/>
          <w:sz w:val="20"/>
          <w:lang w:val="es-ES"/>
        </w:rPr>
        <w:t>Diéguez,</w:t>
      </w:r>
      <w:r w:rsidR="0063361B" w:rsidRPr="00F338AB">
        <w:rPr>
          <w:rFonts w:cs="Times New Roman"/>
          <w:noProof w:val="0"/>
          <w:sz w:val="20"/>
          <w:vertAlign w:val="superscript"/>
          <w:lang w:val="es-ES"/>
        </w:rPr>
        <w:t>a</w:t>
      </w:r>
      <w:proofErr w:type="spellEnd"/>
      <w:r w:rsidR="00F60DA8" w:rsidRPr="00F338AB">
        <w:rPr>
          <w:rFonts w:cs="Times New Roman"/>
          <w:noProof w:val="0"/>
          <w:sz w:val="20"/>
          <w:lang w:val="es-ES"/>
        </w:rPr>
        <w:t xml:space="preserve"> </w:t>
      </w:r>
      <w:r w:rsidRPr="00F338AB">
        <w:rPr>
          <w:rFonts w:cs="Times New Roman"/>
          <w:noProof w:val="0"/>
          <w:sz w:val="20"/>
          <w:lang w:val="es-ES"/>
        </w:rPr>
        <w:t xml:space="preserve">Javier Heredia </w:t>
      </w:r>
      <w:proofErr w:type="spellStart"/>
      <w:r w:rsidRPr="00F338AB">
        <w:rPr>
          <w:rFonts w:cs="Times New Roman"/>
          <w:noProof w:val="0"/>
          <w:sz w:val="20"/>
          <w:lang w:val="es-ES"/>
        </w:rPr>
        <w:t>Martín,</w:t>
      </w:r>
      <w:r w:rsidRPr="00F338AB">
        <w:rPr>
          <w:rFonts w:cs="Times New Roman"/>
          <w:noProof w:val="0"/>
          <w:sz w:val="20"/>
          <w:vertAlign w:val="superscript"/>
          <w:lang w:val="es-ES"/>
        </w:rPr>
        <w:t>a</w:t>
      </w:r>
      <w:proofErr w:type="spellEnd"/>
      <w:r w:rsidRPr="00F338AB">
        <w:rPr>
          <w:rFonts w:cs="Times New Roman"/>
          <w:noProof w:val="0"/>
          <w:sz w:val="20"/>
          <w:lang w:val="es-ES"/>
        </w:rPr>
        <w:t xml:space="preserve"> </w:t>
      </w:r>
      <w:r w:rsidR="00E267BC" w:rsidRPr="00F338AB">
        <w:rPr>
          <w:rFonts w:cs="Times New Roman"/>
          <w:noProof w:val="0"/>
          <w:sz w:val="20"/>
          <w:lang w:val="es-ES"/>
        </w:rPr>
        <w:t xml:space="preserve">Laura </w:t>
      </w:r>
      <w:proofErr w:type="spellStart"/>
      <w:r w:rsidR="00E267BC" w:rsidRPr="00F338AB">
        <w:rPr>
          <w:rFonts w:cs="Times New Roman"/>
          <w:noProof w:val="0"/>
          <w:sz w:val="20"/>
          <w:lang w:val="es-ES"/>
        </w:rPr>
        <w:t>Cuevas</w:t>
      </w:r>
      <w:r w:rsidR="00352991" w:rsidRPr="00F338AB">
        <w:rPr>
          <w:rFonts w:cs="Times New Roman"/>
          <w:noProof w:val="0"/>
          <w:sz w:val="20"/>
          <w:lang w:val="es-ES"/>
        </w:rPr>
        <w:t>,</w:t>
      </w:r>
      <w:r w:rsidR="0007519C" w:rsidRPr="00F338AB">
        <w:rPr>
          <w:rFonts w:cs="Times New Roman"/>
          <w:noProof w:val="0"/>
          <w:sz w:val="20"/>
          <w:vertAlign w:val="superscript"/>
          <w:lang w:val="es-ES"/>
        </w:rPr>
        <w:t>a</w:t>
      </w:r>
      <w:proofErr w:type="spellEnd"/>
      <w:r w:rsidR="00352991" w:rsidRPr="00F338AB">
        <w:rPr>
          <w:rFonts w:cs="Times New Roman"/>
          <w:noProof w:val="0"/>
          <w:sz w:val="20"/>
          <w:lang w:val="es-ES"/>
        </w:rPr>
        <w:t xml:space="preserve"> </w:t>
      </w:r>
      <w:r w:rsidRPr="00F338AB">
        <w:rPr>
          <w:rFonts w:cs="Times New Roman"/>
          <w:noProof w:val="0"/>
          <w:sz w:val="20"/>
          <w:lang w:val="es-ES"/>
        </w:rPr>
        <w:t xml:space="preserve">Carlos M. </w:t>
      </w:r>
      <w:proofErr w:type="spellStart"/>
      <w:r w:rsidRPr="00F338AB">
        <w:rPr>
          <w:rFonts w:cs="Times New Roman"/>
          <w:noProof w:val="0"/>
          <w:sz w:val="20"/>
          <w:lang w:val="es-ES"/>
        </w:rPr>
        <w:t>Cruz,</w:t>
      </w:r>
      <w:r w:rsidRPr="00F338AB">
        <w:rPr>
          <w:rFonts w:cs="Times New Roman"/>
          <w:noProof w:val="0"/>
          <w:sz w:val="20"/>
          <w:vertAlign w:val="superscript"/>
          <w:lang w:val="es-ES"/>
        </w:rPr>
        <w:t>d</w:t>
      </w:r>
      <w:proofErr w:type="spellEnd"/>
      <w:r w:rsidRPr="00F338AB">
        <w:rPr>
          <w:rFonts w:cs="Times New Roman"/>
          <w:noProof w:val="0"/>
          <w:sz w:val="20"/>
          <w:lang w:val="es-ES"/>
        </w:rPr>
        <w:t xml:space="preserve"> Benjamin </w:t>
      </w:r>
      <w:proofErr w:type="spellStart"/>
      <w:r w:rsidRPr="00F338AB">
        <w:rPr>
          <w:rFonts w:cs="Times New Roman"/>
          <w:noProof w:val="0"/>
          <w:sz w:val="20"/>
          <w:lang w:val="es-ES"/>
        </w:rPr>
        <w:t>Doistau,</w:t>
      </w:r>
      <w:r w:rsidR="0063361B" w:rsidRPr="00F338AB">
        <w:rPr>
          <w:rFonts w:cs="Times New Roman"/>
          <w:noProof w:val="0"/>
          <w:sz w:val="20"/>
          <w:vertAlign w:val="superscript"/>
          <w:lang w:val="es-ES"/>
        </w:rPr>
        <w:t>e</w:t>
      </w:r>
      <w:proofErr w:type="spellEnd"/>
      <w:r w:rsidRPr="00F338AB">
        <w:rPr>
          <w:rFonts w:cs="Times New Roman"/>
          <w:noProof w:val="0"/>
          <w:sz w:val="20"/>
          <w:vertAlign w:val="superscript"/>
          <w:lang w:val="es-ES"/>
        </w:rPr>
        <w:t xml:space="preserve"> </w:t>
      </w:r>
      <w:r w:rsidRPr="00F338AB">
        <w:rPr>
          <w:rFonts w:cs="Times New Roman"/>
          <w:noProof w:val="0"/>
          <w:sz w:val="20"/>
          <w:lang w:val="es-ES"/>
        </w:rPr>
        <w:t xml:space="preserve">Claude </w:t>
      </w:r>
      <w:proofErr w:type="spellStart"/>
      <w:r w:rsidRPr="00F338AB">
        <w:rPr>
          <w:rFonts w:cs="Times New Roman"/>
          <w:noProof w:val="0"/>
          <w:sz w:val="20"/>
          <w:lang w:val="es-ES"/>
        </w:rPr>
        <w:t>Piguet,</w:t>
      </w:r>
      <w:r w:rsidRPr="00F338AB">
        <w:rPr>
          <w:rFonts w:cs="Times New Roman"/>
          <w:noProof w:val="0"/>
          <w:sz w:val="20"/>
          <w:vertAlign w:val="superscript"/>
          <w:lang w:val="es-ES"/>
        </w:rPr>
        <w:t>b</w:t>
      </w:r>
      <w:proofErr w:type="spellEnd"/>
      <w:r w:rsidRPr="00F338AB">
        <w:rPr>
          <w:rFonts w:cs="Times New Roman"/>
          <w:noProof w:val="0"/>
          <w:sz w:val="20"/>
          <w:lang w:val="es-ES"/>
        </w:rPr>
        <w:t xml:space="preserve"> </w:t>
      </w:r>
      <w:r w:rsidR="00F60DA8" w:rsidRPr="00F338AB">
        <w:rPr>
          <w:rFonts w:cs="Times New Roman"/>
          <w:noProof w:val="0"/>
          <w:sz w:val="20"/>
          <w:lang w:val="es-ES"/>
        </w:rPr>
        <w:t xml:space="preserve">Oliver S. </w:t>
      </w:r>
      <w:proofErr w:type="spellStart"/>
      <w:r w:rsidR="00F60DA8" w:rsidRPr="00F338AB">
        <w:rPr>
          <w:rFonts w:cs="Times New Roman"/>
          <w:noProof w:val="0"/>
          <w:sz w:val="20"/>
          <w:lang w:val="es-ES"/>
        </w:rPr>
        <w:t>Wenger,</w:t>
      </w:r>
      <w:r w:rsidR="00F60DA8" w:rsidRPr="00F338AB">
        <w:rPr>
          <w:rFonts w:cs="Times New Roman"/>
          <w:noProof w:val="0"/>
          <w:sz w:val="20"/>
          <w:vertAlign w:val="superscript"/>
          <w:lang w:val="es-ES"/>
        </w:rPr>
        <w:t>c</w:t>
      </w:r>
      <w:proofErr w:type="spellEnd"/>
      <w:r w:rsidR="00F60DA8" w:rsidRPr="00F338AB">
        <w:rPr>
          <w:rFonts w:cs="Times New Roman"/>
          <w:noProof w:val="0"/>
          <w:sz w:val="20"/>
          <w:lang w:val="es-ES"/>
        </w:rPr>
        <w:t xml:space="preserve"> </w:t>
      </w:r>
      <w:r w:rsidRPr="00F338AB">
        <w:rPr>
          <w:rFonts w:cs="Times New Roman"/>
          <w:noProof w:val="0"/>
          <w:sz w:val="20"/>
          <w:lang w:val="es-ES"/>
        </w:rPr>
        <w:t xml:space="preserve">Juan Manuel </w:t>
      </w:r>
      <w:proofErr w:type="spellStart"/>
      <w:r w:rsidRPr="00F338AB">
        <w:rPr>
          <w:rFonts w:cs="Times New Roman"/>
          <w:noProof w:val="0"/>
          <w:sz w:val="20"/>
          <w:lang w:val="es-ES"/>
        </w:rPr>
        <w:t>Herrera,</w:t>
      </w:r>
      <w:r w:rsidRPr="00F338AB">
        <w:rPr>
          <w:rFonts w:cs="Times New Roman"/>
          <w:noProof w:val="0"/>
          <w:sz w:val="20"/>
          <w:vertAlign w:val="superscript"/>
          <w:lang w:val="es-ES"/>
        </w:rPr>
        <w:t>a</w:t>
      </w:r>
      <w:proofErr w:type="spellEnd"/>
      <w:r w:rsidRPr="00F338AB">
        <w:rPr>
          <w:rFonts w:cs="Times New Roman"/>
          <w:noProof w:val="0"/>
          <w:sz w:val="20"/>
          <w:lang w:val="es-ES"/>
        </w:rPr>
        <w:t xml:space="preserve"> and Juan-Ramón </w:t>
      </w:r>
      <w:proofErr w:type="spellStart"/>
      <w:r w:rsidRPr="00F338AB">
        <w:rPr>
          <w:rFonts w:cs="Times New Roman"/>
          <w:noProof w:val="0"/>
          <w:sz w:val="20"/>
          <w:lang w:val="es-ES"/>
        </w:rPr>
        <w:t>Jiménez</w:t>
      </w:r>
      <w:r w:rsidRPr="00F338AB">
        <w:rPr>
          <w:rFonts w:cs="Times New Roman"/>
          <w:noProof w:val="0"/>
          <w:sz w:val="20"/>
          <w:vertAlign w:val="superscript"/>
          <w:lang w:val="es-ES"/>
        </w:rPr>
        <w:t>a</w:t>
      </w:r>
      <w:bookmarkEnd w:id="3"/>
      <w:proofErr w:type="spellEnd"/>
      <w:r w:rsidR="0072609F" w:rsidRPr="00F338AB">
        <w:rPr>
          <w:rFonts w:cs="Times New Roman"/>
          <w:noProof w:val="0"/>
          <w:sz w:val="20"/>
          <w:vertAlign w:val="superscript"/>
          <w:lang w:val="es-ES"/>
        </w:rPr>
        <w:t>*</w:t>
      </w:r>
    </w:p>
    <w:bookmarkEnd w:id="4"/>
    <w:p w14:paraId="39E3785F" w14:textId="48370F47" w:rsidR="00FA2DA2" w:rsidRPr="00F338AB" w:rsidRDefault="00B03A7F" w:rsidP="00FA2DA2">
      <w:pPr>
        <w:pStyle w:val="RSCB01ARTAbstract"/>
        <w:rPr>
          <w:noProof w:val="0"/>
        </w:rPr>
        <w:sectPr w:rsidR="00FA2DA2" w:rsidRPr="00F338AB" w:rsidSect="00B82DA3">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titlePg/>
          <w:docGrid w:linePitch="360"/>
        </w:sectPr>
      </w:pPr>
      <w:r w:rsidRPr="00F338AB">
        <w:rPr>
          <w:noProof w:val="0"/>
        </w:rPr>
        <w:t>T</w:t>
      </w:r>
      <w:r w:rsidR="00ED38E9" w:rsidRPr="00F338AB">
        <w:rPr>
          <w:noProof w:val="0"/>
        </w:rPr>
        <w:t>hree</w:t>
      </w:r>
      <w:r w:rsidRPr="00F338AB">
        <w:rPr>
          <w:noProof w:val="0"/>
        </w:rPr>
        <w:t xml:space="preserve"> homoleptic spin-flip</w:t>
      </w:r>
      <w:r w:rsidR="0078052C" w:rsidRPr="00F338AB">
        <w:rPr>
          <w:noProof w:val="0"/>
        </w:rPr>
        <w:t xml:space="preserve"> (SF)</w:t>
      </w:r>
      <w:r w:rsidRPr="00F338AB">
        <w:rPr>
          <w:noProof w:val="0"/>
        </w:rPr>
        <w:t xml:space="preserve"> emitters, namely [</w:t>
      </w:r>
      <w:proofErr w:type="gramStart"/>
      <w:r w:rsidRPr="00F338AB">
        <w:rPr>
          <w:noProof w:val="0"/>
        </w:rPr>
        <w:t>Cr(</w:t>
      </w:r>
      <w:proofErr w:type="spellStart"/>
      <w:proofErr w:type="gramEnd"/>
      <w:r w:rsidRPr="00F338AB">
        <w:rPr>
          <w:noProof w:val="0"/>
        </w:rPr>
        <w:t>Mebipzp</w:t>
      </w:r>
      <w:proofErr w:type="spellEnd"/>
      <w:r w:rsidRPr="00F338AB">
        <w:rPr>
          <w:noProof w:val="0"/>
        </w:rPr>
        <w:t>)</w:t>
      </w:r>
      <w:r w:rsidRPr="00F338AB">
        <w:rPr>
          <w:noProof w:val="0"/>
          <w:vertAlign w:val="subscript"/>
        </w:rPr>
        <w:t>2</w:t>
      </w:r>
      <w:r w:rsidRPr="00F338AB">
        <w:rPr>
          <w:noProof w:val="0"/>
        </w:rPr>
        <w:t>]</w:t>
      </w:r>
      <w:r w:rsidRPr="00F338AB">
        <w:rPr>
          <w:noProof w:val="0"/>
          <w:vertAlign w:val="superscript"/>
        </w:rPr>
        <w:t>3+</w:t>
      </w:r>
      <w:r w:rsidRPr="00F338AB">
        <w:rPr>
          <w:noProof w:val="0"/>
        </w:rPr>
        <w:t xml:space="preserve"> (</w:t>
      </w:r>
      <w:r w:rsidRPr="00F338AB">
        <w:rPr>
          <w:b/>
          <w:bCs/>
          <w:noProof w:val="0"/>
        </w:rPr>
        <w:t>1</w:t>
      </w:r>
      <w:r w:rsidRPr="00F338AB">
        <w:rPr>
          <w:noProof w:val="0"/>
        </w:rPr>
        <w:t>)</w:t>
      </w:r>
      <w:r w:rsidR="00534BB7" w:rsidRPr="00F338AB">
        <w:rPr>
          <w:noProof w:val="0"/>
        </w:rPr>
        <w:t>,</w:t>
      </w:r>
      <w:r w:rsidRPr="00F338AB">
        <w:rPr>
          <w:noProof w:val="0"/>
        </w:rPr>
        <w:t xml:space="preserve"> [Cr(</w:t>
      </w:r>
      <w:proofErr w:type="spellStart"/>
      <w:r w:rsidRPr="00F338AB">
        <w:rPr>
          <w:noProof w:val="0"/>
        </w:rPr>
        <w:t>IMebipzp</w:t>
      </w:r>
      <w:proofErr w:type="spellEnd"/>
      <w:r w:rsidRPr="00F338AB">
        <w:rPr>
          <w:noProof w:val="0"/>
        </w:rPr>
        <w:t>)</w:t>
      </w:r>
      <w:r w:rsidRPr="00F338AB">
        <w:rPr>
          <w:noProof w:val="0"/>
          <w:vertAlign w:val="subscript"/>
        </w:rPr>
        <w:t>2</w:t>
      </w:r>
      <w:r w:rsidRPr="00F338AB">
        <w:rPr>
          <w:noProof w:val="0"/>
        </w:rPr>
        <w:t>]</w:t>
      </w:r>
      <w:r w:rsidRPr="00F338AB">
        <w:rPr>
          <w:noProof w:val="0"/>
          <w:vertAlign w:val="superscript"/>
        </w:rPr>
        <w:t>3+</w:t>
      </w:r>
      <w:r w:rsidRPr="00F338AB">
        <w:rPr>
          <w:noProof w:val="0"/>
        </w:rPr>
        <w:t xml:space="preserve"> (</w:t>
      </w:r>
      <w:r w:rsidRPr="00F338AB">
        <w:rPr>
          <w:b/>
          <w:bCs/>
          <w:noProof w:val="0"/>
        </w:rPr>
        <w:t>2</w:t>
      </w:r>
      <w:r w:rsidRPr="00F338AB">
        <w:rPr>
          <w:noProof w:val="0"/>
        </w:rPr>
        <w:t>)</w:t>
      </w:r>
      <w:r w:rsidR="00534BB7" w:rsidRPr="00F338AB">
        <w:rPr>
          <w:noProof w:val="0"/>
        </w:rPr>
        <w:t xml:space="preserve"> and [Cr(</w:t>
      </w:r>
      <w:proofErr w:type="spellStart"/>
      <w:r w:rsidR="00801A37" w:rsidRPr="00F338AB">
        <w:rPr>
          <w:noProof w:val="0"/>
        </w:rPr>
        <w:t>bip</w:t>
      </w:r>
      <w:proofErr w:type="spellEnd"/>
      <w:r w:rsidR="00EA0A9A" w:rsidRPr="00F338AB">
        <w:rPr>
          <w:noProof w:val="0"/>
        </w:rPr>
        <w:t>*</w:t>
      </w:r>
      <w:r w:rsidR="00534BB7" w:rsidRPr="00F338AB">
        <w:rPr>
          <w:noProof w:val="0"/>
        </w:rPr>
        <w:t>)</w:t>
      </w:r>
      <w:r w:rsidR="00534BB7" w:rsidRPr="00F338AB">
        <w:rPr>
          <w:noProof w:val="0"/>
          <w:vertAlign w:val="subscript"/>
        </w:rPr>
        <w:t>2</w:t>
      </w:r>
      <w:r w:rsidR="00534BB7" w:rsidRPr="00F338AB">
        <w:rPr>
          <w:noProof w:val="0"/>
        </w:rPr>
        <w:t>]</w:t>
      </w:r>
      <w:r w:rsidR="00534BB7" w:rsidRPr="00F338AB">
        <w:rPr>
          <w:noProof w:val="0"/>
          <w:vertAlign w:val="superscript"/>
        </w:rPr>
        <w:t>3+</w:t>
      </w:r>
      <w:r w:rsidRPr="00F338AB">
        <w:rPr>
          <w:noProof w:val="0"/>
        </w:rPr>
        <w:t xml:space="preserve"> </w:t>
      </w:r>
      <w:r w:rsidR="00534BB7" w:rsidRPr="00F338AB">
        <w:rPr>
          <w:noProof w:val="0"/>
        </w:rPr>
        <w:t>(</w:t>
      </w:r>
      <w:r w:rsidR="00534BB7" w:rsidRPr="00F338AB">
        <w:rPr>
          <w:b/>
          <w:bCs/>
          <w:noProof w:val="0"/>
        </w:rPr>
        <w:t>3</w:t>
      </w:r>
      <w:r w:rsidR="00534BB7" w:rsidRPr="00F338AB">
        <w:rPr>
          <w:noProof w:val="0"/>
        </w:rPr>
        <w:t xml:space="preserve">) </w:t>
      </w:r>
      <w:r w:rsidRPr="00F338AB">
        <w:rPr>
          <w:noProof w:val="0"/>
        </w:rPr>
        <w:t xml:space="preserve">have been successfully synthesized and characterized. The weak distortion compared to perfect octahedron imparts </w:t>
      </w:r>
      <w:r w:rsidR="00280FD0" w:rsidRPr="00F338AB">
        <w:rPr>
          <w:noProof w:val="0"/>
        </w:rPr>
        <w:t>favourable</w:t>
      </w:r>
      <w:r w:rsidRPr="00F338AB">
        <w:rPr>
          <w:noProof w:val="0"/>
        </w:rPr>
        <w:t xml:space="preserve"> structural properties in </w:t>
      </w:r>
      <w:r w:rsidR="00534BB7" w:rsidRPr="00F338AB">
        <w:rPr>
          <w:noProof w:val="0"/>
        </w:rPr>
        <w:t>the three</w:t>
      </w:r>
      <w:r w:rsidRPr="00F338AB">
        <w:rPr>
          <w:noProof w:val="0"/>
        </w:rPr>
        <w:t xml:space="preserve"> complexes</w:t>
      </w:r>
      <w:r w:rsidR="006F54FF" w:rsidRPr="00F338AB">
        <w:rPr>
          <w:noProof w:val="0"/>
        </w:rPr>
        <w:t xml:space="preserve"> which</w:t>
      </w:r>
      <w:r w:rsidRPr="00F338AB">
        <w:rPr>
          <w:noProof w:val="0"/>
        </w:rPr>
        <w:t xml:space="preserve"> display </w:t>
      </w:r>
      <w:r w:rsidR="0078052C" w:rsidRPr="00F338AB">
        <w:rPr>
          <w:noProof w:val="0"/>
        </w:rPr>
        <w:t>SF</w:t>
      </w:r>
      <w:r w:rsidR="00534BB7" w:rsidRPr="00F338AB">
        <w:rPr>
          <w:noProof w:val="0"/>
        </w:rPr>
        <w:t xml:space="preserve"> </w:t>
      </w:r>
      <w:r w:rsidRPr="00F338AB">
        <w:rPr>
          <w:noProof w:val="0"/>
        </w:rPr>
        <w:t xml:space="preserve">luminescence </w:t>
      </w:r>
      <w:r w:rsidR="006652EA" w:rsidRPr="00F338AB">
        <w:rPr>
          <w:noProof w:val="0"/>
        </w:rPr>
        <w:t xml:space="preserve">at </w:t>
      </w:r>
      <w:r w:rsidR="009B0DF6" w:rsidRPr="00F338AB">
        <w:rPr>
          <w:noProof w:val="0"/>
        </w:rPr>
        <w:t>approximately</w:t>
      </w:r>
      <w:r w:rsidR="007E6CEC" w:rsidRPr="00F338AB">
        <w:rPr>
          <w:noProof w:val="0"/>
        </w:rPr>
        <w:t xml:space="preserve"> </w:t>
      </w:r>
      <w:r w:rsidR="006652EA" w:rsidRPr="00F338AB">
        <w:rPr>
          <w:noProof w:val="0"/>
        </w:rPr>
        <w:t>740 nm with</w:t>
      </w:r>
      <w:r w:rsidR="007E6CEC" w:rsidRPr="00F338AB">
        <w:rPr>
          <w:noProof w:val="0"/>
        </w:rPr>
        <w:t xml:space="preserve"> </w:t>
      </w:r>
      <w:r w:rsidRPr="00F338AB">
        <w:rPr>
          <w:noProof w:val="0"/>
        </w:rPr>
        <w:t>quantum yields</w:t>
      </w:r>
      <w:r w:rsidR="0078052C" w:rsidRPr="00F338AB">
        <w:rPr>
          <w:noProof w:val="0"/>
        </w:rPr>
        <w:t xml:space="preserve"> in the range of</w:t>
      </w:r>
      <w:r w:rsidRPr="00F338AB">
        <w:rPr>
          <w:noProof w:val="0"/>
        </w:rPr>
        <w:t xml:space="preserve"> </w:t>
      </w:r>
      <w:r w:rsidR="00557381" w:rsidRPr="00F338AB">
        <w:rPr>
          <w:noProof w:val="0"/>
        </w:rPr>
        <w:t>9-</w:t>
      </w:r>
      <w:r w:rsidR="00EA0A9A" w:rsidRPr="00F338AB">
        <w:rPr>
          <w:noProof w:val="0"/>
        </w:rPr>
        <w:t>11</w:t>
      </w:r>
      <w:r w:rsidRPr="00F338AB">
        <w:rPr>
          <w:noProof w:val="0"/>
        </w:rPr>
        <w:t xml:space="preserve">% </w:t>
      </w:r>
      <w:r w:rsidR="006965CE" w:rsidRPr="00F338AB">
        <w:rPr>
          <w:noProof w:val="0"/>
        </w:rPr>
        <w:t xml:space="preserve">for </w:t>
      </w:r>
      <w:r w:rsidR="006965CE" w:rsidRPr="00F338AB">
        <w:rPr>
          <w:b/>
          <w:bCs/>
          <w:noProof w:val="0"/>
        </w:rPr>
        <w:t>1</w:t>
      </w:r>
      <w:r w:rsidR="00557381" w:rsidRPr="00F338AB">
        <w:rPr>
          <w:b/>
          <w:bCs/>
          <w:noProof w:val="0"/>
        </w:rPr>
        <w:t xml:space="preserve"> </w:t>
      </w:r>
      <w:r w:rsidR="00557381" w:rsidRPr="00F338AB">
        <w:rPr>
          <w:noProof w:val="0"/>
        </w:rPr>
        <w:t xml:space="preserve">and </w:t>
      </w:r>
      <w:r w:rsidR="00557381" w:rsidRPr="00F338AB">
        <w:rPr>
          <w:b/>
          <w:bCs/>
          <w:noProof w:val="0"/>
        </w:rPr>
        <w:t>2</w:t>
      </w:r>
      <w:r w:rsidR="006965CE" w:rsidRPr="00F338AB">
        <w:rPr>
          <w:noProof w:val="0"/>
        </w:rPr>
        <w:t xml:space="preserve"> </w:t>
      </w:r>
      <w:r w:rsidRPr="00F338AB">
        <w:rPr>
          <w:noProof w:val="0"/>
        </w:rPr>
        <w:t xml:space="preserve">in deaerated acetonitrile solutions at 25°C. Time-resolved luminescence and transient UV-Vis absorption experiments unveiled lifetimes for the lowest-lying </w:t>
      </w:r>
      <w:r w:rsidRPr="00F338AB">
        <w:rPr>
          <w:noProof w:val="0"/>
          <w:vertAlign w:val="superscript"/>
        </w:rPr>
        <w:t>2</w:t>
      </w:r>
      <w:r w:rsidRPr="00F338AB">
        <w:rPr>
          <w:noProof w:val="0"/>
        </w:rPr>
        <w:t>MC (metal-</w:t>
      </w:r>
      <w:proofErr w:type="spellStart"/>
      <w:r w:rsidR="00856A1C" w:rsidRPr="00F338AB">
        <w:rPr>
          <w:noProof w:val="0"/>
        </w:rPr>
        <w:t>cent</w:t>
      </w:r>
      <w:r w:rsidR="00280FD0" w:rsidRPr="00F338AB">
        <w:rPr>
          <w:noProof w:val="0"/>
        </w:rPr>
        <w:t>ered</w:t>
      </w:r>
      <w:proofErr w:type="spellEnd"/>
      <w:r w:rsidRPr="00F338AB">
        <w:rPr>
          <w:noProof w:val="0"/>
        </w:rPr>
        <w:t xml:space="preserve">) of 1.5 </w:t>
      </w:r>
      <w:proofErr w:type="spellStart"/>
      <w:r w:rsidRPr="00F338AB">
        <w:rPr>
          <w:noProof w:val="0"/>
        </w:rPr>
        <w:t>ms</w:t>
      </w:r>
      <w:proofErr w:type="spellEnd"/>
      <w:r w:rsidRPr="00F338AB">
        <w:rPr>
          <w:noProof w:val="0"/>
        </w:rPr>
        <w:t xml:space="preserve"> for </w:t>
      </w:r>
      <w:r w:rsidRPr="00F338AB">
        <w:rPr>
          <w:b/>
          <w:bCs/>
          <w:noProof w:val="0"/>
        </w:rPr>
        <w:t>1</w:t>
      </w:r>
      <w:r w:rsidRPr="00F338AB">
        <w:rPr>
          <w:noProof w:val="0"/>
        </w:rPr>
        <w:t xml:space="preserve"> </w:t>
      </w:r>
      <w:r w:rsidR="00534BB7" w:rsidRPr="00F338AB">
        <w:rPr>
          <w:noProof w:val="0"/>
        </w:rPr>
        <w:t>and</w:t>
      </w:r>
      <w:r w:rsidRPr="00F338AB">
        <w:rPr>
          <w:noProof w:val="0"/>
        </w:rPr>
        <w:t xml:space="preserve"> </w:t>
      </w:r>
      <w:r w:rsidR="00412764" w:rsidRPr="00F338AB">
        <w:rPr>
          <w:noProof w:val="0"/>
        </w:rPr>
        <w:t xml:space="preserve">350 </w:t>
      </w:r>
      <w:r w:rsidR="00412764" w:rsidRPr="00F338AB">
        <w:rPr>
          <w:noProof w:val="0"/>
        </w:rPr>
        <w:sym w:font="Symbol" w:char="F06D"/>
      </w:r>
      <w:r w:rsidRPr="00F338AB">
        <w:rPr>
          <w:noProof w:val="0"/>
        </w:rPr>
        <w:t xml:space="preserve">s for </w:t>
      </w:r>
      <w:r w:rsidRPr="00F338AB">
        <w:rPr>
          <w:b/>
          <w:bCs/>
          <w:noProof w:val="0"/>
        </w:rPr>
        <w:t>2</w:t>
      </w:r>
      <w:r w:rsidRPr="00F338AB">
        <w:rPr>
          <w:noProof w:val="0"/>
        </w:rPr>
        <w:t xml:space="preserve">. The incorporation of iodine atoms onto the ligand scaffold in </w:t>
      </w:r>
      <w:r w:rsidR="009E5102" w:rsidRPr="00F338AB">
        <w:rPr>
          <w:b/>
          <w:bCs/>
          <w:noProof w:val="0"/>
        </w:rPr>
        <w:t>2</w:t>
      </w:r>
      <w:r w:rsidRPr="00F338AB">
        <w:rPr>
          <w:noProof w:val="0"/>
        </w:rPr>
        <w:t xml:space="preserve"> accelerates the </w:t>
      </w:r>
      <w:r w:rsidRPr="00F338AB">
        <w:rPr>
          <w:noProof w:val="0"/>
          <w:vertAlign w:val="superscript"/>
        </w:rPr>
        <w:t>2</w:t>
      </w:r>
      <w:r w:rsidRPr="00F338AB">
        <w:rPr>
          <w:noProof w:val="0"/>
        </w:rPr>
        <w:t xml:space="preserve">MC </w:t>
      </w:r>
      <w:r w:rsidR="009E5102" w:rsidRPr="00F338AB">
        <w:rPr>
          <w:noProof w:val="0"/>
        </w:rPr>
        <w:sym w:font="Symbol" w:char="F0AE"/>
      </w:r>
      <w:r w:rsidRPr="00F338AB">
        <w:rPr>
          <w:noProof w:val="0"/>
        </w:rPr>
        <w:t xml:space="preserve"> </w:t>
      </w:r>
      <w:r w:rsidRPr="00F338AB">
        <w:rPr>
          <w:noProof w:val="0"/>
          <w:vertAlign w:val="superscript"/>
        </w:rPr>
        <w:t>4</w:t>
      </w:r>
      <w:r w:rsidRPr="00F338AB">
        <w:rPr>
          <w:noProof w:val="0"/>
        </w:rPr>
        <w:t>A</w:t>
      </w:r>
      <w:r w:rsidRPr="00F338AB">
        <w:rPr>
          <w:noProof w:val="0"/>
          <w:vertAlign w:val="subscript"/>
        </w:rPr>
        <w:t>2</w:t>
      </w:r>
      <w:r w:rsidRPr="00F338AB">
        <w:rPr>
          <w:noProof w:val="0"/>
        </w:rPr>
        <w:t xml:space="preserve"> relaxation process through simultaneous enhancements in the radiative and non-radiative rates constants.</w:t>
      </w:r>
      <w:r w:rsidR="001E1F8B" w:rsidRPr="00F338AB">
        <w:rPr>
          <w:noProof w:val="0"/>
        </w:rPr>
        <w:t xml:space="preserve"> In agreement,</w:t>
      </w:r>
      <w:r w:rsidRPr="00F338AB">
        <w:rPr>
          <w:noProof w:val="0"/>
        </w:rPr>
        <w:t xml:space="preserve"> </w:t>
      </w:r>
      <w:r w:rsidR="001E1F8B" w:rsidRPr="00F338AB">
        <w:rPr>
          <w:noProof w:val="0"/>
        </w:rPr>
        <w:t>t</w:t>
      </w:r>
      <w:r w:rsidRPr="00F338AB">
        <w:rPr>
          <w:noProof w:val="0"/>
        </w:rPr>
        <w:t>he</w:t>
      </w:r>
      <w:r w:rsidR="009E5102" w:rsidRPr="00F338AB">
        <w:rPr>
          <w:noProof w:val="0"/>
        </w:rPr>
        <w:t xml:space="preserve"> experimentally</w:t>
      </w:r>
      <w:r w:rsidRPr="00F338AB">
        <w:rPr>
          <w:noProof w:val="0"/>
        </w:rPr>
        <w:t xml:space="preserve"> calculated absorption oscillator strength for the </w:t>
      </w:r>
      <w:r w:rsidRPr="00F338AB">
        <w:rPr>
          <w:noProof w:val="0"/>
          <w:vertAlign w:val="superscript"/>
        </w:rPr>
        <w:t>2</w:t>
      </w:r>
      <w:r w:rsidRPr="00F338AB">
        <w:rPr>
          <w:noProof w:val="0"/>
        </w:rPr>
        <w:t xml:space="preserve">MC </w:t>
      </w:r>
      <w:r w:rsidR="009E5102" w:rsidRPr="00F338AB">
        <w:rPr>
          <w:noProof w:val="0"/>
        </w:rPr>
        <w:sym w:font="Symbol" w:char="F0AC"/>
      </w:r>
      <w:r w:rsidRPr="00F338AB">
        <w:rPr>
          <w:noProof w:val="0"/>
        </w:rPr>
        <w:t xml:space="preserve"> </w:t>
      </w:r>
      <w:r w:rsidRPr="00F338AB">
        <w:rPr>
          <w:noProof w:val="0"/>
          <w:vertAlign w:val="superscript"/>
        </w:rPr>
        <w:t>4</w:t>
      </w:r>
      <w:r w:rsidRPr="00F338AB">
        <w:rPr>
          <w:noProof w:val="0"/>
        </w:rPr>
        <w:t>A</w:t>
      </w:r>
      <w:r w:rsidRPr="00F338AB">
        <w:rPr>
          <w:noProof w:val="0"/>
          <w:vertAlign w:val="subscript"/>
        </w:rPr>
        <w:t>2</w:t>
      </w:r>
      <w:r w:rsidRPr="00F338AB">
        <w:rPr>
          <w:noProof w:val="0"/>
        </w:rPr>
        <w:t xml:space="preserve"> transition amounts to 9.8·10</w:t>
      </w:r>
      <w:r w:rsidRPr="00F338AB">
        <w:rPr>
          <w:noProof w:val="0"/>
          <w:vertAlign w:val="superscript"/>
        </w:rPr>
        <w:t>-7</w:t>
      </w:r>
      <w:r w:rsidRPr="00F338AB">
        <w:rPr>
          <w:noProof w:val="0"/>
        </w:rPr>
        <w:t xml:space="preserve"> and 2.5·10</w:t>
      </w:r>
      <w:r w:rsidRPr="00F338AB">
        <w:rPr>
          <w:noProof w:val="0"/>
          <w:vertAlign w:val="superscript"/>
        </w:rPr>
        <w:t>-6</w:t>
      </w:r>
      <w:r w:rsidRPr="00F338AB">
        <w:rPr>
          <w:noProof w:val="0"/>
        </w:rPr>
        <w:t xml:space="preserve"> for </w:t>
      </w:r>
      <w:r w:rsidRPr="00F338AB">
        <w:rPr>
          <w:b/>
          <w:bCs/>
          <w:noProof w:val="0"/>
        </w:rPr>
        <w:t>1</w:t>
      </w:r>
      <w:r w:rsidRPr="00F338AB">
        <w:rPr>
          <w:noProof w:val="0"/>
        </w:rPr>
        <w:t xml:space="preserve"> and </w:t>
      </w:r>
      <w:r w:rsidRPr="00F338AB">
        <w:rPr>
          <w:b/>
          <w:bCs/>
          <w:noProof w:val="0"/>
        </w:rPr>
        <w:t>2</w:t>
      </w:r>
      <w:r w:rsidR="009E5102" w:rsidRPr="00F338AB">
        <w:rPr>
          <w:noProof w:val="0"/>
        </w:rPr>
        <w:t xml:space="preserve">, </w:t>
      </w:r>
      <w:r w:rsidRPr="00F338AB">
        <w:rPr>
          <w:noProof w:val="0"/>
        </w:rPr>
        <w:t>respectively. The 2.5 factor enhancement observed in the iodine derivative indicates</w:t>
      </w:r>
      <w:r w:rsidR="000A04B2" w:rsidRPr="00F338AB">
        <w:rPr>
          <w:noProof w:val="0"/>
        </w:rPr>
        <w:t xml:space="preserve"> a higher spin-flip transition probability, translating into higher values for radiative rate constant (</w:t>
      </w:r>
      <w:proofErr w:type="spellStart"/>
      <w:r w:rsidR="000A04B2" w:rsidRPr="00F338AB">
        <w:rPr>
          <w:i/>
          <w:iCs/>
          <w:noProof w:val="0"/>
        </w:rPr>
        <w:t>k</w:t>
      </w:r>
      <w:r w:rsidR="000A04B2" w:rsidRPr="00F338AB">
        <w:rPr>
          <w:noProof w:val="0"/>
          <w:vertAlign w:val="subscript"/>
        </w:rPr>
        <w:t>rad</w:t>
      </w:r>
      <w:proofErr w:type="spellEnd"/>
      <w:r w:rsidR="000A04B2" w:rsidRPr="00F338AB">
        <w:rPr>
          <w:noProof w:val="0"/>
        </w:rPr>
        <w:t>).</w:t>
      </w:r>
      <w:r w:rsidR="00EA0A9A" w:rsidRPr="00F338AB">
        <w:rPr>
          <w:noProof w:val="0"/>
        </w:rPr>
        <w:t xml:space="preserve"> </w:t>
      </w:r>
      <w:r w:rsidR="006652EA" w:rsidRPr="00F338AB">
        <w:rPr>
          <w:noProof w:val="0"/>
        </w:rPr>
        <w:t xml:space="preserve">Interestingly, in compound </w:t>
      </w:r>
      <w:r w:rsidR="006652EA" w:rsidRPr="00F338AB">
        <w:rPr>
          <w:b/>
          <w:bCs/>
          <w:noProof w:val="0"/>
        </w:rPr>
        <w:t>3</w:t>
      </w:r>
      <w:r w:rsidR="006652EA" w:rsidRPr="00F338AB">
        <w:rPr>
          <w:noProof w:val="0"/>
        </w:rPr>
        <w:t>, the substitution of the distal</w:t>
      </w:r>
      <w:r w:rsidR="00C75DB3" w:rsidRPr="00F338AB">
        <w:rPr>
          <w:noProof w:val="0"/>
        </w:rPr>
        <w:t xml:space="preserve"> methyl-</w:t>
      </w:r>
      <w:r w:rsidR="006652EA" w:rsidRPr="00F338AB">
        <w:rPr>
          <w:noProof w:val="0"/>
        </w:rPr>
        <w:t xml:space="preserve">pyrazole </w:t>
      </w:r>
      <w:r w:rsidR="001759E8" w:rsidRPr="00F338AB">
        <w:rPr>
          <w:noProof w:val="0"/>
        </w:rPr>
        <w:t>with</w:t>
      </w:r>
      <w:r w:rsidR="006652EA" w:rsidRPr="00F338AB">
        <w:rPr>
          <w:noProof w:val="0"/>
        </w:rPr>
        <w:t xml:space="preserve"> </w:t>
      </w:r>
      <w:r w:rsidR="00584B03" w:rsidRPr="00F338AB">
        <w:rPr>
          <w:noProof w:val="0"/>
        </w:rPr>
        <w:t>indazole</w:t>
      </w:r>
      <w:r w:rsidR="001759E8" w:rsidRPr="00F338AB">
        <w:rPr>
          <w:noProof w:val="0"/>
        </w:rPr>
        <w:t xml:space="preserve"> rings</w:t>
      </w:r>
      <w:r w:rsidR="006652EA" w:rsidRPr="00F338AB">
        <w:rPr>
          <w:noProof w:val="0"/>
        </w:rPr>
        <w:t xml:space="preserve"> causes an important bathochromic shift of the spin-flip emission energy to 12000 cm⁻¹ (830 nm). </w:t>
      </w:r>
      <w:r w:rsidR="0022142D" w:rsidRPr="00F338AB">
        <w:rPr>
          <w:noProof w:val="0"/>
        </w:rPr>
        <w:t>Likely, t</w:t>
      </w:r>
      <w:r w:rsidR="00EA0A9A" w:rsidRPr="00F338AB">
        <w:rPr>
          <w:noProof w:val="0"/>
        </w:rPr>
        <w:t xml:space="preserve">he extended </w:t>
      </w:r>
      <w:r w:rsidR="00EA0A9A" w:rsidRPr="00F338AB">
        <w:rPr>
          <w:noProof w:val="0"/>
        </w:rPr>
        <w:sym w:font="Symbol" w:char="F070"/>
      </w:r>
      <w:r w:rsidR="00EA0A9A" w:rsidRPr="00F338AB">
        <w:rPr>
          <w:noProof w:val="0"/>
        </w:rPr>
        <w:t xml:space="preserve"> system</w:t>
      </w:r>
      <w:r w:rsidR="0022142D" w:rsidRPr="00F338AB">
        <w:rPr>
          <w:noProof w:val="0"/>
        </w:rPr>
        <w:t xml:space="preserve"> and the </w:t>
      </w:r>
      <w:r w:rsidR="00C75DB3" w:rsidRPr="00F338AB">
        <w:rPr>
          <w:noProof w:val="0"/>
        </w:rPr>
        <w:t>more covalent bond character induced by the</w:t>
      </w:r>
      <w:r w:rsidR="0022142D" w:rsidRPr="00F338AB">
        <w:rPr>
          <w:noProof w:val="0"/>
        </w:rPr>
        <w:t xml:space="preserve"> </w:t>
      </w:r>
      <w:r w:rsidR="00584B03" w:rsidRPr="00F338AB">
        <w:rPr>
          <w:noProof w:val="0"/>
        </w:rPr>
        <w:t>indazole</w:t>
      </w:r>
      <w:r w:rsidR="0022142D" w:rsidRPr="00F338AB">
        <w:rPr>
          <w:noProof w:val="0"/>
        </w:rPr>
        <w:t xml:space="preserve"> </w:t>
      </w:r>
      <w:r w:rsidR="006965CE" w:rsidRPr="00F338AB">
        <w:rPr>
          <w:noProof w:val="0"/>
        </w:rPr>
        <w:t>decrease</w:t>
      </w:r>
      <w:r w:rsidR="002224A1" w:rsidRPr="00F338AB">
        <w:rPr>
          <w:noProof w:val="0"/>
        </w:rPr>
        <w:t>s</w:t>
      </w:r>
      <w:r w:rsidR="006965CE" w:rsidRPr="00F338AB">
        <w:rPr>
          <w:noProof w:val="0"/>
        </w:rPr>
        <w:t xml:space="preserve"> the interelectronic repulsion</w:t>
      </w:r>
      <w:r w:rsidR="00BA502C" w:rsidRPr="00F338AB">
        <w:rPr>
          <w:noProof w:val="0"/>
        </w:rPr>
        <w:t xml:space="preserve"> further</w:t>
      </w:r>
      <w:r w:rsidR="006965CE" w:rsidRPr="00F338AB">
        <w:rPr>
          <w:noProof w:val="0"/>
        </w:rPr>
        <w:t xml:space="preserve"> </w:t>
      </w:r>
      <w:r w:rsidR="002224A1" w:rsidRPr="00F338AB">
        <w:rPr>
          <w:noProof w:val="0"/>
        </w:rPr>
        <w:t>stabilizing</w:t>
      </w:r>
      <w:r w:rsidR="006965CE" w:rsidRPr="00F338AB">
        <w:rPr>
          <w:noProof w:val="0"/>
        </w:rPr>
        <w:t xml:space="preserve"> th</w:t>
      </w:r>
      <w:r w:rsidR="00BA502C" w:rsidRPr="00F338AB">
        <w:rPr>
          <w:noProof w:val="0"/>
        </w:rPr>
        <w:t xml:space="preserve">e </w:t>
      </w:r>
      <w:r w:rsidR="002224A1" w:rsidRPr="00F338AB">
        <w:rPr>
          <w:noProof w:val="0"/>
        </w:rPr>
        <w:t>SF</w:t>
      </w:r>
      <w:r w:rsidR="00BA502C" w:rsidRPr="00F338AB">
        <w:rPr>
          <w:noProof w:val="0"/>
        </w:rPr>
        <w:t xml:space="preserve"> excited states.</w:t>
      </w:r>
      <w:r w:rsidR="00D43EE2" w:rsidRPr="00F338AB">
        <w:rPr>
          <w:noProof w:val="0"/>
        </w:rPr>
        <w:t xml:space="preserve"> The recorded excited state lifetime of 111 </w:t>
      </w:r>
      <w:r w:rsidR="00D43EE2" w:rsidRPr="00F338AB">
        <w:rPr>
          <w:noProof w:val="0"/>
        </w:rPr>
        <w:sym w:font="Symbol" w:char="F06D"/>
      </w:r>
      <w:r w:rsidR="00D43EE2" w:rsidRPr="00F338AB">
        <w:rPr>
          <w:noProof w:val="0"/>
        </w:rPr>
        <w:t xml:space="preserve">s in </w:t>
      </w:r>
      <w:r w:rsidR="00D43EE2" w:rsidRPr="00F338AB">
        <w:rPr>
          <w:b/>
          <w:bCs/>
          <w:noProof w:val="0"/>
        </w:rPr>
        <w:t>3</w:t>
      </w:r>
      <w:r w:rsidR="00D43EE2" w:rsidRPr="00F338AB">
        <w:rPr>
          <w:noProof w:val="0"/>
        </w:rPr>
        <w:t xml:space="preserve"> remain</w:t>
      </w:r>
      <w:r w:rsidR="009B0DF6" w:rsidRPr="00F338AB">
        <w:rPr>
          <w:noProof w:val="0"/>
        </w:rPr>
        <w:t>s</w:t>
      </w:r>
      <w:r w:rsidR="00D43EE2" w:rsidRPr="00F338AB">
        <w:rPr>
          <w:noProof w:val="0"/>
        </w:rPr>
        <w:t xml:space="preserve"> </w:t>
      </w:r>
      <w:r w:rsidR="007E6CEC" w:rsidRPr="00F338AB">
        <w:rPr>
          <w:noProof w:val="0"/>
        </w:rPr>
        <w:t xml:space="preserve">among </w:t>
      </w:r>
      <w:r w:rsidR="00D43EE2" w:rsidRPr="00F338AB">
        <w:rPr>
          <w:noProof w:val="0"/>
        </w:rPr>
        <w:t xml:space="preserve">the longest for a molecular ruby emitting </w:t>
      </w:r>
      <w:r w:rsidR="006653FA" w:rsidRPr="00F338AB">
        <w:rPr>
          <w:noProof w:val="0"/>
        </w:rPr>
        <w:t xml:space="preserve">beyond </w:t>
      </w:r>
      <w:r w:rsidR="00D43EE2" w:rsidRPr="00F338AB">
        <w:rPr>
          <w:noProof w:val="0"/>
        </w:rPr>
        <w:t>800 nm.</w:t>
      </w:r>
      <w:r w:rsidR="006965CE" w:rsidRPr="00F338AB">
        <w:rPr>
          <w:noProof w:val="0"/>
        </w:rPr>
        <w:t xml:space="preserve"> </w:t>
      </w:r>
      <w:r w:rsidRPr="00F338AB">
        <w:rPr>
          <w:noProof w:val="0"/>
        </w:rPr>
        <w:t>Th</w:t>
      </w:r>
      <w:r w:rsidR="00BA502C" w:rsidRPr="00F338AB">
        <w:rPr>
          <w:noProof w:val="0"/>
        </w:rPr>
        <w:t>ese</w:t>
      </w:r>
      <w:r w:rsidRPr="00F338AB">
        <w:rPr>
          <w:noProof w:val="0"/>
        </w:rPr>
        <w:t xml:space="preserve"> discover</w:t>
      </w:r>
      <w:r w:rsidR="00BA502C" w:rsidRPr="00F338AB">
        <w:rPr>
          <w:noProof w:val="0"/>
        </w:rPr>
        <w:t>ies</w:t>
      </w:r>
      <w:r w:rsidRPr="00F338AB">
        <w:rPr>
          <w:noProof w:val="0"/>
        </w:rPr>
        <w:t xml:space="preserve"> </w:t>
      </w:r>
      <w:r w:rsidR="002224A1" w:rsidRPr="00F338AB">
        <w:rPr>
          <w:noProof w:val="0"/>
        </w:rPr>
        <w:t>signify</w:t>
      </w:r>
      <w:r w:rsidRPr="00F338AB">
        <w:rPr>
          <w:noProof w:val="0"/>
        </w:rPr>
        <w:t xml:space="preserve"> an underexplored avenue for modifying deactivation pathways</w:t>
      </w:r>
      <w:r w:rsidR="00BA502C" w:rsidRPr="00F338AB">
        <w:rPr>
          <w:noProof w:val="0"/>
        </w:rPr>
        <w:t xml:space="preserve"> and emission energy </w:t>
      </w:r>
      <w:r w:rsidRPr="00F338AB">
        <w:rPr>
          <w:noProof w:val="0"/>
        </w:rPr>
        <w:t>while retaining high quantum yield</w:t>
      </w:r>
      <w:r w:rsidR="00BA502C" w:rsidRPr="00F338AB">
        <w:rPr>
          <w:noProof w:val="0"/>
        </w:rPr>
        <w:t>s</w:t>
      </w:r>
      <w:r w:rsidRPr="00F338AB">
        <w:rPr>
          <w:noProof w:val="0"/>
        </w:rPr>
        <w:t xml:space="preserve"> </w:t>
      </w:r>
      <w:r w:rsidR="00BA502C" w:rsidRPr="00F338AB">
        <w:rPr>
          <w:noProof w:val="0"/>
        </w:rPr>
        <w:t>and long-lived excited states in molecular rubies.</w:t>
      </w:r>
    </w:p>
    <w:p w14:paraId="179492B4" w14:textId="7FFB0B24" w:rsidR="00B03A7F" w:rsidRPr="00F338AB" w:rsidRDefault="00B03A7F" w:rsidP="00B03A7F">
      <w:pPr>
        <w:pStyle w:val="RSCB04AHeadingSection"/>
      </w:pPr>
      <w:r w:rsidRPr="00F338AB">
        <w:t>Introduction</w:t>
      </w:r>
    </w:p>
    <w:p w14:paraId="1D71C147" w14:textId="0D13898D" w:rsidR="00C862C2" w:rsidRPr="00F338AB" w:rsidRDefault="00B03A7F" w:rsidP="00C862C2">
      <w:pPr>
        <w:pStyle w:val="RSCB02ArticleText"/>
      </w:pPr>
      <w:r w:rsidRPr="00F338AB">
        <w:t xml:space="preserve">The increasing interest and need for a more sustainable photochemistry has challenged scientists to develop photoactive metal complexes based on earth-abundant metals such as </w:t>
      </w:r>
      <w:proofErr w:type="spellStart"/>
      <w:r w:rsidRPr="00F338AB">
        <w:t>Co</w:t>
      </w:r>
      <w:r w:rsidR="00030AAC" w:rsidRPr="00F338AB">
        <w:rPr>
          <w:vertAlign w:val="superscript"/>
        </w:rPr>
        <w:t>III</w:t>
      </w:r>
      <w:proofErr w:type="spellEnd"/>
      <w:r w:rsidRPr="00F338AB">
        <w:t>, V</w:t>
      </w:r>
      <w:r w:rsidRPr="00F338AB">
        <w:rPr>
          <w:vertAlign w:val="superscript"/>
        </w:rPr>
        <w:t>III</w:t>
      </w:r>
      <w:r w:rsidRPr="00F338AB">
        <w:t xml:space="preserve">, </w:t>
      </w:r>
      <w:proofErr w:type="spellStart"/>
      <w:r w:rsidRPr="00F338AB">
        <w:t>Fe</w:t>
      </w:r>
      <w:r w:rsidRPr="00F338AB">
        <w:rPr>
          <w:vertAlign w:val="superscript"/>
        </w:rPr>
        <w:t>II</w:t>
      </w:r>
      <w:proofErr w:type="spellEnd"/>
      <w:r w:rsidRPr="00F338AB">
        <w:t xml:space="preserve">, </w:t>
      </w:r>
      <w:proofErr w:type="spellStart"/>
      <w:r w:rsidRPr="00F338AB">
        <w:t>Fe</w:t>
      </w:r>
      <w:r w:rsidRPr="00F338AB">
        <w:rPr>
          <w:vertAlign w:val="superscript"/>
        </w:rPr>
        <w:t>III</w:t>
      </w:r>
      <w:proofErr w:type="spellEnd"/>
      <w:r w:rsidRPr="00F338AB">
        <w:t xml:space="preserve">, </w:t>
      </w:r>
      <w:proofErr w:type="spellStart"/>
      <w:r w:rsidRPr="00F338AB">
        <w:t>Mn</w:t>
      </w:r>
      <w:r w:rsidRPr="00F338AB">
        <w:rPr>
          <w:vertAlign w:val="superscript"/>
        </w:rPr>
        <w:t>I</w:t>
      </w:r>
      <w:proofErr w:type="spellEnd"/>
      <w:r w:rsidRPr="00F338AB">
        <w:t>, Cr</w:t>
      </w:r>
      <w:r w:rsidRPr="00F338AB">
        <w:rPr>
          <w:vertAlign w:val="superscript"/>
        </w:rPr>
        <w:t>0</w:t>
      </w:r>
      <w:r w:rsidRPr="00F338AB">
        <w:t xml:space="preserve"> or Cr</w:t>
      </w:r>
      <w:r w:rsidRPr="00F338AB">
        <w:rPr>
          <w:vertAlign w:val="superscript"/>
        </w:rPr>
        <w:t>III</w:t>
      </w:r>
      <w:r w:rsidRPr="00F338AB">
        <w:t>.</w:t>
      </w:r>
      <w:r w:rsidRPr="00F338AB">
        <w:fldChar w:fldCharType="begin" w:fldLock="1"/>
      </w:r>
      <w:r w:rsidR="006B462E" w:rsidRPr="00F338AB">
        <w:instrText xml:space="preserve">ADDIN CSL_CITATION {"citationItems":[{"id":"ITEM-1","itemData":{"DOI":"10.1039/c9cs00573k","ISSN":"14604744","PMID":"32025671","abstract":"Recent exciting developments in the area of mononuclear photoactive complexes with Earth-abundant metal ions (Cu, Zr, Fe, Cr) for potential eco-friendly applications in (phosphorescent) organic light emitting diodes, in imaging and sensing systems, in dye-sensitized solar cells and as photocatalysts are presented. Challenges, in particular the extension of excited state lifetimes, and recent conceptual breakthroughs in substituting precious and rare-Earth metal ions (e.g. Ru, Ir, Pt, Au, Eu) in these applications by abundant ions are outlined with selected examples. Relevant fundamentals of photophysics and photochemistry are discussed first, followed by conceptual and instructive case studies.","author":[{"dropping-particle":"","family":"Förster","given":"Christoph","non-dropping-particle":"","parse-names":false,"suffix":""},{"dropping-particle":"","family":"Heinze","given":"Katja","non-dropping-particle":"","parse-names":false,"suffix":""}],"container-title":"Chemical Society Reviews","id":"ITEM-1","issue":"4","issued":{"date-parts":[["2020"]]},"page":"1057-1070","publisher":"Royal Society of Chemistry","title":"Photophysics and photochemistry with Earth-abundant metals-fundamentals and concepts","type":"article-journal","volume":"49"},"uris":["http://www.mendeley.com/documents/?uuid=352c014f-4e94-4865-9585-45e0d2308c0a"]},{"id":"ITEM-2","itemData":{"DOI":"10.1021/jacs.8b08822","ISSN":"15205126","PMID":"30351136","abstract":"In this invited Perspective, recent developments and possible future directions of research on photoactive coordination compounds made from nonprecious transition metal elements will be discussed. The focus is on conceptually new, structurally well-characterized complexes with excited-state lifetimes between 10 ps and 1 ms in fluid solution for possible applications in photosensitizing, light-harvesting, luminescence and catalysis. The key metal elements considered herein are Cr, Mn, Fe, Co, Ni, Cu, Zn, Zr, Mo, W and Ce in various oxidation states equipped with diverse ligands, giving access to long-lived excited states via a range of fundamentally different types of electronic transitions. Research performed in this area over the past five years demonstrated that a much broader spectrum of metal complexes than what was long considered relevant exhibits useful photophysics and photochemistry.","author":[{"dropping-particle":"","family":"Wenger","given":"Oliver S.","non-dropping-particle":"","parse-names":false,"suffix":""}],"container-title":"Journal of the American Chemical Society","genre":"review-article","id":"ITEM-2","issue":"42","issued":{"date-parts":[["2018"]]},"page":"13522-13533","publisher":"American Chemical Society","title":"Photoactive Complexes with Earth-Abundant Metals","type":"article-journal","volume":"140"},"uris":["http://www.mendeley.com/documents/?uuid=6b5d3ef7-e495-40b8-a91f-4f665793db11"]},{"id":"ITEM-3","itemData":{"DOI":"10.1021/jacsau.1c00353","ISSN":"26913704","abstract":"Precious and rare elements have traditionally dominated inorganic photophysics and photochemistry, but now we are witnessing a paradigm shift toward cheaper and more abundant metals. Even though emissive complexes based on selected first-row transition metals have long been known, recent conceptual breakthroughs revealed that a much broader range of elements in different oxidation states are useable for this purpose. Coordination compounds of V, Cr, Mn, Fe, Co, Ni, and Cu now show electronically excited states with unexpected reactivity and photoluminescence behavior. Aside from providing a compact survey of the recent conceptual key advances in this dynamic field, our Perspective identifies the main design strategies that enabled the discovery of fundamentally new types of 3d-metal-based luminophores and photosensitizers operating in solution at room temperature.","author":[{"dropping-particle":"","family":"Wegeberg","given":"Christina","non-dropping-particle":"","parse-names":false,"suffix":""},{"dropping-particle":"","family":"Wenger","given":"Oliver S","non-dropping-particle":"","parse-names":false,"suffix":""}],"container-title":"JACS Au","id":"ITEM-3","issue":"11","issued":{"date-parts":[["2021"]]},"page":"1860-1876","title":"Luminescent First-Row Transition Metal Complexes","type":"article","volume":"1"},"uris":["http://www.mendeley.com/documents/?uuid=4d6c9fc4-f26b-3103-bd3e-9d0558624265"]},{"id":"ITEM-4","itemData":{"DOI":"10.1021/jacs.0c12151","ISSN":"15205126","PMID":"33449685","abstract":"The photofunctionality of the cobalt-hexacarbene complex [Co(III)(PhB(MeIm)3)2]+ (PhB(MeIm)3 = tris(3-methylimidazolin-2-ylidene)(phenyl)borate) has been investigated by time-resolved optical spectroscopy. The complex displays a weak (φ </w:instrText>
      </w:r>
      <w:r w:rsidR="006B462E" w:rsidRPr="00F338AB">
        <w:rPr>
          <w:rFonts w:ascii="Cambria Math" w:hAnsi="Cambria Math" w:cs="Cambria Math"/>
        </w:rPr>
        <w:instrText>∼</w:instrText>
      </w:r>
      <w:r w:rsidR="006B462E" w:rsidRPr="00F338AB">
        <w:instrText>10-4) but remarkably long-lived (</w:instrText>
      </w:r>
      <w:r w:rsidR="006B462E" w:rsidRPr="00F338AB">
        <w:rPr>
          <w:rFonts w:ascii="Calibri" w:hAnsi="Calibri" w:cs="Calibri"/>
        </w:rPr>
        <w:instrText>τ</w:instrText>
      </w:r>
      <w:r w:rsidR="006B462E" w:rsidRPr="00F338AB">
        <w:instrText xml:space="preserve"> </w:instrText>
      </w:r>
      <w:r w:rsidR="006B462E" w:rsidRPr="00F338AB">
        <w:rPr>
          <w:rFonts w:ascii="Cambria Math" w:hAnsi="Cambria Math" w:cs="Cambria Math"/>
        </w:rPr>
        <w:instrText>∼</w:instrText>
      </w:r>
      <w:r w:rsidR="006B462E" w:rsidRPr="00F338AB">
        <w:instrText xml:space="preserve">1 </w:instrText>
      </w:r>
      <w:r w:rsidR="006B462E" w:rsidRPr="00F338AB">
        <w:rPr>
          <w:rFonts w:ascii="Calibri" w:hAnsi="Calibri" w:cs="Calibri"/>
        </w:rPr>
        <w:instrText>μ</w:instrText>
      </w:r>
      <w:r w:rsidR="006B462E" w:rsidRPr="00F338AB">
        <w:instrText>s) orange photoluminescence at 690 nm in solution at room temperature following excitation with wavelengths shorter than 350 nm. The strongly red-shifted emission is assigned from the spectroscopic evidence and quantum chemical calculations as a rare case of luminescence from a metal-centered state in a 3d6 complex. Singlet oxygen quenching supports the assignment of the emitting state as a triplet metal-centered state and underlines its capability of driving excitation energy transfer processes.","author":[{"dropping-particle":"","family":"Kaufhold","given":"Simon","non-dropping-particle":"","parse-names":false,"suffix":""},{"dropping-particle":"","family":"Rosemann","given":"Nils W.","non-dropping-particle":"","parse-names":false,"suffix":""},{"dropping-particle":"","family":"Chábera","given":"Pavel","non-dropping-particle":"","parse-names":false,"suffix":""},{"dropping-particle":"","family":"Lindh","given":"Linnea","non-dropping-particle":"","parse-names":false,"suffix":""},{"dropping-particle":"","family":"Bolaño Losada","given":"Iria","non-dropping-particle":"","parse-names":false,"suffix":""},{"dropping-particle":"","family":"Uhlig","given":"Jens","non-dropping-particle":"","parse-names":false,"suffix":""},{"dropping-particle":"","family":"Pascher","given":"Torbjörn","non-dropping-particle":"","parse-names":false,"suffix":""},{"dropping-particle":"","family":"Strand","given":"Daniel","non-dropping-particle":"","parse-names":false,"suffix":""},{"dropping-particle":"","family":"Wärnmark","given":"Kenneth","non-dropping-particle":"","parse-names":false,"suffix":""},{"dropping-particle":"","family":"Yartsev","given":"Arkady","non-dropping-particle":"","parse-names":false,"suffix":""},{"dropping-particle":"","family":"Persson","given":"Petter","non-dropping-particle":"","parse-names":false,"suffix":""}],"container-title":"Journal of the American Chemical Society","id":"ITEM-4","issue":"3","issued":{"date-parts":[["2021"]]},"page":"1307-1312","title":"Microsecond Photoluminescence and Photoreactivity of a Metal-Centered Excited State in a Hexacarbene-Co(III) Complex","type":"article-journal","volume":"143"},"uris":["http://www.mendeley.com/documents/?uuid=d0587f77-c2be-4cd0-a602-2c4e39b54fd6"]},{"id":"ITEM-5","itemData":{"DOI":"10.1002/ange.201802532","ISSN":"0044-8249","abstract":"The first examples of room temperature (r.t.) luminescent Co(III) complexes (1 and 2) are presented that exhibit intense ligand- to-metal and ligand-to-ligand charge transfer absorption in the low energy UV region (labs ~ 360-400 nm) and low-negative quasi- reversible reduction events (E1/2(red) = -0.58 V and -0.39 V vs. SCE for 1 and 2, respectively). The blue emission of 1 and 2 at r.t. is due to the large bite angles and strong s-donation of the ligands, the combined effect of which helps to separate the emissive 3LMCT (triplet ligand-to-metal charge transfer) and the non-emissive 3MC (triplet metal-centered) states. 1 and 2 were found to be powerful photo-oxidants (ECo(III)*/Co(II) = 2.26 V and 2.75 V vs. SCE of 1 and 2, respectively) and were used as inexpensive photoredox catalysts for the regioselective mono(trifluoromethylation) of polycyclic aromatic hydrocarbons (PAHs) in good yields (~ 40-58%).","author":[{"dropping-particle":"","family":"Pal","given":"Amlan K.","non-dropping-particle":"","parse-names":false,"suffix":""},{"dropping-particle":"","family":"Li","given":"Chenfei","non-dropping-particle":"","parse-names":false,"suffix":""},{"dropping-particle":"","family":"Hanan","given":"Garry S.","non-dropping-particle":"","parse-names":false,"suffix":""},{"dropping-particle":"","family":"Zysman‐Colman","given":"Eli","non-dropping-particle":"","parse-names":false,"suffix":""}],"container-title":"Angewandte Chemie","id":"ITEM-5","issue":"27","issued":{"date-parts":[["2018"]]},"page":"8159-8163","title":"Blue‐Emissive Cobalt(III) Complexes and Their Use in the Photocatalytic Trifluoromethylation of Polycyclic Aromatic Hydrocarbons","type":"article-journal","volume":"130"},"uris":["http://www.mendeley.com/documents/?uuid=59a96382-1092-4bd8-83cd-69e02a3bd5d9"]},{"id":"ITEM-6","itemData":{"DOI":"10.1021/jacs.0c02122","ISSN":"15205126","abstract":"Luminescence from Earth-abundant metal ions in solution at room temperature is a very challenging objective due to the intrinsically weak ligand field splitting of first-row transition metal ions, which leads to efficient nonradiative deactivation via metal-centered states. Only a handful of 3dn metal complexes (n ≠ 10) show sizable luminescence at room temperature. Luminescence in the near-infrared spectral region is even more difficult to achieve as further nonradiative pathways come into play. No Earth-abundant first-row transition metal complexes have displayed emission &gt;1000 nm at room temperature in solution up to now. Here, we report the vanadium(III) complex mer-[V(ddpd)2][PF6]3 yielding phosphorescence around 1100 nm in valeronitrile glass at 77 K as well as at room temperature in acetonitrile with 1.8 × 10-4% quantum yield (ddpd = N,N′-dimethyl-N,N′-dipyridine-2-ylpyridine-2,6-diamine). In addition, mer-[V(ddpd)2][PF6]3 shows very strong blue fluorescence with 2% quantum yield in acetonitrile at room temperature. Our comprehensive study demonstrates that vanadium(III) complexes with d2 electron configuration constitute a new class of blue and NIR-II luminophores, which complement the classical established complexes of expensive precious metals and rare-earth elements.","author":[{"dropping-particle":"","family":"Dorn","given":"Matthias","non-dropping-particle":"","parse-names":false,"suffix":""},{"dropping-particle":"","family":"Kalmbach","given":"Jens","non-dropping-particle":"","parse-names":false,"suffix":""},{"dropping-particle":"","family":"Boden","given":"Pit","non-dropping-particle":"","parse-names":false,"suffix":""},{"dropping-particle":"","family":"Päpcke","given":"Ayla","non-dropping-particle":"","parse-names":false,"suffix":""},{"dropping-particle":"","family":"Gómez","given":"Sandra","non-dropping-particle":"","parse-names":false,"suffix":""},{"dropping-particle":"","family":"Förster","given":"Christoph","non-dropping-particle":"","parse-names":false,"suffix":""},{"dropping-particle":"","family":"Kuczelinis","given":"Felix","non-dropping-particle":"","parse-names":false,"suffix":""},{"dropping-particle":"","family":"Carrella","given":"Luca M.","non-dropping-particle":"","parse-names":false,"suffix":""},{"dropping-particle":"","family":"Büldt","given":"Laura A.","non-dropping-particle":"","parse-names":false,"suffix":""},{"dropping-particle":"","family":"Bings","given":"Nicolas H.","non-dropping-particle":"","parse-names":false,"suffix":""},{"dropping-particle":"","family":"Rentschler","given":"Eva","non-dropping-particle":"","parse-names":false,"suffix":""},{"dropping-particle":"","family":"Lochbrunner","given":"Stefan","non-dropping-particle":"","parse-names":false,"suffix":""},{"dropping-particle":"","family":"González","given":"Leticia","non-dropping-particle":"","parse-names":false,"suffix":""},{"dropping-particle":"","family":"Gerhards","given":"Markus","non-dropping-particle":"","parse-names":false,"suffix":""},{"dropping-particle":"","family":"Seitz","given":"Michael","non-dropping-particle":"","parse-names":false,"suffix":""},{"dropping-particle":"","family":"Heinze","given":"Katja","non-dropping-particle":"","parse-names":false,"suffix":""}],"container-title":"Journal of the American Chemical Society","id":"ITEM-6","issue":"17","issued":{"date-parts":[["2020"]]},"page":"7947-7955","title":"A Vanadium(III) Complex with Blue and NIR-II Spin-Flip Luminescence in Solution","type":"article-journal","volume":"142"},"uris":["http://www.mendeley.com/documents/?uuid=9a953763-0559-4866-8f9a-73f17b8eaca0"]},{"id":"ITEM-7","itemData":{"DOI":"10.1038/s41557-021-00744-9","ISSN":"17554349","PMID":"34341527","abstract":"Precious metal complexes with the d6 valence electron configuration often exhibit luminescent metal-to-ligand charge transfer (MLCT) excited states, which form the basis for many applications in lighting, sensing, solar cells and synthetic photochemistry. Iron(ii) has received much attention as a possible Earth-abundant alternative, but to date no iron(ii) complex has been reported to show MLCT emission upon continuous-wave excitation. Manganese(i) has the same electron configuration as that of iron(ii), but until now has typically been overlooked in the search for cheap MLCT luminophores. Here we report that isocyanide chelate ligands give access to air-stable manganese(i) complexes that exhibit MLCT luminescence in solution at room temperature. These compounds were successfully used as photosensitizers for energy- and electron-transfer reactions and were shown to promote the photoisomerization of trans-stilbene. The observable electron transfer photoreactivity occurred from the emissive MLCT state, whereas the triplet energy transfer photoreactivity originated from a ligand-centred 3π–π* state. [Figure not available: see fulltext.]","author":[{"dropping-particle":"","family":"Herr","given":"Patrick","non-dropping-particle":"","parse-names":false,"suffix":""},{"dropping-particle":"","family":"Kerzig","given":"Christoph","non-dropping-particle":"","parse-names":false,"suffix":""},{"dropping-particle":"","family":"Larsen","given":"Christopher B.","non-dropping-particle":"","parse-names":false,"suffix":""},{"dropping-particle":"","family":"Häussinger","given":"Daniel","non-dropping-particle":"","parse-names":false,"suffix":""},{"dropping-particle":"","family":"Wenger","given":"Oliver S.","non-dropping-particle":"","parse-names":false,"suffix":""}],"container-title":"Nature Chemistry","id":"ITEM-7","issue":"10","issued":{"date-parts":[["2021"]]},"page":"956-962","title":"Manganese(i) complexes with metal-to-ligand charge transfer luminescence and photoreactivity","type":"article-journal","volume":"13"},"uris":["http://www.mendeley.com/documents/?uuid=22a40f86-fccd-4219-8fab-0fe2d75e546c"]},{"id":"ITEM-8","itemData":{"DOI":"10.1021/jacs.6b11803","ISSN":"15205126","PMID":"28054486","abstract":"A mete-terphenyl unit was substituted with an isocyanide group on each of its two terminal aryls to afford a bidentate chelating ligand (CNtBuAr3NC) that is able to stabilize chromium in its zerovalent oxidation state. The homoleptic Cr(CNtBuAr3NC)3 complex luminesces in solution at room temperature, and its excited-state lifetime (2.2 ns in deaerated THF at 20 °C) is nearly 2 orders of magnitude longer than the current record lifetime for isoelectronic Fe(II) complexes, which are of significant interest as earth-abundant sensitizers in dye-sensitized solar cells. Due to its chelating ligands, Cr(CNtBuAr3NC)3 is more robust than Cr(0) complexes with carbonyl or monodentate isocyanides, manifesting in comparatively slow photodegradation. In the presence of excess anthracene in solution, efficient energy transfer and subsequent triplet-triplet annihilation upconversion is observed. With an excited-state oxidation potential of -2.43 V vs Fc+/Fc, the Cr(0) complex is a very strong photoreductant. The findings presented herein are relevant for replacement of precious metals in dye-sensitized solar cells and in luminescent devices by earth-abundant elements.","author":[{"dropping-particle":"","family":"Büldt","given":"Laura A.","non-dropping-particle":"","parse-names":false,"suffix":""},{"dropping-particle":"","family":"Guo","given":"Xingwei","non-dropping-particle":"","parse-names":false,"suffix":""},{"dropping-particle":"","family":"Vogel","given":"Raphael","non-dropping-particle":"","parse-names":false,"suffix":""},{"dropping-particle":"","family":"Prescimone","given":"Alessandro","non-dropping-particle":"","parse-names":false,"suffix":""},{"dropping-particle":"","family":"Wenger","given":"Oliver S.","non-dropping-particle":"","parse-names":false,"suffix":""}],"container-title":"Journal of the American Chemical Society","id":"ITEM-8","issue":"2","issued":{"date-parts":[["2017"]]},"page":"985-992","title":"A tris(diisocyanide)chromium(0) complex is a luminescent analog of Fe(2,2'-bipyridine)32+","type":"article-journal","volume":"139"},"uris":["http://www.mendeley.com/documents/?uuid=d5c74b2d-7145-46dd-ad34-48d1141b735c"]},{"id":"ITEM-9","itemData":{"DOI":"10.1021/jacs.1c02451","ISSN":"15205126","PMID":"34014077","abstract":"The development of chromophores based on earth-abundant transition metals whose photophysical properties are dominated by their charge-transfer excited states has inspired considerable research over the past decade. One challenge associated with this effort is satisfying the dual requirements of a strong ligand field and chemical tunability of the compound's absorptive cross-section. Herein we explore one possible approach using a heteroleptic compositional motif that combines both of these attributes into a single compound. With the parent complex [Fe(phen)3]2+ (1; where phen is 1,10-phenanthroline) as the starting material, replacement of one of the phen ligands for two cyanides to obtain Fe(phen)2(CN)2 (2) allows for conversion to [Fe(phen)2(C4H10N4)]2+ (3), a six-coordinate Fe(II) complex whose coordination sphere consists of two chelating polypyridyl ligands and one bidentate carbene-based donor. Ground-state absorption spectra of all three compounds exhibit 1A1 → 1MLCT transition(s) associated with the phen ligands that are relatively insensitive to the identity of the third counterligand(s). Ultrafast time-resolved electronic absorption measurements revealed lifetimes for the MLCT excited states of compounds 1 and 2 of 180 ± 30 and 250 ± 90 fs, respectively, values that are typical for iron(II)-based polypyridyl complexes. The corresponding kinetics for compound 3 were substantially slower at 7.4 ± 0.9 ps; the spectral evolution associated with these dynamics confirms that these kinetics are tracking the MLCT excited state and, more importantly, are coupled to ground-state recovery from this excited state. The data are interpreted in terms of a modulation of the relative energies of the MLCT and ligand-field states across the series, leading to a systematic destabilization of metal-localized ligand-field excited states such that the low-energy portions of the charge-transfer and ligand-field manifolds are at or near an energetic inversion point in compound 3. We believe these results illustrate the potential for a modular, orthogonal approach to chromophore design in which part of the coordination sphere can be targeted for light absorption while another can be used to tune electronic-state energetics.","author":[{"dropping-particle":"","family":"Paulus","given":"Bryan C.","non-dropping-particle":"","parse-names":false,"suffix":""},{"dropping-particle":"","family":"Nielsen","given":"Karl C.","non-dropping-particle":"","parse-names":false,"suffix":""},{"dropping-particle":"","family":"Tichnell","given":"Christopher R.","non-dropping-particle":"","parse-names":false,"suffix":""},{"dropping-particle":"","family":"Carey","given":"Monica C.","non-dropping-particle":"","parse-names":false,"suffix":""},{"dropping-particle":"","family":"McCusker","given":"James K.","non-dropping-particle":"","parse-names":false,"suffix":""}],"container-title":"Journal of the American Chemical Society","id":"ITEM-9","issue":"21","issued":{"date-parts":[["2021"]]},"page":"8086-8098","title":"A Modular Approach to Light Capture and Synthetic Tuning of the Excited-State Properties of Fe(II)-Based Chromophores","type":"article-journal","volume":"143"},"uris":["http://www.mendeley.com/documents/?uuid=22ef4b02-663a-458a-91a8-2d43b2a9f624"]},{"id":"ITEM-10","itemData":{"DOI":"10.1021/jacs.9b06524","ISSN":"15205126","PMID":"31353904","abstract":"The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parameters assigned the absolute configurations of the two enantiomers. Circularly polarized luminescence (CPL) spectra showed two polarized emission bands within the NIR region corresponding to the characteristic metal-centered spin-flip Cr(2E → 4A2) and Cr(2T1 → 4A2) transitions with exceptionally high dissymmetry factors, |glum|, of 0.2 and 0.1, respectively, which are comparable to those reported for rare-earth chiral complexes. Photophysical properties also revealed an extremely long excited-state lifetime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metals.","author":[{"dropping-particle":"","family":"Jiménez","given":"Juan 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G.","non-dropping-particle":"","parse-names":false,"suffix":""},{"dropping-particle":"","family":"Piguet","given":"Claude","non-dropping-particle":"","parse-names":false,"suffix":""}],"container-title":"Journal of the American Chemical Society","id":"ITEM-10","issue":"33","issued":{"date-parts":[["2019"]]},"page":"13244-13252","title":"Chiral Molecular Ruby [Cr(dqp)2]3+ with Long-Lived Circularly Polarized Luminescence","type":"article-journal","volume":"141"},"uris":["http://www.mendeley.com/documents/?uuid=c7c99518-e905-4ab9-9073-0461e8253f76"]},{"id":"ITEM-11","itemData":{"DOI":"10.1002/anie.201504894","ISSN":"15213773","PMID":"26267153","abstract":"Bright,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Ed.","id":"ITEM-11","issue":"39","issued":{"date-parts":[["2015"]]},"page":"11572-11576","title":"[Cr(ddpd)2]3+: A Molecular, Water-Soluble, Highly NIR-Emissive Ruby Analogue","type":"article-journal","volume":"54"},"uris":["http://www.mendeley.com/documents/?uuid=0a3706c5-a6de-47dd-9353-4dd84c29e580"]},{"id":"ITEM-12","itemData":{"DOI":"10.1038/s41557-023-01137-w","ISSN":"17554349","abstract":"Although iron is a dream candidate to substitute noble metals in photoactive complexes, realization of emissive and photoactive iron compounds is demanding due to the fast deactivation of their charge-transfer states. Emissive iron compounds are scarce and dual emission has not been observed before. Here we report the FeIII complex [Fe(ImP)2][PF6] (HImP = 1,1′-(1,3-phenylene)bis(3-methyl-1-imidazol-2-ylidene)), showing a Janus-type dual emission from ligand-to-metal charge transfer (LMCT)- and metal-to-ligand charge transfer (MLCT)-dominated states. This behaviour is achieved by a ligand design that combines four N-heterocyclic carbenes with two cyclometalating aryl units. The low-lying π* levels of the cyclometalating units lead to energetically accessible MLCT states that cannot evolve into LMCT states. With a lifetime of 4.6 ns, the strongly reducing and oxidizing MLCT-dominated state can initiate electron transfer reactions, which could constitute a basis for future applications of iron in photoredox catalysis. [Figure not available: see fulltext.].","author":[{"dropping-particle":"","family":"Steube","given":"Jakob","non-dropping-particle":"","parse-names":false,"suffix":""},{"dropping-particle":"","family":"Kruse","given":"Ayla","non-dropping-particle":"","parse-names":false,"suffix":""},{"dropping-particle":"","family":"Bokareva","given":"Olga S.","non-dropping-particle":"","parse-names":false,"suffix":""},{"dropping-particle":"","family":"Reuter","given":"Thomas","non-dropping-particle":"","parse-names":false,"suffix":""},{"dropping-particle":"","family":"Demeshko","given":"Serhiy","non-dropping-particle":"","parse-names":false,"suffix":""},{"dropping-particle":"","family":"Schoch","given":"Roland","non-dropping-particle":"","parse-names":false,"suffix":""},{"dropping-particle":"","family":"Argüello Cordero","given":"Miguel A.","non-dropping-particle":"","parse-names":false,"suffix":""},{"dropping-particle":"","family":"Krishna","given":"Athul","non-dropping-particle":"","parse-names":false,"suffix":""},{"dropping-particle":"","family":"Hohloch","given":"Stephan","non-dropping-particle":"","parse-names":false,"suffix":""},{"dropping-particle":"","family":"Meyer","given":"Franc","non-dropping-particle":"","parse-names":false,"suffix":""},{"dropping-particle":"","family":"Heinze","given":"Katja","non-dropping-particle":"","parse-names":false,"suffix":""},{"dropping-particle":"","family":"Kühn","given":"Oliver","non-dropping-particle":"","parse-names":false,"suffix":""},{"dropping-particle":"","family":"Lochbrunner","given":"Stefan","non-dropping-particle":"","parse-names":false,"suffix":""},{"dropping-particle":"","family":"Bauer","given":"Matthias","non-dropping-particle":"","parse-names":false,"suffix":""}],"container-title":"Nature Chemistry","id":"ITEM-12","issue":"April","issued":{"date-parts":[["2023"]]},"publisher":"Springer US","title":"Janus-type emission from a cyclometalated iron(iii) complex","type":"article-journal","volume":"15"},"uris":["http://www.mendeley.com/documents/?uuid=c3d06fdb-e8f9-491b-bc37-029eb138d046"]},{"id":"ITEM-13","itemData":{"DOI":"10.1126/science.aau7160","ISSN":"10959203","PMID":"30498167","abstract":"Iron’s abundance and rich coordination chemistry are potentially appealing features for photochemical applications. However, the photoexcitable charge-transfer states of most iron complexes are limited by picosecond or subpicosecond deactivation through low-lying metal-centered states, resulting in inefficient electron-transfer reactivity and complete lack of photoluminescence. In this study, we show that octahedral coordination of iron(III) by two mono-anionic facial tris-carbene ligands can markedly suppress such deactivation.The resulting complex [Fe(phtmeimb) 2 ] + , where phtmeimb is {phenyl[tris(3-methylimidazol-1-ylidene)] borate} − , exhibits strong, visible, room temperature photoluminescence with a 2.0-nanosecond lifetime and 2% quantum yield via spin-allowed transition from a doublet ligand-to-metal charge-transfer ( 2 LMCT) state to the doublet ground state. Reductive and oxidative electron-transfer reactions were observed for the 2 LMCT state of [Fe(phtmeimb) 2 ] + in bimolecular quenching studies with methylviologen and diphenylamine.","author":[{"dropping-particle":"","family":"Kjær","given":"Kasper Skov","non-dropping-particle":"","parse-names":false,"suffix":""},{"dropping-particle":"","family":"Kaul","given":"Nidhi","non-dropping-particle":"","parse-names":false,"suffix":""},{"dropping-particle":"","family":"Prakash","given":"Om","non-dropping-particle":"","parse-names":false,"suffix":""},{"dropping-particle":"","family":"Chábera","given":"Pavel","non-dropping-particle":"","parse-names":false,"suffix":""},{"dropping-particle":"","family":"Rosemann","given":"Nils W.","non-dropping-particle":"","parse-names":false,"suffix":""},{"dropping-particle":"","family":"Honarfar","given":"Alireza","non-dropping-particle":"","parse-names":false,"suffix":""},{"dropping-particle":"","family":"Gordivska","given":"Olga","non-dropping-particle":"","parse-names":false,"suffix":""},{"dropping-particle":"","family":"Fredin","given":"Lisa A.","non-dropping-particle":"","parse-names":false,"suffix":""},{"dropping-particle":"","family":"Bergquist","given":"Karl Erik","non-dropping-particle":"","parse-names":false,"suffix":""},{"dropping-particle":"","family":"Häggström","given":"Lennart","non-dropping-particle":"","parse-names":false,"suffix":""},{"dropping-particle":"","family":"Ericsson","given":"Tore","non-dropping-particle":"","parse-names":false,"suffix":""},{"dropping-particle":"","family":"Lindh","given":"Linnea","non-dropping-particle":"","parse-names":false,"suffix":""},{"dropping-particle":"","family":"Yartsev","given":"Arkady","non-dropping-particle":"","parse-names":false,"suffix":""},{"dropping-particle":"","family":"Styring","given":"Stenbjörn","non-dropping-particle":"","parse-names":false,"suffix":""},{"dropping-particle":"","family":"Huang","given":"Ping","non-dropping-particle":"","parse-names":false,"suffix":""},{"dropping-particle":"","family":"Uhlig","given":"Jens","non-dropping-particle":"","parse-names":false,"suffix":""},{"dropping-particle":"","family":"Bendix","given":"Jesper","non-dropping-particle":"","parse-names":false,"suffix":""},{"dropping-particle":"","family":"Strand","given":"Daniel","non-dropping-particle":"","parse-names":false,"suffix":""},{"dropping-particle":"","family":"Sundström","given":"Villy","non-dropping-particle":"","parse-names":false,"suffix":""},{"dropping-particle":"","family":"Persson","given":"Petter","non-dropping-particle":"","parse-names":false,"suffix":""},{"dropping-particle":"","family":"Lomoth","given":"Reiner","non-dropping-particle":"","parse-names":false,"suffix":""},{"dropping-particle":"","family":"Wärnmark","given":"Kenneth","non-dropping-particle":"","parse-names":false,"suffix":""}],"container-title":"Science","id":"ITEM-13","issue":"6424","issued":{"date-parts":[["2019"]]},"page":"249-253","title":"Luminescence and reactivity of a charge-transfer excited iron complex with nanosecond lifetime","type":"article-journal","volume":"363"},"uris":["http://www.mendeley.com/documents/?uuid=180b68b8-1f57-4391-9fc9-c00b8f60686b"]},{"id":"ITEM-14","itemData":{"DOI":"10.1038/nature21430","ISSN":"14764687","PMID":"28358064","abstract":"Transition-metal complexes are used as photosensitizers, in light-emitting diodes, for biosensing and in photocatalysis. A key feature in these applications is excitation from the ground state to a charge-transfer state; the long charge-transfer-state lifetimes typical for complexes of ruthenium and other precious metals are often essential to ensure high performance. There is much interest in replacing these scarce elements with Earth-abundant metals, with iron and copper being particularly attractive owing to their low cost and non-toxicity. But despite the exploration of innovative molecular designs, it remains a formidable scientific challenge to access Earth-abundant transition-metal complexes with long-lived charge-transfer excited states. No known iron complexes are considered photoluminescent at room temperature, and their rapid excited-state deactivation precludes their use as photosensitizers. Here we present the iron complex [Fe(btz) 3 ] 3+ (where btz is 3,3′-dimethyl-1,1′-bis(p-tolyl)-4,4′-bis(1,2,3-triazol-5-ylidene)), and show that the superior σ-donor and €-acceptor electron properties of the ligand stabilize the excited state sufficiently to realize a long charge-transfer lifetime of 100 picoseconds (ps) and room-temperature photoluminescence. This species is a low-spin Fe(iii) d 5 complex, and emission occurs from a long-lived doublet ligand-to-metal charge-transfer (2 LMCT) state that is rarely seen for transition-metal complexes. The absence of intersystem crossing, which often gives rise to large excited-state energy losses in transition-metal complexes, enables the observation of spin-allowed emission directly to the ground state and could be exploited as an increased driving force in photochemical reactions on surfaces. These findings suggest that appropriate design strategies can deliver new iron-based materials for use as light emitters and photosensitizers.","author":[{"dropping-particle":"","family":"Chábera","given":"Pavel","non-dropping-particle":"","parse-names":false,"suffix":""},{"dropping-particle":"","family":"Liu","given":"Yizhu","non-dropping-particle":"","parse-names":false,"suffix":""},{"dropping-particle":"","family":"Prakash","given":"Om","non-dropping-particle":"","parse-names":false,"suffix":""},{"dropping-particle":"","family":"Thyrhaug","given":"Erling","non-dropping-particle":"","parse-names":false,"suffix":""},{"dropping-particle":"El","family":"Nahhas","given":"Amal","non-dropping-particle":"","parse-names":false,"suffix":""},{"dropping-particle":"","family":"Honarfar","given":"Alireza","non-dropping-particle":"","parse-names":false,"suffix":""},{"dropping-particle":"","family":"Essén","given":"Sofia","non-dropping-particle":"","parse-names":false,"suffix":""},{"dropping-particle":"","family":"Fredin","given":"Lisa A.","non-dropping-particle":"","parse-names":false,"suffix":""},{"dropping-particle":"","family":"Harlang","given":"Tobias C.B.","non-dropping-particle":"","parse-names":false,"suffix":""},{"dropping-particle":"","family":"Kjær","given":"Kasper S.","non-dropping-particle":"","parse-names":false,"suffix":""},{"dropping-particle":"","family":"Handrup","given":"Karsten","non-dropping-particle":"","parse-names":false,"suffix":""},{"dropping-particle":"","family":"Ericson","given":"Fredric","non-dropping-particle":"","parse-names":false,"suffix":""},{"dropping-particle":"","family":"Tatsuno","given":"Hideyuki","non-dropping-particle":"","parse-names":false,"suffix":""},{"dropping-particle":"","family":"Morgan","given":"Kelsey","non-dropping-particle":"","parse-names":false,"suffix":""},{"dropping-particle":"","family":"Schnadt","given":"Joachim","non-dropping-particle":"","parse-names":false,"suffix":""},{"dropping-particle":"","family":"Häggström","given":"Lennart","non-dropping-particle":"","parse-names":false,"suffix":""},{"dropping-particle":"","family":"Ericsson","given":"Tore","non-dropping-particle":"","parse-names":false,"suffix":""},{"dropping-particle":"","family":"Sobkowiak","given":"Adam","non-dropping-particle":"","parse-names":false,"suffix":""},{"dropping-particle":"","family":"Lidin","given":"Sven","non-dropping-particle":"","parse-names":false,"suffix":""},{"dropping-particle":"","family":"Huang","given":"Ping","non-dropping-particle":"","parse-names":false,"suffix":""},{"dropping-particle":"","family":"Styring","given":"Stenbjörn","non-dropping-particle":"","parse-names":false,"suffix":""},{"dropping-particle":"","family":"Uhlig","given":"Jens","non-dropping-particle":"","parse-names":false,"suffix":""},{"dropping-particle":"","family":"Bendix","given":"Jesper","non-dropping-particle":"","parse-names":false,"suffix":""},{"dropping-particle":"","family":"Lomoth","given":"Reiner","non-dropping-particle":"","parse-names":false,"suffix":""},{"dropping-particle":"","family":"Sundström","given":"Villy","non-dropping-particle":"","parse-names":false,"suffix":""},{"dropping-particle":"","family":"Persson","given":"Petter","non-dropping-particle":"","parse-names":false,"suffix":""},{"dropping-particle":"","family":"Wärnmark","given":"Kenneth","non-dropping-particle":"","parse-names":false,"suffix":""}],"container-title":"Nature","id":"ITEM-14","issue":"7647","issued":{"date-parts":[["2017"]]},"page":"695-699","publisher":"Nature Publishing Group","title":"A low-spin Fe(III) complex with 100-ps ligand-to-metal charge transfer photoluminescence","type":"article-journal","volume":"543"},"uris":["http://www.mendeley.com/documents/?uuid=84f8ae6f-23d0-44f4-b5de-c6ae7b24fdb4"]},{"id":"ITEM-15","itemData":{"DOI":"10.1021/jacs.3c11517","ISSN":"0002-7863","author":[{"dropping-particle":"","family":"Ye","given":"Yating","non-dropping-particle":"","parse-names":false,"suffix":""},{"dropping-particle":"","family":"Garrido-Barros","given":"Pablo","non-dropping-particle":"","parse-names":false,"suffix":""},{"dropping-particle":"","family":"Wellauer","given":"Joël","non-dropping-particle":"","parse-names":false,"suffix":""},{"dropping-particle":"","family":"Cruz","given":"Carlos M.","non-dropping-particle":"","parse-names":false,"suffix":""},{"dropping-particle":"","family":"Lescouëzec","given":"Rodrigue","non-dropping-particle":"","parse-names":false,"suffix":""},{"dropping-particle":"","family":"Wenger","given":"Oliver S.","non-dropping-particle":"","parse-names":false,"suffix":""},{"dropping-particle":"","family":"Herrera","given":"Juan Manuel","non-dropping-particle":"","parse-names":false,"suffix":""},{"dropping-particle":"","family":"Jiménez","given":"Juan-Ramón","non-dropping-particle":"","parse-names":false,"suffix":""}],"container-title":"Journal of the American Chemical Society","id":"ITEM-15","issued":{"date-parts":[["2024"]]},"page":"954-960","title":"Luminescence and Excited-State Reactivity in a Heteroleptic Tricyanido Fe(III) Complex","type":"article-journal","volume":"146"},"uris":["http://www.mendeley.com/documents/?uuid=2a56525e-466c-4016-ab41-c183338e9b28"]},{"id":"ITEM-16","itemData":{"DOI":"10.1038/s41557-023-01297-9","ISSN":"17554349","PMID":"37580444","abstract":"Coordination complexes of precious metals with the d6 valence electron configuration such as Ru(II), Os(II) and Ir(III) are used for lighting applications, solar energy conversion and photocatalysis. Until now, d6 complexes made from abundant first-row transition metals with competitive photophysical and photochemical properties have been elusive. While previous research efforts focused mostly on Fe(II), we disclose that isoelectronic Cr(0) gives access to higher photoluminescence quantum yields and excited-state lifetimes when compared with any other first-row d6 metal complex reported so far. The luminescence behaviour of the metal-to-ligand charge transfer excited states of these Cr(0) complexes is competitive with Os(II) polypyridines. With these Cr(0) complexes, the metal-to-ligand charge transfer states of first-row d6 metal complexes become exploitable in photoredox catalysis, and benchmark chemical reductions proceed efficiently under low-energy red illumination. Here we demonstrate that appropriate molecular design strategies open up new perspectives for photophysics and photochemistry with abundant first-row d6 metals. [Figure not available: see fulltext.].","author":[{"dropping-particle":"","family":"Sinha","given":"Narayan","non-dropping-particle":"","parse-names":false,"suffix":""},{"dropping-particle":"","family":"Wegeberg","given":"Christina","non-dropping-particle":"","parse-names":false,"suffix":""},{"dropping-particle":"","family":"Häussinger","given":"Daniel","non-dropping-particle":"","parse-names":false,"suffix":""},{"dropping-particle":"","family":"Prescimone","given":"Alessandro","non-dropping-particle":"","parse-names":false,"suffix":""},{"dropping-particle":"","family":"Wenger","given":"Oliver S.","non-dropping-particle":"","parse-names":false,"suffix":""}],"container-title":"Nature Chemistry","id":"ITEM-16","issue":"12","issued":{"date-parts":[["2023"]]},"page":"1730-1736","publisher":"Springer US","title":"Photoredox-active Cr(0) luminophores featuring photophysical properties competitive with Ru(II) and Os(II) complexes","type":"article-journal","volume":"15"},"uris":["http://www.mendeley.com/documents/?uuid=1b90679c-9fbf-4b06-98c3-224f0526ae9a"]},{"id":"ITEM-17","itemData":{"DOI":"10.1021/jacs.2c13432","ISSN":"15205126","PMID":"36808978","abstract":"Many coordination complexes and organometallic compounds with the 4d6 and 5d6 valence electron configurations have outstanding photophysical and photochemical properties, which stem from metal-to-ligand charge transfer (MLCT) excited states. This substance class makes extensive use of the most precious and least abundant metal elements, and consequently there has been a long-standing interest in first-row transition metal compounds with photoactive MLCT states. Semiprecious copper(I) with its completely filled 3d subshell is a relatively straightforward and well explored case, but in 3d6 complexes the partially filled d-orbitals lead to energetically low-lying metal-centered (MC) states that can cause undesirably fast MLCT excited state deactivation. Herein, we discuss recent advances made with isoelectronic Cr0, MnI, FeII, and CoIII compounds, for which long-lived MLCT states have become accessible over the past five years. Furthermore, we discuss possible future developments in the search for new first-row transition metal complexes with partially filled 3d subshells and photoactive MLCT states for next-generation applications in photophysics and photochemistry.","author":[{"dropping-particle":"","family":"Sinha","given":"Narayan","non-dropping-particle":"","parse-names":false,"suffix":""},{"dropping-particle":"","family":"Wenger","given":"Oliver S.","non-dropping-particle":"","parse-names":false,"suffix":""}],"container-title":"Journal of the American Chemical Society","id":"ITEM-17","issue":"9","issued":{"date-parts":[["2023"]]},"page":"4903-4920","title":"Photoactive Metal-to-Ligand Charge Transfer Excited States in 3d6 Complexes with Cr0, MnI, FeII, and CoIII","type":"article-journal","volume":"145"},"uris":["http://www.mendeley.com/documents/?uuid=34de3dc5-0017-4a33-910a-62d12114b1bc"]}],"mendeley":{"formattedCitation":"&lt;sup&gt;1–17&lt;/sup&gt;","plainTextFormattedCitation":"1–17","previouslyFormattedCitation":"&lt;sup&gt;1–17&lt;/sup&gt;"},"properties":{"noteIndex":0},"schema":"https://github.com/citation-style-language/schema/raw/master/csl-citation.json"}</w:instrText>
      </w:r>
      <w:r w:rsidRPr="00F338AB">
        <w:fldChar w:fldCharType="separate"/>
      </w:r>
      <w:r w:rsidR="00255A25" w:rsidRPr="00F338AB">
        <w:rPr>
          <w:noProof/>
          <w:vertAlign w:val="superscript"/>
        </w:rPr>
        <w:t>1–17</w:t>
      </w:r>
      <w:r w:rsidRPr="00F338AB">
        <w:fldChar w:fldCharType="end"/>
      </w:r>
      <w:r w:rsidRPr="00F338AB">
        <w:t xml:space="preserve"> Among those, </w:t>
      </w:r>
      <w:proofErr w:type="spellStart"/>
      <w:r w:rsidRPr="00F338AB">
        <w:t>Cr</w:t>
      </w:r>
      <w:r w:rsidRPr="00F338AB">
        <w:rPr>
          <w:vertAlign w:val="superscript"/>
        </w:rPr>
        <w:t>III</w:t>
      </w:r>
      <w:proofErr w:type="spellEnd"/>
      <w:r w:rsidRPr="00F338AB">
        <w:t xml:space="preserve"> has garnered significant attention due to its appealing physicochemical properties associated with (</w:t>
      </w:r>
      <w:proofErr w:type="spellStart"/>
      <w:r w:rsidRPr="00F338AB">
        <w:t>i</w:t>
      </w:r>
      <w:proofErr w:type="spellEnd"/>
      <w:r w:rsidRPr="00F338AB">
        <w:t xml:space="preserve">) its relative kinetic inertness, enabling the manipulation of </w:t>
      </w:r>
      <w:proofErr w:type="spellStart"/>
      <w:r w:rsidRPr="00F338AB">
        <w:t>Cr</w:t>
      </w:r>
      <w:r w:rsidRPr="00F338AB">
        <w:rPr>
          <w:vertAlign w:val="superscript"/>
        </w:rPr>
        <w:t>III</w:t>
      </w:r>
      <w:proofErr w:type="spellEnd"/>
      <w:r w:rsidRPr="00F338AB">
        <w:t xml:space="preserve"> chromophores under different experimental conditions (ii) the</w:t>
      </w:r>
      <w:r w:rsidRPr="00F338AB">
        <w:rPr>
          <w:b/>
          <w:bCs/>
        </w:rPr>
        <w:t xml:space="preserve"> </w:t>
      </w:r>
      <w:r w:rsidRPr="00F338AB">
        <w:t>small excited-state distortions associated with the relevant spin-flip</w:t>
      </w:r>
      <w:r w:rsidR="00D14622" w:rsidRPr="00F338AB">
        <w:t xml:space="preserve"> (SF)</w:t>
      </w:r>
      <w:r w:rsidRPr="00F338AB">
        <w:t xml:space="preserve"> transition </w:t>
      </w:r>
      <w:r w:rsidR="00C5571F" w:rsidRPr="00F338AB">
        <w:t>favouring</w:t>
      </w:r>
      <w:r w:rsidRPr="00F338AB">
        <w:t xml:space="preserve"> radiative relaxation against non-radiative and (iii) the long-lived electric-dipole and spin forbidden </w:t>
      </w:r>
      <w:r w:rsidR="00981649" w:rsidRPr="00F338AB">
        <w:t>SF</w:t>
      </w:r>
      <w:r w:rsidRPr="00F338AB">
        <w:t xml:space="preserve"> emission.</w:t>
      </w:r>
      <w:r w:rsidRPr="00F338AB">
        <w:fldChar w:fldCharType="begin" w:fldLock="1"/>
      </w:r>
      <w:r w:rsidR="00BC424C" w:rsidRPr="00F338AB">
        <w:instrText xml:space="preserve">ADDIN CSL_CITATION {"citationItems":[{"id":"ITEM-1","itemData":{"DOI":"10.1016/j.ccr.2020.213750","ISSN":"00108545","abstract":"Although less famous than low-spin trivalent cobalt found in [CoIII(NH3)6−xClx]Cl3−x (x ≤ 3), which was exploited by Alfred Werner during the early part of the 20th century for establishing the basic rules of coordination chemistry, related trivalent chromium complexes exhibit comparable kinetic inertness, a rare property along the 3d-transition series. The associated slow isomerisation processes are compatible with the isolation of well-defined heteroleptic complexes. Some subtle energetic differences between CrIII-X (X = halide, pseudo-halide, cyanide, solvent) and Cr-N bonds can be exploited for preparing stable and inert cis/trans-[Cr(N ∩ N)2X2]+ and fac/mer-[Cr(N ∩ N ∩ N)X3] primary heteroleptic complexes incorporating multidentate nitrogen-containing chelate ligands. The use of these building blocks within the frame of the ‘complex-as-ligand’ strategy, or via the labilization of the remaining Cr-X bonds pave the way for the design of discrete polymetallic assemblies in which the photophysically appealing [CrIIIN6] chromophores could find applications as functional light-converting devices.","author":[{"dropping-particle":"","family":"Jiménez","given":"Juan Ramón","non-dropping-particle":"","parse-names":false,"suffix":""},{"dropping-particle":"","family":"Doistau","given":"Benjamin","non-dropping-particle":"","parse-names":false,"suffix":""},{"dropping-particle":"","family":"Poncet","given":"Maxime","non-dropping-particle":"","parse-names":false,"suffix":""},{"dropping-particle":"","family":"Piguet","given":"Claude","non-dropping-particle":"","parse-names":false,"suffix":""}],"container-title":"Coordination Chemistry Reviews","id":"ITEM-1","issued":{"date-parts":[["2021"]]},"title":"Heteroleptic trivalent chromium in coordination chemistry: Novel building blocks for addressing old challenges in multimetallic luminescent complexes","type":"article","volume":"434"},"uris":["http://www.mendeley.com/documents/?uuid=b50d113e-2990-4ad3-bf65-bee0260cb1cf"]},{"id":"ITEM-2","itemData":{"DOI":"10.1039/c4dt00200h","ISSN":"14779234","abstract":"The complex [Cr(tpy)(O3SCF3)3] (tpy = 2,2′:6′,2′′-terpyridine) is readily made from [Cr(tpy)Cl3] and is a convenient precursor to [Cr(tpy) 2][PF6]3 and to [Cr(tpy)(4′-(4-tolyl)tpy) ][PF6]3 and [Cr(tpy)(5,5′′-Me 2tpy)][PF6]3 (4′-(4-tolyl)tpy = 4′-(4-tolyl)-2,2′:6′,2′′-terpyridine; 5,5′′-Me2tpy = 5,5′′-dimethyl-2,2′: 6′,2′′-terpyridine); these are the first examples of heteroleptic bis(tpy) chromium(iii) complexes. The single crystal structures of 2{[Cr(tpy)2][PF6]3}·5MeCN, [Cr(tpy)(4′-(4-tolyl)tpy)][PF6]3·3MeCN and [Cr(tpy)(5,5′′-Me2tpy)][PF6] 3·3MeCN have been determined. Each cation contains the expected octahedral {Cr(tpy)2}3+ unit; in all three structures, the need to accommodate three anions per cation and the solvent molecules prevents the formation of a grid-like array of cations that is typical of many lattices containing {M(tpy)2}2+ motifs. Three reversible electrochemical processes are observed for [Cr(tpy)(4′-(4- tolyl)tpy)][PF6]3 and [Cr(tpy)(5,5′′-Me 2tpy)][PF6]3, consistent with those documented for [Cr(tpy)2]3+. At pH 6.36, aqueous solutions of [Cr(tpy)2][PF6]3 are stable for at least two months. However, contrary to the expectations of the d3 Cr 3+ ion being a kinetically inert metal centre, the tpy ligands in [Cr(tpy)2]3+ are labile in the presence of base; absorption and 1H NMR spectroscopies have been used to monitor the effects of adding NaOH to aqueous and CD3OD solutions, respectively, of the homo- and heteroleptic complexes. Ligand dissociation is also observed when [Bu4N]F is added to CD3OD solutions of the complexes, but in aqueous solution, [Cr(tpy)2][PF6]3 is stable in the presence of fluoride ion. © 2014 the Partner Organisations.","author":[{"dropping-particle":"","family":"Constable","given":"Edwin C.","non-dropping-particle":"","parse-names":false,"suffix":""},{"dropping-particle":"","family":"Housecroft","given":"Catherine E.","non-dropping-particle":"","parse-names":false,"suffix":""},{"dropping-particle":"","family":"Neuburger","given":"Markus","non-dropping-particle":"","parse-names":false,"suffix":""},{"dropping-particle":"","family":"Schönle","given":"Jonas","non-dropping-particle":"","parse-names":false,"suffix":""},{"dropping-particle":"","family":"Zampese","given":"Jennifer A.","non-dropping-particle":"","parse-names":false,"suffix":""}],"container-title":"Dalton Transactions","id":"ITEM-2","issue":"19","issued":{"date-parts":[["2014"]]},"page":"7227-7235","title":"The surprising lability of bis(2,2′:6′,2′′- terpyridine)chromium(iii) complexes","type":"article-journal","volume":"43"},"uris":["http://www.mendeley.com/documents/?uuid=8c0752f5-7129-43b8-ad57-014dc332cb35"]},{"id":"ITEM-3","itemData":{"author":[{"dropping-particle":"","family":"Maiman","given":"T.H.","non-dropping-particle":"","parse-names":false,"suffix":""}],"container-title":"Nature","id":"ITEM-3","issued":{"date-parts":[["1960"]]},"page":"493-494","title":"Stimulated Optical Radiation in Ruby","type":"article-journal","volume":"187"},"uris":["http://www.mendeley.com/documents/?uuid=9869362d-ff35-4684-871c-cad0b7ed0542"]},{"id":"ITEM-4","itemData":{"DOI":"10.1007/s43630-022-00186-3","ISBN":"0123456789","ISSN":"14749092","PMID":"35247169","abstract":"In molecular photochemistry, charge-transfer emission is well understood and widely exploited. In contrast, luminescent metal-centered transitions only came into focus in recent years. This gave rise to strongly phosphorescent CrIII complexes with a d3 electronic configuration featuring luminescent metal-centered excited states which are characterized by the flip of a single spin. These so-called spin-flip emitters possess unique properties and require different design strategies than traditional charge-transfer phosphors. In this review, we give a brief introduction to ligand field theory as a framework to understand this phenomenon and outline prerequisites for efficient spin-flip emission including ligand field strength, symmetry, intersystem crossing and common deactivation pathways using CrIII complexes as instructive examples. The recent progress and associated challenges of tuning the energies of emissive excited states and of emerging applications of the unique photophysical properties of spin-flip emitters are discussed. Finally, we summarize the current state-of-the-art and challenges of spin-flip emitters beyond CrIII with d2, d3, d4 and d8 electronic configuration, where we mainly cover pseudooctahedral molecular complexes of V, Mo, W, Mn, Re and Ni, and highlight possible future research opportunities. Graphical abstract: [Figure not available: see fulltext.].","author":[{"dropping-particle":"","family":"Kitzmann","given":"Winald Robert","non-dropping-particle":"","parse-names":false,"suffix":""},{"dropping-particle":"","family":"Moll","given":"Johannes","non-dropping-particle":"","parse-names":false,"suffix":""},{"dropping-particle":"","family":"Heinze","given":"Katja","non-dropping-particle":"","parse-names":false,"suffix":""}],"container-title":"Photochemical and Photobiological Sciences","id":"ITEM-4","issue":"7","issued":{"date-parts":[["2022"]]},"page":"1309-1331","publisher":"Springer International Publishing","title":"Spin-flip luminescence","type":"article","volume":"21"},"uris":["http://www.mendeley.com/documents/?uuid=a0eeefda-9707-49aa-84d7-395ec586a17a"]},{"id":"ITEM-5","itemData":{"DOI":"10.1021/acs.inorgchem.9b03163","ISSN":"1520510X","PMID":"31909978","abstract":"The CrIIIN6 chromophores are particularly appealing for low-energy sensitization via energy transfer processes since they show extremely long excited state lifetimes reaching the millisecond range in the technologically crucial near-infrared domain. However, their properties were barely harnessed in multimetallic structures because of the lack of both monitoring methods and accessible synthetic pathways. We herein report a remedy to monitor and control the formation of CrIII-containing assemblies in solution via the design of a CrIIIN6 inert \"complex-as-ligand\" that can be included into polymetallic architectures. As a proof of concept, these CrN6 building blocks were reacted in solution with ZnII or FeII to give extended trinuclear linear Cr-M-Cr assemblies, the structure of which could be addressed by NMR spectroscopy despite the presence of two slowly relaxing CrIII paramagnetic centers. In addition to long CrIII excited state lifetimes and weak sensitivity to oxygen quenching, these polymetallic assemblies display controlled CrIII to MII energy transfers, which pave the way for use of the \"complex-as-ligand\" strategy for introducing photophysically active CrIII probes into light-converting polymetallic devices.","author":[{"dropping-particle":"","family":"Doistau","given":"Benjamin","non-dropping-particle":"","parse-names":false,"suffix":""},{"dropping-particle":"","family":"Jiménez","given":"Juan Ramón","non-dropping-particle":"","parse-names":false,"suffix":""},{"dropping-particle":"","family":"Guerra","given":"Sebastiano","non-dropping-particle":"","parse-names":false,"suffix":""},{"dropping-particle":"","family":"Besnard","given":"Céline","non-dropping-particle":"","parse-names":false,"suffix":""},{"dropping-particle":"","family":"Piguet","given":"Claude","non-dropping-particle":"","parse-names":false,"suffix":""}],"container-title":"Inorganic Chemistry","id":"ITEM-5","issue":"2","issued":{"date-parts":[["2020"]]},"page":"1424-1435","title":"Key Strategy for the Rational Incorporation of Long-Lived NIR Emissive Cr(III) Chromophores into Polymetallic Architectures","type":"article-journal","volume":"59"},"uris":["http://www.mendeley.com/documents/?uuid=b8540054-2f0d-46d1-9c47-68c2cbb9fa68"]},{"id":"ITEM-6","itemData":{"DOI":"10.1039/d2dt00126h","ISSN":"14779234","PMID":"35195140","abstract":"The substitution of three water molecules around trivalent chromium in CrBr3·6H2O with the tridentate 2,2′:6′,2′′-terpyridine (tpy), N,N′-dimethyl-N,N′-di(pyridine-2-yl)pyridine-2,6-diamine (ddpd) or 2,6-di(quinolin-8-yl)pyridine (dqp) ligands gives the heteroleptic mer-[Cr(L)Br3] complexes. Stepwise treatments with Ag(CF3SO3) and KCN under microwave irradiations provide mer-[Cr(L)(CN)3] in moderate yields. According to their X-ray crystal structures, the associated six-coordinate meridional [CrN3C3] chromophores increasingly deviate from a pseudo-octahedral arrangement according to L = ddpd ≈ dpq </w:instrText>
      </w:r>
      <w:r w:rsidR="00BC424C" w:rsidRPr="00F338AB">
        <w:rPr>
          <w:rFonts w:ascii="Cambria Math" w:hAnsi="Cambria Math" w:cs="Cambria Math"/>
        </w:rPr>
        <w:instrText>≪</w:instrText>
      </w:r>
      <w:r w:rsidR="00BC424C" w:rsidRPr="00F338AB">
        <w:instrText xml:space="preserve"> tpy; a trend in line with the replacement of six-membered with five-membered chelate rings around CrIII. Room-temperature ligand-centered UV-excitation at 18 170 cm−1 (λexc = 350 nm), followed by energy transfer and intersystem crossing eventually yield microsecond metal-centered Cr(2E → 4A2) phosphorescence in the red to near infrared domain 13 150-12 650 cm−1 (760 ≤ λem ≤ 790 nm). Decreasing the temperature to liquid nitrogen (77 K) extends the emission lifetimes to reach the millisecond regime with a record of 4.02 ms for mer-[Cr(dqp)(CN)3] in frozen acetonitrile.","author":[{"dropping-particle":"","family":"Chong","given":"Julien","non-dropping-particle":"","parse-names":false,"suffix":""},{"dropping-particle":"","family":"Besnard","given":"Céline","non-dropping-particle":"","parse-names":false,"suffix":""},{"dropping-particle":"","family":"Cruz","given":"Carlos M","non-dropping-particle":"","parse-names":false,"suffix":""},{"dropping-particle":"","family":"Piguet","given":"Claude","non-dropping-particle":"","parse-names":false,"suffix":""},{"dropping-particle":"","family":"Jiménez","given":"Juan Ramón","non-dropping-particle":"","parse-names":false,"suffix":""}],"container-title":"Dalton Transactions","id":"ITEM-6","issue":"11","issued":{"date-parts":[["2022"]]},"page":"4297-4309","publisher":"Royal Society of Chemistry","title":"Heteroleptic mer-[Cr(N∩N∩N)(CN)3] complexes: synthetic challenge, structural characterization and photophysical properties","type":"article-journal","volume":"51"},"uris":["http://www.mendeley.com/documents/?uuid=c73797b0-064b-4cec-a9b4-98dc6335110e"]}],"mendeley":{"formattedCitation":"&lt;sup&gt;18–23&lt;/sup&gt;","plainTextFormattedCitation":"18–23","previouslyFormattedCitation":"&lt;sup&gt;18–23&lt;/sup&gt;"},"properties":{"noteIndex":0},"schema":"https://github.com/citation-style-language/schema/raw/master/csl-citation.json"}</w:instrText>
      </w:r>
      <w:r w:rsidRPr="00F338AB">
        <w:fldChar w:fldCharType="separate"/>
      </w:r>
      <w:r w:rsidR="00BC424C" w:rsidRPr="00F338AB">
        <w:rPr>
          <w:noProof/>
          <w:vertAlign w:val="superscript"/>
        </w:rPr>
        <w:t>18–23</w:t>
      </w:r>
      <w:r w:rsidRPr="00F338AB">
        <w:fldChar w:fldCharType="end"/>
      </w:r>
      <w:r w:rsidRPr="00F338AB">
        <w:t xml:space="preserve"> When surrounded by a strong near-octahedral ligand field, </w:t>
      </w:r>
      <w:proofErr w:type="spellStart"/>
      <w:r w:rsidR="00030AAC" w:rsidRPr="00F338AB">
        <w:t>Cr</w:t>
      </w:r>
      <w:r w:rsidR="00030AAC" w:rsidRPr="00F338AB">
        <w:rPr>
          <w:vertAlign w:val="superscript"/>
        </w:rPr>
        <w:t>III</w:t>
      </w:r>
      <w:proofErr w:type="spellEnd"/>
      <w:r w:rsidRPr="00F338AB">
        <w:t xml:space="preserve"> exhibits long-lived Cr(</w:t>
      </w:r>
      <w:r w:rsidRPr="00F338AB">
        <w:rPr>
          <w:vertAlign w:val="superscript"/>
        </w:rPr>
        <w:t>2</w:t>
      </w:r>
      <w:r w:rsidRPr="00F338AB">
        <w:t>T</w:t>
      </w:r>
      <w:r w:rsidRPr="00F338AB">
        <w:rPr>
          <w:vertAlign w:val="subscript"/>
        </w:rPr>
        <w:t>1</w:t>
      </w:r>
      <w:r w:rsidRPr="00F338AB">
        <w:t xml:space="preserve">, </w:t>
      </w:r>
      <w:r w:rsidRPr="00F338AB">
        <w:rPr>
          <w:vertAlign w:val="superscript"/>
        </w:rPr>
        <w:t>2</w:t>
      </w:r>
      <w:r w:rsidRPr="00F338AB">
        <w:t>E) excited states showing lifetimes in the millisecond range with overall quantum yields</w:t>
      </w:r>
      <w:r w:rsidR="002224A1" w:rsidRPr="00F338AB">
        <w:t xml:space="preserve"> </w:t>
      </w:r>
      <m:oMath>
        <m:r>
          <w:rPr>
            <w:rFonts w:ascii="Cambria Math" w:hAnsi="Cambria Math"/>
          </w:rPr>
          <m:t>(</m:t>
        </m:r>
        <m:r>
          <w:rPr>
            <w:rFonts w:ascii="Cambria Math" w:hAnsi="Cambria Math"/>
            <w:i/>
          </w:rPr>
          <w:sym w:font="Symbol" w:char="F066"/>
        </m:r>
        <m:r>
          <m:rPr>
            <m:sty m:val="p"/>
          </m:rPr>
          <w:rPr>
            <w:rFonts w:ascii="Cambria Math" w:hAnsi="Cambria Math"/>
          </w:rPr>
          <m:t xml:space="preserve">) </m:t>
        </m:r>
      </m:oMath>
      <w:r w:rsidRPr="00F338AB">
        <w:t>attaining 17%</w:t>
      </w:r>
      <w:r w:rsidR="00030AAC" w:rsidRPr="00F338AB">
        <w:t xml:space="preserve"> for non-deuterated samples </w:t>
      </w:r>
      <w:r w:rsidR="00030AAC" w:rsidRPr="00F338AB">
        <w:t>and up to 30% for deuterated ones</w:t>
      </w:r>
      <w:r w:rsidRPr="00F338AB">
        <w:t>.</w:t>
      </w:r>
      <w:r w:rsidRPr="00F338AB">
        <w:fldChar w:fldCharType="begin" w:fldLock="1"/>
      </w:r>
      <w:r w:rsidR="006B462E" w:rsidRPr="00F338AB">
        <w:instrText>ADDIN CSL_CITATION {"citationItems":[{"id":"ITEM-1","itemData":{"DOI":"10.1021/jacs.9b06524","ISSN":"15205126","PMID":"31353904","abstract":"The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parameters assigned the absolute configurations of the two enantiomers. Circularly polarized luminescence (CPL) spectra showed two polarized emission bands within the NIR region corresponding to the characteristic metal-centered spin-flip Cr(2E → 4A2) and Cr(2T1 → 4A2) transitions with exceptionally high dissymmetry factors, |glum|, of 0.2 and 0.1, respectively, which are comparable to those reported for rare-earth chiral complexes. Photophysical properties also revealed an extremely long excited-state lifetime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metals.","author":[{"dropping-particle":"","family":"Jiménez","given":"Juan 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G.","non-dropping-particle":"","parse-names":false,"suffix":""},{"dropping-particle":"","family":"Piguet","given":"Claude","non-dropping-particle":"","parse-names":false,"suffix":""}],"container-title":"Journal of the American Chemical Society","id":"ITEM-1","issue":"33","issued":{"date-parts":[["2019"]]},"page":"13244-13252","title":"Chiral Molecular Ruby [Cr(dqp)2]3+ with Long-Lived Circularly Polarized Luminescence","type":"article-journal","volume":"141"},"uris":["http://www.mendeley.com/documents/?uuid=e07e4a4c-c633-4296-9d39-44f03238aefe"]},{"id":"ITEM-2","itemData":{"DOI":"10.1002/anie.202101158","author":[{"dropping-particle":"","family":"Jiménez","given":"Juan-Ramón","non-dropping-particle":"","parse-names":false,"suffix":""},{"dropping-particle":"","family":"Poncet","given":"Maxime","non-dropping-particle":"","parse-names":false,"suffix":""},{"dropping-particle":"","family":"Miguez-Lago","given":"Sandra","non-dropping-particle":"","parse-names":false,"suffix":""},{"dropping-particle":"","family":"Grass","given":"Stéphane","non-dropping-particle":"","parse-names":false,"suffix":""},{"dropping-particle":"","family":"Lacour","given":"Jérôme","non-dropping-particle":"","parse-names":false,"suffix":""},{"dropping-particle":"","family":"Besnard","given":"Ce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G","non-dropping-particle":"","parse-names":false,"suffix":""},{"dropping-particle":"","family":"Piguet","given":"Claude","non-dropping-particle":"","parse-names":false,"suffix":""}],"container-title":"Angew. Chem. Int. Ed.","id":"ITEM-2","issued":{"date-parts":[["2021"]]},"page":"10095-10102","title":"Bright Long-Lived Circularly Polarized Luminescence in Chiral Chromium (III) Complexes","type":"article-journal","volume":"60"},"uris":["http://www.mendeley.com/documents/?uuid=b1e20de7-e908-40e1-a36e-e1078e833f29"]},{"id":"ITEM-3","itemData":{"DOI":"10.1016/j.ccr.2018.01.004","ISSN":"00108545","abstract":"Enabling strong and long-lived NIR emission from complexes with earth-abundant metal ions is exemplified by embedding chromium(III) in a very strong ligand field yielding the molecular ruby [Cr(ddpd)2]3+. This review aims at illustrating the main non-radiative decay pathways for electronically excited chromium(III) complexes, namely back-intersystem crossing, excited state distortion and multiphonon relaxation and at controlling these pathways by molecular design. The case study of [Cr(ddpd)2]3+ highlights recent successful design strategies and discusses first applications of the highly emissive 3d metal complex as optical sensor molecule and as photosensitizer.","author":[{"dropping-particle":"","family":"Otto","given":"Sven","non-dropping-particle":"","parse-names":false,"suffix":""},{"dropping-particle":"","family":"Dorn","given":"Matthias","non-dropping-particle":"","parse-names":false,"suffix":""},{"dropping-particle":"","family":"Förster","given":"Christoph","non-dropping-particle":"","parse-names":false,"suffix":""},{"dropping-particle":"","family":"Bauer","given":"Matthias","non-dropping-particle":"","parse-names":false,"suffix":""},{"dropping-particle":"","family":"Seitz","given":"Michael","non-dropping-particle":"","parse-names":false,"suffix":""},{"dropping-particle":"","family":"Heinze","given":"Katja","non-dropping-particle":"","parse-names":false,"suffix":""}],"container-title":"Coordination Chemistry Reviews","id":"ITEM-3","issued":{"date-parts":[["2018"]]},"page":"102-111","publisher":"Elsevier B.V.","title":"Understanding and exploiting long-lived near-infrared emission of a molecular ruby","type":"article-journal","volume":"359"},"uris":["http://www.mendeley.com/documents/?uuid=0181d22d-e9ec-4c3e-9afa-504288cf4dbd"]},{"id":"ITEM-4","itemData":{"DOI":"10.1002/anie.201504894","ISSN":"15213773","PMID":"26267153","abstract":"Bright,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Ed.","id":"ITEM-4","issue":"39","issued":{"date-parts":[["2015"]]},"page":"11572-11576","title":"[Cr(ddpd)2]3+: A Molecular, Water-Soluble, Highly NIR-Emissive Ruby Analogue","type":"article-journal","volume":"54"},"uris":["http://www.mendeley.com/documents/?uuid=0a3706c5-a6de-47dd-9353-4dd84c29e580"]},{"id":"ITEM-5","itemData":{"DOI":"10.1002/anie.201711350","ISSN":"15213773","PMID":"29215792","abstract":"The recently reported luminescent chromium(III) complex 13+ ([Cr(ddpd)2]3+; ddpd=N,N′-dimethyl-N,N′-dipyridine-2-yl-pyridine-2,6-diamine) shows exceptionally strong near-IR emission at 775 nm in water under ambient conditions (Φ=11 %) with a microsecond lifetime as the ligand design in 13+ effectively eliminates non-radiative decay pathways, such as photosubstitution, back-intersystem crossing, and trigonal twists. In the absence of energy acceptors, such as dioxygen, the remaining decay pathways are energy transfer to high energy solvent and ligand oscillators, namely OH and CH stretching vibrations. Selective deuteration of the solvents and the ddpd ligands probes the efficiency of these oscillators in the excited state deactivation. Addressing these energy-transfer pathways in the first and second coordination sphere furnishes a record 30 % quantum yield and a 2.3 millisecond lifetime for a metal complex with an earth-abundant metal ion in solution at room temperature.","author":[{"dropping-particle":"","family":"Wang","given":"Cui","non-dropping-particle":"","parse-names":false,"suffix":""},{"dropping-particle":"","family":"Otto","given":"Sven","non-dropping-particle":"","parse-names":false,"suffix":""},{"dropping-particle":"","family":"Dorn","given":"Matthias","non-dropping-particle":"","parse-names":false,"suffix":""},{"dropping-particle":"","family":"Kreidt","given":"Elisabeth","non-dropping-particle":"","parse-names":false,"suffix":""},{"dropping-particle":"","family":"Lebon","given":"Jakob","non-dropping-particle":"","parse-names":false,"suffix":""},{"dropping-particle":"","family":"Sršan","given":"Laura","non-dropping-particle":"","parse-names":false,"suffix":""},{"dropping-particle":"","family":"Martino-Fumo","given":"Patrick","non-dropping-particle":"Di","parse-names":false,"suffix":""},{"dropping-particle":"","family":"Gerhards","given":"Markus","non-dropping-particle":"","parse-names":false,"suffix":""},{"dropping-particle":"","family":"Resch-Genger","given":"Ute","non-dropping-particle":"","parse-names":false,"suffix":""},{"dropping-particle":"","family":"Seitz","given":"Michael","non-dropping-particle":"","parse-names":false,"suffix":""},{"dropping-particle":"","family":"Heinze","given":"Katja","non-dropping-particle":"","parse-names":false,"suffix":""}],"container-title":"Angew. Chem. Int. Ed.","id":"ITEM-5","issue":"4","issued":{"date-parts":[["2018"]]},"page":"1112-1116","title":"Deuterated Molecular Ruby with Record Luminescence Quantum Yield","type":"article-journal","volume":"57"},"uris":["http://www.mendeley.com/documents/?uuid=ae8af84c-7890-4d05-95f3-41c7113465e1"]}],"mendeley":{"formattedCitation":"&lt;sup&gt;3,17,24–26&lt;/sup&gt;","plainTextFormattedCitation":"3,17,24–26","previouslyFormattedCitation":"&lt;sup&gt;3,17,24–26&lt;/sup&gt;"},"properties":{"noteIndex":0},"schema":"https://github.com/citation-style-language/schema/raw/master/csl-citation.json"}</w:instrText>
      </w:r>
      <w:r w:rsidRPr="00F338AB">
        <w:fldChar w:fldCharType="separate"/>
      </w:r>
      <w:r w:rsidR="00255A25" w:rsidRPr="00F338AB">
        <w:rPr>
          <w:noProof/>
          <w:vertAlign w:val="superscript"/>
        </w:rPr>
        <w:t>3,17,24–26</w:t>
      </w:r>
      <w:r w:rsidRPr="00F338AB">
        <w:fldChar w:fldCharType="end"/>
      </w:r>
      <w:r w:rsidRPr="00F338AB">
        <w:t xml:space="preserve"> These appealing properties have been exploited in molecular </w:t>
      </w:r>
      <w:proofErr w:type="spellStart"/>
      <w:r w:rsidRPr="00F338AB">
        <w:t>upconversion</w:t>
      </w:r>
      <w:proofErr w:type="spellEnd"/>
      <w:r w:rsidR="0017793A" w:rsidRPr="00F338AB">
        <w:t xml:space="preserve"> and downshifting</w:t>
      </w:r>
      <w:r w:rsidRPr="00F338AB">
        <w:t>,</w:t>
      </w:r>
      <w:r w:rsidRPr="00F338AB">
        <w:rPr>
          <w:vertAlign w:val="superscript"/>
        </w:rPr>
        <w:fldChar w:fldCharType="begin" w:fldLock="1"/>
      </w:r>
      <w:r w:rsidR="00255A25" w:rsidRPr="00F338AB">
        <w:rPr>
          <w:vertAlign w:val="superscript"/>
        </w:rPr>
        <w:instrText>ADDIN CSL_CITATION {"citationItems":[{"id":"ITEM-1","itemData":{"DOI":"10.1002/anie.201100095","ISSN":"15213773","abstract":"Giving the green light: The connection of two CrIII sensitizers around a central ErIII acceptor in a self-assembled cation provides high local metal concentrations that favor efficient nonlinear energy transfer upconversion luminescence (see picture). Upon selective low-energy near-infrared irradiation of CrIII-centered transitions, 1 displays an unprecedented molecular two-photon upconverted green ErIII-centered emission. Copyright © 2011 WILEY-VCH Verlag GmbH &amp; Co. KGaA, Weinheim.","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 Claude G.","non-dropping-particle":"","parse-names":false,"suffix":""},{"dropping-particle":"","family":"Hauser","given":"Andreas","non-dropping-particle":"","parse-names":false,"suffix":""},{"dropping-particle":"","family":"Piguet","given":"Claude","non-dropping-particle":"","parse-names":false,"suffix":""}],"container-title":"Angew. Chem. Int. Ed.","id":"ITEM-1","issue":"18","issued":{"date-parts":[["2011"]]},"page":"4108-4112","title":"Near-infrared→Visible light upconversion in a molecular trinuclear d-f-d complex","type":"article-journal","volume":"50"},"uris":["http://www.mendeley.com/documents/?uuid=e80c2478-b0c5-4cb9-8a52-72a8b156d572"]},{"id":"ITEM-2","itemData":{"DOI":"10.1021/jp4107519","ISSN":"19327447","abstract":"Light-upconversion via stepwise energy transfer from a sensitizer to an activator exploits linear optics for converting low-energy infrared or near-infrared incident photons to higher energy emission. This approach is restricted to activators possessing intermediate long-lived excited states such as those found for trivalent lanthanide cations dispersed in solid-state matrices. When the activator is embedded in a molecular complex, efficient nonradiative relaxation processes usually reduce excited state lifetimes to such an extent that upconversion becomes too inefficient to be detected under practical excitation intensities. Theoretical considerations presented here predict that the combination of at least two millisecond time scale sensitizers with a central lanthanide activator in supramolecular complexes circumvents this bottleneck by creating a novel upconversion pathway, in which successive excitations are stored on the sensitizers prior to inducing stepwise energy transfer processes. Application of this concept to the chromium/erbium pair demonstrates that strong-field trivalent chromium chromophores irradiated with near-infrared photons produce upconverted green erbium-centered emission in discrete dinuclear and trinuclear triple-stranded helicates. © 2013 American Chemical Society.","author":[{"dropping-particle":"","family":"Suffren","given":"Yan","non-dropping-particle":"","parse-names":false,"suffix":""},{"dropping-particle":"","family":"Zare","given":"Davood","non-dropping-particle":"","parse-names":false,"suffix":""},{"dropping-particle":"V.","family":"Eliseeva","given":"Svetlana","non-dropping-particle":"","parse-names":false,"suffix":""},{"dropping-particle":"","family":"Guénée","given":"Laure","non-dropping-particle":"","parse-names":false,"suffix":""},{"dropping-particle":"","family":"Nozary","given":"Homayoun","non-dropping-particle":"","parse-names":false,"suffix":""},{"dropping-particle":"","family":"Lathion","given":"Timothée","non-dropping-particle":"","parse-names":false,"suffix":""},{"dropping-particle":"","family":"Aboshyan-Sorgho","given":"Lilit","non-dropping-particle":"","parse-names":false,"suffix":""},{"dropping-particle":"","family":"Petoud","given":"Stéphane","non-dropping-particle":"","parse-names":false,"suffix":""},{"dropping-particle":"","family":"Hauser","given":"Andreas","non-dropping-particle":"","parse-names":false,"suffix":""},{"dropping-particle":"","family":"Piguet","given":"Claude","non-dropping-particle":"","parse-names":false,"suffix":""}],"container-title":"Journal of Physical Chemistry C","id":"ITEM-2","issue":"51","issued":{"date-parts":[["2013"]]},"page":"26957-26963","title":"Near-infrared to visible light-upconversion in molecules: From dream to reality","type":"article-journal","volume":"117"},"uris":["http://www.mendeley.com/documents/?uuid=e7e66fd4-ec83-4d54-b19d-af959746528c"]},{"id":"ITEM-3","itemData":{"DOI":"10.1039/d1dt01079d","ISSN":"1477-9226","author":[{"dropping-particle":"","family":"Golesorkhi","given":"Bahman","non-dropping-particle":"","parse-names":false,"suffix":""},{"dropping-particle":"","family":"Bolvin","given":"Hélène","non-dropping-particle":"","parse-names":false,"suffix":""},{"dropping-particle":"","family":"Piguet","given":"Claude","non-dropping-particle":"","parse-names":false,"suffix":""}],"container-title":"Dalton Transactions","id":"ITEM-3","issued":{"date-parts":[["2021"]]},"page":"7955-7968","publisher":"Royal Society of Chemistry","title":"Molecular light-upconversion: we have had a problem! When excited state absorption (ESA) overcomes energy transfer upconversion (ETU) in Cr(III)/Er(III) complexes","type":"article-journal","volume":"50"},"uris":["http://www.mendeley.com/documents/?uuid=235ea9e0-76ad-4442-9ff4-2966a0e4752c"]},{"id":"ITEM-4","itemData":{"DOI":"10.1039/c9cc06909g","ISSN":"1364548X","PMID":"31608909","abstract":"The chiral spin-flip luminophore [Cr(ddpd)2]3+ can be resolved into enantiopure material by chiral HPLC. The corresponding enantiomers show very high luminescence dissymmetry factors of up to |glum |≈ 0.093 in circularly polarized luminescence (CPL) measurements for the \"ruby-like\" phosphorescence transition 2E/2T1 → 4A2 in the near-IR region around λ ≈ 775 nm.","author":[{"dropping-particle":"","family":"Dee","given":"Carolin","non-dropping-particle":"","parse-names":false,"suffix":""},{"dropping-particle":"","family":"Zinna","given":"Francesco","non-dropping-particle":"","parse-names":false,"suffix":""},{"dropping-particle":"","family":"Kitzmann","given":"Winald R.","non-dropping-particle":"","parse-names":false,"suffix":""},{"dropping-particle":"","family":"Pescitelli","given":"Gennaro","non-dropping-particle":"","parse-names":false,"suffix":""},{"dropping-particle":"","family":"Heinze","given":"Katja","non-dropping-particle":"","parse-names":false,"suffix":""},{"dropping-particle":"","family":"Bari","given":"Lorenzo","non-dropping-particle":"Di","parse-names":false,"suffix":""},{"dropping-particle":"","family":"Seitz","given":"Michael","non-dropping-particle":"","parse-names":false,"suffix":""}],"container-title":"Chemical Communications","id":"ITEM-4","issue":"87","issued":{"date-parts":[["2019"]]},"page":"13078-13081","publisher":"Royal Society of Chemistry","title":"Strong circularly polarized luminescence of an octahedral chromium(III) complex","type":"article-journal","volume":"55"},"uris":["http://www.mendeley.com/documents/?uuid=cb572ed7-a47a-4973-b640-a19c6cbea591"]},{"id":"ITEM-5","itemData":{"DOI":"10.1002/anie.202007200","ISSN":"15213773","PMID":"32558117","abstract":"Upconversion photoluminescence in hetero-oligonuclear metal complex architectures featuring organic ligands is an interesting but still rarely observed phenomenon, despite its great potential from a basic research and application perspective. In this context, a new photonic material consisting of molecular chromium(III) and ytterbium(III) complex ions was developed that exhibits excitation-power density-dependent cooperative sensitization of the chromium-centered 2E/2T1 phosphorescence at approximately 775 nm after excitation of the ytterbium band 2F7/2→2F5/2 at approximately 980 nm in the solid state at ambient temperature. The upconversion process is insensitive to atmospheric oxygen and can be observed in the presence of water molecules in the crystal lattice.","author":[{"dropping-particle":"","family":"Kalmbach","given":"Jens","non-dropping-particle":"","parse-names":false,"suffix":""},{"dropping-particle":"","family":"Wang","given":"Cui","non-dropping-particle":"","parse-names":false,"suffix":""},{"dropping-particle":"","family":"You","given":"Yi","non-dropping-particle":"","parse-names":false,"suffix":""},{"dropping-particle":"","family":"Förster","given":"Christoph","non-dropping-particle":"","parse-names":false,"suffix":""},{"dropping-particle":"","family":"Schubert","given":"Hartmut","non-dropping-particle":"","parse-names":false,"suffix":""},{"dropping-particle":"","family":"Heinze","given":"Katja","non-dropping-particle":"","parse-names":false,"suffix":""},{"dropping-particle":"","family":"Resch-Genger","given":"Ute","non-dropping-particle":"","parse-names":false,"suffix":""},{"dropping-particle":"","family":"Seitz","given":"Michael","non-dropping-particle":"","parse-names":false,"suffix":""}],"container-title":"Angew. Chem. Int. Ed.","id":"ITEM-5","issue":"42","issued":{"date-parts":[["2020"]]},"page":"18804-18808","title":"Near-IR to Near-IR Upconversion Luminescence in Molecular Chromium Ytterbium Salts","type":"article-journal","volume":"59"},"uris":["http://www.mendeley.com/documents/?uuid=7e4f18aa-0ed1-4476-85a4-634ad3abc72f"]},{"id":"ITEM-6","itemData":{"DOI":"10.1021/acs.inorgchem.4c02397","ISSN":"1520510X","abstract":"Pseudo-octahedral CrIIIN6 chromophores hold a unique appeal for low-energy sensitization of NIR lanthanide luminescence due to their exceptionally long-lived spin-flip excited states. This allure persists despite the obstacles and complexities involved in integrating both elements into a metallosupramolecular assembly. In this work, we have designed a structurally optimized heteroleptic CrIII building block capable of binding rare earths. Following a complex-as-ligand synthetic strategy, two heterometallic supramolecular assemblies, in which three peripherical CrIII sensitizers coordinated through a molecular wire to a central ErIII or YIII, have been prepared. Upon excitation of the CrIII spin-flip states, the downshifted Er(4I13/2 → 4I15/2) emission at 1550 nm was induced through intramolecular energy transfer. Time-resolved experiments at room temperature reveal a CrIII → ErIII energy transfer of 62-73% efficiencies with rate constants of about 8.5 × 105 s-1 despite the long donor-acceptor distance (circa 14 Å). This efficient directional intermetallic energy transfer can be rationalized using the Dexter formalism, which is promoted by a rigid linear electron-rich alkyne bridge that acts as a molecular wire connecting the CrIII and ErIII ions.","author":[{"dropping-particle":"","family":"Poncet","given":"Maxime","non-dropping-particle":"","parse-names":false,"suffix":""},{"dropping-particle":"","family":"Besnard","given":"Céline","non-dropping-particle":"","parse-names":false,"suffix":""},{"dropping-particle":"","family":"Jiménez","given":"Juan Ramón","non-dropping-particle":"","parse-names":false,"suffix":""},{"dropping-particle":"","family":"Piguet","given":"Claude","non-dropping-particle":"","parse-names":false,"suffix":""}],"container-title":"Inorganic Chemistry","id":"ITEM-6","issue":"Iii","issued":{"date-parts":[["2024"]]},"title":"Maximizing Nanoscale Downshifting Energy Transfer in a Metallosupramolecular Cr(III)-Er(III) Assembly","type":"article-journal"},"uris":["http://www.mendeley.com/documents/?uuid=90e05f4f-6325-4b15-91f7-b4db50afb372"]}],"mendeley":{"formattedCitation":"&lt;sup&gt;27–32&lt;/sup&gt;","plainTextFormattedCitation":"27–32","previouslyFormattedCitation":"&lt;sup&gt;27–32&lt;/sup&gt;"},"properties":{"noteIndex":0},"schema":"https://github.com/citation-style-language/schema/raw/master/csl-citation.json"}</w:instrText>
      </w:r>
      <w:r w:rsidRPr="00F338AB">
        <w:rPr>
          <w:vertAlign w:val="superscript"/>
        </w:rPr>
        <w:fldChar w:fldCharType="separate"/>
      </w:r>
      <w:r w:rsidR="00030AAC" w:rsidRPr="00F338AB">
        <w:rPr>
          <w:noProof/>
          <w:vertAlign w:val="superscript"/>
        </w:rPr>
        <w:t>27–32</w:t>
      </w:r>
      <w:r w:rsidRPr="00F338AB">
        <w:fldChar w:fldCharType="end"/>
      </w:r>
      <w:r w:rsidRPr="00F338AB">
        <w:t xml:space="preserve"> molecular thermometry,</w:t>
      </w:r>
      <w:r w:rsidRPr="00F338AB">
        <w:rPr>
          <w:vertAlign w:val="superscript"/>
        </w:rPr>
        <w:fldChar w:fldCharType="begin" w:fldLock="1"/>
      </w:r>
      <w:r w:rsidR="00255A25" w:rsidRPr="00F338AB">
        <w:rPr>
          <w:vertAlign w:val="superscript"/>
        </w:rPr>
        <w:instrText>ADDIN CSL_CITATION {"citationItems":[{"id":"ITEM-1","itemData":{"DOI":"10.1002/chem.201701726","ISSN":"15213765","PMID":"28430380","abstract":"The unparalleled excited-state potential-energy landscape of the chromium(III)-based dye [1]3+ ([Cr(ddpd)2]3+; ddpd=N,N′-dimethyl-N,N′-dipyridin-2-yl-pyridin-2,6-diamine) enables a strong dual emission in the near infrared region. The temperature dependence of this dual emission allows the use of [1]3+ as an unprecedented molecular ratiometric thermometer in the 210–373 K temperature range in organic and in aqueous media. Incorporation of [1]3+ in biocompatible nanocarriers, such as 100 nm-sized polystyrene nanoparticles and solutol micelles, provides nanodimensional thermometers operating under physiological conditions.","author":[{"dropping-particle":"","family":"Otto","given":"Sven","non-dropping-particle":"","parse-names":false,"suffix":""},{"dropping-particle":"","family":"Scholz","given":"Norman","non-dropping-particle":"","parse-names":false,"suffix":""},{"dropping-particle":"","family":"Behnke","given":"Thomas","non-dropping-particle":"","parse-names":false,"suffix":""},{"dropping-particle":"","family":"Resch-Genger","given":"Ute","non-dropping-particle":"","parse-names":false,"suffix":""},{"dropping-particle":"","family":"Heinze","given":"Katja","non-dropping-particle":"","parse-names":false,"suffix":""}],"container-title":"Chemistry - A European Journal","id":"ITEM-1","issue":"50","issued":{"date-parts":[["2017"]]},"page":"12131-12135","title":"Thermo-Chromium: A Contactless Optical Molecular Thermometer","type":"article-journal","volume":"23"},"uris":["http://www.mendeley.com/documents/?uuid=3bc9d263-d818-4a49-82bc-68e82a5fee47"]}],"mendeley":{"formattedCitation":"&lt;sup&gt;33&lt;/sup&gt;","plainTextFormattedCitation":"33","previouslyFormattedCitation":"&lt;sup&gt;33&lt;/sup&gt;"},"properties":{"noteIndex":0},"schema":"https://github.com/citation-style-language/schema/raw/master/csl-citation.json"}</w:instrText>
      </w:r>
      <w:r w:rsidRPr="00F338AB">
        <w:rPr>
          <w:vertAlign w:val="superscript"/>
        </w:rPr>
        <w:fldChar w:fldCharType="separate"/>
      </w:r>
      <w:r w:rsidR="00030AAC" w:rsidRPr="00F338AB">
        <w:rPr>
          <w:noProof/>
          <w:vertAlign w:val="superscript"/>
        </w:rPr>
        <w:t>33</w:t>
      </w:r>
      <w:r w:rsidRPr="00F338AB">
        <w:fldChar w:fldCharType="end"/>
      </w:r>
      <w:r w:rsidRPr="00F338AB">
        <w:t xml:space="preserve"> circularly polarized luminescence (CPL)</w:t>
      </w:r>
      <w:r w:rsidRPr="00F338AB">
        <w:fldChar w:fldCharType="begin" w:fldLock="1"/>
      </w:r>
      <w:r w:rsidR="006B462E" w:rsidRPr="00F338AB">
        <w:instrText xml:space="preserve">ADDIN CSL_CITATION {"citationItems":[{"id":"ITEM-1","itemData":{"DOI":"10.1021/jacs.9b06524","ISSN":"15205126","PMID":"31353904","abstract":"The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parameters assigned the absolute configurations of the two enantiomers. Circularly polarized luminescence (CPL) spectra showed two polarized emission bands within the NIR region corresponding to the characteristic metal-centered spin-flip Cr(2E → 4A2) and Cr(2T1 → 4A2) transitions with exceptionally high dissymmetry factors, |glum|, of 0.2 and 0.1, respectively, which are comparable to those reported for rare-earth chiral complexes. Photophysical properties also revealed an extremely long excited-state lifetime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metals.","author":[{"dropping-particle":"","family":"Jiménez","given":"Juan 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G.","non-dropping-particle":"","parse-names":false,"suffix":""},{"dropping-particle":"","family":"Piguet","given":"Claude","non-dropping-particle":"","parse-names":false,"suffix":""}],"container-title":"Journal of the American Chemical Society","id":"ITEM-1","issue":"33","issued":{"date-parts":[["2019"]]},"page":"13244-13252","title":"Chiral Molecular Ruby [Cr(dqp)2]3+ with Long-Lived Circularly Polarized Luminescence","type":"article-journal","volume":"141"},"uris":["http://www.mendeley.com/documents/?uuid=e07e4a4c-c633-4296-9d39-44f03238aefe"]},{"id":"ITEM-2","itemData":{"DOI":"10.3389/fchem.2020.00555","ISSN":"22962646","abstract":"Chiral molecules are essential for the development of advanced technological applications in spintronic and photonic. The best systems should produce large circularly polarized luminescence (CPL) as estimated by their dissymmetry factor (glum), which can reach the maximum values of −2 ≤ glum ≤ 2 when either pure right- or left-handed polarized light is emitted after standard excitation. For matching this requirement, theoretical considerations indicate that optical transitions with large magnetic and weak electric transition dipole moments represent the holy grail of CPL. Because of their detrimental strong and allowed electric dipole transitions, popular chiral emissive organic molecules display generally moderate dissymmetry factors (10−5 ≤ glum ≤ 10−3). However, recent efforts in this field show that glum can be significantly enhanced when the chiral organic activators are part of chiral supramolecular assemblies or of liquid crystalline materials. At the other extreme, chiral EuIII- and SmIII-based complexes, which possess intra-shell parity-forbidden electric but allowed magnetic dipole transitions, have yielded the largest dissymmetry factor reported so far with glum ~ 1.38. Consequently, 4f-based metal complexes with strong CPL are currently the best candidates for potential technological applications. They however suffer from the need for highly pure samples and from considerable production costs. In this context, chiral earth-abundant and cheap d-block metal complexes benefit from a renewed interest according that their CPL signal can be optimized despite the larger covalency displayed by d-block cations compared with 4f-block analogs. This essay thus aims at providing a minimum overview of the theoretical aspects rationalizing circularly polarized luminescence and their exploitation for the design of chiral emissive metal complexes with strong CPL. Beyond the corroboration that f–f transitions are ideal candidates for generating large dissymmetry factors, a special attention is focused on the recent attempts to use chiral CrIII-based complexes that reach values of glum up to 0.2. This could pave the way for replacing high-cost rare earths with cheap transition metals for CPL applications.","author":[{"dropping-particle":"","family":"Doistau","given":"Benjamin","non-dropping-particle":"","parse-names":false,"suffix":""},{"dropping-particle":"","family":"Jiménez","given":"Juan Ramón","non-dropping-particle":"","parse-names":false,"suffix":""},{"dropping-particle":"","family":"Piguet","given":"Claude","non-dropping-particle":"","parse-names":false,"suffix":""}],"container-title":"Frontiers in Chemistry","id":"ITEM-2","issue":"July","issued":{"date-parts":[["2020"]]},"page":"1-27","title":"Beyond Chiral Organic (p-Block) Chromophores for Circularly Polarized Luminescence: The Success of d-Block and f-Block Chiral Complexes","type":"article-journal","volume":"8"},"uris":["http://www.mendeley.com/documents/?uuid=a16603d3-a8a7-443c-95f0-82fd0ce82b26"]},{"id":"ITEM-3","itemData":{"DOI":"10.1039/c9cc06909g","ISSN":"1364548X","PMID":"31608909","abstract":"The chiral spin-flip luminophore [Cr(ddpd)2]3+ can be resolved into enantiopure material by chiral HPLC. The corresponding enantiomers show very high luminescence dissymmetry factors of up to |glum |≈ 0.093 in circularly polarized luminescence (CPL) measurements for the \"ruby-like\" phosphorescence transition 2E/2T1 → 4A2 in the near-IR region around λ ≈ 775 nm.","author":[{"dropping-particle":"","family":"Dee","given":"Carolin","non-dropping-particle":"","parse-names":false,"suffix":""},{"dropping-particle":"","family":"Zinna","given":"Francesco","non-dropping-particle":"","parse-names":false,"suffix":""},{"dropping-particle":"","family":"Kitzmann","given":"Winald R.","non-dropping-particle":"","parse-names":false,"suffix":""},{"dropping-particle":"","family":"Pescitelli","given":"Gennaro","non-dropping-particle":"","parse-names":false,"suffix":""},{"dropping-particle":"","family":"Heinze","given":"Katja","non-dropping-particle":"","parse-names":false,"suffix":""},{"dropping-particle":"","family":"Bari","given":"Lorenzo","non-dropping-particle":"Di","parse-names":false,"suffix":""},{"dropping-particle":"","family":"Seitz","given":"Michael","non-dropping-particle":"","parse-names":false,"suffix":""}],"container-title":"Chemical Communications","id":"ITEM-3","issue":"87","issued":{"date-parts":[["2019"]]},"page":"13078-13081","publisher":"Royal Society of Chemistry","title":"Strong circularly polarized luminescence of an octahedral chromium(III) complex","type":"article-journal","volume":"55"},"uris":["http://www.mendeley.com/documents/?uuid=cb572ed7-a47a-4973-b640-a19c6cbea591"]},{"id":"ITEM-4","itemData":{"DOI":"10.1039/d2tc05344f","ISSN":"2050-7526","abstract":"In this contribution we report on the synthesis and characterization of NIR-I luminescent silica nanoparticles doped with the chiral luminescent CrIIIN6 complex [Cr(dqp)2]3+ (dqp = 2,6-di(quinolin-8-yl)pyridine), Cr@SiO2NPs as well as...In this contribution we report on the synthesis and characterization of NIR-I luminescent silica nanoparticles doped with the chiral luminescent CrIIIN6 complex [Cr(dqp)2]3+ (dqp = 2,6-di(quinolin-8-yl)pyridine), Cr@SiO2NPs as well as on their post-functionalization with the highly luminescent Eu(tta)3(phen-Si) (tta = 2-Thenoyltrifluoroacetonate; phen-Si = phenantroline silica precursor), EuCr@SiO2NPs. These hybrid materials were prepared via reverse micelle techniques. Electronic microscopy analyses determined an average particle size of 94 nm with the Cr complex randomly distributed into the silica matrix. EuCr@SiO2NPs displays the characteristic ruby-like emission arising from the metal-centered spin-flip transitions within the 730-750 nm range (13500-12700 cm-1) together with the Eu-centered 5D0 → 7FJ (J = 0-4) transitions in the red region of the electromagnetic spectrum. CPL measurements showed two mirror-image polarized bands ascribed to the Cr(2E→4A2) and Cr(2T1→4A2) with dissymetry factor (glum) in the range of 0.1-0.2. The encapsulated CrIII complex showed larger quantum yield (4 %) and longer excited state lifetime (336-1500 </w:instrText>
      </w:r>
      <w:r w:rsidR="006B462E" w:rsidRPr="00F338AB">
        <w:instrText>s) compared to the non-encapsulated complex, providing an enhanced CPL brightness of 80 M-1·cm-1 in aerated media. Thus, these hybrid materials display an efficient and bright long-lived dual simultaneous non-polarized red and polarized NIR-I luminescence.","author":[{"dropping-particle":"","family":"Jiménez","given":"Juan Ramón","non-dropping-particle":"","parse-names":false,"suffix":""},{"dropping-particle":"","family":"Míguez-Lago","given":"Sandra","non-dropping-particle":"","parse-names":false,"suffix":""},{"dropping-particle":"","family":"Poncet","given":"Maxime","non-dropping-particle":"","parse-names":false,"suffix":""},{"dropping-particle":"","family":"Ye","given":"Yating","non-dropping-particle":"","parse-names":false,"suffix":""},{"dropping-particle":"","family":"Lopez","given":"Cesar","non-dropping-particle":"","parse-names":false,"suffix":""},{"dropping-particle":"","family":"Cruz","given":"Carlos M.","non-dropping-particle":"","parse-names":false,"suffix":""},{"dropping-particle":"","family":"Campaña","given":"Araceli G.","non-dropping-particle":"","parse-names":false,"suffix":""},{"dropping-particle":"","family":"Colacio","given":"Enrique","non-dropping-particle":"","parse-names":false,"suffix":""},{"dropping-particle":"","family":"Piguet","given":"Claude","non-dropping-particle":"","parse-names":false,"suffix":""},{"dropping-particle":"","family":"Herrera","given":"Juan Manuel","non-dropping-particle":"","parse-names":false,"suffix":""}],"container-title":"Journal of Materials Chemistry C","id":"ITEM-4","issue":"i","issued":{"date-parts":[["2023"]]},"page":"2582-2590","title":" Eu III functionalized silica nanoparticles encapsulating chiral Cr III complexes with simultaneous unpolarized red and polarized NIR-I luminescence ","type":"article-journal"},"uris":["http://www.mendeley.com/documents/?uuid=18433f6c-6c54-4c15-8640-19f77fc67948"]},{"id":"ITEM-5","itemData":{"DOI":"10.1039/d2cc06548g","ISSN":"1364548X","PMID":"36723000","abstract":"Homoleptic Cr(iii) complexes containing anionic tridentate 1,8-(bisoxazolyl)carbazolide ligands are phosphorescent in deaerated solutions with peak maxima in the range of 813-845 nm. The ligand carbon-centred chirality has been transferred to the helical chirality of the complexes and hence induced circularly polarized NIR-emissions with dissymmetry factor in the scale of 2.0 × 10−3","author":[{"dropping-particle":"","family":"Cheng","given":"Yang","non-dropping-particle":"","parse-names":false,"suffix":""},{"dropping-particle":"","family":"He","given":"Jiang","non-dropping-particle":"","parse-names":false,"suffix":""},{"dropping-particle":"","family":"Zou","given":"Wenjie","non-dropping-particle":"","parse-names":false,"suffix":""},{"dropping-particle":"","family":"Chang","given":"Xiaoyong","non-dropping-particle":"","parse-names":false,"suffix":""},{"dropping-particle":"","family":"Yang","given":"Qingqing","non-dropping-particle":"","parse-names":false,"suffix":""},{"dropping-particle":"","family":"Lu","given":"Wei","non-dropping-particle":"","parse-names":false,"suffix":""}],"container-title":"Chemical Communications","id":"ITEM-5","issue":"13","issued":{"date-parts":[["2023"]]},"page":"1781-1784","publisher":"Royal Society of Chemistry","title":"Circularly polarized near-infrared phosphorescence of chiral chromium(iii) complexes","type":"article-journal","volume":"59"},"uris":["http://www.mendeley.com/documents/?uuid=9fa56df5-f432-400f-adee-c65cbe262baf"]},{"id":"ITEM-6","itemData":{"DOI":"10.1039/d4sc04718d","author":[{"dropping-particle":"","family":"Gabbani","given":"Alessio","non-dropping-particle":"","parse-names":false,"suffix":""},{"dropping-particle":"","family":"Poncet","given":"Maxime","non-dropping-particle":"","parse-names":false,"suffix":""},{"dropping-particle":"","family":"Pescitelli","given":"Gennaro","non-dropping-particle":"","parse-names":false,"suffix":""},{"dropping-particle":"","family":"Carbonaro","given":"Laura","non-dropping-particle":"","parse-names":false,"suffix":""},{"dropping-particle":"","family":"Krzystek","given":"J","non-dropping-particle":"","parse-names":false,"suffix":""},{"dropping-particle":"","family":"Colacio","given":"Enrique","non-dropping-particle":"","parse-names":false,"suffix":""},{"dropping-particle":"","family":"Piguet","given":"Claude","non-dropping-particle":"","parse-names":false,"suffix":""},{"dropping-particle":"","family":"Pineider","given":"Francesco","non-dropping-particle":"","parse-names":false,"suffix":""},{"dropping-particle":"Di","family":"Bari","given":"Lorenzo","non-dropping-particle":"","parse-names":false,"suffix":""},{"dropping-particle":"","family":"Jiménez","given":"Juan-Ramón","non-dropping-particle":"","parse-names":false,"suffix":""},{"dropping-particle":"","family":"Zinna","given":"Francesco","non-dropping-particle":"","parse-names":false,"suffix":""}],"container-title":"Chemical Science","id":"ITEM-6","issued":{"date-parts":[["2024"]]},"title":"Magnetic circularly polarized luminescence from spin–flip transitions in a molecular ruby","type":"article-journal"},"uris":["http://www.mendeley.com/documents/?uuid=4e553693-7dd6-4a00-ae69-ea26e9fc767e"]}],"mendeley":{"formattedCitation":"&lt;sup&gt;17,30,34–37&lt;/sup&gt;","plainTextFormattedCitation":"17,30,34–37","previouslyFormattedCitation":"&lt;sup&gt;17,30,34–37&lt;/sup&gt;"},"properties":{"noteIndex":0},"schema":"https://github.com/citation-style-language/schema/raw/master/csl-citation.json"}</w:instrText>
      </w:r>
      <w:r w:rsidRPr="00F338AB">
        <w:fldChar w:fldCharType="separate"/>
      </w:r>
      <w:r w:rsidR="00255A25" w:rsidRPr="00F338AB">
        <w:rPr>
          <w:noProof/>
          <w:vertAlign w:val="superscript"/>
        </w:rPr>
        <w:t>17,30,34–37</w:t>
      </w:r>
      <w:r w:rsidRPr="00F338AB">
        <w:fldChar w:fldCharType="end"/>
      </w:r>
      <w:r w:rsidRPr="00F338AB">
        <w:t xml:space="preserve"> and photocatalysis.</w:t>
      </w:r>
      <w:r w:rsidRPr="00F338AB">
        <w:fldChar w:fldCharType="begin" w:fldLock="1"/>
      </w:r>
      <w:r w:rsidR="00255A25" w:rsidRPr="00F338AB">
        <w:instrText>ADDIN CSL_CITATION {"citationItems":[{"id":"ITEM-1","itemData":{"DOI":"10.1021/jacs.2c04465","ISSN":"15205126","PMID":"35913126","abstract":"The photoredox activity of well-known RuII complexes stems from metal-to-ligand charge transfer (MLCT) excited states, in which a ligand-based electron can initiate chemical reductions and a metal-centered hole can trigger oxidations. CrIII polypyridines show similar photoredox properties, although they have fundamentally different electronic structures. Their photoactive excited state is of spin-flip nature, differing from the electronic ground state merely by a change of one electron spin, but with otherwise identical d-orbital occupancy. We find that the driving-force dependence for photoinduced electron transfer from 10 different donors to a spin-flip excited state of a CrIII complex is very similar to that for a RuII polypyridine, and thereby validate the concept of estimating the redox potential of d3 spin-flip excited states in analogous manner as for the MLCT states of d6 compounds. Building on this insight, we use our CrIII complex for photocatalytic reactions not previously explored with this compound class, including the aerobic bromination of methoxyaryls, oxygenation of 1,1,2,2-tetraphenylethylene, aerobic hydroxylation of arylboronic acids, and the vinylation of N-phenyl pyrrolidine. This work contributes to understanding the fundamental photochemical properties of first-row transition-metal complexes in comparison to well-explored precious-metal-based photocatalysts.","author":[{"dropping-particle":"","family":"Bürgin","given":"Tobias H.","non-dropping-particle":"","parse-names":false,"suffix":""},{"dropping-particle":"","family":"Glaser","given":"Felix","non-dropping-particle":"","parse-names":false,"suffix":""},{"dropping-particle":"","family":"Wenger","given":"Oliver S.","non-dropping-particle":"","parse-names":false,"suffix":""}],"container-title":"Journal of the American Chemical Society","id":"ITEM-1","issue":"31","issued":{"date-parts":[["2022"]]},"page":"14181-14194","title":"Shedding Light on the Oxidizing Properties of Spin-Flip Excited States in a CrIIIPolypyridine Complex and Their Use in Photoredox Catalysis","type":"article-journal","volume":"144"},"uris":["http://www.mendeley.com/documents/?uuid=fbe305e7-c420-4cbc-b44e-77e962c8fbbd"]},{"id":"ITEM-2","itemData":{"DOI":"10.3389/fchem.2022.887439","ISSN":"22962646","abstract":"The molecular ruby [Cr(tpe)2]3+ and the tris(bipyridine) chromium(III) complex [Cr(dmcbpy)3]3+ as well as the tris(bipyrazine)ruthenium(II) complex [Ru(bpz)3]2+ were employed in the visible light-induced radical cation [4+2] cycloaddition (tpe = 1,1,1-tris(pyrid-2-yl)ethane, dmcbpy = 4,4′-dimethoxycarbonyl-2,2′-bipyridine, bpz = 2,2′-bipyrazine), while [Cr(ddpd)2]3+ serves as a control system (ddpd = N,N′-dimethyl-N,N′-dipyridin-2-ylpyridine-2,6-diamine). Along with an updated mechanistic proposal for the CrIII driven catalytic cycle based on redox chemistry, Stern-Volmer analyses, UV/Vis/NIR spectroscopic and nanosecond laser flash photolysis studies, we demonstrate that the very weakly absorbing photocatalyst [Cr(tpe)2]3+ outcompetes [Cr(dmcbpy)3]3+ and even [Ru(bpz)3]2+ in particular at low catalyst loadings, which appears contradictory at first sight. The high photostability, the reversible redoxchemistry and the very long excited state lifetime account for the exceptional performance and even reusability of [Cr(tpe)2]3+ in this photoredox catalytic system.","author":[{"dropping-particle":"","family":"Sittel","given":"Steven","non-dropping-particle":"","parse-names":false,"suffix":""},{"dropping-particle":"","family":"Naumann","given":"Robert","non-dropping-particle":"","parse-names":false,"suffix":""},{"dropping-particle":"","family":"Heinze","given":"Katja","non-dropping-particle":"","parse-names":false,"suffix":""}],"container-title":"Frontiers in Chemistry","id":"ITEM-2","issued":{"date-parts":[["2022","4","7"]]},"page":"340","publisher":"Frontiers Media S.A.","title":"Molecular Rubies in Photoredox Catalysis","type":"article-journal","volume":"10"},"uris":["http://www.mendeley.com/documents/?uuid=d3eb99df-ac0e-33ee-9a0f-6a17c392ff4e"]}],"mendeley":{"formattedCitation":"&lt;sup&gt;38,39&lt;/sup&gt;","plainTextFormattedCitation":"38,39","previouslyFormattedCitation":"&lt;sup&gt;38,39&lt;/sup&gt;"},"properties":{"noteIndex":0},"schema":"https://github.com/citation-style-language/schema/raw/master/csl-citation.json"}</w:instrText>
      </w:r>
      <w:r w:rsidRPr="00F338AB">
        <w:fldChar w:fldCharType="separate"/>
      </w:r>
      <w:r w:rsidR="00030AAC" w:rsidRPr="00F338AB">
        <w:rPr>
          <w:noProof/>
          <w:vertAlign w:val="superscript"/>
        </w:rPr>
        <w:t>38,39</w:t>
      </w:r>
      <w:r w:rsidRPr="00F338AB">
        <w:fldChar w:fldCharType="end"/>
      </w:r>
      <w:r w:rsidRPr="00F338AB">
        <w:t xml:space="preserve"> </w:t>
      </w:r>
      <w:r w:rsidR="00C862C2" w:rsidRPr="00F338AB">
        <w:t>Most</w:t>
      </w:r>
      <w:r w:rsidR="00981649" w:rsidRPr="00F338AB">
        <w:t xml:space="preserve"> </w:t>
      </w:r>
      <w:r w:rsidR="00C862C2" w:rsidRPr="00F338AB">
        <w:t xml:space="preserve">reported polypyridyl </w:t>
      </w:r>
      <w:proofErr w:type="spellStart"/>
      <w:r w:rsidR="00030AAC" w:rsidRPr="00F338AB">
        <w:t>Cr</w:t>
      </w:r>
      <w:r w:rsidR="00030AAC" w:rsidRPr="00F338AB">
        <w:rPr>
          <w:vertAlign w:val="superscript"/>
        </w:rPr>
        <w:t>III</w:t>
      </w:r>
      <w:proofErr w:type="spellEnd"/>
      <w:r w:rsidR="00030AAC" w:rsidRPr="00F338AB">
        <w:t xml:space="preserve"> </w:t>
      </w:r>
      <w:r w:rsidR="00C862C2" w:rsidRPr="00F338AB">
        <w:t>complexes show radiative emission within the range of 700 - 800 nm (14300 cm</w:t>
      </w:r>
      <w:r w:rsidR="00C862C2" w:rsidRPr="00F338AB">
        <w:rPr>
          <w:vertAlign w:val="superscript"/>
        </w:rPr>
        <w:t>-1</w:t>
      </w:r>
      <w:r w:rsidR="00C862C2" w:rsidRPr="00F338AB">
        <w:t xml:space="preserve"> - 12500 cm</w:t>
      </w:r>
      <w:r w:rsidR="00C862C2" w:rsidRPr="00F338AB">
        <w:rPr>
          <w:vertAlign w:val="superscript"/>
        </w:rPr>
        <w:t>-1</w:t>
      </w:r>
      <w:r w:rsidR="00C862C2" w:rsidRPr="00F338AB">
        <w:t>)</w:t>
      </w:r>
      <w:r w:rsidR="00C862C2" w:rsidRPr="00F338AB">
        <w:fldChar w:fldCharType="begin" w:fldLock="1"/>
      </w:r>
      <w:r w:rsidR="00C862C2" w:rsidRPr="00F338AB">
        <w:instrText>ADDIN CSL_CITATION {"citationItems":[{"id":"ITEM-1","itemData":{"DOI":"10.1016/j.ccr.2018.01.004","ISSN":"00108545","abstract":"Enabling strong and long-lived NIR emission from complexes with earth-abundant metal ions is exemplified by embedding chromium(III) in a very strong ligand field yielding the molecular ruby [Cr(ddpd)2]3+. This review aims at illustrating the main non-radiative decay pathways for electronically excited chromium(III) complexes, namely back-intersystem crossing, excited state distortion and multiphonon relaxation and at controlling these pathways by molecular design. The case study of [Cr(ddpd)2]3+ highlights recent successful design strategies and discusses first applications of the highly emissive 3d metal complex as optical sensor molecule and as photosensitizer.","author":[{"dropping-particle":"","family":"Otto","given":"Sven","non-dropping-particle":"","parse-names":false,"suffix":""},{"dropping-particle":"","family":"Dorn","given":"Matthias","non-dropping-particle":"","parse-names":false,"suffix":""},{"dropping-particle":"","family":"Förster","given":"Christoph","non-dropping-particle":"","parse-names":false,"suffix":""},{"dropping-particle":"","family":"Bauer","given":"Matthias","non-dropping-particle":"","parse-names":false,"suffix":""},{"dropping-particle":"","family":"Seitz","given":"Michael","non-dropping-particle":"","parse-names":false,"suffix":""},{"dropping-particle":"","family":"Heinze","given":"Katja","non-dropping-particle":"","parse-names":false,"suffix":""}],"container-title":"Coordination Chemistry Reviews","id":"ITEM-1","issued":{"date-parts":[["2018"]]},"page":"102-111","publisher":"Elsevier B.V.","title":"Understanding and exploiting long-lived near-infrared emission of a molecular ruby","type":"article-journal","volume":"359"},"uris":["http://www.mendeley.com/documents/?uuid=0181d22d-e9ec-4c3e-9afa-504288cf4dbd"]},{"id":"ITEM-2","itemData":{"DOI":"10.1016/j.ccr.2020.213750","ISSN":"00108545","abstract":"Although less famous than low-spin trivalent cobalt found in [CoIII(NH3)6−xClx]Cl3−x (x ≤ 3), which was exploited by Alfred Werner during the early part of the 20th century for establishing the basic rules of coordination chemistry, related trivalent chromium complexes exhibit comparable kinetic inertness, a rare property along the 3d-transition series. The associated slow isomerisation processes are compatible with the isolation of well-defined heteroleptic complexes. Some subtle energetic differences between CrIII-X (X = halide, pseudo-halide, cyanide, solvent) and Cr-N bonds can be exploited for preparing stable and inert cis/trans-[Cr(N ∩ N)2X2]+ and fac/mer-[Cr(N ∩ N ∩ N)X3] primary heteroleptic complexes incorporating multidentate nitrogen-containing chelate ligands. The use of these building blocks within the frame of the ‘complex-as-ligand’ strategy, or via the labilization of the remaining Cr-X bonds pave the way for the design of discrete polymetallic assemblies in which the photophysically appealing [CrIIIN6] chromophores could find applications as functional light-converting devices.","author":[{"dropping-particle":"","family":"Jiménez","given":"Juan Ramón","non-dropping-particle":"","parse-names":false,"suffix":""},{"dropping-particle":"","family":"Doistau","given":"Benjamin","non-dropping-particle":"","parse-names":false,"suffix":""},{"dropping-particle":"","family":"Poncet","given":"Maxime","non-dropping-particle":"","parse-names":false,"suffix":""},{"dropping-particle":"","family":"Piguet","given":"Claude","non-dropping-particle":"","parse-names":false,"suffix":""}],"container-title":"Coordination Chemistry Reviews","id":"ITEM-2","issued":{"date-parts":[["2021"]]},"title":"Heteroleptic trivalent chromium in coordination chemistry: Novel building blocks for addressing old challenges in multimetallic luminescent complexes","type":"article","volume":"434"},"uris":["http://www.mendeley.com/documents/?uuid=b50d113e-2990-4ad3-bf65-bee0260cb1cf"]}],"mendeley":{"formattedCitation":"&lt;sup&gt;18,25&lt;/sup&gt;","plainTextFormattedCitation":"18,25","previouslyFormattedCitation":"&lt;sup&gt;18,25&lt;/sup&gt;"},"properties":{"noteIndex":0},"schema":"https://github.com/citation-style-language/schema/raw/master/csl-citation.json"}</w:instrText>
      </w:r>
      <w:r w:rsidR="00C862C2" w:rsidRPr="00F338AB">
        <w:fldChar w:fldCharType="separate"/>
      </w:r>
      <w:r w:rsidR="00C862C2" w:rsidRPr="00F338AB">
        <w:rPr>
          <w:noProof/>
          <w:vertAlign w:val="superscript"/>
        </w:rPr>
        <w:t>18,25</w:t>
      </w:r>
      <w:r w:rsidR="00C862C2" w:rsidRPr="00F338AB">
        <w:fldChar w:fldCharType="end"/>
      </w:r>
      <w:r w:rsidR="00C862C2" w:rsidRPr="00F338AB">
        <w:t xml:space="preserve"> but recent examples demonstrated that increasing metal-ligand covalency </w:t>
      </w:r>
      <w:r w:rsidR="00280FD0" w:rsidRPr="00F338AB">
        <w:t>favour</w:t>
      </w:r>
      <w:r w:rsidR="00D14622" w:rsidRPr="00F338AB">
        <w:t>s</w:t>
      </w:r>
      <w:r w:rsidR="00C862C2" w:rsidRPr="00F338AB">
        <w:t xml:space="preserve"> the nephelauxetic effect (i.e. decreases the electron-electron repulsion) stabilizing the SF states and thus shifting the </w:t>
      </w:r>
      <w:proofErr w:type="spellStart"/>
      <w:r w:rsidR="00030AAC" w:rsidRPr="00F338AB">
        <w:t>Cr</w:t>
      </w:r>
      <w:r w:rsidR="00030AAC" w:rsidRPr="00F338AB">
        <w:rPr>
          <w:vertAlign w:val="superscript"/>
        </w:rPr>
        <w:t>III</w:t>
      </w:r>
      <w:proofErr w:type="spellEnd"/>
      <w:r w:rsidR="00030AAC" w:rsidRPr="00F338AB">
        <w:t xml:space="preserve"> </w:t>
      </w:r>
      <w:proofErr w:type="spellStart"/>
      <w:r w:rsidR="00280FD0" w:rsidRPr="00F338AB">
        <w:t>centered</w:t>
      </w:r>
      <w:proofErr w:type="spellEnd"/>
      <w:r w:rsidR="00C862C2" w:rsidRPr="00F338AB">
        <w:t xml:space="preserve"> emission up to 1000-1067 nm (NIR-II region, ~ 9400 cm</w:t>
      </w:r>
      <w:r w:rsidR="00C862C2" w:rsidRPr="00F338AB">
        <w:rPr>
          <w:vertAlign w:val="superscript"/>
        </w:rPr>
        <w:t>-1</w:t>
      </w:r>
      <w:r w:rsidR="00C862C2" w:rsidRPr="00F338AB">
        <w:t>).</w:t>
      </w:r>
      <w:r w:rsidR="00C862C2" w:rsidRPr="00F338AB">
        <w:fldChar w:fldCharType="begin" w:fldLock="1"/>
      </w:r>
      <w:r w:rsidR="00255A25" w:rsidRPr="00F338AB">
        <w:instrText>ADDIN CSL_CITATION {"citationItems":[{"id":"ITEM-1","itemData":{"DOI":"10.1002/anie.202106398","ISSN":"15213773","PMID":"34125469","abstract":"The combination of π-donating amido with π-accepting pyridine coordination units in a tridentate chelate ligand causes a strong nephelauxetic effect in a homoleptic CrIII complex, which shifts its luminescence to the NIR-II spectral range. Previously explored CrIII polypyridine complexes typically emit between 727 and 778 nm (in the red to NIR-I spectral region), and ligand design strategies have so far concentrated on optimizing the ligand field strength. The present work takes a fundamentally different approach and focusses on increasing metal–ligand bond covalence to shift the ruby-like 2E emission of CrIII to 1067 nm at 77 K.","author":[{"dropping-particle":"","family":"Sinha","given":"Narayan","non-dropping-particle":"","parse-names":false,"suffix":""},{"dropping-particle":"","family":"Jiménez","given":"Juan Ramón","non-dropping-particle":"","parse-names":false,"suffix":""},{"dropping-particle":"","family":"Pfund","given":"Björn","non-dropping-particle":"","parse-names":false,"suffix":""},{"dropping-particle":"","family":"Prescimone","given":"Alessandro","non-dropping-particle":"","parse-names":false,"suffix":""},{"dropping-particle":"","family":"Piguet","given":"Claude","non-dropping-particle":"","parse-names":false,"suffix":""},{"dropping-particle":"","family":"Wenger","given":"Oliver S.","non-dropping-particle":"","parse-names":false,"suffix":""}],"container-title":"Angew. Chem. Int. Ed.","id":"ITEM-1","issue":"44","issued":{"date-parts":[["2021"]]},"page":"23722-23728","title":"A Near-Infrared-II Emissive Chromium(III) Complex","type":"article-journal","volume":"60"},"uris":["http://www.mendeley.com/documents/?uuid=3d6e7cd7-1fa4-4ac1-8b19-f5b2645fc40c"]},{"id":"ITEM-2","itemData":{"DOI":"10.1039/d2cc01434c","abstract":"Bis-terdentate (N^N^N) ligands coordinated to Cr(III) yield complexes that display near-IR emission under aerated solvent conditions at room temperature. Cr(III) complexes have attracted interest due to their optical, 1 (photo)redox and magnetic properties. 2 Cr(III) photolumin-escence, 3 from a discreet coordination complex was first reported in the 1960s. 4 The photophysics of Cr(III) complexes is generally dominated by metal-centred excited states. 5-7 A strong, pseudo-octahedral ligand field at Cr(III) yields the possibility for populating doublet excited states (2 E and 2 T), while simultaneously preventing 4 T 2 / 2 E back intersystem crossing. As relaxation from these excited states to the 4 A 2 ground state is spin forbidden, long-lived phosphorescence can be observed. However, Cr(III) species are often hampered by poor emissivity. Deoxygenated, deuterated solvents and deuteriation of ligands has been employed to help minimise quenching from non-radiative multiphonon relaxation pathways. 8 In contrast to well-known precious metal lumophores, earth-abundant Cr(III) complexes of archetypal diimine ligands typically show Cr-centred phosphorescence in the 650-760 nm range. Related heteroleptic complexes provide some rational tuning of emission within similar wavelength ranges. 9 Scheme 1 describes some important luminescent Cr(III) complexes, most of which have been reported in the last few years. Consideration of the N-Cr-N bite angles of the coordinated ligands is key. Thus, larger six-membered chelate rings are well suited in optimizing N-Cr-N bite angles towards 901 and this in turn reduces non-radiative deactivation. 7 Recent studies have clearly demonstrated the use of ligands such as N,N 0-dimethyl-N-N 0-dipyridine-2-yl-pyridine-2,6-diamine (ddpd), 10 2,6-bis(2-pyridylmethyl)pyridine (bpmp), 11 and 1,1,1-tris(pyrid-2-yl)ethane (tpe) 12 that yield Cr(III) complexes with more intense emission properties and longer lifetimes. During our current studies, Wenger, Piguet and co-workers described the first report of a Cr(III) complex with emission in the near-IR-II region (ca. 1067 nm) using ligand fields that combine optimised octahedral geometries with both sand p-donor/p-acceptor characteristics that potentially increase metal-ligand covalency. 13 This was achieved using a 3,6-di-tert-butyl-1,8-di (-pyridine-2-yl)-carbazole (dpc) ligand (Scheme 1) which imparts trans N-Cr-N bond angles of around 1741 for [Cr(dpc) 2 ] +. Excitation at 450 nm yield…","author":[{"dropping-particle":"","family":"Sawicka","given":"Natalia","non-dropping-particle":"","parse-names":false,"suffix":""},{"dropping-particle":"","family":"Craze","given":"Chloe J","non-dropping-particle":"","parse-names":false,"suffix":""},{"dropping-particle":"","family":"Horton","given":"Peter N","non-dropping-particle":"","parse-names":false,"suffix":""},{"dropping-particle":"","family":"Coles","given":"Simon J","non-dropping-particle":"","parse-names":false,"suffix":""},{"dropping-particle":"","family":"Richards","given":"Emma","non-dropping-particle":"","parse-names":false,"suffix":""},{"dropping-particle":"","family":"Pope","given":"Simon J A","non-dropping-particle":"","parse-names":false,"suffix":""}],"container-title":"Chemical Communications","id":"ITEM-2","issued":{"date-parts":[["2022"]]},"page":"5733","title":"Long-lived, near-IR emission from Cr(III) under ambient conditions","type":"article-journal","volume":"58"},"uris":["http://www.mendeley.com/documents/?uuid=eb18c4ed-448a-3c44-9a79-8fca0a1b352b"]},{"id":"ITEM-3","itemData":{"DOI":"10.1039/d2dt02872g","ISSN":"14779234","abstract":"A series of homoleptic Cr(iii) complexes containing substituted anionic 1,3-bis(pyridin-2-ylimino)isoindolin-2-ide ligands are phosphorescent with λmax in the 777-970 nm range in degassed fluid solutions. The energy gap law has been successfully applied to the doublet excited states of Cr(iii) complexes.","author":[{"dropping-particle":"","family":"Cheng","given":"Yang","non-dropping-particle":"","parse-names":false,"suffix":""},{"dropping-particle":"","family":"Yang","given":"Qingqing","non-dropping-particle":"","parse-names":false,"suffix":""},{"dropping-particle":"","family":"He","given":"Jiang","non-dropping-particle":"","parse-names":false,"suffix":""},{"dropping-particle":"","family":"Zou","given":"Wenjie","non-dropping-particle":"","parse-names":false,"suffix":""},{"dropping-particle":"","family":"Liao","given":"Keyu","non-dropping-particle":"","parse-names":false,"suffix":""},{"dropping-particle":"","family":"Chang","given":"Xiaoyong","non-dropping-particle":"","parse-names":false,"suffix":""},{"dropping-particle":"","family":"Zou","given":"Chao","non-dropping-particle":"","parse-names":false,"suffix":""},{"dropping-particle":"","family":"Lu","given":"Wei","non-dropping-particle":"","parse-names":false,"suffix":""}],"container-title":"Dalton Transactions","id":"ITEM-3","issue":"March","issued":{"date-parts":[["2022"]]},"publisher":"Royal Society of Chemistry","title":"The energy gap law for NIR-phosphorescent Cr(iii) complexes","type":"article-journal","volume":"52"},"uris":["http://www.mendeley.com/documents/?uuid=ddbab959-26d6-491d-9107-b8be0f8be18a"]},{"id":"ITEM-4","itemData":{"DOI":"10.1002/anie.202303864","ISSN":"15213773","abstract":"The expansion of d-orbitals as a result of metal-ligand bond covalence, the so-called nephelauxetic effect, is a well-established concept of coordination chemistry, yet its importance for the design of new photoactive complexes based on first-row transition metals is only beginning to be recognized. Until recently, much focus has been on optimizing the ligand field strength, coordination geometries, and molecular rigidity, but now it becomes evident that the nephelauxetic effect can be a game changer regarding the photophysical properties of 3d metal complexes in solution at room temperature. In CrIII and MnIV complexes with the d3 valence electron configuration, the nephelauxetic effect was exploited to shift the well-known ruby-like red luminescence to the near-infrared spectral region. In FeII and CoIII complexes with the low-spin d6 electron configuration, charge-transfer excited states were stabilized with respect to detrimental metal-centered excited states, to improve their properties and to enhance their application potential. In isoelectronic (3d6) isocyanide complexes of Cr0 and MnI, the nephelauxetic effect is likely at play as well, enabling luminescence and other favorable photoreactivity. This minireview illustrates the broad applicability of the nephelauxetic effect in tailoring the photophysical and photochemical properties of new coordination compounds made from abundant first-row transition metals.","author":[{"dropping-particle":"","family":"Sinha","given":"Narayan","non-dropping-particle":"","parse-names":false,"suffix":""},{"dropping-particle":"","family":"Yaltseva","given":"Polina","non-dropping-particle":"","parse-names":false,"suffix":""},{"dropping-particle":"","family":"Wenger","given":"Oliver S.","non-dropping-particle":"","parse-names":false,"suffix":""}],"container-title":"Angewandte Chemie - International Edition","id":"ITEM-4","issued":{"date-parts":[["2023"]]},"title":"The Nephelauxetic Effect Becomes an Important Design Factor for Photoactive First-Row Transition Metal Complexes","type":"article-journal","volume":"202303864"},"uris":["http://www.mendeley.com/documents/?uuid=ed5283e8-5a79-4e0f-85b4-c6e2b297ff4c"]}],"mendeley":{"formattedCitation":"&lt;sup&gt;40–43&lt;/sup&gt;","plainTextFormattedCitation":"40–43","previouslyFormattedCitation":"&lt;sup&gt;40–43&lt;/sup&gt;"},"properties":{"noteIndex":0},"schema":"https://github.com/citation-style-language/schema/raw/master/csl-citation.json"}</w:instrText>
      </w:r>
      <w:r w:rsidR="00C862C2" w:rsidRPr="00F338AB">
        <w:fldChar w:fldCharType="separate"/>
      </w:r>
      <w:r w:rsidR="00030AAC" w:rsidRPr="00F338AB">
        <w:rPr>
          <w:noProof/>
          <w:vertAlign w:val="superscript"/>
        </w:rPr>
        <w:t>40–43</w:t>
      </w:r>
      <w:r w:rsidR="00C862C2" w:rsidRPr="00F338AB">
        <w:fldChar w:fldCharType="end"/>
      </w:r>
      <w:r w:rsidR="00C862C2" w:rsidRPr="00F338AB">
        <w:t xml:space="preserve"> Conversely, Heinze and coworkers harnessed weak </w:t>
      </w:r>
      <w:r w:rsidR="00C862C2" w:rsidRPr="00F338AB">
        <w:rPr>
          <w:i/>
        </w:rPr>
        <w:t>π</w:t>
      </w:r>
      <w:r w:rsidR="00C862C2" w:rsidRPr="00F338AB">
        <w:t xml:space="preserve"> accepting ligands in the [Cr(</w:t>
      </w:r>
      <w:proofErr w:type="spellStart"/>
      <w:r w:rsidR="00C862C2" w:rsidRPr="00F338AB">
        <w:t>bpmp</w:t>
      </w:r>
      <w:proofErr w:type="spellEnd"/>
      <w:r w:rsidR="00C862C2" w:rsidRPr="00F338AB">
        <w:t>)</w:t>
      </w:r>
      <w:r w:rsidR="00C862C2" w:rsidRPr="00F338AB">
        <w:rPr>
          <w:vertAlign w:val="subscript"/>
        </w:rPr>
        <w:t>2</w:t>
      </w:r>
      <w:r w:rsidR="00C862C2" w:rsidRPr="00F338AB">
        <w:t>]</w:t>
      </w:r>
      <w:r w:rsidR="00C862C2" w:rsidRPr="00F338AB">
        <w:rPr>
          <w:vertAlign w:val="superscript"/>
        </w:rPr>
        <w:t>3+</w:t>
      </w:r>
      <w:r w:rsidR="00C862C2" w:rsidRPr="00F338AB">
        <w:t xml:space="preserve"> complex (</w:t>
      </w:r>
      <w:proofErr w:type="spellStart"/>
      <w:r w:rsidR="00C862C2" w:rsidRPr="00F338AB">
        <w:t>bpmp</w:t>
      </w:r>
      <w:proofErr w:type="spellEnd"/>
      <w:r w:rsidR="00C862C2" w:rsidRPr="00F338AB">
        <w:t xml:space="preserve"> = 2,6-bis(2-pyridylmethyl)pyridine) which displays strong red emission (</w:t>
      </w:r>
      <w:r w:rsidR="00C862C2" w:rsidRPr="00F338AB">
        <w:sym w:font="Symbol" w:char="F06C"/>
      </w:r>
      <w:r w:rsidR="00C862C2" w:rsidRPr="00F338AB">
        <w:t xml:space="preserve"> = 709 nm) (Fig. 1a).</w:t>
      </w:r>
      <w:r w:rsidR="00C862C2" w:rsidRPr="00F338AB">
        <w:fldChar w:fldCharType="begin" w:fldLock="1"/>
      </w:r>
      <w:r w:rsidR="00255A25" w:rsidRPr="00F338AB">
        <w:instrText>ADDIN CSL_CITATION {"citationItems":[{"id":"ITEM-1","itemData":{"DOI":"10.1021/jacs.1c05971","author":[{"dropping-particle":"","family":"Reichenauer","given":"Florian","non-dropping-particle":"","parse-names":false,"suffix":""},{"dropping-particle":"","family":"Wang","given":"Cui","non-dropping-particle":"","parse-names":false,"suffix":""},{"dropping-particle":"","family":"Christoph","given":"F","non-dropping-particle":"","parse-names":false,"suffix":""},{"dropping-particle":"","family":"Boden","given":"Pit","non-dropping-particle":"","parse-names":false,"suffix":""},{"dropping-particle":"","family":"Ugur","given":"Naz","non-dropping-particle":"","parse-names":false,"suffix":""},{"dropping-particle":"","family":"Ricardo","given":"B","non-dropping-particle":"","parse-names":false,"suffix":""},{"dropping-particle":"","family":"Kalmbach","given":"Jens","non-dropping-particle":"","parse-names":false,"suffix":""},{"dropping-particle":"","family":"Carrella","given":"Luca M","non-dropping-particle":"","parse-names":false,"suffix":""},{"dropping-particle":"","family":"Rentschler","given":"Eva","non-dropping-particle":"","parse-names":false,"suffix":""},{"dropping-particle":"","family":"Ramanan","given":"Charusheela","non-dropping-particle":"","parse-names":false,"suffix":""},{"dropping-particle":"","family":"Niedner-schatteburg","given":"Gereon","non-dropping-particle":"","parse-names":false,"suffix":""},{"dropping-particle":"","family":"Gerhards","given":"Markus","non-dropping-particle":"","parse-names":false,"suffix":""},{"dropping-particle":"","family":"Seitz","given":"Michael","non-dropping-particle":"","parse-names":false,"suffix":""},{"dropping-particle":"","family":"Resch-genger","given":"Ute","non-dropping-particle":"","parse-names":false,"suffix":""},{"dropping-particle":"","family":"Heinze","given":"Katja","non-dropping-particle":"","parse-names":false,"suffix":""}],"container-title":"J. Am. Chem. Soc","id":"ITEM-1","issue":"11843-11855","issued":{"date-parts":[["2021"]]},"title":"Strongly Red-Emissive Molecular Ruby [Cr(bpmp) 2 ] 3+ Surpasses [Ru(bpy) 3 ] 2+","type":"article-journal","volume":"143"},"uris":["http://www.mendeley.com/documents/?uuid=9d14db5d-daf5-4448-872a-c5e2b9bd7aac"]}],"mendeley":{"formattedCitation":"&lt;sup&gt;44&lt;/sup&gt;","plainTextFormattedCitation":"44","previouslyFormattedCitation":"&lt;sup&gt;44&lt;/sup&gt;"},"properties":{"noteIndex":0},"schema":"https://github.com/citation-style-language/schema/raw/master/csl-citation.json"}</w:instrText>
      </w:r>
      <w:r w:rsidR="00C862C2" w:rsidRPr="00F338AB">
        <w:fldChar w:fldCharType="separate"/>
      </w:r>
      <w:r w:rsidR="00030AAC" w:rsidRPr="00F338AB">
        <w:rPr>
          <w:noProof/>
          <w:vertAlign w:val="superscript"/>
        </w:rPr>
        <w:t>44</w:t>
      </w:r>
      <w:r w:rsidR="00C862C2" w:rsidRPr="00F338AB">
        <w:fldChar w:fldCharType="end"/>
      </w:r>
      <w:r w:rsidR="00C862C2" w:rsidRPr="00F338AB">
        <w:t xml:space="preserve"> Since </w:t>
      </w:r>
      <w:proofErr w:type="spellStart"/>
      <w:r w:rsidR="00030AAC" w:rsidRPr="00F338AB">
        <w:t>Cr</w:t>
      </w:r>
      <w:r w:rsidR="00030AAC" w:rsidRPr="00F338AB">
        <w:rPr>
          <w:vertAlign w:val="superscript"/>
        </w:rPr>
        <w:t>III</w:t>
      </w:r>
      <w:proofErr w:type="spellEnd"/>
      <w:r w:rsidR="00030AAC" w:rsidRPr="00F338AB">
        <w:t xml:space="preserve"> </w:t>
      </w:r>
      <w:r w:rsidR="00C862C2" w:rsidRPr="00F338AB">
        <w:t>coordination chemistry has been mainly limited to polypyridyl organic ligands, Scattergood and co-workers introduced a novel class of ligands in which a central pyridine is functionalized at the 2,6 positions with 1,2,3-triazoles donors.</w:t>
      </w:r>
      <w:r w:rsidR="00C862C2" w:rsidRPr="00F338AB">
        <w:fldChar w:fldCharType="begin" w:fldLock="1"/>
      </w:r>
      <w:r w:rsidR="00255A25" w:rsidRPr="00F338AB">
        <w:instrText>ADDIN CSL_CITATION {"citationItems":[{"id":"ITEM-1","itemData":{"DOI":"10.1021/jacs.3c01543","ISSN":"15205126","PMID":"37224437","abstract":"A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Society","id":"ITEM-1","issued":{"date-parts":[["2023"]]},"page":"12081-12092","title":"Direct Determination of the Rate of Intersystem Crossing in a Near-IR Luminescent Cr(III) Triazolyl Complex","type":"article-journal","volume":"145"},"uris":["http://www.mendeley.com/documents/?uuid=8c880c1f-848d-422a-bae8-b73fecd99327"]}],"mendeley":{"formattedCitation":"&lt;sup&gt;45&lt;/sup&gt;","plainTextFormattedCitation":"45","previouslyFormattedCitation":"&lt;sup&gt;45&lt;/sup&gt;"},"properties":{"noteIndex":0},"schema":"https://github.com/citation-style-language/schema/raw/master/csl-citation.json"}</w:instrText>
      </w:r>
      <w:r w:rsidR="00C862C2" w:rsidRPr="00F338AB">
        <w:fldChar w:fldCharType="separate"/>
      </w:r>
      <w:r w:rsidR="00030AAC" w:rsidRPr="00F338AB">
        <w:rPr>
          <w:noProof/>
          <w:vertAlign w:val="superscript"/>
        </w:rPr>
        <w:t>45</w:t>
      </w:r>
      <w:r w:rsidR="00C862C2" w:rsidRPr="00F338AB">
        <w:fldChar w:fldCharType="end"/>
      </w:r>
      <w:r w:rsidR="00C862C2" w:rsidRPr="00F338AB">
        <w:t xml:space="preserve">  However, the photophysical properties of [Cr(</w:t>
      </w:r>
      <w:proofErr w:type="spellStart"/>
      <w:r w:rsidR="00C862C2" w:rsidRPr="00F338AB">
        <w:t>btmp</w:t>
      </w:r>
      <w:proofErr w:type="spellEnd"/>
      <w:r w:rsidR="00C862C2" w:rsidRPr="00F338AB">
        <w:t>)</w:t>
      </w:r>
      <w:r w:rsidR="00C862C2" w:rsidRPr="00F338AB">
        <w:rPr>
          <w:vertAlign w:val="subscript"/>
        </w:rPr>
        <w:t>2</w:t>
      </w:r>
      <w:r w:rsidR="00C862C2" w:rsidRPr="00F338AB">
        <w:t>]</w:t>
      </w:r>
      <w:r w:rsidR="00C862C2" w:rsidRPr="00F338AB">
        <w:rPr>
          <w:vertAlign w:val="superscript"/>
        </w:rPr>
        <w:t>3+</w:t>
      </w:r>
      <w:r w:rsidR="00C862C2" w:rsidRPr="00F338AB">
        <w:t xml:space="preserve"> (</w:t>
      </w:r>
      <w:proofErr w:type="spellStart"/>
      <w:r w:rsidR="00C862C2" w:rsidRPr="00F338AB">
        <w:t>btmp</w:t>
      </w:r>
      <w:proofErr w:type="spellEnd"/>
      <w:r w:rsidR="00C862C2" w:rsidRPr="00F338AB">
        <w:t xml:space="preserve"> = 2,6-bis(4-phenyl-1,2,3-triazol-1-yl-methyl)-pyridine) remain </w:t>
      </w:r>
      <w:r w:rsidR="00030AAC" w:rsidRPr="00F338AB">
        <w:t xml:space="preserve">comparatively </w:t>
      </w:r>
      <w:r w:rsidR="00C862C2" w:rsidRPr="00F338AB">
        <w:t>modest (</w:t>
      </w:r>
      <m:oMath>
        <m:r>
          <w:rPr>
            <w:rFonts w:ascii="Cambria Math" w:hAnsi="Cambria Math"/>
            <w:i/>
          </w:rPr>
          <w:sym w:font="Symbol" w:char="F066"/>
        </m:r>
      </m:oMath>
      <w:r w:rsidR="00C862C2" w:rsidRPr="00F338AB">
        <w:t xml:space="preserve"> = 0.27%; </w:t>
      </w:r>
      <w:r w:rsidR="00C862C2" w:rsidRPr="00F338AB">
        <w:rPr>
          <w:i/>
          <w:iCs/>
        </w:rPr>
        <w:t xml:space="preserve">τ = </w:t>
      </w:r>
      <w:r w:rsidR="00C862C2" w:rsidRPr="00F338AB">
        <w:t xml:space="preserve">37.9 </w:t>
      </w:r>
      <w:r w:rsidR="00C862C2" w:rsidRPr="00F338AB">
        <w:sym w:font="Symbol" w:char="F06D"/>
      </w:r>
      <w:r w:rsidR="00C862C2" w:rsidRPr="00F338AB">
        <w:t>s) (Fig. 1b).</w:t>
      </w:r>
    </w:p>
    <w:p w14:paraId="3966914D" w14:textId="7B8331C2" w:rsidR="00972975" w:rsidRPr="00F338AB" w:rsidRDefault="00981649" w:rsidP="00A05865">
      <w:pPr>
        <w:pStyle w:val="RSCB02ArticleText"/>
      </w:pPr>
      <w:r w:rsidRPr="00F338AB">
        <w:t xml:space="preserve">Boosting the overall luminescence quantum yield in this type of chromophores has traditionally been achieved by reducing high-energy oscillators (e.g., C-H, O-H, or N-H) near the metal </w:t>
      </w:r>
      <w:proofErr w:type="spellStart"/>
      <w:r w:rsidRPr="00F338AB">
        <w:t>center</w:t>
      </w:r>
      <w:proofErr w:type="spellEnd"/>
      <w:r w:rsidRPr="00F338AB">
        <w:t>, thereby lowering non-radiative rates (</w:t>
      </w:r>
      <w:proofErr w:type="spellStart"/>
      <w:r w:rsidRPr="00F338AB">
        <w:rPr>
          <w:i/>
          <w:iCs/>
        </w:rPr>
        <w:t>k</w:t>
      </w:r>
      <w:r w:rsidRPr="00F338AB">
        <w:rPr>
          <w:vertAlign w:val="subscript"/>
        </w:rPr>
        <w:t>nrad</w:t>
      </w:r>
      <w:proofErr w:type="spellEnd"/>
      <w:r w:rsidRPr="00F338AB">
        <w:t>).</w:t>
      </w:r>
      <w:r w:rsidRPr="00F338AB">
        <w:fldChar w:fldCharType="begin" w:fldLock="1"/>
      </w:r>
      <w:r w:rsidR="00255A25" w:rsidRPr="00F338AB">
        <w:instrText>ADDIN CSL_CITATION {"citationItems":[{"id":"ITEM-1","itemData":{"DOI":"10.1002/anie.201711350","ISSN":"15213773","PMID":"29215792","abstract":"The recently reported luminescent chromium(III) complex 13+ ([Cr(ddpd)2]3+; ddpd=N,N′-dimethyl-N,N′-dipyridine-2-yl-pyridine-2,6-diamine) shows exceptionally strong near-IR emission at 775 nm in water under ambient conditions (Φ=11 %) with a microsecond lifetime as the ligand design in 13+ effectively eliminates non-radiative decay pathways, such as photosubstitution, back-intersystem crossing, and trigonal twists. In the absence of energy acceptors, such as dioxygen, the remaining decay pathways are energy transfer to high energy solvent and ligand oscillators, namely OH and CH stretching vibrations. Selective deuteration of the solvents and the ddpd ligands probes the efficiency of these oscillators in the excited state deactivation. Addressing these energy-transfer pathways in the first and second coordination sphere furnishes a record 30 % quantum yield and a 2.3 millisecond lifetime for a metal complex with an earth-abundant metal ion in solution at room temperature.","author":[{"dropping-particle":"","family":"Wang","given":"Cui","non-dropping-particle":"","parse-names":false,"suffix":""},{"dropping-particle":"","family":"Otto","given":"Sven","non-dropping-particle":"","parse-names":false,"suffix":""},{"dropping-particle":"","family":"Dorn","given":"Matthias","non-dropping-particle":"","parse-names":false,"suffix":""},{"dropping-particle":"","family":"Kreidt","given":"Elisabeth","non-dropping-particle":"","parse-names":false,"suffix":""},{"dropping-particle":"","family":"Lebon","given":"Jakob","non-dropping-particle":"","parse-names":false,"suffix":""},{"dropping-particle":"","family":"Sršan","given":"Laura","non-dropping-particle":"","parse-names":false,"suffix":""},{"dropping-particle":"","family":"Martino-Fumo","given":"Patrick","non-dropping-particle":"Di","parse-names":false,"suffix":""},{"dropping-particle":"","family":"Gerhards","given":"Markus","non-dropping-particle":"","parse-names":false,"suffix":""},{"dropping-particle":"","family":"Resch-Genger","given":"Ute","non-dropping-particle":"","parse-names":false,"suffix":""},{"dropping-particle":"","family":"Seitz","given":"Michael","non-dropping-particle":"","parse-names":false,"suffix":""},{"dropping-particle":"","family":"Heinze","given":"Katja","non-dropping-particle":"","parse-names":false,"suffix":""}],"container-title":"Angew. Chem. Int. Ed.","id":"ITEM-1","issue":"4","issued":{"date-parts":[["2018"]]},"page":"1112-1116","title":"Deuterated Molecular Ruby with Record Luminescence Quantum Yield","type":"article-journal","volume":"57"},"uris":["http://www.mendeley.com/documents/?uuid=ae8af84c-7890-4d05-95f3-41c7113465e1"]}],"mendeley":{"formattedCitation":"&lt;sup&gt;26&lt;/sup&gt;","plainTextFormattedCitation":"26","previouslyFormattedCitation":"&lt;sup&gt;26&lt;/sup&gt;"},"properties":{"noteIndex":0},"schema":"https://github.com/citation-style-language/schema/raw/master/csl-citation.json"}</w:instrText>
      </w:r>
      <w:r w:rsidRPr="00F338AB">
        <w:fldChar w:fldCharType="separate"/>
      </w:r>
      <w:r w:rsidR="00030AAC" w:rsidRPr="00F338AB">
        <w:rPr>
          <w:noProof/>
          <w:vertAlign w:val="superscript"/>
        </w:rPr>
        <w:t>26</w:t>
      </w:r>
      <w:r w:rsidRPr="00F338AB">
        <w:fldChar w:fldCharType="end"/>
      </w:r>
      <w:r w:rsidRPr="00F338AB">
        <w:t xml:space="preserve"> However, beyond this common approach, other strategies</w:t>
      </w:r>
      <w:r w:rsidR="00030AAC" w:rsidRPr="00F338AB">
        <w:t xml:space="preserve"> </w:t>
      </w:r>
      <w:r w:rsidRPr="00F338AB">
        <w:t>such as  enhancing the radiative rate constant (</w:t>
      </w:r>
      <w:proofErr w:type="spellStart"/>
      <w:r w:rsidRPr="00F338AB">
        <w:rPr>
          <w:i/>
          <w:iCs/>
        </w:rPr>
        <w:t>k</w:t>
      </w:r>
      <w:r w:rsidRPr="00F338AB">
        <w:rPr>
          <w:vertAlign w:val="subscript"/>
        </w:rPr>
        <w:t>rad</w:t>
      </w:r>
      <w:proofErr w:type="spellEnd"/>
      <w:r w:rsidRPr="00F338AB">
        <w:t xml:space="preserve">)—which describes </w:t>
      </w:r>
      <w:r w:rsidRPr="00F338AB">
        <w:lastRenderedPageBreak/>
        <w:t xml:space="preserve">the intrinsic rate of spontaneous emission from an excited state in the absence of any other non-radiative deactivating processes, remain </w:t>
      </w:r>
      <w:r w:rsidR="00030AAC" w:rsidRPr="00F338AB">
        <w:t>comparatively</w:t>
      </w:r>
      <w:r w:rsidRPr="00F338AB">
        <w:t xml:space="preserve"> un</w:t>
      </w:r>
      <w:r w:rsidR="00030AAC" w:rsidRPr="00F338AB">
        <w:t>der</w:t>
      </w:r>
      <w:r w:rsidRPr="00F338AB">
        <w:t>explored.</w:t>
      </w:r>
      <w:r w:rsidR="00255A25" w:rsidRPr="00F338AB">
        <w:fldChar w:fldCharType="begin" w:fldLock="1"/>
      </w:r>
      <w:r w:rsidR="006B462E" w:rsidRPr="00F338AB">
        <w:instrText>ADDIN CSL_CITATION {"citationItems":[{"id":"ITEM-1","itemData":{"DOI":"10.1021/ja042153i","ISSN":"00027863","abstract":"Femtosecond time-resolved absorption spectroscopy has been used to elucidate the excited-state dynamics associated with formation of the 2E excited state in a CrIII transition metal complex. Cr-(acac)3 (where acac is the deprotonated monoanion of acetylacetone) exhibits monophasic decay kinetics with τ = 1.1 ± 0.1 ps following excitation into the lowest-energy ligand-field absorption band; the time constant is found to be independent of both excitation and probe wavelength across the entire 4A2 → 4T 2 absorption envelope. The lack of a significant shift in the excited-state absorption spectrum combined with the observed spectral narrowing is consistent with an assignment of this process as vibrational cooling (K vib) in the 2E state. The data on Cr(acac)3 indicate that intersystem crossing associated with the 4T2 → 2E conversion occurs at a rate KISC &gt; 10 13 s-1 and furthermore competes effectively with vibrational relaxation in the initially formed 4T2 state. Excitation into the higher energy 4LMCT state (λex = 336 nm) gives rise to biphasic kinetics with τ1 = 50 ± 20 fs and τ2 = 1.2 ± 0.2 ps. The slower component is again assigned to vibrational cooling in the 2E state, whereas the subpicosecond process is attributed to conversion from the charge-transfer to the ligand-field manifold. In addition to detailing a process central to the photophysics of CrIII, these results reinforce the notion that the conventional picture of excited-state dynamics in which Kvib &gt; KIC &gt; KISC does not generally apply when describing excited-state formation in transition metal complexes. © 2005 American Chemical Society.","author":[{"dropping-particle":"","family":"Juban","given":"Eric A.","non-dropping-particle":"","parse-names":false,"suffix":""},{"dropping-particle":"","family":"McCusker","given":"James K.","non-dropping-particle":"","parse-names":false,"suffix":""}],"container-title":"Journal of the American Chemical Society","id":"ITEM-1","issue":"18","issued":{"date-parts":[["2005"]]},"page":"6857-6865","title":"Ultrafast dynamics of 2E state formation in Cr(acac)3","type":"article-journal","volume":"127"},"uris":["http://www.mendeley.com/documents/?uuid=49ca8f32-30f4-44e9-b44f-7b4d3ff958db"]},{"id":"ITEM-2","itemData":{"DOI":"10.1039/c0sc00262c","ISSN":"20416539","abstract":"Vibrational coherence was observed following excitation into the lowest-energy spin-allowed 4A2 → 4T2 ligand-field absorption of Cr(acac)3. The transient kinetics were fit to a rapidly damped 164 cm−1 oscillatory component, the frequency of which is not associated with the ground state of the molecule. The signal is assigned as an excited-state vibrational coherence; the timescale of the event suggests that this vibrational coherence is retained during the 4T2 →2E intersystem crossing that immediately follows 4A2 → 4T2 excitation. DFT calculations indicate that the 164 cm−1 oscillation likely corresponds to a combination of Cr-O bond stretching in the ligand-field excited state as well as large amplitude motion of the ligand backbone. This hypothesis is supported by ultrafast time-resolved absorption measurements on Cr(t-Bu-acac)3 (where t-Bu-acac is the monoanionic form of 2,2,6,6-tetramethyl-3,5-heptanedione) - an electronically similar but more sterically encumbered molecule - which exhibits a 4T2 → 2E conversion that is more than an order of magnitude slower than that observed for Cr(acac)3. These results provide important insights into the nature of the reaction coordinate that underlies ultrafast excited-state evolution in this prototypical coordination complex. © 2010 The Royal Society of Chemistry.","author":[{"dropping-particle":"","family":"Schrauben","given":"Joel N.","non-dropping-particle":"","parse-names":false,"suffix":""},{"dropping-particle":"","family":"Dillman","given":"Kevin L.","non-dropping-particle":"","parse-names":false,"suffix":""},{"dropping-particle":"","family":"Beck","given":"Warren F.","non-dropping-particle":"","parse-names":false,"suffix":""},{"dropping-particle":"","family":"Mc Cusker","given":"James K.","non-dropping-particle":"","parse-names":false,"suffix":""}],"container-title":"Chemical Science","id":"ITEM-2","issue":"3","issued":{"date-parts":[["2010"]]},"page":"405-410","title":"Vibrational coherence in the excited state dynamics of Cr(acac)3: Probing the reaction coordinate for ultrafast intersystem crossing","type":"article-journal","volume":"1"},"uris":["http://www.mendeley.com/documents/?uuid=ff1f4d47-11a4-4959-ad33-c672af684323"]}],"mendeley":{"formattedCitation":"&lt;sup&gt;46,47&lt;/sup&gt;","plainTextFormattedCitation":"46,47","previouslyFormattedCitation":"&lt;sup&gt;46,47&lt;/sup&gt;"},"properties":{"noteIndex":0},"schema":"https://github.com/citation-style-language/schema/raw/master/csl-citation.json"}</w:instrText>
      </w:r>
      <w:r w:rsidR="00255A25" w:rsidRPr="00F338AB">
        <w:fldChar w:fldCharType="separate"/>
      </w:r>
      <w:r w:rsidR="00255A25" w:rsidRPr="00F338AB">
        <w:rPr>
          <w:noProof/>
          <w:vertAlign w:val="superscript"/>
        </w:rPr>
        <w:t>46,47</w:t>
      </w:r>
      <w:r w:rsidR="00255A25" w:rsidRPr="00F338AB">
        <w:fldChar w:fldCharType="end"/>
      </w:r>
      <w:r w:rsidRPr="00F338AB">
        <w:t xml:space="preserve"> The radiative rate lifetime,</w:t>
      </w:r>
      <w:r w:rsidR="00C670E9" w:rsidRPr="00F338AB">
        <w:t xml:space="preserve"> </w:t>
      </w:r>
      <w:proofErr w:type="spellStart"/>
      <w:r w:rsidRPr="00F338AB">
        <w:rPr>
          <w:i/>
          <w:iCs/>
        </w:rPr>
        <w:t>τ</w:t>
      </w:r>
      <w:r w:rsidRPr="00F338AB">
        <w:rPr>
          <w:vertAlign w:val="subscript"/>
        </w:rPr>
        <w:t>rad</w:t>
      </w:r>
      <w:proofErr w:type="spellEnd"/>
      <w:r w:rsidR="00C670E9" w:rsidRPr="00F338AB">
        <w:rPr>
          <w:vertAlign w:val="subscript"/>
        </w:rPr>
        <w:t xml:space="preserve"> </w:t>
      </w:r>
      <w:r w:rsidRPr="00F338AB">
        <w:t>(</w:t>
      </w:r>
      <w:r w:rsidRPr="00F338AB">
        <w:rPr>
          <w:i/>
          <w:iCs/>
        </w:rPr>
        <w:t>k</w:t>
      </w:r>
      <w:r w:rsidRPr="00F338AB">
        <w:rPr>
          <w:vertAlign w:val="subscript"/>
        </w:rPr>
        <w:t>rad</w:t>
      </w:r>
      <w:r w:rsidRPr="00F338AB">
        <w:rPr>
          <w:vertAlign w:val="superscript"/>
        </w:rPr>
        <w:t>−1</w:t>
      </w:r>
      <w:r w:rsidRPr="00F338AB">
        <w:t xml:space="preserve">), is a key parameter that governs the luminescence quantum yield, as shown in Equation 1, where </w:t>
      </w:r>
      <w:proofErr w:type="spellStart"/>
      <w:r w:rsidRPr="00F338AB">
        <w:rPr>
          <w:i/>
          <w:iCs/>
        </w:rPr>
        <w:t>η</w:t>
      </w:r>
      <w:r w:rsidRPr="00F338AB">
        <w:rPr>
          <w:vertAlign w:val="subscript"/>
        </w:rPr>
        <w:t>sens</w:t>
      </w:r>
      <w:proofErr w:type="spellEnd"/>
      <w:r w:rsidR="00C670E9" w:rsidRPr="00F338AB">
        <w:t xml:space="preserve"> </w:t>
      </w:r>
      <w:r w:rsidRPr="00F338AB">
        <w:t>is the sensitization efficiency,</w:t>
      </w:r>
      <w:r w:rsidR="00C670E9" w:rsidRPr="00F338AB">
        <w:t xml:space="preserve"> </w:t>
      </w:r>
      <w:proofErr w:type="spellStart"/>
      <w:r w:rsidRPr="00F338AB">
        <w:rPr>
          <w:i/>
          <w:iCs/>
        </w:rPr>
        <w:t>τ</w:t>
      </w:r>
      <w:r w:rsidRPr="00F338AB">
        <w:rPr>
          <w:vertAlign w:val="subscript"/>
        </w:rPr>
        <w:t>obs</w:t>
      </w:r>
      <w:proofErr w:type="spellEnd"/>
      <w:r w:rsidR="00C670E9" w:rsidRPr="00F338AB">
        <w:t xml:space="preserve"> </w:t>
      </w:r>
      <w:r w:rsidRPr="00F338AB">
        <w:t>is the measured (observed) luminescence lifetime, and</w:t>
      </w:r>
      <w:r w:rsidR="00C670E9" w:rsidRPr="00F338AB">
        <w:t xml:space="preserve"> </w:t>
      </w:r>
      <w:proofErr w:type="spellStart"/>
      <w:r w:rsidRPr="00F338AB">
        <w:rPr>
          <w:i/>
          <w:iCs/>
        </w:rPr>
        <w:t>k</w:t>
      </w:r>
      <w:r w:rsidRPr="00F338AB">
        <w:rPr>
          <w:vertAlign w:val="subscript"/>
        </w:rPr>
        <w:t>nrad</w:t>
      </w:r>
      <w:proofErr w:type="spellEnd"/>
      <w:r w:rsidR="00C670E9" w:rsidRPr="00F338AB">
        <w:rPr>
          <w:vertAlign w:val="subscript"/>
        </w:rPr>
        <w:t xml:space="preserve"> </w:t>
      </w:r>
      <w:r w:rsidRPr="00F338AB">
        <w:t>represents non-radiative rates. This equation reveals that higher values of</w:t>
      </w:r>
      <w:r w:rsidR="00A97D73" w:rsidRPr="00F338AB">
        <w:t xml:space="preserve"> </w:t>
      </w:r>
      <w:proofErr w:type="spellStart"/>
      <w:r w:rsidRPr="00F338AB">
        <w:rPr>
          <w:i/>
          <w:iCs/>
        </w:rPr>
        <w:t>k</w:t>
      </w:r>
      <w:r w:rsidRPr="00F338AB">
        <w:rPr>
          <w:vertAlign w:val="subscript"/>
        </w:rPr>
        <w:t>rad</w:t>
      </w:r>
      <w:proofErr w:type="spellEnd"/>
      <w:r w:rsidR="00A97D73" w:rsidRPr="00F338AB">
        <w:t xml:space="preserve"> </w:t>
      </w:r>
      <w:r w:rsidRPr="00F338AB">
        <w:t>relative to</w:t>
      </w:r>
      <w:r w:rsidR="00C670E9" w:rsidRPr="00F338AB">
        <w:t xml:space="preserve"> </w:t>
      </w:r>
      <w:proofErr w:type="spellStart"/>
      <w:r w:rsidRPr="00F338AB">
        <w:rPr>
          <w:i/>
          <w:iCs/>
        </w:rPr>
        <w:t>k</w:t>
      </w:r>
      <w:r w:rsidRPr="00F338AB">
        <w:rPr>
          <w:vertAlign w:val="subscript"/>
        </w:rPr>
        <w:t>nrad</w:t>
      </w:r>
      <w:proofErr w:type="spellEnd"/>
      <w:r w:rsidR="00C670E9" w:rsidRPr="00F338AB">
        <w:rPr>
          <w:i/>
          <w:iCs/>
          <w:vertAlign w:val="subscript"/>
        </w:rPr>
        <w:t xml:space="preserve"> </w:t>
      </w:r>
      <w:r w:rsidRPr="00F338AB">
        <w:t xml:space="preserve">could, in principle, promote greater emission efficiencies. </w:t>
      </w:r>
      <w:r w:rsidR="00972975" w:rsidRPr="00F338AB">
        <w:t xml:space="preserve">The luminescence quantum yields of </w:t>
      </w:r>
      <w:proofErr w:type="spellStart"/>
      <w:r w:rsidR="00972975" w:rsidRPr="00F338AB">
        <w:t>Cr</w:t>
      </w:r>
      <w:r w:rsidR="00972975" w:rsidRPr="00F338AB">
        <w:rPr>
          <w:vertAlign w:val="superscript"/>
        </w:rPr>
        <w:t>III</w:t>
      </w:r>
      <w:proofErr w:type="spellEnd"/>
      <w:r w:rsidR="00972975" w:rsidRPr="00F338AB">
        <w:rPr>
          <w:vertAlign w:val="superscript"/>
        </w:rPr>
        <w:t xml:space="preserve"> </w:t>
      </w:r>
      <w:r w:rsidR="00972975" w:rsidRPr="00F338AB">
        <w:t xml:space="preserve">spin-flip emitters are currently constrained by the low radiative rates, a consequence of the intrinsically doubly forbidden nature of this transition. Therefore, enhancing </w:t>
      </w:r>
      <w:proofErr w:type="spellStart"/>
      <w:r w:rsidR="00972975" w:rsidRPr="00F338AB">
        <w:rPr>
          <w:i/>
          <w:iCs/>
        </w:rPr>
        <w:t>k</w:t>
      </w:r>
      <w:r w:rsidR="00972975" w:rsidRPr="00F338AB">
        <w:rPr>
          <w:vertAlign w:val="subscript"/>
        </w:rPr>
        <w:t>rad</w:t>
      </w:r>
      <w:proofErr w:type="spellEnd"/>
      <w:r w:rsidR="00972975" w:rsidRPr="00F338AB">
        <w:t xml:space="preserve"> presents an especially appealing strategy for improving the performance of this class of compounds.</w:t>
      </w:r>
    </w:p>
    <w:p w14:paraId="31BFC415" w14:textId="77777777" w:rsidR="001F6D82" w:rsidRPr="00F338AB" w:rsidRDefault="001F6D82" w:rsidP="00A05865">
      <w:pPr>
        <w:pStyle w:val="RSCB02ArticleText"/>
      </w:pPr>
    </w:p>
    <w:p w14:paraId="5C616370" w14:textId="7318E2D3" w:rsidR="000A51D6" w:rsidRPr="00F338AB" w:rsidRDefault="00EE4C61" w:rsidP="00F338AB">
      <w:pPr>
        <w:tabs>
          <w:tab w:val="left" w:pos="4395"/>
        </w:tabs>
        <w:spacing w:after="0" w:line="240" w:lineRule="atLeast"/>
        <w:jc w:val="both"/>
        <w:rPr>
          <w:rFonts w:eastAsia="MS Mincho" w:cstheme="minorHAnsi"/>
          <w:sz w:val="18"/>
          <w:szCs w:val="18"/>
          <w:lang w:eastAsia="ja-JP"/>
        </w:rPr>
      </w:pPr>
      <m:oMath>
        <m:r>
          <w:rPr>
            <w:rFonts w:ascii="Cambria Math" w:eastAsia="MS Mincho" w:hAnsi="Cambria Math" w:cstheme="minorHAnsi"/>
            <w:i/>
            <w:sz w:val="20"/>
            <w:szCs w:val="20"/>
            <w:lang w:eastAsia="ja-JP"/>
          </w:rPr>
          <w:sym w:font="Symbol" w:char="F066"/>
        </m:r>
        <m:r>
          <m:rPr>
            <m:sty m:val="p"/>
          </m:rPr>
          <w:rPr>
            <w:rFonts w:ascii="Cambria Math" w:eastAsia="MS Mincho" w:hAnsi="Cambria Math" w:cstheme="minorHAnsi"/>
            <w:sz w:val="20"/>
            <w:szCs w:val="20"/>
            <w:lang w:eastAsia="ja-JP"/>
          </w:rPr>
          <m:t>=</m:t>
        </m:r>
        <m:sSub>
          <m:sSubPr>
            <m:ctrlPr>
              <w:rPr>
                <w:rFonts w:ascii="Cambria Math" w:eastAsia="MS Mincho" w:hAnsi="Cambria Math" w:cstheme="minorHAnsi"/>
                <w:sz w:val="20"/>
                <w:szCs w:val="20"/>
                <w:lang w:eastAsia="ja-JP"/>
              </w:rPr>
            </m:ctrlPr>
          </m:sSubPr>
          <m:e>
            <m:r>
              <w:rPr>
                <w:rFonts w:ascii="Cambria Math" w:eastAsia="MS Mincho" w:hAnsi="Cambria Math" w:cstheme="minorHAnsi"/>
                <w:i/>
                <w:sz w:val="20"/>
                <w:szCs w:val="20"/>
                <w:lang w:eastAsia="ja-JP"/>
              </w:rPr>
              <w:sym w:font="Symbol" w:char="F068"/>
            </m:r>
          </m:e>
          <m:sub>
            <m:r>
              <w:rPr>
                <w:rFonts w:ascii="Cambria Math" w:eastAsia="MS Mincho" w:hAnsi="Cambria Math" w:cstheme="minorHAnsi"/>
                <w:sz w:val="20"/>
                <w:szCs w:val="20"/>
                <w:lang w:eastAsia="ja-JP"/>
              </w:rPr>
              <m:t>sens</m:t>
            </m:r>
          </m:sub>
        </m:sSub>
        <m:r>
          <m:rPr>
            <m:sty m:val="p"/>
          </m:rPr>
          <w:rPr>
            <w:rFonts w:ascii="Cambria Math" w:eastAsia="MS Mincho" w:hAnsi="Cambria Math" w:cstheme="minorHAnsi"/>
            <w:sz w:val="20"/>
            <w:szCs w:val="20"/>
            <w:lang w:eastAsia="ja-JP"/>
          </w:rPr>
          <w:sym w:font="Symbol" w:char="F0D7"/>
        </m:r>
        <m:r>
          <m:rPr>
            <m:sty m:val="p"/>
          </m:rPr>
          <w:rPr>
            <w:rFonts w:ascii="Cambria Math" w:eastAsia="MS Mincho" w:hAnsi="Cambria Math" w:cstheme="minorHAnsi"/>
            <w:sz w:val="20"/>
            <w:szCs w:val="20"/>
            <w:lang w:eastAsia="ja-JP"/>
          </w:rPr>
          <m:t xml:space="preserve"> </m:t>
        </m:r>
        <m:f>
          <m:fPr>
            <m:ctrlPr>
              <w:rPr>
                <w:rFonts w:ascii="Cambria Math" w:eastAsia="MS Mincho" w:hAnsi="Cambria Math" w:cstheme="minorHAnsi"/>
                <w:sz w:val="20"/>
                <w:szCs w:val="20"/>
                <w:lang w:eastAsia="ja-JP"/>
              </w:rPr>
            </m:ctrlPr>
          </m:fPr>
          <m:num>
            <m:sSub>
              <m:sSubPr>
                <m:ctrlPr>
                  <w:rPr>
                    <w:rFonts w:ascii="Cambria Math" w:eastAsia="MS Mincho" w:hAnsi="Cambria Math" w:cstheme="minorHAnsi"/>
                    <w:sz w:val="20"/>
                    <w:szCs w:val="20"/>
                    <w:lang w:eastAsia="ja-JP"/>
                  </w:rPr>
                </m:ctrlPr>
              </m:sSubPr>
              <m:e>
                <m:r>
                  <w:rPr>
                    <w:rFonts w:ascii="Cambria Math" w:eastAsia="MS Mincho" w:hAnsi="Cambria Math" w:cstheme="minorHAnsi"/>
                    <w:sz w:val="20"/>
                    <w:szCs w:val="20"/>
                    <w:lang w:eastAsia="ja-JP"/>
                  </w:rPr>
                  <m:t>τ</m:t>
                </m:r>
              </m:e>
              <m:sub>
                <m:r>
                  <w:rPr>
                    <w:rFonts w:ascii="Cambria Math" w:eastAsia="MS Mincho" w:hAnsi="Cambria Math" w:cstheme="minorHAnsi"/>
                    <w:sz w:val="20"/>
                    <w:szCs w:val="20"/>
                    <w:lang w:eastAsia="ja-JP"/>
                  </w:rPr>
                  <m:t>obs</m:t>
                </m:r>
              </m:sub>
            </m:sSub>
          </m:num>
          <m:den>
            <m:sSub>
              <m:sSubPr>
                <m:ctrlPr>
                  <w:rPr>
                    <w:rFonts w:ascii="Cambria Math" w:eastAsia="MS Mincho" w:hAnsi="Cambria Math" w:cstheme="minorHAnsi"/>
                    <w:i/>
                    <w:sz w:val="20"/>
                    <w:szCs w:val="20"/>
                    <w:lang w:eastAsia="ja-JP"/>
                  </w:rPr>
                </m:ctrlPr>
              </m:sSubPr>
              <m:e>
                <m:r>
                  <w:rPr>
                    <w:rFonts w:ascii="Cambria Math" w:eastAsia="MS Mincho" w:hAnsi="Cambria Math" w:cstheme="minorHAnsi"/>
                    <w:sz w:val="20"/>
                    <w:szCs w:val="20"/>
                    <w:lang w:eastAsia="ja-JP"/>
                  </w:rPr>
                  <m:t>τ</m:t>
                </m:r>
              </m:e>
              <m:sub>
                <m:r>
                  <w:rPr>
                    <w:rFonts w:ascii="Cambria Math" w:eastAsia="MS Mincho" w:hAnsi="Cambria Math" w:cstheme="minorHAnsi"/>
                    <w:sz w:val="20"/>
                    <w:szCs w:val="20"/>
                    <w:lang w:eastAsia="ja-JP"/>
                  </w:rPr>
                  <m:t>rad</m:t>
                </m:r>
              </m:sub>
            </m:sSub>
          </m:den>
        </m:f>
      </m:oMath>
      <w:r w:rsidRPr="00F338AB">
        <w:rPr>
          <w:rFonts w:eastAsia="MS Mincho" w:cstheme="minorHAnsi"/>
          <w:sz w:val="20"/>
          <w:szCs w:val="20"/>
          <w:lang w:eastAsia="ja-JP"/>
        </w:rPr>
        <w:t xml:space="preserve"> = </w:t>
      </w:r>
      <m:oMath>
        <m:sSub>
          <m:sSubPr>
            <m:ctrlPr>
              <w:rPr>
                <w:rFonts w:ascii="Cambria Math" w:eastAsia="MS Mincho" w:hAnsi="Cambria Math" w:cstheme="minorHAnsi"/>
                <w:sz w:val="20"/>
                <w:szCs w:val="20"/>
                <w:lang w:eastAsia="ja-JP"/>
              </w:rPr>
            </m:ctrlPr>
          </m:sSubPr>
          <m:e>
            <m:r>
              <w:rPr>
                <w:rFonts w:ascii="Cambria Math" w:eastAsia="MS Mincho" w:hAnsi="Cambria Math" w:cstheme="minorHAnsi"/>
                <w:i/>
                <w:sz w:val="20"/>
                <w:szCs w:val="20"/>
                <w:lang w:eastAsia="ja-JP"/>
              </w:rPr>
              <w:sym w:font="Symbol" w:char="F068"/>
            </m:r>
          </m:e>
          <m:sub>
            <m:r>
              <w:rPr>
                <w:rFonts w:ascii="Cambria Math" w:eastAsia="MS Mincho" w:hAnsi="Cambria Math" w:cstheme="minorHAnsi"/>
                <w:sz w:val="20"/>
                <w:szCs w:val="20"/>
                <w:lang w:eastAsia="ja-JP"/>
              </w:rPr>
              <m:t>sens</m:t>
            </m:r>
          </m:sub>
        </m:sSub>
        <m:r>
          <m:rPr>
            <m:sty m:val="p"/>
          </m:rPr>
          <w:rPr>
            <w:rFonts w:ascii="Cambria Math" w:eastAsia="MS Mincho" w:hAnsi="Cambria Math" w:cstheme="minorHAnsi"/>
            <w:sz w:val="20"/>
            <w:szCs w:val="20"/>
            <w:lang w:eastAsia="ja-JP"/>
          </w:rPr>
          <w:sym w:font="Symbol" w:char="F0D7"/>
        </m:r>
        <m:r>
          <m:rPr>
            <m:sty m:val="p"/>
          </m:rPr>
          <w:rPr>
            <w:rFonts w:ascii="Cambria Math" w:eastAsia="MS Mincho" w:hAnsi="Cambria Math" w:cstheme="minorHAnsi"/>
            <w:sz w:val="20"/>
            <w:szCs w:val="20"/>
            <w:lang w:eastAsia="ja-JP"/>
          </w:rPr>
          <m:t xml:space="preserve"> </m:t>
        </m:r>
        <m:f>
          <m:fPr>
            <m:ctrlPr>
              <w:rPr>
                <w:rFonts w:ascii="Cambria Math" w:eastAsia="MS Mincho" w:hAnsi="Cambria Math" w:cstheme="minorHAnsi"/>
                <w:sz w:val="20"/>
                <w:szCs w:val="20"/>
                <w:lang w:eastAsia="ja-JP"/>
              </w:rPr>
            </m:ctrlPr>
          </m:fPr>
          <m:num>
            <m:sSub>
              <m:sSubPr>
                <m:ctrlPr>
                  <w:rPr>
                    <w:rFonts w:ascii="Cambria Math" w:eastAsia="MS Mincho" w:hAnsi="Cambria Math" w:cstheme="minorHAnsi"/>
                    <w:sz w:val="20"/>
                    <w:szCs w:val="20"/>
                    <w:lang w:eastAsia="ja-JP"/>
                  </w:rPr>
                </m:ctrlPr>
              </m:sSubPr>
              <m:e>
                <m:r>
                  <w:rPr>
                    <w:rFonts w:ascii="Cambria Math" w:eastAsia="MS Mincho" w:hAnsi="Cambria Math" w:cstheme="minorHAnsi"/>
                    <w:sz w:val="20"/>
                    <w:szCs w:val="20"/>
                    <w:lang w:eastAsia="ja-JP"/>
                  </w:rPr>
                  <m:t>k</m:t>
                </m:r>
              </m:e>
              <m:sub>
                <m:r>
                  <w:rPr>
                    <w:rFonts w:ascii="Cambria Math" w:eastAsia="MS Mincho" w:hAnsi="Cambria Math" w:cstheme="minorHAnsi"/>
                    <w:sz w:val="20"/>
                    <w:szCs w:val="20"/>
                    <w:lang w:eastAsia="ja-JP"/>
                  </w:rPr>
                  <m:t xml:space="preserve">rad </m:t>
                </m:r>
              </m:sub>
            </m:sSub>
          </m:num>
          <m:den>
            <m:sSub>
              <m:sSubPr>
                <m:ctrlPr>
                  <w:rPr>
                    <w:rFonts w:ascii="Cambria Math" w:eastAsia="MS Mincho" w:hAnsi="Cambria Math" w:cstheme="minorHAnsi"/>
                    <w:i/>
                    <w:sz w:val="20"/>
                    <w:szCs w:val="20"/>
                    <w:lang w:eastAsia="ja-JP"/>
                  </w:rPr>
                </m:ctrlPr>
              </m:sSubPr>
              <m:e>
                <m:r>
                  <w:rPr>
                    <w:rFonts w:ascii="Cambria Math" w:eastAsia="MS Mincho" w:hAnsi="Cambria Math" w:cstheme="minorHAnsi"/>
                    <w:sz w:val="20"/>
                    <w:szCs w:val="20"/>
                    <w:lang w:eastAsia="ja-JP"/>
                  </w:rPr>
                  <m:t>k</m:t>
                </m:r>
              </m:e>
              <m:sub>
                <m:r>
                  <w:rPr>
                    <w:rFonts w:ascii="Cambria Math" w:eastAsia="MS Mincho" w:hAnsi="Cambria Math" w:cstheme="minorHAnsi"/>
                    <w:sz w:val="20"/>
                    <w:szCs w:val="20"/>
                    <w:lang w:eastAsia="ja-JP"/>
                  </w:rPr>
                  <m:t>rad</m:t>
                </m:r>
              </m:sub>
            </m:sSub>
            <m:r>
              <w:rPr>
                <w:rFonts w:ascii="Cambria Math" w:eastAsia="MS Mincho" w:hAnsi="Cambria Math" w:cstheme="minorHAnsi"/>
                <w:sz w:val="20"/>
                <w:szCs w:val="20"/>
                <w:lang w:eastAsia="ja-JP"/>
              </w:rPr>
              <m:t xml:space="preserve"> + </m:t>
            </m:r>
            <m:sSub>
              <m:sSubPr>
                <m:ctrlPr>
                  <w:rPr>
                    <w:rFonts w:ascii="Cambria Math" w:eastAsia="MS Mincho" w:hAnsi="Cambria Math" w:cstheme="minorHAnsi"/>
                    <w:i/>
                    <w:sz w:val="20"/>
                    <w:szCs w:val="20"/>
                    <w:lang w:eastAsia="ja-JP"/>
                  </w:rPr>
                </m:ctrlPr>
              </m:sSubPr>
              <m:e>
                <m:r>
                  <w:rPr>
                    <w:rFonts w:ascii="Cambria Math" w:eastAsia="MS Mincho" w:hAnsi="Cambria Math" w:cstheme="minorHAnsi"/>
                    <w:sz w:val="20"/>
                    <w:szCs w:val="20"/>
                    <w:lang w:eastAsia="ja-JP"/>
                  </w:rPr>
                  <m:t>k</m:t>
                </m:r>
              </m:e>
              <m:sub>
                <m:r>
                  <w:rPr>
                    <w:rFonts w:ascii="Cambria Math" w:eastAsia="MS Mincho" w:hAnsi="Cambria Math" w:cstheme="minorHAnsi"/>
                    <w:sz w:val="20"/>
                    <w:szCs w:val="20"/>
                    <w:lang w:eastAsia="ja-JP"/>
                  </w:rPr>
                  <m:t>nrad</m:t>
                </m:r>
              </m:sub>
            </m:sSub>
            <m:r>
              <w:rPr>
                <w:rFonts w:ascii="Cambria Math" w:eastAsia="MS Mincho" w:hAnsi="Cambria Math" w:cstheme="minorHAnsi"/>
                <w:sz w:val="20"/>
                <w:szCs w:val="20"/>
                <w:lang w:eastAsia="ja-JP"/>
              </w:rPr>
              <m:t xml:space="preserve"> </m:t>
            </m:r>
          </m:den>
        </m:f>
      </m:oMath>
      <w:r w:rsidRPr="00F338AB">
        <w:rPr>
          <w:rFonts w:eastAsia="MS Mincho" w:cstheme="minorHAnsi"/>
          <w:sz w:val="18"/>
          <w:szCs w:val="18"/>
          <w:lang w:eastAsia="ja-JP"/>
        </w:rPr>
        <w:tab/>
        <w:t>(</w:t>
      </w:r>
      <w:r w:rsidR="000B0C16" w:rsidRPr="00F338AB">
        <w:rPr>
          <w:rFonts w:eastAsia="MS Mincho" w:cstheme="minorHAnsi"/>
          <w:sz w:val="18"/>
          <w:szCs w:val="18"/>
          <w:lang w:eastAsia="ja-JP"/>
        </w:rPr>
        <w:t xml:space="preserve">eq. </w:t>
      </w:r>
      <w:r w:rsidRPr="00F338AB">
        <w:rPr>
          <w:rFonts w:eastAsia="MS Mincho" w:cstheme="minorHAnsi"/>
          <w:sz w:val="18"/>
          <w:szCs w:val="18"/>
          <w:lang w:eastAsia="ja-JP"/>
        </w:rPr>
        <w:t>1)</w:t>
      </w:r>
    </w:p>
    <w:p w14:paraId="74E013AA" w14:textId="5ECF019D" w:rsidR="00734EE3" w:rsidRPr="00F338AB" w:rsidRDefault="002224A1" w:rsidP="00EE4C61">
      <w:pPr>
        <w:pStyle w:val="RSCB02ArticleText"/>
      </w:pPr>
      <w:r w:rsidRPr="00F338AB">
        <w:rPr>
          <w:noProof/>
        </w:rPr>
        <w:drawing>
          <wp:anchor distT="0" distB="0" distL="114300" distR="114300" simplePos="0" relativeHeight="251659264" behindDoc="0" locked="0" layoutInCell="1" allowOverlap="1" wp14:anchorId="521E9E98" wp14:editId="2391A0C3">
            <wp:simplePos x="0" y="0"/>
            <wp:positionH relativeFrom="margin">
              <wp:posOffset>36830</wp:posOffset>
            </wp:positionH>
            <wp:positionV relativeFrom="paragraph">
              <wp:posOffset>165735</wp:posOffset>
            </wp:positionV>
            <wp:extent cx="2983865" cy="4951730"/>
            <wp:effectExtent l="0" t="0" r="0" b="0"/>
            <wp:wrapTopAndBottom/>
            <wp:docPr id="113872103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3865" cy="4951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A99562" w14:textId="4D6D34EE" w:rsidR="00EE4C61" w:rsidRPr="00F338AB" w:rsidRDefault="00EE4C61" w:rsidP="00A05865">
      <w:pPr>
        <w:pStyle w:val="RSCB02ArticleText"/>
        <w:rPr>
          <w:sz w:val="16"/>
          <w:szCs w:val="16"/>
        </w:rPr>
      </w:pPr>
      <w:r w:rsidRPr="00F338AB">
        <w:rPr>
          <w:b/>
          <w:bCs/>
          <w:sz w:val="16"/>
          <w:szCs w:val="16"/>
        </w:rPr>
        <w:t xml:space="preserve">Figure 1. </w:t>
      </w:r>
      <w:r w:rsidRPr="00F338AB">
        <w:rPr>
          <w:bCs/>
          <w:sz w:val="16"/>
          <w:szCs w:val="16"/>
        </w:rPr>
        <w:t>S</w:t>
      </w:r>
      <w:r w:rsidRPr="00F338AB">
        <w:rPr>
          <w:sz w:val="16"/>
          <w:szCs w:val="16"/>
        </w:rPr>
        <w:t>tructure, luminescence quantum yield, emission lifetime (deaerated CH</w:t>
      </w:r>
      <w:r w:rsidRPr="00F338AB">
        <w:rPr>
          <w:sz w:val="16"/>
          <w:szCs w:val="16"/>
          <w:vertAlign w:val="subscript"/>
        </w:rPr>
        <w:t>3</w:t>
      </w:r>
      <w:r w:rsidRPr="00F338AB">
        <w:rPr>
          <w:sz w:val="16"/>
          <w:szCs w:val="16"/>
        </w:rPr>
        <w:t>CN/HClO</w:t>
      </w:r>
      <w:r w:rsidRPr="00F338AB">
        <w:rPr>
          <w:sz w:val="16"/>
          <w:szCs w:val="16"/>
          <w:vertAlign w:val="subscript"/>
        </w:rPr>
        <w:t xml:space="preserve">4 </w:t>
      </w:r>
      <w:r w:rsidRPr="00F338AB">
        <w:rPr>
          <w:sz w:val="16"/>
          <w:szCs w:val="16"/>
        </w:rPr>
        <w:t>solution at 293 K), wavelength</w:t>
      </w:r>
      <w:r w:rsidR="00255A25" w:rsidRPr="00F338AB">
        <w:rPr>
          <w:sz w:val="16"/>
          <w:szCs w:val="16"/>
        </w:rPr>
        <w:t xml:space="preserve"> of the emission band maximum</w:t>
      </w:r>
      <w:r w:rsidRPr="00F338AB">
        <w:rPr>
          <w:sz w:val="16"/>
          <w:szCs w:val="16"/>
        </w:rPr>
        <w:t>, full width at half maximum of emission band and radiative rate constant of some closely related emissive chromium(III) complexes: a) [Cr(</w:t>
      </w:r>
      <w:proofErr w:type="spellStart"/>
      <w:r w:rsidRPr="00F338AB">
        <w:rPr>
          <w:sz w:val="16"/>
          <w:szCs w:val="16"/>
        </w:rPr>
        <w:t>bpmp</w:t>
      </w:r>
      <w:proofErr w:type="spellEnd"/>
      <w:r w:rsidRPr="00F338AB">
        <w:rPr>
          <w:sz w:val="16"/>
          <w:szCs w:val="16"/>
        </w:rPr>
        <w:t>)</w:t>
      </w:r>
      <w:r w:rsidRPr="00F338AB">
        <w:rPr>
          <w:sz w:val="16"/>
          <w:szCs w:val="16"/>
          <w:vertAlign w:val="subscript"/>
        </w:rPr>
        <w:t>2</w:t>
      </w:r>
      <w:r w:rsidRPr="00F338AB">
        <w:rPr>
          <w:sz w:val="16"/>
          <w:szCs w:val="16"/>
        </w:rPr>
        <w:t>]</w:t>
      </w:r>
      <w:r w:rsidRPr="00F338AB">
        <w:rPr>
          <w:sz w:val="16"/>
          <w:szCs w:val="16"/>
          <w:vertAlign w:val="superscript"/>
        </w:rPr>
        <w:t>3+</w:t>
      </w:r>
      <w:r w:rsidRPr="00F338AB">
        <w:rPr>
          <w:sz w:val="16"/>
          <w:szCs w:val="16"/>
        </w:rPr>
        <w:t>,</w:t>
      </w:r>
      <w:r w:rsidRPr="00F338AB">
        <w:rPr>
          <w:sz w:val="16"/>
          <w:szCs w:val="16"/>
          <w:vertAlign w:val="superscript"/>
        </w:rPr>
        <w:t>[36]</w:t>
      </w:r>
      <w:r w:rsidRPr="00F338AB">
        <w:rPr>
          <w:sz w:val="16"/>
          <w:szCs w:val="16"/>
        </w:rPr>
        <w:t xml:space="preserve"> b) [Cr(</w:t>
      </w:r>
      <w:proofErr w:type="spellStart"/>
      <w:r w:rsidRPr="00F338AB">
        <w:rPr>
          <w:sz w:val="16"/>
          <w:szCs w:val="16"/>
        </w:rPr>
        <w:t>btmp</w:t>
      </w:r>
      <w:proofErr w:type="spellEnd"/>
      <w:r w:rsidRPr="00F338AB">
        <w:rPr>
          <w:sz w:val="16"/>
          <w:szCs w:val="16"/>
        </w:rPr>
        <w:t>)</w:t>
      </w:r>
      <w:r w:rsidRPr="00F338AB">
        <w:rPr>
          <w:sz w:val="16"/>
          <w:szCs w:val="16"/>
          <w:vertAlign w:val="subscript"/>
        </w:rPr>
        <w:t>2</w:t>
      </w:r>
      <w:r w:rsidRPr="00F338AB">
        <w:rPr>
          <w:sz w:val="16"/>
          <w:szCs w:val="16"/>
        </w:rPr>
        <w:t>]</w:t>
      </w:r>
      <w:r w:rsidRPr="00F338AB">
        <w:rPr>
          <w:sz w:val="16"/>
          <w:szCs w:val="16"/>
          <w:vertAlign w:val="superscript"/>
        </w:rPr>
        <w:t>3+</w:t>
      </w:r>
      <w:r w:rsidRPr="00F338AB">
        <w:rPr>
          <w:sz w:val="16"/>
          <w:szCs w:val="16"/>
        </w:rPr>
        <w:t>,</w:t>
      </w:r>
      <w:r w:rsidRPr="00F338AB">
        <w:rPr>
          <w:sz w:val="16"/>
          <w:szCs w:val="16"/>
          <w:vertAlign w:val="superscript"/>
        </w:rPr>
        <w:t>[37]</w:t>
      </w:r>
      <w:r w:rsidRPr="00F338AB">
        <w:rPr>
          <w:sz w:val="16"/>
          <w:szCs w:val="16"/>
        </w:rPr>
        <w:t xml:space="preserve"> c) [Cr(</w:t>
      </w:r>
      <w:proofErr w:type="spellStart"/>
      <w:r w:rsidRPr="00F338AB">
        <w:rPr>
          <w:sz w:val="16"/>
          <w:szCs w:val="16"/>
        </w:rPr>
        <w:t>Mebipzp</w:t>
      </w:r>
      <w:proofErr w:type="spellEnd"/>
      <w:r w:rsidRPr="00F338AB">
        <w:rPr>
          <w:sz w:val="16"/>
          <w:szCs w:val="16"/>
        </w:rPr>
        <w:t>)</w:t>
      </w:r>
      <w:r w:rsidRPr="00F338AB">
        <w:rPr>
          <w:sz w:val="16"/>
          <w:szCs w:val="16"/>
          <w:vertAlign w:val="subscript"/>
        </w:rPr>
        <w:t>2</w:t>
      </w:r>
      <w:r w:rsidRPr="00F338AB">
        <w:rPr>
          <w:sz w:val="16"/>
          <w:szCs w:val="16"/>
        </w:rPr>
        <w:t>]</w:t>
      </w:r>
      <w:r w:rsidRPr="00F338AB">
        <w:rPr>
          <w:sz w:val="16"/>
          <w:szCs w:val="16"/>
          <w:vertAlign w:val="superscript"/>
        </w:rPr>
        <w:t>3+</w:t>
      </w:r>
      <w:r w:rsidRPr="00F338AB">
        <w:rPr>
          <w:sz w:val="16"/>
          <w:szCs w:val="16"/>
        </w:rPr>
        <w:t xml:space="preserve"> and d) [Cr(</w:t>
      </w:r>
      <w:proofErr w:type="spellStart"/>
      <w:r w:rsidRPr="00F338AB">
        <w:rPr>
          <w:sz w:val="16"/>
          <w:szCs w:val="16"/>
        </w:rPr>
        <w:t>IMebipzp</w:t>
      </w:r>
      <w:proofErr w:type="spellEnd"/>
      <w:r w:rsidRPr="00F338AB">
        <w:rPr>
          <w:sz w:val="16"/>
          <w:szCs w:val="16"/>
        </w:rPr>
        <w:t>)</w:t>
      </w:r>
      <w:r w:rsidRPr="00F338AB">
        <w:rPr>
          <w:sz w:val="16"/>
          <w:szCs w:val="16"/>
          <w:vertAlign w:val="subscript"/>
        </w:rPr>
        <w:t>2</w:t>
      </w:r>
      <w:r w:rsidRPr="00F338AB">
        <w:rPr>
          <w:sz w:val="16"/>
          <w:szCs w:val="16"/>
        </w:rPr>
        <w:t>]</w:t>
      </w:r>
      <w:r w:rsidRPr="00F338AB">
        <w:rPr>
          <w:sz w:val="16"/>
          <w:szCs w:val="16"/>
          <w:vertAlign w:val="superscript"/>
        </w:rPr>
        <w:t>3+</w:t>
      </w:r>
      <w:r w:rsidRPr="00F338AB">
        <w:rPr>
          <w:sz w:val="16"/>
          <w:szCs w:val="16"/>
        </w:rPr>
        <w:t xml:space="preserve"> e) [Cr(</w:t>
      </w:r>
      <w:proofErr w:type="spellStart"/>
      <w:r w:rsidRPr="00F338AB">
        <w:rPr>
          <w:sz w:val="16"/>
          <w:szCs w:val="16"/>
        </w:rPr>
        <w:t>bip</w:t>
      </w:r>
      <w:proofErr w:type="spellEnd"/>
      <w:r w:rsidRPr="00F338AB">
        <w:rPr>
          <w:sz w:val="16"/>
          <w:szCs w:val="16"/>
        </w:rPr>
        <w:t>*)</w:t>
      </w:r>
      <w:r w:rsidRPr="00F338AB">
        <w:rPr>
          <w:sz w:val="16"/>
          <w:szCs w:val="16"/>
          <w:vertAlign w:val="subscript"/>
        </w:rPr>
        <w:t>2</w:t>
      </w:r>
      <w:r w:rsidRPr="00F338AB">
        <w:rPr>
          <w:sz w:val="16"/>
          <w:szCs w:val="16"/>
        </w:rPr>
        <w:t>]</w:t>
      </w:r>
      <w:r w:rsidRPr="00F338AB">
        <w:rPr>
          <w:sz w:val="16"/>
          <w:szCs w:val="16"/>
          <w:vertAlign w:val="superscript"/>
        </w:rPr>
        <w:t>3+</w:t>
      </w:r>
      <w:r w:rsidRPr="00F338AB">
        <w:rPr>
          <w:sz w:val="16"/>
          <w:szCs w:val="16"/>
        </w:rPr>
        <w:t xml:space="preserve"> (this work). </w:t>
      </w:r>
    </w:p>
    <w:p w14:paraId="5639C630" w14:textId="491E9057" w:rsidR="00F62610" w:rsidRPr="00F338AB" w:rsidRDefault="007E6CEC" w:rsidP="00F62610">
      <w:pPr>
        <w:pStyle w:val="RSCB02ArticleText"/>
      </w:pPr>
      <w:r w:rsidRPr="00F338AB">
        <w:t xml:space="preserve">In this </w:t>
      </w:r>
      <w:r w:rsidR="00981649" w:rsidRPr="00F338AB">
        <w:t>work</w:t>
      </w:r>
      <w:r w:rsidRPr="00F338AB">
        <w:t xml:space="preserve">, we present the modulation of spin-flip transition rates and the adjustment of emission energy through precise tuning of </w:t>
      </w:r>
      <w:r w:rsidR="00280FD0" w:rsidRPr="00F338AB">
        <w:t>the organic ligand</w:t>
      </w:r>
      <w:r w:rsidR="00D14622" w:rsidRPr="00F338AB">
        <w:t>s</w:t>
      </w:r>
      <w:r w:rsidRPr="00F338AB">
        <w:t xml:space="preserve">. We demonstrate that substituting the distal pyridines at the 2 and 6 positions of the ligand </w:t>
      </w:r>
      <w:proofErr w:type="spellStart"/>
      <w:r w:rsidRPr="00F338AB">
        <w:t>bpmp</w:t>
      </w:r>
      <w:proofErr w:type="spellEnd"/>
      <w:r w:rsidRPr="00F338AB">
        <w:t xml:space="preserve"> (Fig. 1a) with functionalized pyrazolyl </w:t>
      </w:r>
      <w:r w:rsidR="00981649" w:rsidRPr="00F338AB">
        <w:t xml:space="preserve">or indazole </w:t>
      </w:r>
      <w:r w:rsidRPr="00F338AB">
        <w:t>groups</w:t>
      </w:r>
      <w:r w:rsidR="00D8369A" w:rsidRPr="00F338AB">
        <w:t xml:space="preserve"> (Fig. 1c</w:t>
      </w:r>
      <w:r w:rsidR="00981649" w:rsidRPr="00F338AB">
        <w:t>-e</w:t>
      </w:r>
      <w:r w:rsidR="00D8369A" w:rsidRPr="00F338AB">
        <w:t>)</w:t>
      </w:r>
      <w:r w:rsidRPr="00F338AB">
        <w:t xml:space="preserve"> significantly broadens the spin-flip emission bandwidth</w:t>
      </w:r>
      <w:r w:rsidR="00981649" w:rsidRPr="00F338AB">
        <w:t>, tune the radiative rates and modify the emission energy</w:t>
      </w:r>
      <w:r w:rsidRPr="00F338AB">
        <w:t xml:space="preserve"> while maintaining long excited-state lifetimes and </w:t>
      </w:r>
      <w:r w:rsidR="00981649" w:rsidRPr="00F338AB">
        <w:t>relative</w:t>
      </w:r>
      <w:r w:rsidR="00255A25" w:rsidRPr="00F338AB">
        <w:t>ly</w:t>
      </w:r>
      <w:r w:rsidR="00981649" w:rsidRPr="00F338AB">
        <w:t xml:space="preserve"> </w:t>
      </w:r>
      <w:r w:rsidRPr="00F338AB">
        <w:t xml:space="preserve">high </w:t>
      </w:r>
      <w:r w:rsidR="00255A25" w:rsidRPr="00F338AB">
        <w:t xml:space="preserve">luminescence </w:t>
      </w:r>
      <w:r w:rsidRPr="00F338AB">
        <w:t>quantum yields</w:t>
      </w:r>
      <w:r w:rsidR="00261682" w:rsidRPr="00F338AB">
        <w:t xml:space="preserve"> </w:t>
      </w:r>
      <w:r w:rsidR="00255A25" w:rsidRPr="00F338AB">
        <w:t>compared</w:t>
      </w:r>
      <w:r w:rsidR="00261682" w:rsidRPr="00F338AB">
        <w:t xml:space="preserve"> to the related [Cr(</w:t>
      </w:r>
      <w:proofErr w:type="spellStart"/>
      <w:r w:rsidR="00261682" w:rsidRPr="00F338AB">
        <w:t>btmp</w:t>
      </w:r>
      <w:proofErr w:type="spellEnd"/>
      <w:r w:rsidR="00261682" w:rsidRPr="00F338AB">
        <w:t>)</w:t>
      </w:r>
      <w:r w:rsidR="00261682" w:rsidRPr="00F338AB">
        <w:rPr>
          <w:vertAlign w:val="subscript"/>
        </w:rPr>
        <w:t>2</w:t>
      </w:r>
      <w:r w:rsidR="00261682" w:rsidRPr="00F338AB">
        <w:t>]</w:t>
      </w:r>
      <w:r w:rsidR="00261682" w:rsidRPr="00F338AB">
        <w:rPr>
          <w:vertAlign w:val="superscript"/>
        </w:rPr>
        <w:t>3+</w:t>
      </w:r>
      <w:r w:rsidR="00261682" w:rsidRPr="00F338AB">
        <w:t xml:space="preserve">. </w:t>
      </w:r>
      <w:r w:rsidRPr="00F338AB">
        <w:t>The synthes</w:t>
      </w:r>
      <w:r w:rsidR="00280FD0" w:rsidRPr="00F338AB">
        <w:t>e</w:t>
      </w:r>
      <w:r w:rsidRPr="00F338AB">
        <w:t>s, crystal structures,</w:t>
      </w:r>
      <w:r w:rsidR="006F4F36" w:rsidRPr="00F338AB">
        <w:t xml:space="preserve"> theoretical calculations</w:t>
      </w:r>
      <w:r w:rsidRPr="00F338AB">
        <w:t xml:space="preserve"> and photophysical properties of the</w:t>
      </w:r>
      <w:r w:rsidR="00981649" w:rsidRPr="00F338AB">
        <w:t>se</w:t>
      </w:r>
      <w:r w:rsidRPr="00F338AB">
        <w:t xml:space="preserve"> three novel molecular rubies</w:t>
      </w:r>
      <w:r w:rsidR="00981649" w:rsidRPr="00F338AB">
        <w:t>: [Cr(</w:t>
      </w:r>
      <w:proofErr w:type="spellStart"/>
      <w:r w:rsidR="00981649" w:rsidRPr="00F338AB">
        <w:t>Mebipzp</w:t>
      </w:r>
      <w:proofErr w:type="spellEnd"/>
      <w:r w:rsidR="00981649" w:rsidRPr="00F338AB">
        <w:t>)</w:t>
      </w:r>
      <w:r w:rsidR="00981649" w:rsidRPr="00F338AB">
        <w:rPr>
          <w:vertAlign w:val="subscript"/>
        </w:rPr>
        <w:t>2</w:t>
      </w:r>
      <w:r w:rsidR="00981649" w:rsidRPr="00F338AB">
        <w:t>]</w:t>
      </w:r>
      <w:r w:rsidR="00981649" w:rsidRPr="00F338AB">
        <w:rPr>
          <w:vertAlign w:val="superscript"/>
        </w:rPr>
        <w:t>3+</w:t>
      </w:r>
      <w:r w:rsidR="00981649" w:rsidRPr="00F338AB">
        <w:t xml:space="preserve"> (</w:t>
      </w:r>
      <w:r w:rsidR="00981649" w:rsidRPr="00F338AB">
        <w:rPr>
          <w:b/>
          <w:bCs/>
        </w:rPr>
        <w:t>1</w:t>
      </w:r>
      <w:r w:rsidR="00981649" w:rsidRPr="00F338AB">
        <w:t>) (</w:t>
      </w:r>
      <w:proofErr w:type="spellStart"/>
      <w:r w:rsidR="00981649" w:rsidRPr="00F338AB">
        <w:t>Mebipzp</w:t>
      </w:r>
      <w:proofErr w:type="spellEnd"/>
      <w:r w:rsidR="00981649" w:rsidRPr="00F338AB">
        <w:t xml:space="preserve"> = 2,6-bis((3,5-dimethyl-1H-pyrazol-1-yl)methyl)pyridine; Fig. 1c), [Cr(</w:t>
      </w:r>
      <w:proofErr w:type="spellStart"/>
      <w:r w:rsidR="00981649" w:rsidRPr="00F338AB">
        <w:t>IMebipzp</w:t>
      </w:r>
      <w:proofErr w:type="spellEnd"/>
      <w:r w:rsidR="00981649" w:rsidRPr="00F338AB">
        <w:t>)</w:t>
      </w:r>
      <w:r w:rsidR="00981649" w:rsidRPr="00F338AB">
        <w:rPr>
          <w:vertAlign w:val="subscript"/>
        </w:rPr>
        <w:t>2</w:t>
      </w:r>
      <w:r w:rsidR="00981649" w:rsidRPr="00F338AB">
        <w:t>]</w:t>
      </w:r>
      <w:r w:rsidR="00981649" w:rsidRPr="00F338AB">
        <w:rPr>
          <w:vertAlign w:val="superscript"/>
        </w:rPr>
        <w:t>3+</w:t>
      </w:r>
      <w:r w:rsidR="00981649" w:rsidRPr="00F338AB">
        <w:t xml:space="preserve"> (</w:t>
      </w:r>
      <w:r w:rsidR="00981649" w:rsidRPr="00F338AB">
        <w:rPr>
          <w:b/>
          <w:bCs/>
        </w:rPr>
        <w:t>2</w:t>
      </w:r>
      <w:r w:rsidR="00981649" w:rsidRPr="00F338AB">
        <w:t>) (</w:t>
      </w:r>
      <w:proofErr w:type="spellStart"/>
      <w:r w:rsidR="00981649" w:rsidRPr="00F338AB">
        <w:t>IMebipzp</w:t>
      </w:r>
      <w:proofErr w:type="spellEnd"/>
      <w:r w:rsidR="00981649" w:rsidRPr="00F338AB">
        <w:t xml:space="preserve"> = 2,6-bis((4-iodo-3,5-dimethyl-1H-pyrazol-1-yl)methyl)pyridine; Fig. 1d) and [Cr(</w:t>
      </w:r>
      <w:proofErr w:type="spellStart"/>
      <w:r w:rsidR="00981649" w:rsidRPr="00F338AB">
        <w:t>bip</w:t>
      </w:r>
      <w:proofErr w:type="spellEnd"/>
      <w:r w:rsidR="00981649" w:rsidRPr="00F338AB">
        <w:t>*)</w:t>
      </w:r>
      <w:r w:rsidR="00981649" w:rsidRPr="00F338AB">
        <w:rPr>
          <w:vertAlign w:val="subscript"/>
        </w:rPr>
        <w:t>2</w:t>
      </w:r>
      <w:r w:rsidR="00981649" w:rsidRPr="00F338AB">
        <w:t>]</w:t>
      </w:r>
      <w:r w:rsidR="00981649" w:rsidRPr="00F338AB">
        <w:rPr>
          <w:vertAlign w:val="superscript"/>
        </w:rPr>
        <w:t>3+</w:t>
      </w:r>
      <w:r w:rsidR="00981649" w:rsidRPr="00F338AB">
        <w:t xml:space="preserve"> (</w:t>
      </w:r>
      <w:r w:rsidR="00981649" w:rsidRPr="00F338AB">
        <w:rPr>
          <w:b/>
          <w:bCs/>
        </w:rPr>
        <w:t>3</w:t>
      </w:r>
      <w:r w:rsidR="00981649" w:rsidRPr="00F338AB">
        <w:t>) (</w:t>
      </w:r>
      <w:proofErr w:type="spellStart"/>
      <w:r w:rsidR="00981649" w:rsidRPr="00F338AB">
        <w:t>bip</w:t>
      </w:r>
      <w:proofErr w:type="spellEnd"/>
      <w:r w:rsidR="00981649" w:rsidRPr="00F338AB">
        <w:t>* = 2,6-bis(indazol-2-ylmethyl)pyridine; Fig. 1e)</w:t>
      </w:r>
      <w:r w:rsidRPr="00F338AB">
        <w:t xml:space="preserve"> are discussed </w:t>
      </w:r>
      <w:r w:rsidR="006F4F36" w:rsidRPr="00F338AB">
        <w:t>hereunder</w:t>
      </w:r>
      <w:r w:rsidR="00981649" w:rsidRPr="00F338AB">
        <w:t>.</w:t>
      </w:r>
    </w:p>
    <w:p w14:paraId="6DFC0C72" w14:textId="08487577" w:rsidR="00461BA5" w:rsidRPr="00F338AB" w:rsidRDefault="00461BA5" w:rsidP="00F62610">
      <w:pPr>
        <w:pStyle w:val="RSCB02ArticleText"/>
      </w:pPr>
    </w:p>
    <w:p w14:paraId="7D465C8C" w14:textId="458A0142" w:rsidR="00D16C7C" w:rsidRPr="00F338AB" w:rsidRDefault="00D16C7C" w:rsidP="00F80269">
      <w:pPr>
        <w:pStyle w:val="RSCB04AHeadingSection"/>
        <w:spacing w:before="0"/>
      </w:pPr>
      <w:r w:rsidRPr="00F338AB">
        <w:t>Results and discussion</w:t>
      </w:r>
    </w:p>
    <w:p w14:paraId="1EC85B1C" w14:textId="4D4EF3A9" w:rsidR="001329C0" w:rsidRPr="00F338AB" w:rsidRDefault="001329C0" w:rsidP="001329C0">
      <w:pPr>
        <w:spacing w:after="0" w:line="240" w:lineRule="atLeast"/>
        <w:rPr>
          <w:rFonts w:eastAsia="MS Mincho" w:cstheme="minorHAnsi"/>
          <w:b/>
          <w:bCs/>
          <w:sz w:val="18"/>
          <w:szCs w:val="18"/>
          <w:lang w:eastAsia="ja-JP"/>
        </w:rPr>
      </w:pPr>
      <w:r w:rsidRPr="00F338AB">
        <w:rPr>
          <w:rFonts w:eastAsia="MS Mincho" w:cstheme="minorHAnsi"/>
          <w:b/>
          <w:bCs/>
          <w:sz w:val="18"/>
          <w:szCs w:val="18"/>
          <w:lang w:eastAsia="ja-JP"/>
        </w:rPr>
        <w:t>Synthesis and structural properties</w:t>
      </w:r>
    </w:p>
    <w:p w14:paraId="0BDF5BA0" w14:textId="3CE62163" w:rsidR="00D80732" w:rsidRPr="00F338AB" w:rsidRDefault="00D16C7C" w:rsidP="00422897">
      <w:pPr>
        <w:pStyle w:val="RSCB02ArticleText"/>
        <w:rPr>
          <w:rFonts w:eastAsia="MS Mincho" w:cstheme="minorHAnsi"/>
          <w:lang w:eastAsia="ja-JP"/>
        </w:rPr>
      </w:pPr>
      <w:r w:rsidRPr="00F338AB">
        <w:rPr>
          <w:rFonts w:eastAsia="MS Mincho" w:cstheme="minorHAnsi"/>
          <w:lang w:eastAsia="ja-JP"/>
        </w:rPr>
        <w:t xml:space="preserve">Reacting </w:t>
      </w:r>
      <w:proofErr w:type="spellStart"/>
      <w:r w:rsidR="00030AAC" w:rsidRPr="00F338AB">
        <w:t>Cr</w:t>
      </w:r>
      <w:r w:rsidR="00030AAC" w:rsidRPr="00F338AB">
        <w:rPr>
          <w:vertAlign w:val="superscript"/>
        </w:rPr>
        <w:t>II</w:t>
      </w:r>
      <w:proofErr w:type="spellEnd"/>
      <w:r w:rsidRPr="00F338AB">
        <w:rPr>
          <w:rFonts w:eastAsia="MS Mincho" w:cstheme="minorHAnsi"/>
          <w:lang w:eastAsia="ja-JP"/>
        </w:rPr>
        <w:t>(SO</w:t>
      </w:r>
      <w:r w:rsidRPr="00F338AB">
        <w:rPr>
          <w:rFonts w:eastAsia="MS Mincho" w:cstheme="minorHAnsi"/>
          <w:vertAlign w:val="subscript"/>
          <w:lang w:eastAsia="ja-JP"/>
        </w:rPr>
        <w:t>3</w:t>
      </w:r>
      <w:r w:rsidRPr="00F338AB">
        <w:rPr>
          <w:rFonts w:eastAsia="MS Mincho" w:cstheme="minorHAnsi"/>
          <w:lang w:eastAsia="ja-JP"/>
        </w:rPr>
        <w:t>CF</w:t>
      </w:r>
      <w:r w:rsidRPr="00F338AB">
        <w:rPr>
          <w:rFonts w:eastAsia="MS Mincho" w:cstheme="minorHAnsi"/>
          <w:vertAlign w:val="subscript"/>
          <w:lang w:eastAsia="ja-JP"/>
        </w:rPr>
        <w:t>3</w:t>
      </w:r>
      <w:r w:rsidRPr="00F338AB">
        <w:rPr>
          <w:rFonts w:eastAsia="MS Mincho" w:cstheme="minorHAnsi"/>
          <w:lang w:eastAsia="ja-JP"/>
        </w:rPr>
        <w:t>)</w:t>
      </w:r>
      <w:r w:rsidRPr="00F338AB">
        <w:rPr>
          <w:rFonts w:eastAsia="MS Mincho" w:cstheme="minorHAnsi"/>
          <w:vertAlign w:val="subscript"/>
          <w:lang w:eastAsia="ja-JP"/>
        </w:rPr>
        <w:t>2</w:t>
      </w:r>
      <w:r w:rsidRPr="00F338AB">
        <w:rPr>
          <w:rFonts w:eastAsia="MS Mincho" w:cstheme="minorHAnsi"/>
          <w:lang w:eastAsia="ja-JP"/>
        </w:rPr>
        <w:t>·2H</w:t>
      </w:r>
      <w:r w:rsidRPr="00F338AB">
        <w:rPr>
          <w:rFonts w:eastAsia="MS Mincho" w:cstheme="minorHAnsi"/>
          <w:vertAlign w:val="subscript"/>
          <w:lang w:eastAsia="ja-JP"/>
        </w:rPr>
        <w:t>2</w:t>
      </w:r>
      <w:r w:rsidRPr="00F338AB">
        <w:rPr>
          <w:rFonts w:eastAsia="MS Mincho" w:cstheme="minorHAnsi"/>
          <w:lang w:eastAsia="ja-JP"/>
        </w:rPr>
        <w:t>O</w:t>
      </w:r>
      <w:r w:rsidRPr="00F338AB">
        <w:rPr>
          <w:rFonts w:eastAsia="MS Mincho" w:cstheme="minorHAnsi"/>
          <w:lang w:eastAsia="ja-JP"/>
        </w:rPr>
        <w:fldChar w:fldCharType="begin" w:fldLock="1"/>
      </w:r>
      <w:r w:rsidR="006B462E" w:rsidRPr="00F338AB">
        <w:rPr>
          <w:rFonts w:eastAsia="MS Mincho" w:cstheme="minorHAnsi" w:hint="eastAsia"/>
          <w:lang w:eastAsia="ja-JP"/>
        </w:rPr>
        <w:instrText>ADDIN CSL_CITATION {"citationItems":[{"id":"ITEM-1","itemData":{"DOI":"10.1039/b200011c","ISSN":"1470479X","abstract":"Stoichiometric mixing of the segmental ligand 2-{6-[N,N-diethylcarboxamido]pyridin-2-yl}-1,1</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-dimethyl-5,5</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 methylene-2</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-(5-methylpyrid</w:instrText>
      </w:r>
      <w:r w:rsidR="006B462E" w:rsidRPr="00F338AB">
        <w:rPr>
          <w:rFonts w:eastAsia="MS Mincho" w:cstheme="minorHAnsi"/>
          <w:lang w:eastAsia="ja-JP"/>
        </w:rPr>
        <w:instrText>in-2-yl)bis[1H-benzimidazole] (L) with Ln(CF3SO3)3 (Ln = La-Lu) and Cr(CF3SO3)2 under an inert atmosphere produces quantitatively the self-assembled triple-stranded non-covalent podates (HHH)-[LnCrIIL3]5+. Air oxidation of the low-spin CrII complexes gives selectively the head-to-head-to-head podates (HHH)-[LnCrIIIL3]6+ into which inert CrIII has been incorporated. The X-ray crystal structures of [LnCrIII(L)3](CF3SO3) 6(CH3CN)4 (Ln = Eu, 7; Ln= Lu, 8) confirm the formation of regular triple-helical cations (HHH)-[LnCrIIIL3]6+ whose structure is maintained in acetonitrile according to ESI-MS, spectrophotometry and NMR data. Photophysical studies evidence efficient sensitization of both EuIII and CrIII through ligand excitation at low temperature, while a s</w:instrText>
      </w:r>
      <w:r w:rsidR="006B462E" w:rsidRPr="00F338AB">
        <w:rPr>
          <w:rFonts w:eastAsia="MS Mincho" w:cstheme="minorHAnsi" w:hint="eastAsia"/>
          <w:lang w:eastAsia="ja-JP"/>
        </w:rPr>
        <w:instrText xml:space="preserve">ubsequent intramolecular EuIII </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 xml:space="preserve"> CrIII energy transfer (</w:instrText>
      </w:r>
      <w:r w:rsidR="006B462E" w:rsidRPr="00F338AB">
        <w:rPr>
          <w:rFonts w:eastAsia="MS Mincho" w:cstheme="minorHAnsi" w:hint="eastAsia"/>
          <w:lang w:eastAsia="ja-JP"/>
        </w:rPr>
        <w:instrText>η</w:instrText>
      </w:r>
      <w:r w:rsidR="006B462E" w:rsidRPr="00F338AB">
        <w:rPr>
          <w:rFonts w:eastAsia="MS Mincho" w:cstheme="minorHAnsi" w:hint="eastAsia"/>
          <w:lang w:eastAsia="ja-JP"/>
        </w:rPr>
        <w:instrText xml:space="preserve"> = 70%) limits Eu-centred luminescence and induces directional light-conversion along the three-fold axis, resulting in CrIII emission. For (HHH)-[TbCrIIIL3]6+, the better spectral overlap between t</w:instrText>
      </w:r>
      <w:r w:rsidR="006B462E" w:rsidRPr="00F338AB">
        <w:rPr>
          <w:rFonts w:eastAsia="MS Mincho" w:cstheme="minorHAnsi"/>
          <w:lang w:eastAsia="ja-JP"/>
        </w:rPr>
        <w:instrText xml:space="preserve">he emission spectrum of TbIII (5D4 </w:instrText>
      </w:r>
      <w:r w:rsidR="006B462E" w:rsidRPr="00F338AB">
        <w:rPr>
          <w:rFonts w:eastAsia="MS Mincho" w:cstheme="minorHAnsi" w:hint="eastAsia"/>
          <w:lang w:eastAsia="ja-JP"/>
        </w:rPr>
        <w:instrText>→</w:instrText>
      </w:r>
      <w:r w:rsidR="006B462E" w:rsidRPr="00F338AB">
        <w:rPr>
          <w:rFonts w:eastAsia="MS Mincho" w:cstheme="minorHAnsi"/>
          <w:lang w:eastAsia="ja-JP"/>
        </w:rPr>
        <w:instrText xml:space="preserve"> 7FJ) and the absorption spectrum of CrIII (4A2 </w:instrText>
      </w:r>
      <w:r w:rsidR="006B462E" w:rsidRPr="00F338AB">
        <w:rPr>
          <w:rFonts w:eastAsia="MS Mincho" w:cstheme="minorHAnsi" w:hint="eastAsia"/>
          <w:lang w:eastAsia="ja-JP"/>
        </w:rPr>
        <w:instrText>→</w:instrText>
      </w:r>
      <w:r w:rsidR="006B462E" w:rsidRPr="00F338AB">
        <w:rPr>
          <w:rFonts w:eastAsia="MS Mincho" w:cstheme="minorHAnsi"/>
          <w:lang w:eastAsia="ja-JP"/>
        </w:rPr>
        <w:instrText xml:space="preserve"> 4T2) provides a quantitative TbIII </w:instrText>
      </w:r>
      <w:r w:rsidR="006B462E" w:rsidRPr="00F338AB">
        <w:rPr>
          <w:rFonts w:eastAsia="MS Mincho" w:cstheme="minorHAnsi" w:hint="eastAsia"/>
          <w:lang w:eastAsia="ja-JP"/>
        </w:rPr>
        <w:instrText>→</w:instrText>
      </w:r>
      <w:r w:rsidR="006B462E" w:rsidRPr="00F338AB">
        <w:rPr>
          <w:rFonts w:eastAsia="MS Mincho" w:cstheme="minorHAnsi"/>
          <w:lang w:eastAsia="ja-JP"/>
        </w:rPr>
        <w:instrText xml:space="preserve"> CrIII energy transfer (η ≥ 99%) and long-range intermetallic communication. De-complexation of LnIII with water or EDTA4- gives the first inert and optically active-CrIII-containing triple-helical nonadentate receptor (HHH)-[CrIIIL3]3+.","author":[{"dropping-particle":"","family":"Cantuel","given":"Martine","non-dropping-particle":"","parse-names":false,"suffix":""},{"dropping-particle":"","family":"Bernardinelli","given":"Gérald","non-dropping-particle":"","parse-names":false,"suffix":""},{"dropping-particle":"","family":"Imbert","given":"Daniel","non-dropping-particle":"","parse-names":false,"suffix":""},{"dropping-particle":"","family":"Bünzli","given":"Jean Claude G.","non-dropping-particle":"","parse-names":false,"suffix":""},{"dropping-particle":"","family":"Hopfgartnerd","given":"Gérard","non-dropping-particle":"","parse-names":false,"suffix":""},{"dropping-particle":"","family":"Piguet","given":"Claude","non-dropping-particle":"","parse-names":false,"suffix":""}],"container-title":"Journal of the Chemical Society, Dalton Transactions","id":"ITEM-1","issue":"9","issued":{"date-parts":[["2002"]]},"page":"1929-1940","title":"A kinetically inert and optically active CrIII partner in thermodynamically self-assembled heterodimetallic non-covalent d-f podates","type":"article-journal"},"uris":["http://www.mendeley.com/documents/?uuid=8c6a8a61-54ac-44a5-b4ab-415f1ddab72e"]}],"mendeley":{"formattedCitation":"&lt;sup&gt;48&lt;/sup&gt;","plainTextFormattedCitation":"48","previouslyFormattedCitation":"&lt;sup&gt;48&lt;/sup&gt;"},"properties":{"noteIndex":0},"schema":"https://github.com/citation-style-language/schema/raw/master/csl-citation.json"}</w:instrText>
      </w:r>
      <w:r w:rsidRPr="00F338AB">
        <w:rPr>
          <w:rFonts w:eastAsia="MS Mincho" w:cstheme="minorHAnsi"/>
          <w:lang w:eastAsia="ja-JP"/>
        </w:rPr>
        <w:fldChar w:fldCharType="separate"/>
      </w:r>
      <w:r w:rsidR="00255A25" w:rsidRPr="00F338AB">
        <w:rPr>
          <w:rFonts w:eastAsia="MS Mincho" w:cstheme="minorHAnsi"/>
          <w:noProof/>
          <w:vertAlign w:val="superscript"/>
          <w:lang w:eastAsia="ja-JP"/>
        </w:rPr>
        <w:t>48</w:t>
      </w:r>
      <w:r w:rsidRPr="00F338AB">
        <w:rPr>
          <w:rFonts w:eastAsia="MS Mincho" w:cstheme="minorHAnsi"/>
          <w:lang w:eastAsia="ja-JP"/>
        </w:rPr>
        <w:fldChar w:fldCharType="end"/>
      </w:r>
      <w:r w:rsidRPr="00F338AB">
        <w:rPr>
          <w:rFonts w:eastAsia="MS Mincho" w:cstheme="minorHAnsi"/>
          <w:lang w:eastAsia="ja-JP"/>
        </w:rPr>
        <w:t xml:space="preserve"> with two equivalents of </w:t>
      </w:r>
      <w:proofErr w:type="spellStart"/>
      <w:r w:rsidRPr="00F338AB">
        <w:rPr>
          <w:rFonts w:eastAsia="MS Mincho" w:cstheme="minorHAnsi"/>
          <w:lang w:eastAsia="ja-JP"/>
        </w:rPr>
        <w:t>Mebipzp</w:t>
      </w:r>
      <w:proofErr w:type="spellEnd"/>
      <w:r w:rsidR="00F7150D" w:rsidRPr="00F338AB">
        <w:rPr>
          <w:rFonts w:eastAsia="MS Mincho" w:cstheme="minorHAnsi"/>
          <w:lang w:eastAsia="ja-JP"/>
        </w:rPr>
        <w:t>,</w:t>
      </w:r>
      <w:r w:rsidRPr="00F338AB">
        <w:rPr>
          <w:rFonts w:eastAsia="MS Mincho" w:cstheme="minorHAnsi"/>
          <w:lang w:eastAsia="ja-JP"/>
        </w:rPr>
        <w:t xml:space="preserve"> </w:t>
      </w:r>
      <w:proofErr w:type="spellStart"/>
      <w:r w:rsidRPr="00F338AB">
        <w:rPr>
          <w:rFonts w:eastAsia="MS Mincho" w:cstheme="minorHAnsi"/>
          <w:lang w:eastAsia="ja-JP"/>
        </w:rPr>
        <w:t>IMebipzp</w:t>
      </w:r>
      <w:proofErr w:type="spellEnd"/>
      <w:r w:rsidRPr="00F338AB">
        <w:rPr>
          <w:rFonts w:eastAsia="MS Mincho" w:cstheme="minorHAnsi"/>
          <w:lang w:eastAsia="ja-JP"/>
        </w:rPr>
        <w:t xml:space="preserve"> </w:t>
      </w:r>
      <w:r w:rsidR="00F7150D" w:rsidRPr="00F338AB">
        <w:rPr>
          <w:rFonts w:eastAsia="MS Mincho" w:cstheme="minorHAnsi"/>
          <w:lang w:eastAsia="ja-JP"/>
        </w:rPr>
        <w:t xml:space="preserve">or </w:t>
      </w:r>
      <w:proofErr w:type="spellStart"/>
      <w:r w:rsidR="00F7150D" w:rsidRPr="00F338AB">
        <w:rPr>
          <w:rFonts w:eastAsia="MS Mincho" w:cstheme="minorHAnsi"/>
          <w:lang w:eastAsia="ja-JP"/>
        </w:rPr>
        <w:t>bip</w:t>
      </w:r>
      <w:proofErr w:type="spellEnd"/>
      <w:r w:rsidR="00F7150D" w:rsidRPr="00F338AB">
        <w:rPr>
          <w:rFonts w:eastAsia="MS Mincho" w:cstheme="minorHAnsi"/>
          <w:lang w:eastAsia="ja-JP"/>
        </w:rPr>
        <w:t xml:space="preserve">* </w:t>
      </w:r>
      <w:r w:rsidRPr="00F338AB">
        <w:rPr>
          <w:rFonts w:eastAsia="MS Mincho" w:cstheme="minorHAnsi"/>
          <w:lang w:eastAsia="ja-JP"/>
        </w:rPr>
        <w:t>ligand</w:t>
      </w:r>
      <w:r w:rsidR="00F7150D" w:rsidRPr="00F338AB">
        <w:rPr>
          <w:rFonts w:eastAsia="MS Mincho" w:cstheme="minorHAnsi"/>
          <w:lang w:eastAsia="ja-JP"/>
        </w:rPr>
        <w:t>s</w:t>
      </w:r>
      <w:r w:rsidRPr="00F338AB">
        <w:rPr>
          <w:rFonts w:eastAsia="MS Mincho" w:cstheme="minorHAnsi"/>
          <w:lang w:eastAsia="ja-JP"/>
        </w:rPr>
        <w:t>, followed by oxidation with silver triflate (AgSO</w:t>
      </w:r>
      <w:r w:rsidRPr="00F338AB">
        <w:rPr>
          <w:rFonts w:eastAsia="MS Mincho" w:cstheme="minorHAnsi"/>
          <w:vertAlign w:val="subscript"/>
          <w:lang w:eastAsia="ja-JP"/>
        </w:rPr>
        <w:t>3</w:t>
      </w:r>
      <w:r w:rsidRPr="00F338AB">
        <w:rPr>
          <w:rFonts w:eastAsia="MS Mincho" w:cstheme="minorHAnsi"/>
          <w:lang w:eastAsia="ja-JP"/>
        </w:rPr>
        <w:t>CF</w:t>
      </w:r>
      <w:r w:rsidRPr="00F338AB">
        <w:rPr>
          <w:rFonts w:eastAsia="MS Mincho" w:cstheme="minorHAnsi"/>
          <w:vertAlign w:val="subscript"/>
          <w:lang w:eastAsia="ja-JP"/>
        </w:rPr>
        <w:t>3</w:t>
      </w:r>
      <w:r w:rsidRPr="00F338AB">
        <w:rPr>
          <w:rFonts w:eastAsia="MS Mincho" w:cstheme="minorHAnsi"/>
          <w:lang w:eastAsia="ja-JP"/>
        </w:rPr>
        <w:t>) in acetonitrile led to the desired compounds in a 90-95% yield (Fig. S1, further</w:t>
      </w:r>
      <w:r w:rsidR="00A46C54" w:rsidRPr="00F338AB">
        <w:rPr>
          <w:rFonts w:eastAsia="MS Mincho" w:cstheme="minorHAnsi"/>
          <w:lang w:eastAsia="ja-JP"/>
        </w:rPr>
        <w:t xml:space="preserve"> synthetic</w:t>
      </w:r>
      <w:r w:rsidRPr="00F338AB">
        <w:rPr>
          <w:rFonts w:eastAsia="MS Mincho" w:cstheme="minorHAnsi"/>
          <w:lang w:eastAsia="ja-JP"/>
        </w:rPr>
        <w:t xml:space="preserve"> details in SI). The alternative air oxidation resulted in undesirable redox reactions.</w:t>
      </w:r>
      <w:r w:rsidR="00255A25" w:rsidRPr="00F338AB">
        <w:rPr>
          <w:rFonts w:eastAsia="MS Mincho" w:cstheme="minorHAnsi"/>
          <w:lang w:eastAsia="ja-JP"/>
        </w:rPr>
        <w:t xml:space="preserve"> Single</w:t>
      </w:r>
      <w:r w:rsidRPr="00F338AB">
        <w:rPr>
          <w:rFonts w:eastAsia="MS Mincho" w:cstheme="minorHAnsi"/>
          <w:lang w:eastAsia="ja-JP"/>
        </w:rPr>
        <w:t xml:space="preserve"> </w:t>
      </w:r>
      <w:r w:rsidR="00255A25" w:rsidRPr="00F338AB">
        <w:rPr>
          <w:rFonts w:eastAsia="MS Mincho" w:cstheme="minorHAnsi"/>
          <w:lang w:eastAsia="ja-JP"/>
        </w:rPr>
        <w:t>c</w:t>
      </w:r>
      <w:r w:rsidRPr="00F338AB">
        <w:rPr>
          <w:rFonts w:eastAsia="MS Mincho" w:cstheme="minorHAnsi"/>
          <w:lang w:eastAsia="ja-JP"/>
        </w:rPr>
        <w:t xml:space="preserve">rystals suitable for </w:t>
      </w:r>
      <w:r w:rsidR="00255A25" w:rsidRPr="00F338AB">
        <w:rPr>
          <w:rFonts w:eastAsia="MS Mincho" w:cstheme="minorHAnsi"/>
          <w:lang w:eastAsia="ja-JP"/>
        </w:rPr>
        <w:t xml:space="preserve">X-ray </w:t>
      </w:r>
      <w:r w:rsidRPr="00F338AB">
        <w:rPr>
          <w:rFonts w:eastAsia="MS Mincho" w:cstheme="minorHAnsi"/>
          <w:lang w:eastAsia="ja-JP"/>
        </w:rPr>
        <w:t>diffraction were obtained from slow diffusion of diethyl ether into concentrated acetonitrile solution</w:t>
      </w:r>
      <w:r w:rsidR="000D7D47" w:rsidRPr="00F338AB">
        <w:rPr>
          <w:rFonts w:eastAsia="MS Mincho" w:cstheme="minorHAnsi"/>
          <w:lang w:eastAsia="ja-JP"/>
        </w:rPr>
        <w:t>s</w:t>
      </w:r>
      <w:r w:rsidRPr="00F338AB">
        <w:rPr>
          <w:rFonts w:eastAsia="MS Mincho" w:cstheme="minorHAnsi"/>
          <w:lang w:eastAsia="ja-JP"/>
        </w:rPr>
        <w:t xml:space="preserve"> containing the </w:t>
      </w:r>
      <w:proofErr w:type="spellStart"/>
      <w:r w:rsidR="00030AAC" w:rsidRPr="00F338AB">
        <w:t>Cr</w:t>
      </w:r>
      <w:r w:rsidR="00030AAC" w:rsidRPr="00F338AB">
        <w:rPr>
          <w:vertAlign w:val="superscript"/>
        </w:rPr>
        <w:t>III</w:t>
      </w:r>
      <w:proofErr w:type="spellEnd"/>
      <w:r w:rsidR="00030AAC" w:rsidRPr="00F338AB">
        <w:rPr>
          <w:rFonts w:eastAsia="MS Mincho" w:cstheme="minorHAnsi"/>
          <w:lang w:eastAsia="ja-JP"/>
        </w:rPr>
        <w:t xml:space="preserve"> </w:t>
      </w:r>
      <w:r w:rsidRPr="00F338AB">
        <w:rPr>
          <w:rFonts w:eastAsia="MS Mincho" w:cstheme="minorHAnsi"/>
          <w:lang w:eastAsia="ja-JP"/>
        </w:rPr>
        <w:t xml:space="preserve">complexes (Table S1). For </w:t>
      </w:r>
      <w:r w:rsidR="00F7150D" w:rsidRPr="00F338AB">
        <w:rPr>
          <w:rFonts w:eastAsia="MS Mincho" w:cstheme="minorHAnsi"/>
          <w:lang w:eastAsia="ja-JP"/>
        </w:rPr>
        <w:t>the three compounds</w:t>
      </w:r>
      <w:r w:rsidRPr="00F338AB">
        <w:rPr>
          <w:rFonts w:eastAsia="MS Mincho" w:cstheme="minorHAnsi"/>
          <w:lang w:eastAsia="ja-JP"/>
        </w:rPr>
        <w:t>, the two tridentate ligands coordinate in a twisted and meridional fashion</w:t>
      </w:r>
      <w:r w:rsidR="00A46C54" w:rsidRPr="00F338AB">
        <w:rPr>
          <w:rFonts w:eastAsia="MS Mincho" w:cstheme="minorHAnsi"/>
          <w:lang w:eastAsia="ja-JP"/>
        </w:rPr>
        <w:t xml:space="preserve"> (Fig. 2a, Fig. S2-S4)</w:t>
      </w:r>
      <w:r w:rsidRPr="00F338AB">
        <w:rPr>
          <w:rFonts w:eastAsia="MS Mincho" w:cstheme="minorHAnsi"/>
          <w:lang w:eastAsia="ja-JP"/>
        </w:rPr>
        <w:t xml:space="preserve"> around </w:t>
      </w:r>
      <w:r w:rsidR="00F7150D" w:rsidRPr="00F338AB">
        <w:rPr>
          <w:rFonts w:eastAsia="MS Mincho" w:cstheme="minorHAnsi"/>
          <w:lang w:eastAsia="ja-JP"/>
        </w:rPr>
        <w:t>the</w:t>
      </w:r>
      <w:r w:rsidRPr="00F338AB">
        <w:rPr>
          <w:rFonts w:eastAsia="MS Mincho" w:cstheme="minorHAnsi"/>
          <w:lang w:eastAsia="ja-JP"/>
        </w:rPr>
        <w:t xml:space="preserve"> central </w:t>
      </w:r>
      <w:proofErr w:type="spellStart"/>
      <w:r w:rsidR="00030AAC" w:rsidRPr="00F338AB">
        <w:t>Cr</w:t>
      </w:r>
      <w:r w:rsidR="00030AAC" w:rsidRPr="00F338AB">
        <w:rPr>
          <w:vertAlign w:val="superscript"/>
        </w:rPr>
        <w:t>III</w:t>
      </w:r>
      <w:proofErr w:type="spellEnd"/>
      <w:r w:rsidR="00030AAC" w:rsidRPr="00F338AB">
        <w:rPr>
          <w:rFonts w:eastAsia="MS Mincho" w:cstheme="minorHAnsi"/>
          <w:lang w:eastAsia="ja-JP"/>
        </w:rPr>
        <w:t xml:space="preserve"> </w:t>
      </w:r>
      <w:r w:rsidRPr="00F338AB">
        <w:rPr>
          <w:rFonts w:eastAsia="MS Mincho" w:cstheme="minorHAnsi"/>
          <w:lang w:eastAsia="ja-JP"/>
        </w:rPr>
        <w:t>cation with dihedral angles of approximately 57° and 50° between the central pyridine ring and the flanking pyrazoles</w:t>
      </w:r>
      <w:r w:rsidR="000922E5" w:rsidRPr="00F338AB">
        <w:rPr>
          <w:rFonts w:eastAsia="MS Mincho" w:cstheme="minorHAnsi"/>
          <w:lang w:eastAsia="ja-JP"/>
        </w:rPr>
        <w:t xml:space="preserve"> or </w:t>
      </w:r>
      <w:r w:rsidR="00584B03" w:rsidRPr="00F338AB">
        <w:rPr>
          <w:rFonts w:eastAsia="MS Mincho" w:cstheme="minorHAnsi"/>
          <w:lang w:eastAsia="ja-JP"/>
        </w:rPr>
        <w:t>indazole</w:t>
      </w:r>
      <w:r w:rsidR="000922E5" w:rsidRPr="00F338AB">
        <w:rPr>
          <w:rFonts w:eastAsia="MS Mincho" w:cstheme="minorHAnsi"/>
          <w:lang w:eastAsia="ja-JP"/>
        </w:rPr>
        <w:t>s</w:t>
      </w:r>
      <w:r w:rsidR="00F7150D" w:rsidRPr="00F338AB">
        <w:rPr>
          <w:rFonts w:eastAsia="MS Mincho" w:cstheme="minorHAnsi"/>
          <w:lang w:eastAsia="ja-JP"/>
        </w:rPr>
        <w:t xml:space="preserve"> units</w:t>
      </w:r>
      <w:r w:rsidR="00A46C54" w:rsidRPr="00F338AB">
        <w:rPr>
          <w:rFonts w:eastAsia="MS Mincho" w:cstheme="minorHAnsi"/>
          <w:lang w:eastAsia="ja-JP"/>
        </w:rPr>
        <w:t xml:space="preserve">. </w:t>
      </w:r>
      <w:r w:rsidRPr="00F338AB">
        <w:rPr>
          <w:rFonts w:eastAsia="MS Mincho" w:cstheme="minorHAnsi"/>
          <w:lang w:eastAsia="ja-JP"/>
        </w:rPr>
        <w:t>Due to the distorted conformation adopted by the ligands, a decrease in the symmetry point group (</w:t>
      </w:r>
      <w:r w:rsidRPr="00F338AB">
        <w:rPr>
          <w:rFonts w:eastAsia="MS Mincho" w:cstheme="minorHAnsi"/>
          <w:i/>
          <w:iCs/>
          <w:lang w:eastAsia="ja-JP"/>
        </w:rPr>
        <w:t>D</w:t>
      </w:r>
      <w:r w:rsidRPr="00F338AB">
        <w:rPr>
          <w:rFonts w:eastAsia="MS Mincho" w:cstheme="minorHAnsi"/>
          <w:vertAlign w:val="subscript"/>
          <w:lang w:eastAsia="ja-JP"/>
        </w:rPr>
        <w:t>2d</w:t>
      </w:r>
      <w:r w:rsidRPr="00F338AB">
        <w:rPr>
          <w:rFonts w:eastAsia="MS Mincho" w:cstheme="minorHAnsi"/>
          <w:lang w:eastAsia="ja-JP"/>
        </w:rPr>
        <w:t xml:space="preserve"> → </w:t>
      </w:r>
      <w:r w:rsidRPr="00F338AB">
        <w:rPr>
          <w:rFonts w:eastAsia="MS Mincho" w:cstheme="minorHAnsi"/>
          <w:i/>
          <w:iCs/>
          <w:lang w:eastAsia="ja-JP"/>
        </w:rPr>
        <w:t>D</w:t>
      </w:r>
      <w:r w:rsidRPr="00F338AB">
        <w:rPr>
          <w:rFonts w:eastAsia="MS Mincho" w:cstheme="minorHAnsi"/>
          <w:vertAlign w:val="subscript"/>
          <w:lang w:eastAsia="ja-JP"/>
        </w:rPr>
        <w:t>2</w:t>
      </w:r>
      <w:r w:rsidRPr="00F338AB">
        <w:rPr>
          <w:rFonts w:eastAsia="MS Mincho" w:cstheme="minorHAnsi"/>
          <w:lang w:eastAsia="ja-JP"/>
        </w:rPr>
        <w:t>) generates a pair of enantiomers (</w:t>
      </w:r>
      <w:proofErr w:type="spellStart"/>
      <w:r w:rsidRPr="00F338AB">
        <w:rPr>
          <w:rFonts w:eastAsia="MS Mincho" w:cstheme="minorHAnsi"/>
          <w:i/>
          <w:iCs/>
          <w:lang w:eastAsia="ja-JP"/>
        </w:rPr>
        <w:t>λλ</w:t>
      </w:r>
      <w:proofErr w:type="spellEnd"/>
      <w:r w:rsidRPr="00F338AB">
        <w:rPr>
          <w:rFonts w:eastAsia="MS Mincho" w:cstheme="minorHAnsi"/>
          <w:lang w:eastAsia="ja-JP"/>
        </w:rPr>
        <w:t xml:space="preserve"> and </w:t>
      </w:r>
      <w:r w:rsidRPr="00F338AB">
        <w:rPr>
          <w:rFonts w:eastAsia="MS Mincho" w:cstheme="minorHAnsi"/>
          <w:i/>
          <w:iCs/>
          <w:lang w:eastAsia="ja-JP"/>
        </w:rPr>
        <w:sym w:font="Symbol" w:char="F064"/>
      </w:r>
      <w:r w:rsidRPr="00F338AB">
        <w:rPr>
          <w:rFonts w:eastAsia="MS Mincho" w:cstheme="minorHAnsi"/>
          <w:i/>
          <w:iCs/>
          <w:lang w:eastAsia="ja-JP"/>
        </w:rPr>
        <w:sym w:font="Symbol" w:char="F064"/>
      </w:r>
      <w:r w:rsidRPr="00F338AB">
        <w:rPr>
          <w:rFonts w:eastAsia="MS Mincho" w:cstheme="minorHAnsi"/>
          <w:lang w:eastAsia="ja-JP"/>
        </w:rPr>
        <w:t>; notation for the ligand disposition)</w:t>
      </w:r>
      <w:r w:rsidRPr="00F338AB">
        <w:rPr>
          <w:rFonts w:eastAsia="MS Mincho" w:cstheme="minorHAnsi"/>
          <w:lang w:eastAsia="ja-JP"/>
        </w:rPr>
        <w:fldChar w:fldCharType="begin" w:fldLock="1"/>
      </w:r>
      <w:r w:rsidR="006B462E" w:rsidRPr="00F338AB">
        <w:rPr>
          <w:rFonts w:eastAsia="MS Mincho" w:cstheme="minorHAnsi"/>
          <w:lang w:eastAsia="ja-JP"/>
        </w:rPr>
        <w:instrText>ADDIN CSL_CITATION {"citationItems":[{"id":"ITEM-1","itemData":{"DOI":"10.1002/cptc.202100146","ISSN":"23670932","abstract":"The search for chiral chromophores with efficient circularly polarized luminescence (CPL) is an on-going hot topic in chemistry due to their potential applications in emerging fields such as spintronics and photonics. Beyond the largely exploited p-block, 4d/5d-block and f-block chiral entities, chiral chromium(III) complexes have recently attracted interest because of the abundancy of chromium in the earth's crust, its kinetic inertness and its promising metal-centered Cr(2E) and Cr(2T1) phosphorescence. The associated spin-flip transitions could provide large dissymmetric factor ((Formula presented.)) and high luminescence quantum yields (ϕ) when six-membered strong-field chelate rings are coordinated to chiral six-coordinate Cr(III) centers. In this minireview, we intend to focus our attention on the state-of-the-art for the design of pseudo-octahedral chiral mononuclear Cr(III) complexes for which chiroptical properties were investigated. The promising electronic properties of these complexes together with their low cost make these underexplored systems appealing candidates for CPL applications.","author":[{"dropping-particle":"","family":"Poncet","given":"Maxime","non-dropping-particle":"","parse-names":false,"suffix":""},{"dropping-particle":"","family":"Benchohra","given":"Amina","non-dropping-particle":"","parse-names":false,"suffix":""},{"dropping-particle":"","family":"Jiménez","given":"Juan Ramón","non-dropping-particle":"","parse-names":false,"suffix":""},{"dropping-particle":"","family":"Piguet","given":"Claude","non-dropping-particle":"","parse-names":false,"suffix":""}],"container-title":"ChemPhotoChem","id":"ITEM-1","issue":"10","issued":{"date-parts":[["2021"]]},"page":"880-892","title":"Chiral Chromium(III) Complexes as Promising Candidates for Circularly Polarized Luminescence","type":"article","volume":"5"},"uris":["http://www.mendeley.com/documents/?uuid=39be7326-ac94-4cfa-b296-a1cb07ff12ed"]}],"mendeley":{"formattedCitation":"&lt;sup&gt;49&lt;/sup&gt;","plainTextFormattedCitation":"49","previouslyFormattedCitation":"&lt;sup&gt;49&lt;/sup&gt;"},"properties":{"noteIndex":0},"schema":"https://github.com/citation-style-language/schema/raw/master/csl-citation.json"}</w:instrText>
      </w:r>
      <w:r w:rsidRPr="00F338AB">
        <w:rPr>
          <w:rFonts w:eastAsia="MS Mincho" w:cstheme="minorHAnsi"/>
          <w:lang w:eastAsia="ja-JP"/>
        </w:rPr>
        <w:fldChar w:fldCharType="separate"/>
      </w:r>
      <w:r w:rsidR="00255A25" w:rsidRPr="00F338AB">
        <w:rPr>
          <w:rFonts w:eastAsia="MS Mincho" w:cstheme="minorHAnsi"/>
          <w:noProof/>
          <w:vertAlign w:val="superscript"/>
          <w:lang w:eastAsia="ja-JP"/>
        </w:rPr>
        <w:t>49</w:t>
      </w:r>
      <w:r w:rsidRPr="00F338AB">
        <w:rPr>
          <w:rFonts w:eastAsia="MS Mincho" w:cstheme="minorHAnsi"/>
          <w:lang w:eastAsia="ja-JP"/>
        </w:rPr>
        <w:fldChar w:fldCharType="end"/>
      </w:r>
      <w:r w:rsidR="00023DCD" w:rsidRPr="00F338AB">
        <w:rPr>
          <w:rFonts w:eastAsia="MS Mincho" w:cstheme="minorHAnsi"/>
          <w:lang w:eastAsia="ja-JP"/>
        </w:rPr>
        <w:t xml:space="preserve"> </w:t>
      </w:r>
      <w:r w:rsidRPr="00F338AB">
        <w:rPr>
          <w:rFonts w:eastAsia="MS Mincho" w:cstheme="minorHAnsi"/>
          <w:lang w:eastAsia="ja-JP"/>
        </w:rPr>
        <w:t>that crystallize as racemic mixtures</w:t>
      </w:r>
      <w:r w:rsidR="007C3257" w:rsidRPr="00F338AB">
        <w:rPr>
          <w:rFonts w:eastAsia="MS Mincho" w:cstheme="minorHAnsi"/>
          <w:lang w:eastAsia="ja-JP"/>
        </w:rPr>
        <w:t xml:space="preserve"> </w:t>
      </w:r>
      <w:r w:rsidR="00023DCD" w:rsidRPr="00F338AB">
        <w:rPr>
          <w:rFonts w:eastAsia="MS Mincho" w:cstheme="minorHAnsi"/>
          <w:lang w:eastAsia="ja-JP"/>
        </w:rPr>
        <w:t>(</w:t>
      </w:r>
      <w:r w:rsidR="007C3257" w:rsidRPr="00F338AB">
        <w:rPr>
          <w:rFonts w:eastAsia="MS Mincho" w:cstheme="minorHAnsi"/>
          <w:i/>
          <w:iCs/>
          <w:lang w:eastAsia="ja-JP"/>
        </w:rPr>
        <w:t>PP</w:t>
      </w:r>
      <w:r w:rsidR="007C3257" w:rsidRPr="00F338AB">
        <w:rPr>
          <w:rFonts w:eastAsia="MS Mincho" w:cstheme="minorHAnsi"/>
          <w:lang w:eastAsia="ja-JP"/>
        </w:rPr>
        <w:t xml:space="preserve"> and </w:t>
      </w:r>
      <w:r w:rsidR="007C3257" w:rsidRPr="00F338AB">
        <w:rPr>
          <w:rFonts w:eastAsia="MS Mincho" w:cstheme="minorHAnsi"/>
          <w:i/>
          <w:iCs/>
          <w:lang w:eastAsia="ja-JP"/>
        </w:rPr>
        <w:t>MM</w:t>
      </w:r>
      <w:r w:rsidRPr="00F338AB">
        <w:rPr>
          <w:rFonts w:eastAsia="MS Mincho" w:cstheme="minorHAnsi"/>
          <w:lang w:eastAsia="ja-JP"/>
        </w:rPr>
        <w:t xml:space="preserve"> </w:t>
      </w:r>
      <w:r w:rsidR="00023DCD" w:rsidRPr="00F338AB">
        <w:rPr>
          <w:rFonts w:eastAsia="MS Mincho" w:cstheme="minorHAnsi"/>
          <w:lang w:eastAsia="ja-JP"/>
        </w:rPr>
        <w:t>enantiomers)</w:t>
      </w:r>
      <w:r w:rsidR="00D8369A" w:rsidRPr="00F338AB">
        <w:rPr>
          <w:rFonts w:eastAsia="MS Mincho" w:cstheme="minorHAnsi"/>
          <w:lang w:eastAsia="ja-JP"/>
        </w:rPr>
        <w:t>.</w:t>
      </w:r>
      <w:r w:rsidR="00023DCD" w:rsidRPr="00F338AB">
        <w:rPr>
          <w:rFonts w:eastAsia="MS Mincho" w:cstheme="minorHAnsi"/>
          <w:lang w:eastAsia="ja-JP"/>
        </w:rPr>
        <w:t xml:space="preserve"> </w:t>
      </w:r>
      <w:r w:rsidRPr="00F338AB">
        <w:rPr>
          <w:rFonts w:eastAsia="MS Mincho" w:cstheme="minorHAnsi"/>
          <w:lang w:eastAsia="ja-JP"/>
        </w:rPr>
        <w:t xml:space="preserve">The four iodine atoms in </w:t>
      </w:r>
      <w:r w:rsidRPr="00F338AB">
        <w:rPr>
          <w:rFonts w:eastAsia="MS Mincho" w:cstheme="minorHAnsi"/>
          <w:b/>
          <w:bCs/>
          <w:lang w:eastAsia="ja-JP"/>
        </w:rPr>
        <w:t>2</w:t>
      </w:r>
      <w:r w:rsidRPr="00F338AB">
        <w:rPr>
          <w:rFonts w:eastAsia="MS Mincho" w:cstheme="minorHAnsi"/>
          <w:lang w:eastAsia="ja-JP"/>
        </w:rPr>
        <w:t xml:space="preserve"> are in the equatorial plane of the molecule and the average Cr···I distance amounts to 6.22 Å.</w:t>
      </w:r>
      <w:r w:rsidR="00F7150D" w:rsidRPr="00F338AB">
        <w:rPr>
          <w:rFonts w:eastAsia="MS Mincho" w:cstheme="minorHAnsi"/>
          <w:lang w:eastAsia="ja-JP"/>
        </w:rPr>
        <w:t xml:space="preserve"> </w:t>
      </w:r>
      <w:r w:rsidR="007C3257" w:rsidRPr="00F338AB">
        <w:rPr>
          <w:rFonts w:eastAsia="MS Mincho" w:cstheme="minorHAnsi"/>
          <w:lang w:eastAsia="ja-JP"/>
        </w:rPr>
        <w:t>In all three compounds, the Cr–N(</w:t>
      </w:r>
      <w:r w:rsidR="000D7D47" w:rsidRPr="00F338AB">
        <w:rPr>
          <w:rFonts w:eastAsia="MS Mincho" w:cstheme="minorHAnsi"/>
          <w:lang w:eastAsia="ja-JP"/>
        </w:rPr>
        <w:t>pyridine</w:t>
      </w:r>
      <w:r w:rsidR="007C3257" w:rsidRPr="00F338AB">
        <w:rPr>
          <w:rFonts w:eastAsia="MS Mincho" w:cstheme="minorHAnsi"/>
          <w:lang w:eastAsia="ja-JP"/>
        </w:rPr>
        <w:t xml:space="preserve">) bond lengths range from 2.0813(14) to 2.104(5) Å, consistent with those found in related </w:t>
      </w:r>
      <w:r w:rsidR="00CC7E10" w:rsidRPr="00F338AB">
        <w:rPr>
          <w:rFonts w:eastAsia="MS Mincho" w:cstheme="minorHAnsi"/>
          <w:lang w:eastAsia="ja-JP"/>
        </w:rPr>
        <w:t xml:space="preserve">polypyridyl-based </w:t>
      </w:r>
      <w:r w:rsidR="007C3257" w:rsidRPr="00F338AB">
        <w:rPr>
          <w:rFonts w:eastAsia="MS Mincho" w:cstheme="minorHAnsi"/>
          <w:lang w:eastAsia="ja-JP"/>
        </w:rPr>
        <w:t>molecular rubies</w:t>
      </w:r>
      <w:r w:rsidR="004C163E" w:rsidRPr="00F338AB">
        <w:rPr>
          <w:rFonts w:eastAsia="MS Mincho" w:cstheme="minorHAnsi"/>
          <w:lang w:eastAsia="ja-JP"/>
        </w:rPr>
        <w:t xml:space="preserve"> and in the </w:t>
      </w:r>
      <w:proofErr w:type="gramStart"/>
      <w:r w:rsidR="004C163E" w:rsidRPr="00F338AB">
        <w:rPr>
          <w:rFonts w:eastAsia="MS Mincho" w:cstheme="minorHAnsi"/>
          <w:lang w:eastAsia="ja-JP"/>
        </w:rPr>
        <w:t>particular case</w:t>
      </w:r>
      <w:proofErr w:type="gramEnd"/>
      <w:r w:rsidR="004C163E" w:rsidRPr="00F338AB">
        <w:rPr>
          <w:rFonts w:eastAsia="MS Mincho" w:cstheme="minorHAnsi"/>
          <w:lang w:eastAsia="ja-JP"/>
        </w:rPr>
        <w:t xml:space="preserve"> of </w:t>
      </w:r>
      <w:r w:rsidR="004C163E" w:rsidRPr="00F338AB">
        <w:t>[Cr(</w:t>
      </w:r>
      <w:proofErr w:type="spellStart"/>
      <w:r w:rsidR="004C163E" w:rsidRPr="00F338AB">
        <w:t>bpmp</w:t>
      </w:r>
      <w:proofErr w:type="spellEnd"/>
      <w:r w:rsidR="004C163E" w:rsidRPr="00F338AB">
        <w:t>)</w:t>
      </w:r>
      <w:r w:rsidR="004C163E" w:rsidRPr="00F338AB">
        <w:rPr>
          <w:vertAlign w:val="subscript"/>
        </w:rPr>
        <w:t>2</w:t>
      </w:r>
      <w:r w:rsidR="004C163E" w:rsidRPr="00F338AB">
        <w:t>]</w:t>
      </w:r>
      <w:r w:rsidR="004C163E" w:rsidRPr="00F338AB">
        <w:rPr>
          <w:vertAlign w:val="superscript"/>
        </w:rPr>
        <w:t>3+</w:t>
      </w:r>
      <w:r w:rsidR="00AC6ADA" w:rsidRPr="00F338AB">
        <w:rPr>
          <w:rFonts w:eastAsia="MS Mincho" w:cstheme="minorHAnsi"/>
          <w:lang w:eastAsia="ja-JP"/>
        </w:rPr>
        <w:t xml:space="preserve"> </w:t>
      </w:r>
      <w:r w:rsidR="00551725" w:rsidRPr="00F338AB">
        <w:rPr>
          <w:rFonts w:eastAsia="MS Mincho" w:cstheme="minorHAnsi"/>
          <w:lang w:eastAsia="ja-JP"/>
        </w:rPr>
        <w:t xml:space="preserve">with six coordinated pyridines </w:t>
      </w:r>
      <w:r w:rsidR="004C163E" w:rsidRPr="00F338AB">
        <w:rPr>
          <w:rFonts w:eastAsia="MS Mincho" w:cstheme="minorHAnsi"/>
          <w:lang w:eastAsia="ja-JP"/>
        </w:rPr>
        <w:t>(</w:t>
      </w:r>
      <w:r w:rsidR="00551725" w:rsidRPr="00F338AB">
        <w:rPr>
          <w:rFonts w:eastAsia="MS Mincho" w:cstheme="minorHAnsi"/>
          <w:lang w:eastAsia="ja-JP"/>
        </w:rPr>
        <w:t>average Cr-N distance = 2.0731(13) Å</w:t>
      </w:r>
      <w:r w:rsidR="00AC6ADA" w:rsidRPr="00F338AB">
        <w:rPr>
          <w:rFonts w:eastAsia="MS Mincho" w:cstheme="minorHAnsi"/>
          <w:lang w:eastAsia="ja-JP"/>
        </w:rPr>
        <w:t>).</w:t>
      </w:r>
      <w:r w:rsidR="007C3257" w:rsidRPr="00F338AB">
        <w:rPr>
          <w:rFonts w:eastAsia="MS Mincho" w:cstheme="minorHAnsi"/>
          <w:lang w:eastAsia="ja-JP"/>
        </w:rPr>
        <w:t xml:space="preserve"> In contrast, the Cr–N(pyrazole) and Cr–N(indazole) bond lengths are shorter, spanning from 2.0470(15) to 2.069(5) Å in compounds </w:t>
      </w:r>
      <w:r w:rsidR="007C3257" w:rsidRPr="00F338AB">
        <w:rPr>
          <w:rFonts w:eastAsia="MS Mincho" w:cstheme="minorHAnsi"/>
          <w:b/>
          <w:bCs/>
          <w:lang w:eastAsia="ja-JP"/>
        </w:rPr>
        <w:t>1</w:t>
      </w:r>
      <w:r w:rsidR="007C3257" w:rsidRPr="00F338AB">
        <w:rPr>
          <w:rFonts w:eastAsia="MS Mincho" w:cstheme="minorHAnsi"/>
          <w:lang w:eastAsia="ja-JP"/>
        </w:rPr>
        <w:t xml:space="preserve"> and </w:t>
      </w:r>
      <w:r w:rsidR="007C3257" w:rsidRPr="00F338AB">
        <w:rPr>
          <w:rFonts w:eastAsia="MS Mincho" w:cstheme="minorHAnsi"/>
          <w:b/>
          <w:bCs/>
          <w:lang w:eastAsia="ja-JP"/>
        </w:rPr>
        <w:t>2</w:t>
      </w:r>
      <w:r w:rsidR="007C3257" w:rsidRPr="00F338AB">
        <w:rPr>
          <w:rFonts w:eastAsia="MS Mincho" w:cstheme="minorHAnsi"/>
          <w:lang w:eastAsia="ja-JP"/>
        </w:rPr>
        <w:t xml:space="preserve">, and reaching 1.999(7) Å in compound </w:t>
      </w:r>
      <w:r w:rsidR="007C3257" w:rsidRPr="00F338AB">
        <w:rPr>
          <w:rFonts w:eastAsia="MS Mincho" w:cstheme="minorHAnsi"/>
          <w:b/>
          <w:bCs/>
          <w:lang w:eastAsia="ja-JP"/>
        </w:rPr>
        <w:t>3</w:t>
      </w:r>
      <w:r w:rsidR="003E6EB3" w:rsidRPr="00F338AB">
        <w:rPr>
          <w:rFonts w:eastAsia="MS Mincho" w:cstheme="minorHAnsi"/>
          <w:b/>
          <w:bCs/>
          <w:lang w:eastAsia="ja-JP"/>
        </w:rPr>
        <w:t xml:space="preserve"> </w:t>
      </w:r>
      <w:r w:rsidR="003E6EB3" w:rsidRPr="00F338AB">
        <w:rPr>
          <w:rFonts w:eastAsia="MS Mincho" w:cstheme="minorHAnsi"/>
          <w:lang w:eastAsia="ja-JP"/>
        </w:rPr>
        <w:t>(</w:t>
      </w:r>
      <w:r w:rsidR="00A46C54" w:rsidRPr="00F338AB">
        <w:rPr>
          <w:rFonts w:eastAsia="MS Mincho" w:cstheme="minorHAnsi"/>
          <w:lang w:eastAsia="ja-JP"/>
        </w:rPr>
        <w:t xml:space="preserve">Fig. 2a and </w:t>
      </w:r>
      <w:r w:rsidR="003E6EB3" w:rsidRPr="00F338AB">
        <w:rPr>
          <w:rFonts w:eastAsia="MS Mincho" w:cstheme="minorHAnsi"/>
          <w:lang w:eastAsia="ja-JP"/>
        </w:rPr>
        <w:t>Table S2-S4)</w:t>
      </w:r>
      <w:r w:rsidR="007C3257" w:rsidRPr="00F338AB">
        <w:rPr>
          <w:rFonts w:eastAsia="MS Mincho" w:cstheme="minorHAnsi"/>
          <w:lang w:eastAsia="ja-JP"/>
        </w:rPr>
        <w:t xml:space="preserve">. This reduction in bond length suggests a </w:t>
      </w:r>
      <w:r w:rsidR="0037540F" w:rsidRPr="00F338AB">
        <w:rPr>
          <w:rFonts w:eastAsia="MS Mincho" w:cstheme="minorHAnsi"/>
          <w:lang w:eastAsia="ja-JP"/>
        </w:rPr>
        <w:t xml:space="preserve">slightly </w:t>
      </w:r>
      <w:r w:rsidR="007C3257" w:rsidRPr="00F338AB">
        <w:rPr>
          <w:rFonts w:eastAsia="MS Mincho" w:cstheme="minorHAnsi"/>
          <w:lang w:eastAsia="ja-JP"/>
        </w:rPr>
        <w:t>greater covalent character compared to the Cr–N(</w:t>
      </w:r>
      <w:proofErr w:type="spellStart"/>
      <w:r w:rsidR="000D7D47" w:rsidRPr="00F338AB">
        <w:rPr>
          <w:rFonts w:eastAsia="MS Mincho" w:cstheme="minorHAnsi"/>
          <w:lang w:eastAsia="ja-JP"/>
        </w:rPr>
        <w:t>pyridyne</w:t>
      </w:r>
      <w:proofErr w:type="spellEnd"/>
      <w:r w:rsidR="007C3257" w:rsidRPr="00F338AB">
        <w:rPr>
          <w:rFonts w:eastAsia="MS Mincho" w:cstheme="minorHAnsi"/>
          <w:lang w:eastAsia="ja-JP"/>
        </w:rPr>
        <w:t>) bonds, with th</w:t>
      </w:r>
      <w:r w:rsidR="0037540F" w:rsidRPr="00F338AB">
        <w:rPr>
          <w:rFonts w:eastAsia="MS Mincho" w:cstheme="minorHAnsi"/>
          <w:lang w:eastAsia="ja-JP"/>
        </w:rPr>
        <w:t>is</w:t>
      </w:r>
      <w:r w:rsidR="007C3257" w:rsidRPr="00F338AB">
        <w:rPr>
          <w:rFonts w:eastAsia="MS Mincho" w:cstheme="minorHAnsi"/>
          <w:lang w:eastAsia="ja-JP"/>
        </w:rPr>
        <w:t xml:space="preserve"> effect being more pronounced for the indazole-</w:t>
      </w:r>
      <w:r w:rsidR="00023DCD" w:rsidRPr="00F338AB">
        <w:rPr>
          <w:rFonts w:eastAsia="MS Mincho" w:cstheme="minorHAnsi"/>
          <w:lang w:eastAsia="ja-JP"/>
        </w:rPr>
        <w:t>based ligand</w:t>
      </w:r>
      <w:r w:rsidR="007C3257" w:rsidRPr="00F338AB">
        <w:rPr>
          <w:rFonts w:eastAsia="MS Mincho" w:cstheme="minorHAnsi"/>
          <w:lang w:eastAsia="ja-JP"/>
        </w:rPr>
        <w:t>.</w:t>
      </w:r>
      <w:r w:rsidR="00743405" w:rsidRPr="00F338AB">
        <w:rPr>
          <w:rFonts w:eastAsia="MS Mincho" w:cstheme="minorHAnsi"/>
          <w:lang w:eastAsia="ja-JP"/>
        </w:rPr>
        <w:t xml:space="preserve"> </w:t>
      </w:r>
      <w:r w:rsidR="0008621D" w:rsidRPr="00F338AB">
        <w:rPr>
          <w:rFonts w:eastAsia="MS Mincho" w:cstheme="minorHAnsi"/>
          <w:lang w:eastAsia="ja-JP"/>
        </w:rPr>
        <w:t>Similar findings have been observed in [Cr(</w:t>
      </w:r>
      <w:proofErr w:type="spellStart"/>
      <w:r w:rsidR="0008621D" w:rsidRPr="00F338AB">
        <w:rPr>
          <w:rFonts w:eastAsia="MS Mincho" w:cstheme="minorHAnsi"/>
          <w:lang w:eastAsia="ja-JP"/>
        </w:rPr>
        <w:t>btmp</w:t>
      </w:r>
      <w:proofErr w:type="spellEnd"/>
      <w:r w:rsidR="0008621D" w:rsidRPr="00F338AB">
        <w:rPr>
          <w:rFonts w:eastAsia="MS Mincho" w:cstheme="minorHAnsi"/>
          <w:lang w:eastAsia="ja-JP"/>
        </w:rPr>
        <w:t xml:space="preserve">)₂]³⁺, where the Cr–N(triazole) bond </w:t>
      </w:r>
      <w:r w:rsidR="00656364" w:rsidRPr="00F338AB">
        <w:rPr>
          <w:rFonts w:eastAsia="MS Mincho" w:cstheme="minorHAnsi"/>
          <w:lang w:eastAsia="ja-JP"/>
        </w:rPr>
        <w:t>are</w:t>
      </w:r>
      <w:r w:rsidR="0008621D" w:rsidRPr="00F338AB">
        <w:rPr>
          <w:rFonts w:eastAsia="MS Mincho" w:cstheme="minorHAnsi"/>
          <w:lang w:eastAsia="ja-JP"/>
        </w:rPr>
        <w:t xml:space="preserve"> as short as 1.995(2) Å.</w:t>
      </w:r>
      <w:r w:rsidR="00A46C54" w:rsidRPr="00F338AB">
        <w:rPr>
          <w:rFonts w:eastAsia="MS Mincho" w:cstheme="minorHAnsi"/>
          <w:lang w:eastAsia="ja-JP"/>
        </w:rPr>
        <w:fldChar w:fldCharType="begin" w:fldLock="1"/>
      </w:r>
      <w:r w:rsidR="00255A25" w:rsidRPr="00F338AB">
        <w:rPr>
          <w:rFonts w:eastAsia="MS Mincho" w:cstheme="minorHAnsi"/>
          <w:lang w:eastAsia="ja-JP"/>
        </w:rPr>
        <w:instrText>ADDIN CSL_CITATION {"citationItems":[{"id":"ITEM-1","itemData":{"DOI":"10.1021/jacs.3c01543","ISSN":"15205126","PMID":"37224437","abstract":"A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Society","id":"ITEM-1","issued":{"date-parts":[["2023"]]},"page":"12081-12092","title":"Direct Determination of the Rate of Intersystem Crossing in a Near-IR Luminescent Cr(III) Triazolyl Complex","type":"article-journal","volume":"145"},"uris":["http://www.mendeley.com/documents/?uuid=8c880c1f-848d-422a-bae8-b73fecd99327"]}],"mendeley":{"formattedCitation":"&lt;sup&gt;45&lt;/sup&gt;","plainTextFormattedCitation":"45","previouslyFormattedCitation":"&lt;sup&gt;45&lt;/sup&gt;"},"properties":{"noteIndex":0},"schema":"https://github.com/citation-style-language/schema/raw/master/csl-citation.json"}</w:instrText>
      </w:r>
      <w:r w:rsidR="00A46C54" w:rsidRPr="00F338AB">
        <w:rPr>
          <w:rFonts w:eastAsia="MS Mincho" w:cstheme="minorHAnsi"/>
          <w:lang w:eastAsia="ja-JP"/>
        </w:rPr>
        <w:fldChar w:fldCharType="separate"/>
      </w:r>
      <w:r w:rsidR="00030AAC" w:rsidRPr="00F338AB">
        <w:rPr>
          <w:rFonts w:eastAsia="MS Mincho" w:cstheme="minorHAnsi"/>
          <w:noProof/>
          <w:vertAlign w:val="superscript"/>
          <w:lang w:eastAsia="ja-JP"/>
        </w:rPr>
        <w:t>45</w:t>
      </w:r>
      <w:r w:rsidR="00A46C54" w:rsidRPr="00F338AB">
        <w:rPr>
          <w:rFonts w:eastAsia="MS Mincho" w:cstheme="minorHAnsi"/>
          <w:lang w:eastAsia="ja-JP"/>
        </w:rPr>
        <w:fldChar w:fldCharType="end"/>
      </w:r>
      <w:r w:rsidR="0008621D" w:rsidRPr="00F338AB">
        <w:rPr>
          <w:rFonts w:eastAsia="MS Mincho" w:cstheme="minorHAnsi"/>
          <w:lang w:eastAsia="ja-JP"/>
        </w:rPr>
        <w:t xml:space="preserve"> </w:t>
      </w:r>
      <w:r w:rsidR="008020F7" w:rsidRPr="00F338AB">
        <w:rPr>
          <w:rFonts w:eastAsia="MS Mincho" w:cstheme="minorHAnsi"/>
          <w:lang w:eastAsia="ja-JP"/>
        </w:rPr>
        <w:t xml:space="preserve">This structural feature induces compression in the equatorial plane of the complexes, resulting in a </w:t>
      </w:r>
      <w:commentRangeStart w:id="5"/>
      <w:r w:rsidR="008020F7" w:rsidRPr="00F338AB">
        <w:rPr>
          <w:rFonts w:eastAsia="MS Mincho" w:cstheme="minorHAnsi"/>
          <w:lang w:eastAsia="ja-JP"/>
        </w:rPr>
        <w:t>non-negligible Jahn-Teller distortion in the ground state.</w:t>
      </w:r>
      <w:commentRangeEnd w:id="5"/>
      <w:r w:rsidR="000D7D47" w:rsidRPr="00F338AB">
        <w:rPr>
          <w:rStyle w:val="CommentReference"/>
          <w:rFonts w:cstheme="minorBidi"/>
          <w:w w:val="100"/>
        </w:rPr>
        <w:commentReference w:id="5"/>
      </w:r>
    </w:p>
    <w:p w14:paraId="4E6ABFB4" w14:textId="6674EA2E" w:rsidR="00422897" w:rsidRPr="00F338AB" w:rsidRDefault="007C3257" w:rsidP="00422897">
      <w:pPr>
        <w:pStyle w:val="RSCB02ArticleText"/>
        <w:rPr>
          <w:rFonts w:eastAsia="MS Mincho" w:cstheme="minorHAnsi"/>
          <w:lang w:eastAsia="ja-JP"/>
        </w:rPr>
      </w:pPr>
      <w:r w:rsidRPr="00F338AB">
        <w:rPr>
          <w:rFonts w:eastAsia="MS Mincho" w:cstheme="minorHAnsi"/>
          <w:lang w:eastAsia="ja-JP"/>
        </w:rPr>
        <w:t>T</w:t>
      </w:r>
      <w:r w:rsidR="00D16C7C" w:rsidRPr="00F338AB">
        <w:rPr>
          <w:rFonts w:eastAsia="MS Mincho" w:cstheme="minorHAnsi"/>
          <w:lang w:eastAsia="ja-JP"/>
        </w:rPr>
        <w:t>he</w:t>
      </w:r>
      <w:r w:rsidR="0008621D" w:rsidRPr="00F338AB">
        <w:rPr>
          <w:rFonts w:eastAsia="MS Mincho" w:cstheme="minorHAnsi"/>
          <w:lang w:eastAsia="ja-JP"/>
        </w:rPr>
        <w:t xml:space="preserve"> </w:t>
      </w:r>
      <w:r w:rsidR="00D16C7C" w:rsidRPr="00F338AB">
        <w:rPr>
          <w:rFonts w:eastAsia="MS Mincho" w:cstheme="minorHAnsi"/>
          <w:lang w:eastAsia="ja-JP"/>
        </w:rPr>
        <w:t xml:space="preserve">N(terminal)-Cr-N(terminal) bite angles of </w:t>
      </w:r>
      <w:r w:rsidRPr="00F338AB">
        <w:rPr>
          <w:rFonts w:eastAsia="MS Mincho" w:cstheme="minorHAnsi"/>
          <w:lang w:eastAsia="ja-JP"/>
        </w:rPr>
        <w:t>175°-</w:t>
      </w:r>
      <w:r w:rsidR="00D16C7C" w:rsidRPr="00F338AB">
        <w:rPr>
          <w:rFonts w:eastAsia="MS Mincho" w:cstheme="minorHAnsi"/>
          <w:lang w:eastAsia="ja-JP"/>
        </w:rPr>
        <w:t>177° are close to 180° expected for a perfect octahedron</w:t>
      </w:r>
      <w:r w:rsidR="00023DCD" w:rsidRPr="00F338AB">
        <w:rPr>
          <w:rFonts w:eastAsia="MS Mincho" w:cstheme="minorHAnsi"/>
          <w:lang w:eastAsia="ja-JP"/>
        </w:rPr>
        <w:t xml:space="preserve"> (Table S2</w:t>
      </w:r>
      <w:r w:rsidR="00422897" w:rsidRPr="00F338AB">
        <w:rPr>
          <w:rFonts w:eastAsia="MS Mincho" w:cstheme="minorHAnsi"/>
          <w:lang w:eastAsia="ja-JP"/>
        </w:rPr>
        <w:t>-</w:t>
      </w:r>
      <w:r w:rsidR="00023DCD" w:rsidRPr="00F338AB">
        <w:rPr>
          <w:rFonts w:eastAsia="MS Mincho" w:cstheme="minorHAnsi"/>
          <w:lang w:eastAsia="ja-JP"/>
        </w:rPr>
        <w:t>S4)</w:t>
      </w:r>
      <w:r w:rsidR="00D16C7C" w:rsidRPr="00F338AB">
        <w:rPr>
          <w:rFonts w:eastAsia="MS Mincho" w:cstheme="minorHAnsi"/>
          <w:lang w:eastAsia="ja-JP"/>
        </w:rPr>
        <w:t xml:space="preserve">. </w:t>
      </w:r>
      <w:r w:rsidR="00A1377B" w:rsidRPr="00F338AB">
        <w:rPr>
          <w:rFonts w:eastAsia="MS Mincho" w:cstheme="minorHAnsi"/>
          <w:lang w:eastAsia="ja-JP"/>
        </w:rPr>
        <w:lastRenderedPageBreak/>
        <w:t xml:space="preserve">A detailed geometrical analysis using </w:t>
      </w:r>
      <m:oMath>
        <m:r>
          <m:rPr>
            <m:sty m:val="p"/>
          </m:rPr>
          <w:rPr>
            <w:rFonts w:ascii="Cambria Math" w:eastAsia="MS Mincho" w:hAnsi="Cambria Math" w:cstheme="minorHAnsi"/>
            <w:lang w:eastAsia="ja-JP"/>
          </w:rPr>
          <m:t>∑</m:t>
        </m:r>
      </m:oMath>
      <w:r w:rsidR="00A1377B" w:rsidRPr="00F338AB">
        <w:rPr>
          <w:rFonts w:eastAsia="MS Mincho" w:cstheme="minorHAnsi"/>
          <w:lang w:eastAsia="ja-JP"/>
        </w:rPr>
        <w:t xml:space="preserve"> =</w:t>
      </w:r>
      <m:oMath>
        <m:r>
          <w:rPr>
            <w:rFonts w:ascii="Cambria Math" w:eastAsia="MS Mincho" w:hAnsi="Cambria Math" w:cstheme="minorHAnsi"/>
            <w:lang w:eastAsia="ja-JP"/>
          </w:rPr>
          <m:t xml:space="preserve">  </m:t>
        </m:r>
        <m:sSubSup>
          <m:sSubSupPr>
            <m:ctrlPr>
              <w:rPr>
                <w:rFonts w:ascii="Cambria Math" w:eastAsia="MS Mincho" w:hAnsi="Cambria Math" w:cstheme="minorHAnsi"/>
                <w:i/>
                <w:lang w:eastAsia="ja-JP"/>
              </w:rPr>
            </m:ctrlPr>
          </m:sSubSupPr>
          <m:e>
            <m:r>
              <m:rPr>
                <m:sty m:val="p"/>
              </m:rPr>
              <w:rPr>
                <w:rFonts w:ascii="Cambria Math" w:eastAsia="MS Mincho" w:hAnsi="Cambria Math" w:cstheme="minorHAnsi"/>
                <w:lang w:eastAsia="ja-JP"/>
              </w:rPr>
              <m:t>∑</m:t>
            </m:r>
          </m:e>
          <m:sub>
            <m:r>
              <w:rPr>
                <w:rFonts w:ascii="Cambria Math" w:eastAsia="MS Mincho" w:hAnsi="Cambria Math" w:cstheme="minorHAnsi"/>
                <w:lang w:eastAsia="ja-JP"/>
              </w:rPr>
              <m:t>i=1</m:t>
            </m:r>
          </m:sub>
          <m:sup>
            <m:r>
              <w:rPr>
                <w:rFonts w:ascii="Cambria Math" w:eastAsia="MS Mincho" w:hAnsi="Cambria Math" w:cstheme="minorHAnsi"/>
                <w:lang w:eastAsia="ja-JP"/>
              </w:rPr>
              <m:t>12</m:t>
            </m:r>
          </m:sup>
        </m:sSubSup>
      </m:oMath>
      <w:r w:rsidR="00A1377B" w:rsidRPr="00F338AB">
        <w:rPr>
          <w:rFonts w:eastAsia="MS Mincho" w:cstheme="minorHAnsi"/>
          <w:lang w:eastAsia="ja-JP"/>
        </w:rPr>
        <w:t>|90−</w:t>
      </w:r>
      <w:r w:rsidR="00A1377B" w:rsidRPr="00F338AB">
        <w:rPr>
          <w:rFonts w:eastAsia="MS Mincho" w:cstheme="minorHAnsi"/>
          <w:i/>
          <w:lang w:eastAsia="ja-JP"/>
        </w:rPr>
        <w:t>ϕ</w:t>
      </w:r>
      <w:r w:rsidR="00A1377B" w:rsidRPr="00F338AB">
        <w:rPr>
          <w:rFonts w:eastAsia="MS Mincho" w:cstheme="minorHAnsi"/>
          <w:vertAlign w:val="subscript"/>
          <w:lang w:eastAsia="ja-JP"/>
        </w:rPr>
        <w:t>i</w:t>
      </w:r>
      <w:r w:rsidR="00A1377B" w:rsidRPr="00F338AB">
        <w:rPr>
          <w:rFonts w:eastAsia="MS Mincho" w:cstheme="minorHAnsi"/>
          <w:lang w:eastAsia="ja-JP"/>
        </w:rPr>
        <w:t xml:space="preserve">|, where </w:t>
      </w:r>
      <w:proofErr w:type="spellStart"/>
      <w:r w:rsidR="00A1377B" w:rsidRPr="00F338AB">
        <w:rPr>
          <w:rFonts w:eastAsia="MS Mincho" w:cstheme="minorHAnsi"/>
          <w:i/>
          <w:lang w:eastAsia="ja-JP"/>
        </w:rPr>
        <w:t>ϕ</w:t>
      </w:r>
      <w:r w:rsidR="00A1377B" w:rsidRPr="00F338AB">
        <w:rPr>
          <w:rFonts w:eastAsia="MS Mincho" w:cstheme="minorHAnsi"/>
          <w:vertAlign w:val="subscript"/>
          <w:lang w:eastAsia="ja-JP"/>
        </w:rPr>
        <w:t>i</w:t>
      </w:r>
      <w:proofErr w:type="spellEnd"/>
      <w:r w:rsidR="00A1377B" w:rsidRPr="00F338AB">
        <w:rPr>
          <w:rFonts w:eastAsia="MS Mincho" w:cstheme="minorHAnsi"/>
          <w:lang w:eastAsia="ja-JP"/>
        </w:rPr>
        <w:t xml:space="preserve"> are the </w:t>
      </w:r>
      <w:proofErr w:type="spellStart"/>
      <w:r w:rsidR="00A1377B" w:rsidRPr="00F338AB">
        <w:rPr>
          <w:rFonts w:eastAsia="MS Mincho" w:cstheme="minorHAnsi"/>
          <w:lang w:eastAsia="ja-JP"/>
        </w:rPr>
        <w:t>cisoid</w:t>
      </w:r>
      <w:proofErr w:type="spellEnd"/>
      <w:r w:rsidR="00A1377B" w:rsidRPr="00F338AB">
        <w:rPr>
          <w:rFonts w:eastAsia="MS Mincho" w:cstheme="minorHAnsi"/>
          <w:lang w:eastAsia="ja-JP"/>
        </w:rPr>
        <w:t xml:space="preserve"> N−Cr−N bond angles</w:t>
      </w:r>
      <w:r w:rsidR="007F2489" w:rsidRPr="00F338AB">
        <w:rPr>
          <w:rFonts w:eastAsia="MS Mincho" w:cstheme="minorHAnsi"/>
          <w:lang w:eastAsia="ja-JP"/>
        </w:rPr>
        <w:t xml:space="preserve"> (Table S2-S4)</w:t>
      </w:r>
      <w:r w:rsidR="00A1377B" w:rsidRPr="00F338AB">
        <w:rPr>
          <w:rFonts w:eastAsia="MS Mincho" w:cstheme="minorHAnsi"/>
          <w:lang w:eastAsia="ja-JP"/>
        </w:rPr>
        <w:t xml:space="preserve">, shows ∑ = 31°, 33° and 33° for </w:t>
      </w:r>
      <w:r w:rsidR="00A1377B" w:rsidRPr="00F338AB">
        <w:rPr>
          <w:rFonts w:eastAsia="MS Mincho" w:cstheme="minorHAnsi"/>
          <w:b/>
          <w:bCs/>
          <w:lang w:eastAsia="ja-JP"/>
        </w:rPr>
        <w:t>1</w:t>
      </w:r>
      <w:r w:rsidR="00A1377B" w:rsidRPr="00F338AB">
        <w:rPr>
          <w:rFonts w:eastAsia="MS Mincho" w:cstheme="minorHAnsi"/>
          <w:lang w:eastAsia="ja-JP"/>
        </w:rPr>
        <w:t xml:space="preserve">, </w:t>
      </w:r>
      <w:r w:rsidR="00A1377B" w:rsidRPr="00F338AB">
        <w:rPr>
          <w:rFonts w:eastAsia="MS Mincho" w:cstheme="minorHAnsi"/>
          <w:b/>
          <w:bCs/>
          <w:lang w:eastAsia="ja-JP"/>
        </w:rPr>
        <w:t>2</w:t>
      </w:r>
      <w:r w:rsidR="00A1377B" w:rsidRPr="00F338AB">
        <w:rPr>
          <w:rFonts w:eastAsia="MS Mincho" w:cstheme="minorHAnsi"/>
          <w:lang w:eastAsia="ja-JP"/>
        </w:rPr>
        <w:t xml:space="preserve"> and </w:t>
      </w:r>
      <w:r w:rsidR="00A1377B" w:rsidRPr="00F338AB">
        <w:rPr>
          <w:rFonts w:eastAsia="MS Mincho" w:cstheme="minorHAnsi"/>
          <w:b/>
          <w:bCs/>
          <w:lang w:eastAsia="ja-JP"/>
        </w:rPr>
        <w:t>3</w:t>
      </w:r>
      <w:r w:rsidR="004B7014" w:rsidRPr="00F338AB">
        <w:rPr>
          <w:rFonts w:eastAsia="MS Mincho" w:cstheme="minorHAnsi"/>
          <w:b/>
          <w:bCs/>
          <w:lang w:eastAsia="ja-JP"/>
        </w:rPr>
        <w:t>,</w:t>
      </w:r>
      <w:r w:rsidR="00A1377B" w:rsidRPr="00F338AB">
        <w:rPr>
          <w:rFonts w:eastAsia="MS Mincho" w:cstheme="minorHAnsi"/>
          <w:lang w:eastAsia="ja-JP"/>
        </w:rPr>
        <w:t xml:space="preserve"> </w:t>
      </w:r>
      <w:r w:rsidR="004B7014" w:rsidRPr="00F338AB">
        <w:rPr>
          <w:rFonts w:eastAsia="MS Mincho" w:cstheme="minorHAnsi"/>
          <w:lang w:eastAsia="ja-JP"/>
        </w:rPr>
        <w:t>and 27° and 25° for [Cr(</w:t>
      </w:r>
      <w:proofErr w:type="spellStart"/>
      <w:r w:rsidR="004B7014" w:rsidRPr="00F338AB">
        <w:rPr>
          <w:rFonts w:eastAsia="MS Mincho" w:cstheme="minorHAnsi"/>
          <w:lang w:eastAsia="ja-JP"/>
        </w:rPr>
        <w:t>btmp</w:t>
      </w:r>
      <w:proofErr w:type="spellEnd"/>
      <w:r w:rsidR="004B7014" w:rsidRPr="00F338AB">
        <w:rPr>
          <w:rFonts w:eastAsia="MS Mincho" w:cstheme="minorHAnsi"/>
          <w:lang w:eastAsia="ja-JP"/>
        </w:rPr>
        <w:t xml:space="preserve">)₂]³⁺ and </w:t>
      </w:r>
      <w:r w:rsidR="004B7014" w:rsidRPr="00F338AB">
        <w:t>[Cr(</w:t>
      </w:r>
      <w:proofErr w:type="spellStart"/>
      <w:r w:rsidR="004B7014" w:rsidRPr="00F338AB">
        <w:t>bpmp</w:t>
      </w:r>
      <w:proofErr w:type="spellEnd"/>
      <w:r w:rsidR="004B7014" w:rsidRPr="00F338AB">
        <w:t>)</w:t>
      </w:r>
      <w:r w:rsidR="004B7014" w:rsidRPr="00F338AB">
        <w:rPr>
          <w:vertAlign w:val="subscript"/>
        </w:rPr>
        <w:t>2</w:t>
      </w:r>
      <w:r w:rsidR="004B7014" w:rsidRPr="00F338AB">
        <w:t>]</w:t>
      </w:r>
      <w:r w:rsidR="004B7014" w:rsidRPr="00F338AB">
        <w:rPr>
          <w:vertAlign w:val="superscript"/>
        </w:rPr>
        <w:t>3+</w:t>
      </w:r>
      <w:r w:rsidR="004B7014" w:rsidRPr="00F338AB">
        <w:rPr>
          <w:rFonts w:eastAsia="MS Mincho" w:cstheme="minorHAnsi"/>
          <w:lang w:eastAsia="ja-JP"/>
        </w:rPr>
        <w:t xml:space="preserve"> </w:t>
      </w:r>
      <w:r w:rsidR="00A1377B" w:rsidRPr="00F338AB">
        <w:rPr>
          <w:rFonts w:eastAsia="MS Mincho" w:cstheme="minorHAnsi"/>
          <w:lang w:eastAsia="ja-JP"/>
        </w:rPr>
        <w:t>respectively.</w:t>
      </w:r>
      <w:r w:rsidR="00293168" w:rsidRPr="00F338AB">
        <w:rPr>
          <w:rFonts w:eastAsia="MS Mincho" w:cstheme="minorHAnsi"/>
          <w:lang w:eastAsia="ja-JP"/>
        </w:rPr>
        <w:t xml:space="preserve"> </w:t>
      </w:r>
      <w:r w:rsidR="008020F7" w:rsidRPr="00F338AB">
        <w:rPr>
          <w:rFonts w:eastAsia="MS Mincho" w:cstheme="minorHAnsi"/>
          <w:lang w:eastAsia="ja-JP"/>
        </w:rPr>
        <w:t xml:space="preserve">Slightly more distorted geometries are observed for compounds </w:t>
      </w:r>
      <w:r w:rsidR="008020F7" w:rsidRPr="00F338AB">
        <w:rPr>
          <w:rFonts w:eastAsia="MS Mincho" w:cstheme="minorHAnsi"/>
          <w:b/>
          <w:bCs/>
          <w:lang w:eastAsia="ja-JP"/>
        </w:rPr>
        <w:t>1–3</w:t>
      </w:r>
      <w:r w:rsidR="008020F7" w:rsidRPr="00F338AB">
        <w:rPr>
          <w:rFonts w:eastAsia="MS Mincho" w:cstheme="minorHAnsi"/>
          <w:lang w:eastAsia="ja-JP"/>
        </w:rPr>
        <w:t>, which may be attributed to steric hindrance caused by the methyl groups and fused heterocycles.</w:t>
      </w:r>
      <w:r w:rsidR="004B7014" w:rsidRPr="00F338AB">
        <w:rPr>
          <w:rFonts w:eastAsia="MS Mincho" w:cstheme="minorHAnsi"/>
          <w:lang w:eastAsia="ja-JP"/>
        </w:rPr>
        <w:t xml:space="preserve"> </w:t>
      </w:r>
      <w:r w:rsidR="00856A1C" w:rsidRPr="00F338AB">
        <w:rPr>
          <w:rFonts w:eastAsia="MS Mincho" w:cstheme="minorHAnsi"/>
          <w:lang w:eastAsia="ja-JP"/>
        </w:rPr>
        <w:t xml:space="preserve">In any case, </w:t>
      </w:r>
      <w:r w:rsidR="00972975" w:rsidRPr="00F338AB">
        <w:rPr>
          <w:rFonts w:eastAsia="MS Mincho" w:cstheme="minorHAnsi"/>
          <w:lang w:eastAsia="ja-JP"/>
        </w:rPr>
        <w:t>this</w:t>
      </w:r>
      <w:r w:rsidR="00293168" w:rsidRPr="00F338AB">
        <w:rPr>
          <w:rFonts w:eastAsia="MS Mincho" w:cstheme="minorHAnsi"/>
          <w:lang w:eastAsia="ja-JP"/>
        </w:rPr>
        <w:t xml:space="preserve"> represents a small geometric distortion with respect to the ideal CrN</w:t>
      </w:r>
      <w:r w:rsidR="00293168" w:rsidRPr="00F338AB">
        <w:rPr>
          <w:rFonts w:eastAsia="MS Mincho" w:cstheme="minorHAnsi"/>
          <w:vertAlign w:val="subscript"/>
          <w:lang w:eastAsia="ja-JP"/>
        </w:rPr>
        <w:t>6</w:t>
      </w:r>
      <w:r w:rsidR="00293168" w:rsidRPr="00F338AB">
        <w:rPr>
          <w:rFonts w:eastAsia="MS Mincho" w:cstheme="minorHAnsi"/>
          <w:lang w:eastAsia="ja-JP"/>
        </w:rPr>
        <w:t xml:space="preserve"> octahedron and ensures an efficient orbital overlap between the metal and the ligands, thus inducing strong ligand field</w:t>
      </w:r>
      <w:r w:rsidR="00A46C54" w:rsidRPr="00F338AB">
        <w:rPr>
          <w:rFonts w:eastAsia="MS Mincho" w:cstheme="minorHAnsi"/>
          <w:lang w:eastAsia="ja-JP"/>
        </w:rPr>
        <w:t xml:space="preserve"> splitting </w:t>
      </w:r>
      <w:r w:rsidR="000D7D47" w:rsidRPr="00F338AB">
        <w:rPr>
          <w:rFonts w:eastAsia="MS Mincho" w:cstheme="minorHAnsi"/>
          <w:lang w:eastAsia="ja-JP"/>
        </w:rPr>
        <w:t>de</w:t>
      </w:r>
      <w:r w:rsidR="00A46C54" w:rsidRPr="00F338AB">
        <w:rPr>
          <w:rFonts w:eastAsia="MS Mincho" w:cstheme="minorHAnsi"/>
          <w:lang w:eastAsia="ja-JP"/>
        </w:rPr>
        <w:t xml:space="preserve">stabilizing the </w:t>
      </w:r>
      <w:r w:rsidR="000D7D47" w:rsidRPr="00F338AB">
        <w:rPr>
          <w:rFonts w:eastAsia="MS Mincho" w:cstheme="minorHAnsi"/>
          <w:lang w:eastAsia="ja-JP"/>
        </w:rPr>
        <w:t xml:space="preserve">4T2 </w:t>
      </w:r>
      <w:r w:rsidR="00A46C54" w:rsidRPr="00F338AB">
        <w:rPr>
          <w:rFonts w:eastAsia="MS Mincho" w:cstheme="minorHAnsi"/>
          <w:lang w:eastAsia="ja-JP"/>
        </w:rPr>
        <w:t>state and preventing</w:t>
      </w:r>
      <w:r w:rsidR="008020F7" w:rsidRPr="00F338AB">
        <w:rPr>
          <w:rFonts w:eastAsia="MS Mincho" w:cstheme="minorHAnsi"/>
          <w:lang w:eastAsia="ja-JP"/>
        </w:rPr>
        <w:t>, in principle,</w:t>
      </w:r>
      <w:r w:rsidR="00A46C54" w:rsidRPr="00F338AB">
        <w:rPr>
          <w:rFonts w:eastAsia="MS Mincho" w:cstheme="minorHAnsi"/>
          <w:lang w:eastAsia="ja-JP"/>
        </w:rPr>
        <w:t xml:space="preserve"> back-intersystem crossing</w:t>
      </w:r>
      <w:r w:rsidR="005E3527" w:rsidRPr="00F338AB">
        <w:rPr>
          <w:rFonts w:eastAsia="MS Mincho" w:cstheme="minorHAnsi"/>
          <w:lang w:eastAsia="ja-JP"/>
        </w:rPr>
        <w:t xml:space="preserve"> with the SF excited states</w:t>
      </w:r>
      <w:r w:rsidR="00A46C54" w:rsidRPr="00F338AB">
        <w:rPr>
          <w:rFonts w:eastAsia="MS Mincho" w:cstheme="minorHAnsi"/>
          <w:lang w:eastAsia="ja-JP"/>
        </w:rPr>
        <w:t xml:space="preserve">. </w:t>
      </w:r>
      <w:r w:rsidR="00A1377B" w:rsidRPr="00F338AB">
        <w:rPr>
          <w:rFonts w:eastAsia="MS Mincho" w:cstheme="minorHAnsi"/>
          <w:lang w:eastAsia="ja-JP"/>
        </w:rPr>
        <w:t xml:space="preserve">Additionally, the coordination geometry adopted by the </w:t>
      </w:r>
      <w:proofErr w:type="spellStart"/>
      <w:r w:rsidR="00972975" w:rsidRPr="00F338AB">
        <w:t>Cr</w:t>
      </w:r>
      <w:r w:rsidR="00972975" w:rsidRPr="00F338AB">
        <w:rPr>
          <w:vertAlign w:val="superscript"/>
        </w:rPr>
        <w:t>III</w:t>
      </w:r>
      <w:proofErr w:type="spellEnd"/>
      <w:r w:rsidR="00972975" w:rsidRPr="00F338AB" w:rsidDel="00972975">
        <w:rPr>
          <w:rFonts w:eastAsia="MS Mincho" w:cstheme="minorHAnsi"/>
          <w:lang w:eastAsia="ja-JP"/>
        </w:rPr>
        <w:t xml:space="preserve"> </w:t>
      </w:r>
      <w:r w:rsidR="00A1377B" w:rsidRPr="00F338AB">
        <w:rPr>
          <w:rFonts w:eastAsia="MS Mincho" w:cstheme="minorHAnsi"/>
          <w:lang w:eastAsia="ja-JP"/>
        </w:rPr>
        <w:t>ion</w:t>
      </w:r>
      <w:r w:rsidR="0004787D" w:rsidRPr="00F338AB">
        <w:rPr>
          <w:rFonts w:eastAsia="MS Mincho" w:cstheme="minorHAnsi"/>
          <w:lang w:eastAsia="ja-JP"/>
        </w:rPr>
        <w:t xml:space="preserve"> in the three compounds</w:t>
      </w:r>
      <w:r w:rsidR="00A1377B" w:rsidRPr="00F338AB">
        <w:rPr>
          <w:rFonts w:eastAsia="MS Mincho" w:cstheme="minorHAnsi"/>
          <w:lang w:eastAsia="ja-JP"/>
        </w:rPr>
        <w:t xml:space="preserve"> has been evaluated through</w:t>
      </w:r>
      <w:r w:rsidR="00255A25" w:rsidRPr="00F338AB">
        <w:rPr>
          <w:rFonts w:eastAsia="MS Mincho" w:cstheme="minorHAnsi"/>
          <w:lang w:eastAsia="ja-JP"/>
        </w:rPr>
        <w:t xml:space="preserve"> the</w:t>
      </w:r>
      <w:r w:rsidR="00A1377B" w:rsidRPr="00F338AB">
        <w:rPr>
          <w:rFonts w:eastAsia="MS Mincho" w:cstheme="minorHAnsi"/>
          <w:lang w:eastAsia="ja-JP"/>
        </w:rPr>
        <w:t xml:space="preserve"> SHAPE software, which is based on the continuous shape measurements method (</w:t>
      </w:r>
      <w:proofErr w:type="spellStart"/>
      <w:r w:rsidR="00A1377B" w:rsidRPr="00F338AB">
        <w:rPr>
          <w:rFonts w:eastAsia="MS Mincho" w:cstheme="minorHAnsi"/>
          <w:lang w:eastAsia="ja-JP"/>
        </w:rPr>
        <w:t>CShMs</w:t>
      </w:r>
      <w:proofErr w:type="spellEnd"/>
      <w:r w:rsidR="00A1377B" w:rsidRPr="00F338AB">
        <w:rPr>
          <w:rFonts w:eastAsia="MS Mincho" w:cstheme="minorHAnsi"/>
          <w:lang w:eastAsia="ja-JP"/>
        </w:rPr>
        <w:t>).</w:t>
      </w:r>
      <w:r w:rsidR="00293168" w:rsidRPr="00F338AB">
        <w:rPr>
          <w:rFonts w:eastAsia="MS Mincho" w:cstheme="minorHAnsi"/>
          <w:lang w:eastAsia="ja-JP"/>
        </w:rPr>
        <w:fldChar w:fldCharType="begin" w:fldLock="1"/>
      </w:r>
      <w:r w:rsidR="006B462E" w:rsidRPr="00F338AB">
        <w:rPr>
          <w:rFonts w:eastAsia="MS Mincho" w:cstheme="minorHAnsi"/>
          <w:lang w:eastAsia="ja-JP"/>
        </w:rPr>
        <w:instrText>ADDIN CSL_CITATION {"citationItems":[{"id":"ITEM-1","itemData":{"author":[{"dropping-particle":"","family":"Llunell","given":"M.","non-dropping-particle":"","parse-names":false,"suffix":""},{"dropping-particle":"","family":"Casanova","given":"D.","non-dropping-particle":"","parse-names":false,"suffix":""},{"dropping-particle":"","family":"Cirera","given":"J.","non-dropping-particle":"","parse-names":false,"suffix":""},{"dropping-particle":"","family":"And","given":"P. Alemany","non-dropping-particle":"","parse-names":false,"suffix":""},{"dropping-particle":"","family":"Alvarez","given":"S.","non-dropping-particle":"","parse-names":false,"suffix":""}],"id":"ITEM-1","issued":{"date-parts":[["2013"]]},"title":"SHAPE, v2.1, Universitat de Barcelona, Barcelona, Spain,","type":"article"},"uris":["http://www.mendeley.com/documents/?uuid=8ef484b2-c6ff-4d65-938b-64cf8dd1c355"]}],"mendeley":{"formattedCitation":"&lt;sup&gt;50&lt;/sup&gt;","plainTextFormattedCitation":"50","previouslyFormattedCitation":"&lt;sup&gt;50&lt;/sup&gt;"},"properties":{"noteIndex":0},"schema":"https://github.com/citation-style-language/schema/raw/master/csl-citation.json"}</w:instrText>
      </w:r>
      <w:r w:rsidR="00293168" w:rsidRPr="00F338AB">
        <w:rPr>
          <w:rFonts w:eastAsia="MS Mincho" w:cstheme="minorHAnsi"/>
          <w:lang w:eastAsia="ja-JP"/>
        </w:rPr>
        <w:fldChar w:fldCharType="separate"/>
      </w:r>
      <w:r w:rsidR="00255A25" w:rsidRPr="00F338AB">
        <w:rPr>
          <w:rFonts w:eastAsia="MS Mincho" w:cstheme="minorHAnsi"/>
          <w:noProof/>
          <w:vertAlign w:val="superscript"/>
          <w:lang w:eastAsia="ja-JP"/>
        </w:rPr>
        <w:t>50</w:t>
      </w:r>
      <w:r w:rsidR="00293168" w:rsidRPr="00F338AB">
        <w:rPr>
          <w:rFonts w:eastAsia="MS Mincho" w:cstheme="minorHAnsi"/>
          <w:lang w:eastAsia="ja-JP"/>
        </w:rPr>
        <w:fldChar w:fldCharType="end"/>
      </w:r>
      <w:r w:rsidR="00A1377B" w:rsidRPr="00F338AB">
        <w:rPr>
          <w:rFonts w:eastAsia="MS Mincho" w:cstheme="minorHAnsi"/>
          <w:lang w:eastAsia="ja-JP"/>
        </w:rPr>
        <w:t xml:space="preserve"> </w:t>
      </w:r>
      <w:r w:rsidR="00837C26" w:rsidRPr="00F338AB">
        <w:rPr>
          <w:rFonts w:eastAsia="MS Mincho" w:cstheme="minorHAnsi"/>
          <w:lang w:eastAsia="ja-JP"/>
        </w:rPr>
        <w:t xml:space="preserve">The coordination sphere of compounds </w:t>
      </w:r>
      <w:r w:rsidR="00837C26" w:rsidRPr="00F338AB">
        <w:rPr>
          <w:rFonts w:eastAsia="MS Mincho" w:cstheme="minorHAnsi"/>
          <w:b/>
          <w:bCs/>
          <w:lang w:eastAsia="ja-JP"/>
        </w:rPr>
        <w:t>1</w:t>
      </w:r>
      <w:r w:rsidR="00837C26" w:rsidRPr="00F338AB">
        <w:rPr>
          <w:rFonts w:eastAsia="MS Mincho" w:cstheme="minorHAnsi"/>
          <w:lang w:eastAsia="ja-JP"/>
        </w:rPr>
        <w:t>–</w:t>
      </w:r>
      <w:r w:rsidR="00837C26" w:rsidRPr="00F338AB">
        <w:rPr>
          <w:rFonts w:eastAsia="MS Mincho" w:cstheme="minorHAnsi"/>
          <w:b/>
          <w:bCs/>
          <w:lang w:eastAsia="ja-JP"/>
        </w:rPr>
        <w:t>3</w:t>
      </w:r>
      <w:r w:rsidR="00837C26" w:rsidRPr="00F338AB">
        <w:rPr>
          <w:rFonts w:eastAsia="MS Mincho" w:cstheme="minorHAnsi"/>
          <w:lang w:eastAsia="ja-JP"/>
        </w:rPr>
        <w:t xml:space="preserve"> closely resembles an ideal octahedral geometry (OC-6), typical for </w:t>
      </w:r>
      <w:proofErr w:type="spellStart"/>
      <w:r w:rsidR="00C90D28" w:rsidRPr="00F338AB">
        <w:t>Cr</w:t>
      </w:r>
      <w:r w:rsidR="00C90D28" w:rsidRPr="00F338AB">
        <w:rPr>
          <w:vertAlign w:val="superscript"/>
        </w:rPr>
        <w:t>III</w:t>
      </w:r>
      <w:proofErr w:type="spellEnd"/>
      <w:r w:rsidR="00C90D28" w:rsidRPr="00F338AB" w:rsidDel="00972975">
        <w:rPr>
          <w:rFonts w:eastAsia="MS Mincho" w:cstheme="minorHAnsi"/>
          <w:lang w:eastAsia="ja-JP"/>
        </w:rPr>
        <w:t xml:space="preserve"> </w:t>
      </w:r>
      <w:r w:rsidR="00837C26" w:rsidRPr="00F338AB">
        <w:rPr>
          <w:rFonts w:eastAsia="MS Mincho" w:cstheme="minorHAnsi"/>
          <w:lang w:eastAsia="ja-JP"/>
        </w:rPr>
        <w:t xml:space="preserve">complexes with six ligands symmetrically arranged around the metal </w:t>
      </w:r>
      <w:r w:rsidR="00794F5B" w:rsidRPr="00F338AB">
        <w:rPr>
          <w:rFonts w:eastAsia="MS Mincho" w:cstheme="minorHAnsi"/>
          <w:lang w:eastAsia="ja-JP"/>
        </w:rPr>
        <w:t>centre</w:t>
      </w:r>
      <w:r w:rsidR="00837C26" w:rsidRPr="00F338AB">
        <w:rPr>
          <w:rFonts w:eastAsia="MS Mincho" w:cstheme="minorHAnsi"/>
          <w:lang w:eastAsia="ja-JP"/>
        </w:rPr>
        <w:t xml:space="preserve">. However, compound </w:t>
      </w:r>
      <w:r w:rsidR="00837C26" w:rsidRPr="00F338AB">
        <w:rPr>
          <w:rFonts w:eastAsia="MS Mincho" w:cstheme="minorHAnsi"/>
          <w:b/>
          <w:bCs/>
          <w:lang w:eastAsia="ja-JP"/>
        </w:rPr>
        <w:t>3</w:t>
      </w:r>
      <w:r w:rsidR="00837C26" w:rsidRPr="00F338AB">
        <w:rPr>
          <w:rFonts w:eastAsia="MS Mincho" w:cstheme="minorHAnsi"/>
          <w:lang w:eastAsia="ja-JP"/>
        </w:rPr>
        <w:t xml:space="preserve"> exhibits slight deviations</w:t>
      </w:r>
      <w:r w:rsidR="00A852FA" w:rsidRPr="00F338AB">
        <w:rPr>
          <w:rFonts w:eastAsia="MS Mincho" w:cstheme="minorHAnsi"/>
          <w:lang w:eastAsia="ja-JP"/>
        </w:rPr>
        <w:t xml:space="preserve"> (Table S5)</w:t>
      </w:r>
      <w:r w:rsidR="00837C26" w:rsidRPr="00F338AB">
        <w:rPr>
          <w:rFonts w:eastAsia="MS Mincho" w:cstheme="minorHAnsi"/>
          <w:lang w:eastAsia="ja-JP"/>
        </w:rPr>
        <w:t>, likely due to a more compressed octahedral structure resulting from the shortening of certain Cr–N bonds</w:t>
      </w:r>
      <w:r w:rsidR="00293168" w:rsidRPr="00F338AB">
        <w:rPr>
          <w:rFonts w:eastAsia="MS Mincho" w:cstheme="minorHAnsi"/>
          <w:lang w:eastAsia="ja-JP"/>
        </w:rPr>
        <w:t xml:space="preserve">. </w:t>
      </w:r>
      <w:r w:rsidR="00D16C7C" w:rsidRPr="00F338AB">
        <w:rPr>
          <w:rFonts w:eastAsia="MS Mincho" w:cstheme="minorHAnsi"/>
          <w:lang w:eastAsia="ja-JP"/>
        </w:rPr>
        <w:t xml:space="preserve">In the solid state, CH···O hydrogen bonds are observed between the </w:t>
      </w:r>
      <w:r w:rsidR="00422897" w:rsidRPr="00F338AB">
        <w:rPr>
          <w:rFonts w:eastAsia="MS Mincho" w:cstheme="minorHAnsi"/>
          <w:lang w:eastAsia="ja-JP"/>
        </w:rPr>
        <w:t>methylene bridges and the triflate anions (</w:t>
      </w:r>
      <w:r w:rsidR="00422897" w:rsidRPr="00F338AB">
        <w:rPr>
          <w:rFonts w:eastAsia="MS Mincho" w:cstheme="minorHAnsi"/>
          <w:i/>
          <w:iCs/>
          <w:lang w:eastAsia="ja-JP"/>
        </w:rPr>
        <w:t>d</w:t>
      </w:r>
      <w:r w:rsidR="00422897" w:rsidRPr="00F338AB">
        <w:rPr>
          <w:rFonts w:eastAsia="MS Mincho" w:cstheme="minorHAnsi"/>
          <w:lang w:eastAsia="ja-JP"/>
        </w:rPr>
        <w:t>(C··· O) = 2.9−3.2 Å), which highlights the acidity of the CH</w:t>
      </w:r>
      <w:r w:rsidR="00422897" w:rsidRPr="00F338AB">
        <w:rPr>
          <w:rFonts w:eastAsia="MS Mincho" w:cstheme="minorHAnsi"/>
          <w:vertAlign w:val="subscript"/>
          <w:lang w:eastAsia="ja-JP"/>
        </w:rPr>
        <w:t>2</w:t>
      </w:r>
      <w:r w:rsidR="00422897" w:rsidRPr="00F338AB">
        <w:rPr>
          <w:rFonts w:eastAsia="MS Mincho" w:cstheme="minorHAnsi"/>
          <w:lang w:eastAsia="ja-JP"/>
        </w:rPr>
        <w:t xml:space="preserve"> bridge units in the cationic complex</w:t>
      </w:r>
      <w:r w:rsidR="00837C26" w:rsidRPr="00F338AB">
        <w:rPr>
          <w:rFonts w:eastAsia="MS Mincho" w:cstheme="minorHAnsi"/>
          <w:lang w:eastAsia="ja-JP"/>
        </w:rPr>
        <w:t>es</w:t>
      </w:r>
      <w:r w:rsidR="00422897" w:rsidRPr="00F338AB">
        <w:rPr>
          <w:rFonts w:eastAsia="MS Mincho" w:cstheme="minorHAnsi"/>
          <w:lang w:eastAsia="ja-JP"/>
        </w:rPr>
        <w:t xml:space="preserve"> (Fig. S</w:t>
      </w:r>
      <w:r w:rsidR="003E6EB3" w:rsidRPr="00F338AB">
        <w:rPr>
          <w:rFonts w:eastAsia="MS Mincho" w:cstheme="minorHAnsi"/>
          <w:lang w:eastAsia="ja-JP"/>
        </w:rPr>
        <w:t>5</w:t>
      </w:r>
      <w:r w:rsidR="00C63B2A" w:rsidRPr="00F338AB">
        <w:rPr>
          <w:rFonts w:eastAsia="MS Mincho" w:cstheme="minorHAnsi"/>
          <w:lang w:eastAsia="ja-JP"/>
        </w:rPr>
        <w:t>-</w:t>
      </w:r>
      <w:r w:rsidR="00422897" w:rsidRPr="00F338AB">
        <w:rPr>
          <w:rFonts w:eastAsia="MS Mincho" w:cstheme="minorHAnsi"/>
          <w:lang w:eastAsia="ja-JP"/>
        </w:rPr>
        <w:t>S</w:t>
      </w:r>
      <w:r w:rsidR="00C63B2A" w:rsidRPr="00F338AB">
        <w:rPr>
          <w:rFonts w:eastAsia="MS Mincho" w:cstheme="minorHAnsi"/>
          <w:lang w:eastAsia="ja-JP"/>
        </w:rPr>
        <w:t>7</w:t>
      </w:r>
      <w:r w:rsidR="00422897" w:rsidRPr="00F338AB">
        <w:rPr>
          <w:rFonts w:eastAsia="MS Mincho" w:cstheme="minorHAnsi"/>
          <w:lang w:eastAsia="ja-JP"/>
        </w:rPr>
        <w:t>).</w:t>
      </w:r>
      <w:r w:rsidR="00422897" w:rsidRPr="00F338AB">
        <w:rPr>
          <w:rFonts w:eastAsia="MS Mincho" w:cstheme="minorHAnsi"/>
          <w:lang w:eastAsia="ja-JP"/>
        </w:rPr>
        <w:fldChar w:fldCharType="begin" w:fldLock="1"/>
      </w:r>
      <w:r w:rsidR="00255A25" w:rsidRPr="00F338AB">
        <w:rPr>
          <w:rFonts w:eastAsia="MS Mincho" w:cstheme="minorHAnsi"/>
          <w:lang w:eastAsia="ja-JP"/>
        </w:rPr>
        <w:instrText>ADDIN CSL_CITATION {"citationItems":[{"id":"ITEM-1","itemData":{"DOI":"10.1021/jacs.1c05971","author":[{"dropping-particle":"","family":"Reichenauer","given":"Florian","non-dropping-particle":"","parse-names":false,"suffix":""},{"dropping-particle":"","family":"Wang","given":"Cui","non-dropping-particle":"","parse-names":false,"suffix":""},{"dropping-particle":"","family":"Christoph","given":"F","non-dropping-particle":"","parse-names":false,"suffix":""},{"dropping-particle":"","family":"Boden","given":"Pit","non-dropping-particle":"","parse-names":false,"suffix":""},{"dropping-particle":"","family":"Ugur","given":"Naz","non-dropping-particle":"","parse-names":false,"suffix":""},{"dropping-particle":"","family":"Ricardo","given":"B","non-dropping-particle":"","parse-names":false,"suffix":""},{"dropping-particle":"","family":"Kalmbach","given":"Jens","non-dropping-particle":"","parse-names":false,"suffix":""},{"dropping-particle":"","family":"Carrella","given":"Luca M","non-dropping-particle":"","parse-names":false,"suffix":""},{"dropping-particle":"","family":"Rentschler","given":"Eva","non-dropping-particle":"","parse-names":false,"suffix":""},{"dropping-particle":"","family":"Ramanan","given":"Charusheela","non-dropping-particle":"","parse-names":false,"suffix":""},{"dropping-particle":"","family":"Niedner-schatteburg","given":"Gereon","non-dropping-particle":"","parse-names":false,"suffix":""},{"dropping-particle":"","family":"Gerhards","given":"Markus","non-dropping-particle":"","parse-names":false,"suffix":""},{"dropping-particle":"","family":"Seitz","given":"Michael","non-dropping-particle":"","parse-names":false,"suffix":""},{"dropping-particle":"","family":"Resch-genger","given":"Ute","non-dropping-particle":"","parse-names":false,"suffix":""},{"dropping-particle":"","family":"Heinze","given":"Katja","non-dropping-particle":"","parse-names":false,"suffix":""}],"container-title":"J. Am. Chem. Soc","id":"ITEM-1","issue":"11843-11855","issued":{"date-parts":[["2021"]]},"title":"Strongly Red-Emissive Molecular Ruby [Cr(bpmp) 2 ] 3+ Surpasses [Ru(bpy) 3 ] 2+","type":"article-journal","volume":"143"},"uris":["http://www.mendeley.com/documents/?uuid=9d14db5d-daf5-4448-872a-c5e2b9bd7aac"]}],"mendeley":{"formattedCitation":"&lt;sup&gt;44&lt;/sup&gt;","plainTextFormattedCitation":"44","previouslyFormattedCitation":"&lt;sup&gt;44&lt;/sup&gt;"},"properties":{"noteIndex":0},"schema":"https://github.com/citation-style-language/schema/raw/master/csl-citation.json"}</w:instrText>
      </w:r>
      <w:r w:rsidR="00422897" w:rsidRPr="00F338AB">
        <w:rPr>
          <w:rFonts w:eastAsia="MS Mincho" w:cstheme="minorHAnsi"/>
          <w:lang w:eastAsia="ja-JP"/>
        </w:rPr>
        <w:fldChar w:fldCharType="separate"/>
      </w:r>
      <w:r w:rsidR="00030AAC" w:rsidRPr="00F338AB">
        <w:rPr>
          <w:rFonts w:eastAsia="MS Mincho" w:cstheme="minorHAnsi"/>
          <w:noProof/>
          <w:vertAlign w:val="superscript"/>
          <w:lang w:eastAsia="ja-JP"/>
        </w:rPr>
        <w:t>44</w:t>
      </w:r>
      <w:r w:rsidR="00422897" w:rsidRPr="00F338AB">
        <w:rPr>
          <w:rFonts w:eastAsia="MS Mincho" w:cstheme="minorHAnsi"/>
          <w:lang w:eastAsia="ja-JP"/>
        </w:rPr>
        <w:fldChar w:fldCharType="end"/>
      </w:r>
      <w:r w:rsidR="00A1377B" w:rsidRPr="00F338AB">
        <w:rPr>
          <w:rFonts w:eastAsia="MS Mincho" w:cstheme="minorHAnsi"/>
          <w:lang w:eastAsia="ja-JP"/>
        </w:rPr>
        <w:t xml:space="preserve"> </w:t>
      </w:r>
    </w:p>
    <w:p w14:paraId="222A19B5" w14:textId="2B8892F1" w:rsidR="00A46C54" w:rsidRPr="00F338AB" w:rsidRDefault="004B7910" w:rsidP="004B7910">
      <w:pPr>
        <w:pStyle w:val="RSCB02ArticleText"/>
        <w:rPr>
          <w:rFonts w:eastAsia="MS Mincho" w:cstheme="minorHAnsi"/>
          <w:b/>
          <w:bCs/>
          <w:lang w:eastAsia="ja-JP"/>
        </w:rPr>
      </w:pPr>
      <w:r w:rsidRPr="00F338AB">
        <w:rPr>
          <w:rFonts w:eastAsia="MS Mincho" w:cstheme="minorHAnsi"/>
          <w:b/>
          <w:bCs/>
          <w:lang w:eastAsia="ja-JP"/>
        </w:rPr>
        <w:t>Electronic absorption properties</w:t>
      </w:r>
    </w:p>
    <w:p w14:paraId="1FB9200D" w14:textId="1CA228B8" w:rsidR="004B7910" w:rsidRPr="00F338AB" w:rsidRDefault="004B7910" w:rsidP="004B7910">
      <w:pPr>
        <w:pStyle w:val="RSCB02ArticleText"/>
        <w:rPr>
          <w:rFonts w:eastAsia="MS Mincho" w:cstheme="minorHAnsi"/>
          <w:b/>
          <w:bCs/>
          <w:lang w:eastAsia="ja-JP"/>
        </w:rPr>
      </w:pPr>
      <w:r w:rsidRPr="00F338AB">
        <w:rPr>
          <w:rFonts w:eastAsia="MS Mincho" w:cstheme="minorHAnsi"/>
          <w:lang w:eastAsia="ja-JP"/>
        </w:rPr>
        <w:t xml:space="preserve">The </w:t>
      </w:r>
      <w:r w:rsidR="00255A25" w:rsidRPr="00F338AB">
        <w:rPr>
          <w:rFonts w:eastAsia="MS Mincho" w:cstheme="minorHAnsi"/>
          <w:lang w:eastAsia="ja-JP"/>
        </w:rPr>
        <w:t xml:space="preserve">UV-Vis </w:t>
      </w:r>
      <w:r w:rsidRPr="00F338AB">
        <w:rPr>
          <w:rFonts w:eastAsia="MS Mincho" w:cstheme="minorHAnsi"/>
          <w:lang w:eastAsia="ja-JP"/>
        </w:rPr>
        <w:t>absorption spectra in acetonitrile (10</w:t>
      </w:r>
      <w:r w:rsidRPr="00F338AB">
        <w:rPr>
          <w:rFonts w:eastAsia="MS Mincho" w:cstheme="minorHAnsi"/>
          <w:vertAlign w:val="superscript"/>
          <w:lang w:eastAsia="ja-JP"/>
        </w:rPr>
        <w:t>-5</w:t>
      </w:r>
      <w:r w:rsidRPr="00F338AB">
        <w:rPr>
          <w:rFonts w:eastAsia="MS Mincho" w:cstheme="minorHAnsi"/>
          <w:lang w:eastAsia="ja-JP"/>
        </w:rPr>
        <w:t xml:space="preserve"> M) at room temperature shows maxima between 250 and 300 nm (ε &gt; 8000 M</w:t>
      </w:r>
      <w:r w:rsidRPr="00F338AB">
        <w:rPr>
          <w:rFonts w:eastAsia="MS Mincho" w:cstheme="minorHAnsi"/>
          <w:vertAlign w:val="superscript"/>
          <w:lang w:eastAsia="ja-JP"/>
        </w:rPr>
        <w:t>−1</w:t>
      </w:r>
      <w:r w:rsidRPr="00F338AB">
        <w:rPr>
          <w:rFonts w:eastAsia="MS Mincho" w:cstheme="minorHAnsi"/>
          <w:lang w:eastAsia="ja-JP"/>
        </w:rPr>
        <w:t>·cm</w:t>
      </w:r>
      <w:r w:rsidRPr="00F338AB">
        <w:rPr>
          <w:rFonts w:eastAsia="MS Mincho" w:cstheme="minorHAnsi"/>
          <w:vertAlign w:val="superscript"/>
          <w:lang w:eastAsia="ja-JP"/>
        </w:rPr>
        <w:t>−1</w:t>
      </w:r>
      <w:r w:rsidRPr="00F338AB">
        <w:rPr>
          <w:rFonts w:eastAsia="MS Mincho" w:cstheme="minorHAnsi"/>
          <w:lang w:eastAsia="ja-JP"/>
        </w:rPr>
        <w:t>), which can be attributed to ligand-</w:t>
      </w:r>
      <w:proofErr w:type="spellStart"/>
      <w:r w:rsidR="00280FD0" w:rsidRPr="00F338AB">
        <w:rPr>
          <w:rFonts w:eastAsia="MS Mincho" w:cstheme="minorHAnsi"/>
          <w:lang w:eastAsia="ja-JP"/>
        </w:rPr>
        <w:t>centered</w:t>
      </w:r>
      <w:proofErr w:type="spellEnd"/>
      <w:r w:rsidRPr="00F338AB">
        <w:rPr>
          <w:rFonts w:eastAsia="MS Mincho" w:cstheme="minorHAnsi"/>
          <w:lang w:eastAsia="ja-JP"/>
        </w:rPr>
        <w:t xml:space="preserve"> π* ← π </w:t>
      </w:r>
    </w:p>
    <w:p w14:paraId="28FB7EAA" w14:textId="2E48C2A6" w:rsidR="00BB0AD4" w:rsidRPr="00F338AB" w:rsidRDefault="00281597" w:rsidP="00BB0AD4">
      <w:pPr>
        <w:pStyle w:val="RSCB02ArticleText"/>
        <w:rPr>
          <w:rFonts w:eastAsia="MS Mincho" w:cstheme="minorHAnsi"/>
          <w:b/>
          <w:bCs/>
          <w:lang w:eastAsia="ja-JP"/>
        </w:rPr>
      </w:pPr>
      <w:r w:rsidRPr="00F338AB">
        <w:rPr>
          <w:noProof/>
        </w:rPr>
        <w:drawing>
          <wp:anchor distT="0" distB="0" distL="114300" distR="114300" simplePos="0" relativeHeight="251662336" behindDoc="0" locked="0" layoutInCell="1" allowOverlap="1" wp14:anchorId="22418E59" wp14:editId="2FC28B71">
            <wp:simplePos x="0" y="0"/>
            <wp:positionH relativeFrom="margin">
              <wp:posOffset>675006</wp:posOffset>
            </wp:positionH>
            <wp:positionV relativeFrom="paragraph">
              <wp:posOffset>-1355552</wp:posOffset>
            </wp:positionV>
            <wp:extent cx="5790758" cy="4395966"/>
            <wp:effectExtent l="0" t="0" r="0" b="5080"/>
            <wp:wrapTopAndBottom/>
            <wp:docPr id="84935650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91411" cy="4396462"/>
                    </a:xfrm>
                    <a:prstGeom prst="rect">
                      <a:avLst/>
                    </a:prstGeom>
                    <a:noFill/>
                    <a:ln>
                      <a:noFill/>
                    </a:ln>
                  </pic:spPr>
                </pic:pic>
              </a:graphicData>
            </a:graphic>
            <wp14:sizeRelH relativeFrom="page">
              <wp14:pctWidth>0</wp14:pctWidth>
            </wp14:sizeRelH>
            <wp14:sizeRelV relativeFrom="page">
              <wp14:pctHeight>0</wp14:pctHeight>
            </wp14:sizeRelV>
          </wp:anchor>
        </w:drawing>
      </w:r>
      <w:r w:rsidR="00BB0AD4" w:rsidRPr="00F338AB">
        <w:rPr>
          <w:rFonts w:eastAsia="MS Mincho" w:cstheme="minorHAnsi"/>
          <w:lang w:eastAsia="ja-JP"/>
        </w:rPr>
        <w:t xml:space="preserve">transitions, along with lower intensity bands between 300 and </w:t>
      </w:r>
      <w:r w:rsidR="007C4FC6" w:rsidRPr="00F338AB">
        <w:rPr>
          <w:rFonts w:eastAsia="MS Mincho" w:cstheme="minorHAnsi"/>
          <w:lang w:eastAsia="ja-JP"/>
        </w:rPr>
        <w:t>550</w:t>
      </w:r>
      <w:r w:rsidR="00BB0AD4" w:rsidRPr="00F338AB">
        <w:rPr>
          <w:rFonts w:eastAsia="MS Mincho" w:cstheme="minorHAnsi"/>
          <w:lang w:eastAsia="ja-JP"/>
        </w:rPr>
        <w:t xml:space="preserve"> nm (</w:t>
      </w:r>
      <w:r w:rsidR="00BB0AD4" w:rsidRPr="00F338AB">
        <w:rPr>
          <w:rFonts w:eastAsia="MS Mincho" w:cstheme="minorHAnsi"/>
          <w:i/>
          <w:iCs/>
          <w:lang w:eastAsia="ja-JP"/>
        </w:rPr>
        <w:t>ε</w:t>
      </w:r>
      <w:r w:rsidR="00BB0AD4" w:rsidRPr="00F338AB">
        <w:rPr>
          <w:rFonts w:eastAsia="MS Mincho" w:cstheme="minorHAnsi"/>
          <w:lang w:eastAsia="ja-JP"/>
        </w:rPr>
        <w:t xml:space="preserve"> &lt; </w:t>
      </w:r>
      <w:r w:rsidR="007C4FC6" w:rsidRPr="00F338AB">
        <w:rPr>
          <w:rFonts w:eastAsia="MS Mincho" w:cstheme="minorHAnsi"/>
          <w:lang w:eastAsia="ja-JP"/>
        </w:rPr>
        <w:t>7</w:t>
      </w:r>
      <w:r w:rsidR="00BB0AD4" w:rsidRPr="00F338AB">
        <w:rPr>
          <w:rFonts w:eastAsia="MS Mincho" w:cstheme="minorHAnsi"/>
          <w:lang w:eastAsia="ja-JP"/>
        </w:rPr>
        <w:t>000 M</w:t>
      </w:r>
      <w:r w:rsidR="00BB0AD4" w:rsidRPr="00F338AB">
        <w:rPr>
          <w:rFonts w:eastAsia="MS Mincho" w:cstheme="minorHAnsi"/>
          <w:vertAlign w:val="superscript"/>
          <w:lang w:eastAsia="ja-JP"/>
        </w:rPr>
        <w:t>−1</w:t>
      </w:r>
      <w:r w:rsidR="00BB0AD4" w:rsidRPr="00F338AB">
        <w:rPr>
          <w:rFonts w:eastAsia="MS Mincho" w:cstheme="minorHAnsi"/>
          <w:lang w:eastAsia="ja-JP"/>
        </w:rPr>
        <w:t>·cm</w:t>
      </w:r>
      <w:r w:rsidR="00BB0AD4" w:rsidRPr="00F338AB">
        <w:rPr>
          <w:rFonts w:eastAsia="MS Mincho" w:cstheme="minorHAnsi"/>
          <w:vertAlign w:val="superscript"/>
          <w:lang w:eastAsia="ja-JP"/>
        </w:rPr>
        <w:t>−1</w:t>
      </w:r>
      <w:r w:rsidR="00BB0AD4" w:rsidRPr="00F338AB">
        <w:rPr>
          <w:rFonts w:eastAsia="MS Mincho" w:cstheme="minorHAnsi"/>
          <w:lang w:eastAsia="ja-JP"/>
        </w:rPr>
        <w:t>) assigned to mixed metal-</w:t>
      </w:r>
      <w:proofErr w:type="spellStart"/>
      <w:r w:rsidR="00280FD0" w:rsidRPr="00F338AB">
        <w:rPr>
          <w:rFonts w:eastAsia="MS Mincho" w:cstheme="minorHAnsi"/>
          <w:lang w:eastAsia="ja-JP"/>
        </w:rPr>
        <w:t>centered</w:t>
      </w:r>
      <w:proofErr w:type="spellEnd"/>
      <w:r w:rsidR="00BB0AD4" w:rsidRPr="00F338AB">
        <w:rPr>
          <w:rFonts w:eastAsia="MS Mincho" w:cstheme="minorHAnsi"/>
          <w:lang w:eastAsia="ja-JP"/>
        </w:rPr>
        <w:t xml:space="preserve"> and ligand to metal charge transfer (MC/LMCT) transitions with a considerable </w:t>
      </w:r>
      <w:proofErr w:type="gramStart"/>
      <w:r w:rsidR="00BB0AD4" w:rsidRPr="00F338AB">
        <w:rPr>
          <w:rFonts w:eastAsia="MS Mincho" w:cstheme="minorHAnsi"/>
          <w:lang w:eastAsia="ja-JP"/>
        </w:rPr>
        <w:t>red-shift</w:t>
      </w:r>
      <w:proofErr w:type="gramEnd"/>
      <w:r w:rsidR="00BB0AD4" w:rsidRPr="00F338AB">
        <w:rPr>
          <w:rFonts w:eastAsia="MS Mincho" w:cstheme="minorHAnsi"/>
          <w:lang w:eastAsia="ja-JP"/>
        </w:rPr>
        <w:t xml:space="preserve"> for the iodine </w:t>
      </w:r>
      <w:proofErr w:type="spellStart"/>
      <w:r w:rsidR="00BB0AD4" w:rsidRPr="00F338AB">
        <w:rPr>
          <w:rFonts w:eastAsia="MS Mincho" w:cstheme="minorHAnsi"/>
          <w:lang w:eastAsia="ja-JP"/>
        </w:rPr>
        <w:t>analog</w:t>
      </w:r>
      <w:proofErr w:type="spellEnd"/>
      <w:r w:rsidR="00BB0AD4" w:rsidRPr="00F338AB">
        <w:rPr>
          <w:rFonts w:eastAsia="MS Mincho" w:cstheme="minorHAnsi"/>
          <w:lang w:eastAsia="ja-JP"/>
        </w:rPr>
        <w:t xml:space="preserve"> </w:t>
      </w:r>
      <w:r w:rsidR="00BB0AD4" w:rsidRPr="00F338AB">
        <w:rPr>
          <w:rFonts w:eastAsia="MS Mincho" w:cstheme="minorHAnsi"/>
          <w:b/>
          <w:bCs/>
          <w:lang w:eastAsia="ja-JP"/>
        </w:rPr>
        <w:t>2</w:t>
      </w:r>
      <w:r w:rsidR="00BB0AD4" w:rsidRPr="00F338AB">
        <w:rPr>
          <w:rFonts w:eastAsia="MS Mincho" w:cstheme="minorHAnsi"/>
          <w:lang w:eastAsia="ja-JP"/>
        </w:rPr>
        <w:t xml:space="preserve"> and for compound </w:t>
      </w:r>
      <w:r w:rsidR="00BB0AD4" w:rsidRPr="00F338AB">
        <w:rPr>
          <w:rFonts w:eastAsia="MS Mincho" w:cstheme="minorHAnsi"/>
          <w:b/>
          <w:bCs/>
          <w:lang w:eastAsia="ja-JP"/>
        </w:rPr>
        <w:t>3</w:t>
      </w:r>
      <w:r w:rsidR="00BB0AD4" w:rsidRPr="00F338AB">
        <w:rPr>
          <w:rFonts w:eastAsia="MS Mincho" w:cstheme="minorHAnsi"/>
          <w:lang w:eastAsia="ja-JP"/>
        </w:rPr>
        <w:t xml:space="preserve"> (Fig 2</w:t>
      </w:r>
      <w:r w:rsidR="007C4FC6" w:rsidRPr="00F338AB">
        <w:rPr>
          <w:rFonts w:eastAsia="MS Mincho" w:cstheme="minorHAnsi"/>
          <w:lang w:eastAsia="ja-JP"/>
        </w:rPr>
        <w:t>b</w:t>
      </w:r>
      <w:r w:rsidR="00BB0AD4" w:rsidRPr="00F338AB">
        <w:rPr>
          <w:rFonts w:eastAsia="MS Mincho" w:cstheme="minorHAnsi"/>
          <w:lang w:eastAsia="ja-JP"/>
        </w:rPr>
        <w:t>). The band located at the lowest energy (</w:t>
      </w:r>
      <w:r w:rsidR="00F56875" w:rsidRPr="00F338AB">
        <w:rPr>
          <w:rFonts w:eastAsia="MS Mincho" w:cstheme="minorHAnsi"/>
          <w:lang w:eastAsia="ja-JP"/>
        </w:rPr>
        <w:sym w:font="Symbol" w:char="F07E"/>
      </w:r>
      <w:r w:rsidR="00794F5B" w:rsidRPr="00F338AB">
        <w:rPr>
          <w:rFonts w:eastAsia="MS Mincho" w:cstheme="minorHAnsi"/>
          <w:lang w:eastAsia="ja-JP"/>
        </w:rPr>
        <w:t>450-</w:t>
      </w:r>
      <w:r w:rsidR="00BB0AD4" w:rsidRPr="00F338AB">
        <w:rPr>
          <w:rFonts w:eastAsia="MS Mincho" w:cstheme="minorHAnsi"/>
          <w:lang w:eastAsia="ja-JP"/>
        </w:rPr>
        <w:t xml:space="preserve">480 nm) can be attributed to the </w:t>
      </w:r>
      <w:r w:rsidR="00BB0AD4" w:rsidRPr="00F338AB">
        <w:rPr>
          <w:rFonts w:eastAsia="MS Mincho" w:cstheme="minorHAnsi"/>
          <w:vertAlign w:val="superscript"/>
          <w:lang w:eastAsia="ja-JP"/>
        </w:rPr>
        <w:t>4</w:t>
      </w:r>
      <w:r w:rsidR="00BB0AD4" w:rsidRPr="00F338AB">
        <w:rPr>
          <w:rFonts w:eastAsia="MS Mincho" w:cstheme="minorHAnsi"/>
          <w:lang w:eastAsia="ja-JP"/>
        </w:rPr>
        <w:t>T</w:t>
      </w:r>
      <w:r w:rsidR="00BB0AD4" w:rsidRPr="00F338AB">
        <w:rPr>
          <w:rFonts w:eastAsia="MS Mincho" w:cstheme="minorHAnsi"/>
          <w:vertAlign w:val="subscript"/>
          <w:lang w:eastAsia="ja-JP"/>
        </w:rPr>
        <w:t>2</w:t>
      </w:r>
      <w:r w:rsidR="00BB0AD4" w:rsidRPr="00F338AB">
        <w:rPr>
          <w:rFonts w:eastAsia="MS Mincho" w:cstheme="minorHAnsi"/>
          <w:lang w:eastAsia="ja-JP"/>
        </w:rPr>
        <w:t>←</w:t>
      </w:r>
      <w:r w:rsidR="00BB0AD4" w:rsidRPr="00F338AB">
        <w:rPr>
          <w:rFonts w:eastAsia="MS Mincho" w:cstheme="minorHAnsi"/>
          <w:vertAlign w:val="superscript"/>
          <w:lang w:eastAsia="ja-JP"/>
        </w:rPr>
        <w:t>4</w:t>
      </w:r>
      <w:r w:rsidR="00BB0AD4" w:rsidRPr="00F338AB">
        <w:rPr>
          <w:rFonts w:eastAsia="MS Mincho" w:cstheme="minorHAnsi"/>
          <w:lang w:eastAsia="ja-JP"/>
        </w:rPr>
        <w:t>A</w:t>
      </w:r>
      <w:r w:rsidR="00BB0AD4" w:rsidRPr="00F338AB">
        <w:rPr>
          <w:rFonts w:eastAsia="MS Mincho" w:cstheme="minorHAnsi"/>
          <w:vertAlign w:val="subscript"/>
          <w:lang w:eastAsia="ja-JP"/>
        </w:rPr>
        <w:t>2</w:t>
      </w:r>
      <w:r w:rsidR="00BB0AD4" w:rsidRPr="00F338AB">
        <w:rPr>
          <w:rFonts w:eastAsia="MS Mincho" w:cstheme="minorHAnsi"/>
          <w:lang w:eastAsia="ja-JP"/>
        </w:rPr>
        <w:t xml:space="preserve"> transition according to TD-DFT calculations (Fig. 2</w:t>
      </w:r>
      <w:r w:rsidR="007C4FC6" w:rsidRPr="00F338AB">
        <w:rPr>
          <w:rFonts w:eastAsia="MS Mincho" w:cstheme="minorHAnsi"/>
          <w:lang w:eastAsia="ja-JP"/>
        </w:rPr>
        <w:t>b</w:t>
      </w:r>
      <w:r w:rsidR="00BB0AD4" w:rsidRPr="00F338AB">
        <w:rPr>
          <w:rFonts w:eastAsia="MS Mincho" w:cstheme="minorHAnsi"/>
          <w:lang w:eastAsia="ja-JP"/>
        </w:rPr>
        <w:t>, Fig. S2</w:t>
      </w:r>
      <w:r w:rsidR="00794F5B" w:rsidRPr="00F338AB">
        <w:rPr>
          <w:rFonts w:eastAsia="MS Mincho" w:cstheme="minorHAnsi"/>
          <w:lang w:eastAsia="ja-JP"/>
        </w:rPr>
        <w:t>3-S31</w:t>
      </w:r>
      <w:r w:rsidR="00BB0AD4" w:rsidRPr="00F338AB">
        <w:rPr>
          <w:rFonts w:eastAsia="MS Mincho" w:cstheme="minorHAnsi"/>
          <w:lang w:eastAsia="ja-JP"/>
        </w:rPr>
        <w:t xml:space="preserve">). From this electronic transition, the value of the ligand field splitting is estimated at </w:t>
      </w:r>
      <w:r w:rsidR="001F68FE" w:rsidRPr="00F338AB">
        <w:rPr>
          <w:rFonts w:eastAsia="MS Mincho" w:cstheme="minorHAnsi"/>
          <w:lang w:eastAsia="ja-JP"/>
        </w:rPr>
        <w:t xml:space="preserve">approximately </w:t>
      </w:r>
      <w:r w:rsidR="00BB0AD4" w:rsidRPr="00F338AB">
        <w:rPr>
          <w:rFonts w:eastAsia="MS Mincho" w:cstheme="minorHAnsi"/>
          <w:lang w:eastAsia="ja-JP"/>
        </w:rPr>
        <w:t>21500 cm</w:t>
      </w:r>
      <w:r w:rsidR="00BB0AD4" w:rsidRPr="00F338AB">
        <w:rPr>
          <w:rFonts w:eastAsia="MS Mincho" w:cstheme="minorHAnsi"/>
          <w:vertAlign w:val="superscript"/>
          <w:lang w:eastAsia="ja-JP"/>
        </w:rPr>
        <w:t>-1</w:t>
      </w:r>
      <w:r w:rsidR="00BB0AD4" w:rsidRPr="00F338AB">
        <w:rPr>
          <w:rFonts w:eastAsia="MS Mincho" w:cstheme="minorHAnsi"/>
          <w:lang w:eastAsia="ja-JP"/>
        </w:rPr>
        <w:t xml:space="preserve"> for the three compounds.</w:t>
      </w:r>
      <w:r w:rsidR="00794F5B" w:rsidRPr="00F338AB">
        <w:rPr>
          <w:rFonts w:eastAsia="MS Mincho" w:cstheme="minorHAnsi"/>
          <w:lang w:eastAsia="ja-JP"/>
        </w:rPr>
        <w:t xml:space="preserve"> </w:t>
      </w:r>
      <w:r w:rsidR="00BB0AD4" w:rsidRPr="00F338AB">
        <w:rPr>
          <w:rFonts w:eastAsia="MS Mincho" w:cstheme="minorHAnsi"/>
          <w:lang w:eastAsia="ja-JP"/>
        </w:rPr>
        <w:t xml:space="preserve">This significant ligand-field splitting </w:t>
      </w:r>
      <w:r w:rsidR="00255A25" w:rsidRPr="00F338AB">
        <w:rPr>
          <w:rFonts w:eastAsia="MS Mincho" w:cstheme="minorHAnsi"/>
          <w:lang w:eastAsia="ja-JP"/>
        </w:rPr>
        <w:t>c</w:t>
      </w:r>
      <w:r w:rsidR="00794F5B" w:rsidRPr="00F338AB">
        <w:rPr>
          <w:rFonts w:eastAsia="MS Mincho" w:cstheme="minorHAnsi"/>
          <w:lang w:eastAsia="ja-JP"/>
        </w:rPr>
        <w:t xml:space="preserve">ould </w:t>
      </w:r>
      <w:r w:rsidR="00255A25" w:rsidRPr="00F338AB">
        <w:rPr>
          <w:rFonts w:eastAsia="MS Mincho" w:cstheme="minorHAnsi"/>
          <w:lang w:eastAsia="ja-JP"/>
        </w:rPr>
        <w:t xml:space="preserve">potentially </w:t>
      </w:r>
      <w:r w:rsidR="00BB0AD4" w:rsidRPr="00F338AB">
        <w:rPr>
          <w:rFonts w:eastAsia="MS Mincho" w:cstheme="minorHAnsi"/>
          <w:lang w:eastAsia="ja-JP"/>
        </w:rPr>
        <w:t>limit</w:t>
      </w:r>
      <w:r w:rsidR="001F68FE" w:rsidRPr="00F338AB">
        <w:rPr>
          <w:rFonts w:eastAsia="MS Mincho" w:cstheme="minorHAnsi"/>
          <w:lang w:eastAsia="ja-JP"/>
        </w:rPr>
        <w:t xml:space="preserve"> the thermally assisted</w:t>
      </w:r>
      <w:r w:rsidR="00BB0AD4" w:rsidRPr="00F338AB">
        <w:rPr>
          <w:rFonts w:eastAsia="MS Mincho" w:cstheme="minorHAnsi"/>
          <w:lang w:eastAsia="ja-JP"/>
        </w:rPr>
        <w:t xml:space="preserve"> back-intersystem crossing between the emissive excited states </w:t>
      </w:r>
      <w:r w:rsidR="00BB0AD4" w:rsidRPr="00F338AB">
        <w:rPr>
          <w:rFonts w:eastAsia="MS Mincho" w:cstheme="minorHAnsi"/>
          <w:vertAlign w:val="superscript"/>
          <w:lang w:eastAsia="ja-JP"/>
        </w:rPr>
        <w:t>2</w:t>
      </w:r>
      <w:r w:rsidR="00BB0AD4" w:rsidRPr="00F338AB">
        <w:rPr>
          <w:rFonts w:eastAsia="MS Mincho" w:cstheme="minorHAnsi"/>
          <w:lang w:eastAsia="ja-JP"/>
        </w:rPr>
        <w:t>E/</w:t>
      </w:r>
      <w:r w:rsidR="00BB0AD4" w:rsidRPr="00F338AB">
        <w:rPr>
          <w:rFonts w:eastAsia="MS Mincho" w:cstheme="minorHAnsi"/>
          <w:vertAlign w:val="superscript"/>
          <w:lang w:eastAsia="ja-JP"/>
        </w:rPr>
        <w:t>2</w:t>
      </w:r>
      <w:r w:rsidR="00BB0AD4" w:rsidRPr="00F338AB">
        <w:rPr>
          <w:rFonts w:eastAsia="MS Mincho" w:cstheme="minorHAnsi"/>
          <w:lang w:eastAsia="ja-JP"/>
        </w:rPr>
        <w:t>T</w:t>
      </w:r>
      <w:r w:rsidR="00BB0AD4" w:rsidRPr="00F338AB">
        <w:rPr>
          <w:rFonts w:eastAsia="MS Mincho" w:cstheme="minorHAnsi"/>
          <w:vertAlign w:val="subscript"/>
          <w:lang w:eastAsia="ja-JP"/>
        </w:rPr>
        <w:t xml:space="preserve">1 </w:t>
      </w:r>
      <w:r w:rsidR="00BB0AD4" w:rsidRPr="00F338AB">
        <w:rPr>
          <w:rFonts w:eastAsia="MS Mincho" w:cstheme="minorHAnsi"/>
          <w:lang w:eastAsia="ja-JP"/>
        </w:rPr>
        <w:t xml:space="preserve">and </w:t>
      </w:r>
      <w:r w:rsidR="00BB0AD4" w:rsidRPr="00F338AB">
        <w:rPr>
          <w:rFonts w:eastAsia="MS Mincho" w:cstheme="minorHAnsi"/>
          <w:vertAlign w:val="superscript"/>
          <w:lang w:eastAsia="ja-JP"/>
        </w:rPr>
        <w:t>4</w:t>
      </w:r>
      <w:r w:rsidR="00BB0AD4" w:rsidRPr="00F338AB">
        <w:rPr>
          <w:rFonts w:eastAsia="MS Mincho" w:cstheme="minorHAnsi"/>
          <w:lang w:eastAsia="ja-JP"/>
        </w:rPr>
        <w:t>T</w:t>
      </w:r>
      <w:r w:rsidR="00BB0AD4" w:rsidRPr="00F338AB">
        <w:rPr>
          <w:rFonts w:eastAsia="MS Mincho" w:cstheme="minorHAnsi"/>
          <w:vertAlign w:val="subscript"/>
          <w:lang w:eastAsia="ja-JP"/>
        </w:rPr>
        <w:t>2</w:t>
      </w:r>
      <w:r w:rsidR="00BB0AD4" w:rsidRPr="00F338AB">
        <w:rPr>
          <w:rFonts w:eastAsia="MS Mincho" w:cstheme="minorHAnsi"/>
          <w:lang w:eastAsia="ja-JP"/>
        </w:rPr>
        <w:t>.</w:t>
      </w:r>
      <w:r w:rsidR="00BB0AD4" w:rsidRPr="00F338AB">
        <w:rPr>
          <w:rFonts w:eastAsia="MS Mincho" w:cstheme="minorHAnsi"/>
          <w:lang w:eastAsia="ja-JP"/>
        </w:rPr>
        <w:fldChar w:fldCharType="begin" w:fldLock="1"/>
      </w:r>
      <w:r w:rsidR="00BB0AD4" w:rsidRPr="00F338AB">
        <w:rPr>
          <w:rFonts w:eastAsia="MS Mincho" w:cstheme="minorHAnsi"/>
          <w:lang w:eastAsia="ja-JP"/>
        </w:rPr>
        <w:instrText>ADDIN CSL_CITATION {"citationItems":[{"id":"ITEM-1","itemData":{"DOI":"10.1016/j.ccr.2018.01.004","ISSN":"00108545","abstract":"Enabling strong and long-lived NIR emission from complexes with earth-abundant metal ions is exemplified by embedding chromium(III) in a very strong ligand field yielding the molecular ruby [Cr(ddpd)2]3+. This review aims at illustrating the main non-radiative decay pathways for electronically excited chromium(III) complexes, namely back-intersystem crossing, excited state distortion and multiphonon relaxation and at controlling these pathways by molecular design. The case study of [Cr(ddpd)2]3+ highlights recent successful design strategies and discusses first applications of the highly emissive 3d metal complex as optical sensor molecule and as photosensitizer.","author":[{"dropping-particle":"","family":"Otto","given":"Sven","non-dropping-particle":"","parse-names":false,"suffix":""},{"dropping-particle":"","family":"Dorn","given":"Matthias","non-dropping-particle":"","parse-names":false,"suffix":""},{"dropping-particle":"","family":"Förster","given":"Christoph","non-dropping-particle":"","parse-names":false,"suffix":""},{"dropping-particle":"","family":"Bauer","given":"Matthias","non-dropping-particle":"","parse-names":false,"suffix":""},{"dropping-particle":"","family":"Seitz","given":"Michael","non-dropping-particle":"","parse-names":false,"suffix":""},{"dropping-particle":"","family":"Heinze","given":"Katja","non-dropping-particle":"","parse-names":false,"suffix":""}],"container-title":"Coordination Chemistry Reviews","id":"ITEM-1","issued":{"date-parts":[["2018"]]},"page":"102-111","publisher":"Elsevier B.V.","title":"Understanding and exploiting long-lived near-infrared emission of a molecular ruby","type":"article-journal","volume":"359"},"uris":["http://www.mendeley.com/documents/?uuid=0181d22d-e9ec-4c3e-9afa-504288cf4dbd"]}],"mendeley":{"formattedCitation":"&lt;sup&gt;25&lt;/sup&gt;","plainTextFormattedCitation":"25","previouslyFormattedCitation":"&lt;sup&gt;25&lt;/sup&gt;"},"properties":{"noteIndex":0},"schema":"https://github.com/citation-style-language/schema/raw/master/csl-citation.json"}</w:instrText>
      </w:r>
      <w:r w:rsidR="00BB0AD4" w:rsidRPr="00F338AB">
        <w:rPr>
          <w:rFonts w:eastAsia="MS Mincho" w:cstheme="minorHAnsi"/>
          <w:lang w:eastAsia="ja-JP"/>
        </w:rPr>
        <w:fldChar w:fldCharType="separate"/>
      </w:r>
      <w:r w:rsidR="00BB0AD4" w:rsidRPr="00F338AB">
        <w:rPr>
          <w:rFonts w:eastAsia="MS Mincho" w:cstheme="minorHAnsi"/>
          <w:noProof/>
          <w:vertAlign w:val="superscript"/>
          <w:lang w:eastAsia="ja-JP"/>
        </w:rPr>
        <w:t>25</w:t>
      </w:r>
      <w:r w:rsidR="00BB0AD4" w:rsidRPr="00F338AB">
        <w:rPr>
          <w:rFonts w:eastAsia="MS Mincho" w:cstheme="minorHAnsi"/>
          <w:lang w:eastAsia="ja-JP"/>
        </w:rPr>
        <w:fldChar w:fldCharType="end"/>
      </w:r>
    </w:p>
    <w:p w14:paraId="679BE5EB" w14:textId="6D2A8852" w:rsidR="00CD58C8" w:rsidRPr="00F338AB" w:rsidRDefault="00CD58C8" w:rsidP="00F80269">
      <w:pPr>
        <w:spacing w:after="0" w:line="240" w:lineRule="atLeast"/>
        <w:jc w:val="both"/>
        <w:rPr>
          <w:b/>
          <w:bCs/>
          <w:sz w:val="16"/>
          <w:szCs w:val="16"/>
        </w:rPr>
        <w:sectPr w:rsidR="00CD58C8" w:rsidRPr="00F338AB" w:rsidSect="00B82DA3">
          <w:type w:val="continuous"/>
          <w:pgSz w:w="11907" w:h="16840" w:code="9"/>
          <w:pgMar w:top="1009" w:right="851" w:bottom="1758" w:left="851" w:header="851" w:footer="1049" w:gutter="0"/>
          <w:cols w:num="2" w:space="227"/>
          <w:titlePg/>
          <w:docGrid w:linePitch="360"/>
        </w:sectPr>
      </w:pPr>
    </w:p>
    <w:p w14:paraId="11B069C3" w14:textId="7557AFC1" w:rsidR="0037540F" w:rsidRPr="00F338AB" w:rsidRDefault="00D16C7C" w:rsidP="00EA2C1D">
      <w:pPr>
        <w:pStyle w:val="RSCB02ArticleText"/>
        <w:rPr>
          <w:vertAlign w:val="superscript"/>
        </w:rPr>
      </w:pPr>
      <w:r w:rsidRPr="00F338AB">
        <w:rPr>
          <w:b/>
          <w:bCs/>
          <w:sz w:val="16"/>
          <w:szCs w:val="16"/>
        </w:rPr>
        <w:t xml:space="preserve">Figure </w:t>
      </w:r>
      <w:r w:rsidR="006F4251" w:rsidRPr="00F338AB">
        <w:rPr>
          <w:b/>
          <w:bCs/>
          <w:sz w:val="16"/>
          <w:szCs w:val="16"/>
        </w:rPr>
        <w:t>2</w:t>
      </w:r>
      <w:r w:rsidRPr="00F338AB">
        <w:rPr>
          <w:b/>
          <w:bCs/>
          <w:sz w:val="16"/>
          <w:szCs w:val="16"/>
        </w:rPr>
        <w:t>.</w:t>
      </w:r>
      <w:r w:rsidR="006F4251" w:rsidRPr="00F338AB">
        <w:rPr>
          <w:b/>
          <w:bCs/>
          <w:sz w:val="16"/>
          <w:szCs w:val="16"/>
        </w:rPr>
        <w:t xml:space="preserve"> </w:t>
      </w:r>
      <w:r w:rsidR="00BA2CA6" w:rsidRPr="00F338AB">
        <w:rPr>
          <w:sz w:val="16"/>
          <w:szCs w:val="16"/>
        </w:rPr>
        <w:t>a)</w:t>
      </w:r>
      <w:r w:rsidR="00BA2CA6" w:rsidRPr="00F338AB">
        <w:rPr>
          <w:b/>
          <w:bCs/>
          <w:sz w:val="16"/>
          <w:szCs w:val="16"/>
        </w:rPr>
        <w:t xml:space="preserve"> </w:t>
      </w:r>
      <w:r w:rsidR="00794F5B" w:rsidRPr="00F338AB">
        <w:rPr>
          <w:sz w:val="16"/>
          <w:szCs w:val="16"/>
        </w:rPr>
        <w:t>Crystal structures</w:t>
      </w:r>
      <w:r w:rsidR="00565982" w:rsidRPr="00F338AB">
        <w:rPr>
          <w:sz w:val="16"/>
          <w:szCs w:val="16"/>
        </w:rPr>
        <w:t xml:space="preserve"> of complexes </w:t>
      </w:r>
      <w:r w:rsidR="00565982" w:rsidRPr="00F338AB">
        <w:rPr>
          <w:b/>
          <w:bCs/>
          <w:sz w:val="16"/>
          <w:szCs w:val="16"/>
        </w:rPr>
        <w:t>1</w:t>
      </w:r>
      <w:r w:rsidR="00565982" w:rsidRPr="00F338AB">
        <w:rPr>
          <w:sz w:val="16"/>
          <w:szCs w:val="16"/>
        </w:rPr>
        <w:t xml:space="preserve">, </w:t>
      </w:r>
      <w:r w:rsidR="00565982" w:rsidRPr="00F338AB">
        <w:rPr>
          <w:b/>
          <w:bCs/>
          <w:sz w:val="16"/>
          <w:szCs w:val="16"/>
        </w:rPr>
        <w:t>2</w:t>
      </w:r>
      <w:r w:rsidR="00565982" w:rsidRPr="00F338AB">
        <w:rPr>
          <w:sz w:val="16"/>
          <w:szCs w:val="16"/>
        </w:rPr>
        <w:t xml:space="preserve"> and </w:t>
      </w:r>
      <w:r w:rsidR="00565982" w:rsidRPr="00F338AB">
        <w:rPr>
          <w:b/>
          <w:bCs/>
          <w:sz w:val="16"/>
          <w:szCs w:val="16"/>
        </w:rPr>
        <w:t xml:space="preserve">3 </w:t>
      </w:r>
      <w:r w:rsidR="00565982" w:rsidRPr="00F338AB">
        <w:rPr>
          <w:sz w:val="16"/>
          <w:szCs w:val="16"/>
        </w:rPr>
        <w:t>including their</w:t>
      </w:r>
      <w:r w:rsidR="00794F5B" w:rsidRPr="00F338AB">
        <w:rPr>
          <w:sz w:val="16"/>
          <w:szCs w:val="16"/>
        </w:rPr>
        <w:t xml:space="preserve"> Cr-N bond distances</w:t>
      </w:r>
      <w:r w:rsidR="00565982" w:rsidRPr="00F338AB">
        <w:rPr>
          <w:sz w:val="16"/>
          <w:szCs w:val="16"/>
        </w:rPr>
        <w:t xml:space="preserve">. Triflate anions, solvent molecules and </w:t>
      </w:r>
      <w:r w:rsidR="00BA2CA6" w:rsidRPr="00F338AB">
        <w:rPr>
          <w:sz w:val="16"/>
          <w:szCs w:val="16"/>
        </w:rPr>
        <w:t>h</w:t>
      </w:r>
      <w:r w:rsidR="00565982" w:rsidRPr="00F338AB">
        <w:rPr>
          <w:sz w:val="16"/>
          <w:szCs w:val="16"/>
        </w:rPr>
        <w:t xml:space="preserve">ydrogen atoms were omitted for clarity. </w:t>
      </w:r>
      <w:bookmarkStart w:id="6" w:name="_Hlk135293430"/>
      <w:r w:rsidR="00565982" w:rsidRPr="00F338AB">
        <w:rPr>
          <w:sz w:val="16"/>
          <w:szCs w:val="16"/>
        </w:rPr>
        <w:t>Colo</w:t>
      </w:r>
      <w:r w:rsidR="00280FD0" w:rsidRPr="00F338AB">
        <w:rPr>
          <w:sz w:val="16"/>
          <w:szCs w:val="16"/>
        </w:rPr>
        <w:t>u</w:t>
      </w:r>
      <w:r w:rsidR="00565982" w:rsidRPr="00F338AB">
        <w:rPr>
          <w:sz w:val="16"/>
          <w:szCs w:val="16"/>
        </w:rPr>
        <w:t>r codes: Cr (orange), N (blue), C (gr</w:t>
      </w:r>
      <w:r w:rsidR="00280FD0" w:rsidRPr="00F338AB">
        <w:rPr>
          <w:sz w:val="16"/>
          <w:szCs w:val="16"/>
        </w:rPr>
        <w:t>e</w:t>
      </w:r>
      <w:r w:rsidR="00565982" w:rsidRPr="00F338AB">
        <w:rPr>
          <w:sz w:val="16"/>
          <w:szCs w:val="16"/>
        </w:rPr>
        <w:t>y), I (purple).</w:t>
      </w:r>
      <w:bookmarkEnd w:id="6"/>
      <w:r w:rsidR="00171FE7" w:rsidRPr="00F338AB">
        <w:rPr>
          <w:sz w:val="16"/>
          <w:szCs w:val="16"/>
        </w:rPr>
        <w:t xml:space="preserve"> </w:t>
      </w:r>
      <w:r w:rsidR="00BA2CA6" w:rsidRPr="00F338AB">
        <w:rPr>
          <w:sz w:val="16"/>
          <w:szCs w:val="16"/>
        </w:rPr>
        <w:t>b</w:t>
      </w:r>
      <w:r w:rsidRPr="00F338AB">
        <w:rPr>
          <w:sz w:val="16"/>
          <w:szCs w:val="16"/>
        </w:rPr>
        <w:t>)</w:t>
      </w:r>
      <w:r w:rsidR="00162C57" w:rsidRPr="00F338AB">
        <w:rPr>
          <w:sz w:val="16"/>
          <w:szCs w:val="16"/>
        </w:rPr>
        <w:t xml:space="preserve"> Absorption and emission spectra at room temperature (solid line) and 77 K (dashed line) of complexes </w:t>
      </w:r>
      <w:r w:rsidR="00162C57" w:rsidRPr="00F338AB">
        <w:rPr>
          <w:b/>
          <w:bCs/>
          <w:sz w:val="16"/>
          <w:szCs w:val="16"/>
        </w:rPr>
        <w:t>1</w:t>
      </w:r>
      <w:r w:rsidR="00162C57" w:rsidRPr="00F338AB">
        <w:rPr>
          <w:bCs/>
          <w:sz w:val="16"/>
          <w:szCs w:val="16"/>
        </w:rPr>
        <w:t xml:space="preserve"> (red),</w:t>
      </w:r>
      <w:r w:rsidR="00162C57" w:rsidRPr="00F338AB">
        <w:rPr>
          <w:sz w:val="16"/>
          <w:szCs w:val="16"/>
        </w:rPr>
        <w:t xml:space="preserve"> </w:t>
      </w:r>
      <w:r w:rsidR="00162C57" w:rsidRPr="00F338AB">
        <w:rPr>
          <w:b/>
          <w:bCs/>
          <w:sz w:val="16"/>
          <w:szCs w:val="16"/>
        </w:rPr>
        <w:t>2</w:t>
      </w:r>
      <w:r w:rsidR="00162C57" w:rsidRPr="00F338AB">
        <w:rPr>
          <w:sz w:val="16"/>
          <w:szCs w:val="16"/>
        </w:rPr>
        <w:t xml:space="preserve"> (green) and </w:t>
      </w:r>
      <w:r w:rsidR="00162C57" w:rsidRPr="00F338AB">
        <w:rPr>
          <w:b/>
          <w:bCs/>
          <w:sz w:val="16"/>
          <w:szCs w:val="16"/>
        </w:rPr>
        <w:t>3</w:t>
      </w:r>
      <w:r w:rsidR="00162C57" w:rsidRPr="00F338AB">
        <w:rPr>
          <w:sz w:val="16"/>
          <w:szCs w:val="16"/>
        </w:rPr>
        <w:t xml:space="preserve"> (blue) in acetonitrile. c) Excited state decays recorded </w:t>
      </w:r>
      <w:r w:rsidR="00162C57" w:rsidRPr="00F338AB">
        <w:rPr>
          <w:sz w:val="16"/>
          <w:szCs w:val="16"/>
        </w:rPr>
        <w:sym w:font="Symbol" w:char="F06C"/>
      </w:r>
      <w:proofErr w:type="spellStart"/>
      <w:r w:rsidR="00162C57" w:rsidRPr="00F338AB">
        <w:rPr>
          <w:sz w:val="16"/>
          <w:szCs w:val="16"/>
          <w:vertAlign w:val="subscript"/>
        </w:rPr>
        <w:t>em</w:t>
      </w:r>
      <w:proofErr w:type="spellEnd"/>
      <w:r w:rsidR="00162C57" w:rsidRPr="00F338AB">
        <w:rPr>
          <w:sz w:val="16"/>
          <w:szCs w:val="16"/>
          <w:vertAlign w:val="subscript"/>
        </w:rPr>
        <w:t xml:space="preserve"> </w:t>
      </w:r>
      <w:r w:rsidR="00162C57" w:rsidRPr="00F338AB">
        <w:rPr>
          <w:sz w:val="16"/>
          <w:szCs w:val="16"/>
        </w:rPr>
        <w:t>741 nm (</w:t>
      </w:r>
      <w:r w:rsidR="00162C57" w:rsidRPr="00F338AB">
        <w:rPr>
          <w:b/>
          <w:bCs/>
          <w:sz w:val="16"/>
          <w:szCs w:val="16"/>
        </w:rPr>
        <w:t>1</w:t>
      </w:r>
      <w:r w:rsidR="00162C57" w:rsidRPr="00F338AB">
        <w:rPr>
          <w:sz w:val="16"/>
          <w:szCs w:val="16"/>
        </w:rPr>
        <w:t>), 748 nm (</w:t>
      </w:r>
      <w:r w:rsidR="00162C57" w:rsidRPr="00F338AB">
        <w:rPr>
          <w:b/>
          <w:bCs/>
          <w:sz w:val="16"/>
          <w:szCs w:val="16"/>
        </w:rPr>
        <w:t>2</w:t>
      </w:r>
      <w:r w:rsidR="00162C57" w:rsidRPr="00F338AB">
        <w:rPr>
          <w:sz w:val="16"/>
          <w:szCs w:val="16"/>
        </w:rPr>
        <w:t>) and 830 nm (</w:t>
      </w:r>
      <w:r w:rsidR="00162C57" w:rsidRPr="00F338AB">
        <w:rPr>
          <w:b/>
          <w:bCs/>
          <w:sz w:val="16"/>
          <w:szCs w:val="16"/>
        </w:rPr>
        <w:t>3</w:t>
      </w:r>
      <w:r w:rsidR="00162C57" w:rsidRPr="00F338AB">
        <w:rPr>
          <w:sz w:val="16"/>
          <w:szCs w:val="16"/>
        </w:rPr>
        <w:t xml:space="preserve">) at room temperature and under argon atmosphere upon irradiation with a flashlamp at 480 nm. d) comparison of the emission spectra at 298 K (solid line) and 77 K (dashed line) in compound </w:t>
      </w:r>
      <w:r w:rsidR="00162C57" w:rsidRPr="00F338AB">
        <w:rPr>
          <w:b/>
          <w:bCs/>
          <w:sz w:val="16"/>
          <w:szCs w:val="16"/>
        </w:rPr>
        <w:t>1</w:t>
      </w:r>
      <w:r w:rsidR="00162C57" w:rsidRPr="00F338AB">
        <w:rPr>
          <w:sz w:val="16"/>
          <w:szCs w:val="16"/>
        </w:rPr>
        <w:t>-</w:t>
      </w:r>
      <w:r w:rsidR="00162C57" w:rsidRPr="00F338AB">
        <w:rPr>
          <w:b/>
          <w:bCs/>
          <w:sz w:val="16"/>
          <w:szCs w:val="16"/>
        </w:rPr>
        <w:t>3</w:t>
      </w:r>
      <w:r w:rsidR="00162C57" w:rsidRPr="00F338AB">
        <w:rPr>
          <w:sz w:val="16"/>
          <w:szCs w:val="16"/>
        </w:rPr>
        <w:t>.</w:t>
      </w:r>
    </w:p>
    <w:p w14:paraId="6B92F493" w14:textId="77777777" w:rsidR="0037540F" w:rsidRPr="00F338AB" w:rsidRDefault="0037540F" w:rsidP="00EA2C1D">
      <w:pPr>
        <w:pStyle w:val="RSCB02ArticleText"/>
        <w:rPr>
          <w:vertAlign w:val="superscript"/>
        </w:rPr>
      </w:pPr>
    </w:p>
    <w:p w14:paraId="65C7F05C" w14:textId="77777777" w:rsidR="00C90D28" w:rsidRPr="00F338AB" w:rsidRDefault="00C90D28" w:rsidP="00EA2C1D">
      <w:pPr>
        <w:pStyle w:val="RSCB02ArticleText"/>
        <w:rPr>
          <w:vertAlign w:val="superscript"/>
        </w:rPr>
        <w:sectPr w:rsidR="00C90D28" w:rsidRPr="00F338AB" w:rsidSect="00B82DA3">
          <w:headerReference w:type="first" r:id="rId20"/>
          <w:type w:val="continuous"/>
          <w:pgSz w:w="11907" w:h="16840" w:code="9"/>
          <w:pgMar w:top="1009" w:right="851" w:bottom="1758" w:left="851" w:header="851" w:footer="1049" w:gutter="0"/>
          <w:cols w:space="227"/>
          <w:titlePg/>
          <w:docGrid w:linePitch="360"/>
        </w:sectPr>
      </w:pPr>
    </w:p>
    <w:p w14:paraId="28BEFD97" w14:textId="2CFF7574" w:rsidR="00BB0AD4" w:rsidRPr="00F338AB" w:rsidRDefault="00B71950" w:rsidP="00D16C7C">
      <w:pPr>
        <w:pStyle w:val="RSCB02ArticleText"/>
        <w:rPr>
          <w:rFonts w:eastAsia="MS Mincho" w:cstheme="minorHAnsi"/>
          <w:lang w:eastAsia="ja-JP"/>
        </w:rPr>
      </w:pPr>
      <w:bookmarkStart w:id="7" w:name="_Hlk141716009"/>
      <w:bookmarkStart w:id="8" w:name="_Hlk140829783"/>
      <w:r w:rsidRPr="00F338AB">
        <w:rPr>
          <w:noProof/>
        </w:rPr>
        <w:lastRenderedPageBreak/>
        <w:drawing>
          <wp:anchor distT="0" distB="0" distL="114300" distR="114300" simplePos="0" relativeHeight="251656192" behindDoc="0" locked="0" layoutInCell="1" allowOverlap="1" wp14:anchorId="43A815B7" wp14:editId="04F630C7">
            <wp:simplePos x="0" y="0"/>
            <wp:positionH relativeFrom="column">
              <wp:align>right</wp:align>
            </wp:positionH>
            <wp:positionV relativeFrom="paragraph">
              <wp:posOffset>1791557</wp:posOffset>
            </wp:positionV>
            <wp:extent cx="3217545" cy="2997200"/>
            <wp:effectExtent l="0" t="0" r="1905" b="0"/>
            <wp:wrapTopAndBottom/>
            <wp:docPr id="57582936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1">
                      <a:extLst>
                        <a:ext uri="{28A0092B-C50C-407E-A947-70E740481C1C}">
                          <a14:useLocalDpi xmlns:a14="http://schemas.microsoft.com/office/drawing/2010/main" val="0"/>
                        </a:ext>
                      </a:extLst>
                    </a:blip>
                    <a:srcRect l="8169" r="21987" b="5258"/>
                    <a:stretch/>
                  </pic:blipFill>
                  <pic:spPr bwMode="auto">
                    <a:xfrm>
                      <a:off x="0" y="0"/>
                      <a:ext cx="3217545" cy="299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6C7C" w:rsidRPr="00F338AB">
        <w:rPr>
          <w:rFonts w:eastAsia="MS Mincho" w:cstheme="minorHAnsi"/>
          <w:lang w:eastAsia="ja-JP"/>
        </w:rPr>
        <w:t>At much lower energies (</w:t>
      </w:r>
      <w:r w:rsidR="001F68FE" w:rsidRPr="00F338AB">
        <w:rPr>
          <w:rFonts w:eastAsia="MS Mincho" w:cstheme="minorHAnsi"/>
          <w:lang w:eastAsia="ja-JP"/>
        </w:rPr>
        <w:t>12300</w:t>
      </w:r>
      <w:r w:rsidR="00D16C7C" w:rsidRPr="00F338AB">
        <w:rPr>
          <w:rFonts w:eastAsia="MS Mincho" w:cstheme="minorHAnsi"/>
          <w:lang w:eastAsia="ja-JP"/>
        </w:rPr>
        <w:t xml:space="preserve"> – </w:t>
      </w:r>
      <w:r w:rsidR="001F68FE" w:rsidRPr="00F338AB">
        <w:rPr>
          <w:rFonts w:eastAsia="MS Mincho" w:cstheme="minorHAnsi"/>
          <w:lang w:eastAsia="ja-JP"/>
        </w:rPr>
        <w:t>14500</w:t>
      </w:r>
      <w:r w:rsidR="00D16C7C" w:rsidRPr="00F338AB">
        <w:rPr>
          <w:rFonts w:eastAsia="MS Mincho" w:cstheme="minorHAnsi"/>
          <w:lang w:eastAsia="ja-JP"/>
        </w:rPr>
        <w:t xml:space="preserve"> </w:t>
      </w:r>
      <w:r w:rsidR="001F68FE" w:rsidRPr="00F338AB">
        <w:rPr>
          <w:rFonts w:eastAsia="MS Mincho" w:cstheme="minorHAnsi"/>
          <w:lang w:eastAsia="ja-JP"/>
        </w:rPr>
        <w:t>cm</w:t>
      </w:r>
      <w:r w:rsidR="001F68FE" w:rsidRPr="00F338AB">
        <w:rPr>
          <w:rFonts w:eastAsia="MS Mincho" w:cstheme="minorHAnsi"/>
          <w:vertAlign w:val="superscript"/>
          <w:lang w:eastAsia="ja-JP"/>
        </w:rPr>
        <w:t>-1</w:t>
      </w:r>
      <w:r w:rsidR="00D16C7C" w:rsidRPr="00F338AB">
        <w:rPr>
          <w:rFonts w:eastAsia="MS Mincho" w:cstheme="minorHAnsi"/>
          <w:lang w:eastAsia="ja-JP"/>
        </w:rPr>
        <w:t>),</w:t>
      </w:r>
      <w:r w:rsidR="00CB212B" w:rsidRPr="00F338AB">
        <w:rPr>
          <w:rFonts w:eastAsia="MS Mincho" w:cstheme="minorHAnsi"/>
          <w:lang w:eastAsia="ja-JP"/>
        </w:rPr>
        <w:t xml:space="preserve"> in solution and </w:t>
      </w:r>
      <w:r w:rsidR="001F68FE" w:rsidRPr="00F338AB">
        <w:rPr>
          <w:rFonts w:eastAsia="MS Mincho" w:cstheme="minorHAnsi"/>
          <w:lang w:eastAsia="ja-JP"/>
        </w:rPr>
        <w:t xml:space="preserve">in </w:t>
      </w:r>
      <w:r w:rsidR="00CB212B" w:rsidRPr="00F338AB">
        <w:rPr>
          <w:rFonts w:eastAsia="MS Mincho" w:cstheme="minorHAnsi"/>
          <w:lang w:eastAsia="ja-JP"/>
        </w:rPr>
        <w:t>solid state,</w:t>
      </w:r>
      <w:r w:rsidR="00D16C7C" w:rsidRPr="00F338AB">
        <w:rPr>
          <w:rFonts w:eastAsia="MS Mincho" w:cstheme="minorHAnsi"/>
          <w:lang w:eastAsia="ja-JP"/>
        </w:rPr>
        <w:t xml:space="preserve"> the absorption spectra displayed </w:t>
      </w:r>
      <w:r w:rsidR="00A121D9" w:rsidRPr="00F338AB">
        <w:rPr>
          <w:rFonts w:eastAsia="MS Mincho" w:cstheme="minorHAnsi"/>
          <w:lang w:eastAsia="ja-JP"/>
        </w:rPr>
        <w:t xml:space="preserve">two main </w:t>
      </w:r>
      <w:r w:rsidR="00D16C7C" w:rsidRPr="00F338AB">
        <w:rPr>
          <w:rFonts w:eastAsia="MS Mincho" w:cstheme="minorHAnsi"/>
          <w:lang w:eastAsia="ja-JP"/>
        </w:rPr>
        <w:t>band</w:t>
      </w:r>
      <w:r w:rsidR="00A121D9" w:rsidRPr="00F338AB">
        <w:rPr>
          <w:rFonts w:eastAsia="MS Mincho" w:cstheme="minorHAnsi"/>
          <w:lang w:eastAsia="ja-JP"/>
        </w:rPr>
        <w:t>s</w:t>
      </w:r>
      <w:r w:rsidR="00D16C7C" w:rsidRPr="00F338AB">
        <w:rPr>
          <w:rFonts w:eastAsia="MS Mincho" w:cstheme="minorHAnsi"/>
          <w:lang w:eastAsia="ja-JP"/>
        </w:rPr>
        <w:t xml:space="preserve"> with maxima at </w:t>
      </w:r>
      <w:r w:rsidR="001F68FE" w:rsidRPr="00F338AB">
        <w:rPr>
          <w:rFonts w:eastAsia="MS Mincho" w:cstheme="minorHAnsi"/>
          <w:i/>
          <w:lang w:eastAsia="ja-JP"/>
        </w:rPr>
        <w:sym w:font="Symbol" w:char="F07E"/>
      </w:r>
      <w:r w:rsidR="00D16C7C" w:rsidRPr="00F338AB">
        <w:rPr>
          <w:rFonts w:eastAsia="MS Mincho" w:cstheme="minorHAnsi"/>
          <w:lang w:eastAsia="ja-JP"/>
        </w:rPr>
        <w:t xml:space="preserve"> 740 nm</w:t>
      </w:r>
      <w:r w:rsidR="00CB212B" w:rsidRPr="00F338AB">
        <w:rPr>
          <w:rFonts w:eastAsia="MS Mincho" w:cstheme="minorHAnsi"/>
          <w:lang w:eastAsia="ja-JP"/>
        </w:rPr>
        <w:t xml:space="preserve">, </w:t>
      </w:r>
      <w:r w:rsidR="00D16C7C" w:rsidRPr="00F338AB">
        <w:rPr>
          <w:rFonts w:eastAsia="MS Mincho" w:cstheme="minorHAnsi"/>
          <w:lang w:eastAsia="ja-JP"/>
        </w:rPr>
        <w:t>with a molar extinction coefficient</w:t>
      </w:r>
      <w:r w:rsidR="001F68FE" w:rsidRPr="00F338AB">
        <w:rPr>
          <w:rFonts w:eastAsia="MS Mincho" w:cstheme="minorHAnsi"/>
          <w:lang w:eastAsia="ja-JP"/>
        </w:rPr>
        <w:t xml:space="preserve"> (</w:t>
      </w:r>
      <w:r w:rsidR="001F68FE" w:rsidRPr="00F338AB">
        <w:rPr>
          <w:rFonts w:eastAsia="MS Mincho" w:cstheme="minorHAnsi"/>
          <w:lang w:eastAsia="ja-JP"/>
        </w:rPr>
        <w:sym w:font="Symbol" w:char="F065"/>
      </w:r>
      <w:r w:rsidR="001F68FE" w:rsidRPr="00F338AB">
        <w:rPr>
          <w:rFonts w:eastAsia="MS Mincho" w:cstheme="minorHAnsi"/>
          <w:lang w:eastAsia="ja-JP"/>
        </w:rPr>
        <w:t>)</w:t>
      </w:r>
      <w:r w:rsidR="00D16C7C" w:rsidRPr="00F338AB">
        <w:rPr>
          <w:rFonts w:eastAsia="MS Mincho" w:cstheme="minorHAnsi"/>
          <w:lang w:eastAsia="ja-JP"/>
        </w:rPr>
        <w:t xml:space="preserve"> of 0.58 M</w:t>
      </w:r>
      <w:r w:rsidR="00D16C7C" w:rsidRPr="00F338AB">
        <w:rPr>
          <w:rFonts w:eastAsia="MS Mincho" w:cstheme="minorHAnsi"/>
          <w:vertAlign w:val="superscript"/>
          <w:lang w:eastAsia="ja-JP"/>
        </w:rPr>
        <w:t>−1</w:t>
      </w:r>
      <w:r w:rsidR="00D16C7C" w:rsidRPr="00F338AB">
        <w:rPr>
          <w:rFonts w:eastAsia="MS Mincho" w:cstheme="minorHAnsi"/>
          <w:lang w:eastAsia="ja-JP"/>
        </w:rPr>
        <w:t>·cm</w:t>
      </w:r>
      <w:r w:rsidR="00D16C7C" w:rsidRPr="00F338AB">
        <w:rPr>
          <w:rFonts w:eastAsia="MS Mincho" w:cstheme="minorHAnsi"/>
          <w:vertAlign w:val="superscript"/>
          <w:lang w:eastAsia="ja-JP"/>
        </w:rPr>
        <w:t>−1</w:t>
      </w:r>
      <w:r w:rsidR="00D16C7C" w:rsidRPr="00F338AB">
        <w:rPr>
          <w:rFonts w:eastAsia="MS Mincho" w:cstheme="minorHAnsi"/>
          <w:lang w:eastAsia="ja-JP"/>
        </w:rPr>
        <w:t xml:space="preserve"> and 1.27 M</w:t>
      </w:r>
      <w:r w:rsidR="00D16C7C" w:rsidRPr="00F338AB">
        <w:rPr>
          <w:rFonts w:eastAsia="MS Mincho" w:cstheme="minorHAnsi"/>
          <w:vertAlign w:val="superscript"/>
          <w:lang w:eastAsia="ja-JP"/>
        </w:rPr>
        <w:t>−1</w:t>
      </w:r>
      <w:r w:rsidR="00D16C7C" w:rsidRPr="00F338AB">
        <w:rPr>
          <w:rFonts w:eastAsia="MS Mincho" w:cstheme="minorHAnsi"/>
          <w:lang w:eastAsia="ja-JP"/>
        </w:rPr>
        <w:t>·cm</w:t>
      </w:r>
      <w:r w:rsidR="00D16C7C" w:rsidRPr="00F338AB">
        <w:rPr>
          <w:rFonts w:eastAsia="MS Mincho" w:cstheme="minorHAnsi"/>
          <w:vertAlign w:val="superscript"/>
          <w:lang w:eastAsia="ja-JP"/>
        </w:rPr>
        <w:t>−1</w:t>
      </w:r>
      <w:r w:rsidR="00D16C7C" w:rsidRPr="00F338AB">
        <w:rPr>
          <w:rFonts w:eastAsia="MS Mincho" w:cstheme="minorHAnsi"/>
          <w:lang w:eastAsia="ja-JP"/>
        </w:rPr>
        <w:t xml:space="preserve"> for </w:t>
      </w:r>
      <w:r w:rsidR="00D16C7C" w:rsidRPr="00F338AB">
        <w:rPr>
          <w:rFonts w:eastAsia="MS Mincho" w:cstheme="minorHAnsi"/>
          <w:b/>
          <w:bCs/>
          <w:lang w:eastAsia="ja-JP"/>
        </w:rPr>
        <w:t>1</w:t>
      </w:r>
      <w:r w:rsidR="00D16C7C" w:rsidRPr="00F338AB">
        <w:rPr>
          <w:rFonts w:eastAsia="MS Mincho" w:cstheme="minorHAnsi"/>
          <w:lang w:eastAsia="ja-JP"/>
        </w:rPr>
        <w:t xml:space="preserve"> and </w:t>
      </w:r>
      <w:r w:rsidR="00D16C7C" w:rsidRPr="00F338AB">
        <w:rPr>
          <w:rFonts w:eastAsia="MS Mincho" w:cstheme="minorHAnsi"/>
          <w:b/>
          <w:bCs/>
          <w:lang w:eastAsia="ja-JP"/>
        </w:rPr>
        <w:t>2</w:t>
      </w:r>
      <w:r w:rsidR="00D16C7C" w:rsidRPr="00F338AB">
        <w:rPr>
          <w:rFonts w:eastAsia="MS Mincho" w:cstheme="minorHAnsi"/>
          <w:lang w:eastAsia="ja-JP"/>
        </w:rPr>
        <w:t xml:space="preserve"> respectively</w:t>
      </w:r>
      <w:r w:rsidR="001E1F8B" w:rsidRPr="00F338AB">
        <w:rPr>
          <w:rFonts w:eastAsia="MS Mincho" w:cstheme="minorHAnsi"/>
          <w:lang w:eastAsia="ja-JP"/>
        </w:rPr>
        <w:t>. For compound</w:t>
      </w:r>
      <w:r w:rsidR="001E1F8B" w:rsidRPr="00F338AB">
        <w:rPr>
          <w:rFonts w:eastAsia="MS Mincho" w:cstheme="minorHAnsi"/>
          <w:b/>
          <w:bCs/>
          <w:lang w:eastAsia="ja-JP"/>
        </w:rPr>
        <w:t xml:space="preserve"> 3</w:t>
      </w:r>
      <w:r w:rsidR="001E1F8B" w:rsidRPr="00F338AB">
        <w:rPr>
          <w:rFonts w:eastAsia="MS Mincho" w:cstheme="minorHAnsi"/>
          <w:lang w:eastAsia="ja-JP"/>
        </w:rPr>
        <w:t xml:space="preserve"> the band maximum is red-shifted up to</w:t>
      </w:r>
      <w:r w:rsidR="00CB212B" w:rsidRPr="00F338AB">
        <w:rPr>
          <w:rFonts w:eastAsia="MS Mincho" w:cstheme="minorHAnsi"/>
          <w:lang w:eastAsia="ja-JP"/>
        </w:rPr>
        <w:t xml:space="preserve"> 773 with </w:t>
      </w:r>
      <w:r w:rsidR="00CB212B" w:rsidRPr="00F338AB">
        <w:rPr>
          <w:rFonts w:eastAsia="MS Mincho" w:cstheme="minorHAnsi"/>
          <w:lang w:eastAsia="ja-JP"/>
        </w:rPr>
        <w:sym w:font="Symbol" w:char="F065"/>
      </w:r>
      <w:r w:rsidR="00CB212B" w:rsidRPr="00F338AB">
        <w:rPr>
          <w:rFonts w:eastAsia="MS Mincho" w:cstheme="minorHAnsi"/>
          <w:lang w:eastAsia="ja-JP"/>
        </w:rPr>
        <w:t xml:space="preserve"> = 0.6 M</w:t>
      </w:r>
      <w:r w:rsidR="00CB212B" w:rsidRPr="00F338AB">
        <w:rPr>
          <w:rFonts w:eastAsia="MS Mincho" w:cstheme="minorHAnsi"/>
          <w:vertAlign w:val="superscript"/>
          <w:lang w:eastAsia="ja-JP"/>
        </w:rPr>
        <w:t>−1</w:t>
      </w:r>
      <w:r w:rsidR="00CB212B" w:rsidRPr="00F338AB">
        <w:rPr>
          <w:rFonts w:eastAsia="MS Mincho" w:cstheme="minorHAnsi"/>
          <w:lang w:eastAsia="ja-JP"/>
        </w:rPr>
        <w:t>·cm</w:t>
      </w:r>
      <w:r w:rsidR="00CB212B" w:rsidRPr="00F338AB">
        <w:rPr>
          <w:rFonts w:eastAsia="MS Mincho" w:cstheme="minorHAnsi"/>
          <w:vertAlign w:val="superscript"/>
          <w:lang w:eastAsia="ja-JP"/>
        </w:rPr>
        <w:t>−1</w:t>
      </w:r>
      <w:r w:rsidR="0051385E" w:rsidRPr="00F338AB">
        <w:rPr>
          <w:rFonts w:eastAsia="MS Mincho" w:cstheme="minorHAnsi"/>
          <w:lang w:eastAsia="ja-JP"/>
        </w:rPr>
        <w:t xml:space="preserve"> (Fig. </w:t>
      </w:r>
      <w:r w:rsidR="00F92BFE" w:rsidRPr="00F338AB">
        <w:rPr>
          <w:rFonts w:eastAsia="MS Mincho" w:cstheme="minorHAnsi"/>
          <w:lang w:eastAsia="ja-JP"/>
        </w:rPr>
        <w:t>3 and Fig. S8</w:t>
      </w:r>
      <w:r w:rsidR="0051385E" w:rsidRPr="00F338AB">
        <w:rPr>
          <w:rFonts w:eastAsia="MS Mincho" w:cstheme="minorHAnsi"/>
          <w:lang w:eastAsia="ja-JP"/>
        </w:rPr>
        <w:t>).</w:t>
      </w:r>
      <w:r w:rsidR="00D16C7C" w:rsidRPr="00F338AB">
        <w:rPr>
          <w:rFonts w:eastAsia="MS Mincho" w:cstheme="minorHAnsi"/>
          <w:lang w:eastAsia="ja-JP"/>
        </w:rPr>
        <w:t xml:space="preserve"> Weaker </w:t>
      </w:r>
      <w:r w:rsidR="001E1F8B" w:rsidRPr="00F338AB">
        <w:rPr>
          <w:rFonts w:eastAsia="MS Mincho" w:cstheme="minorHAnsi"/>
          <w:lang w:eastAsia="ja-JP"/>
        </w:rPr>
        <w:t xml:space="preserve">absorption </w:t>
      </w:r>
      <w:r w:rsidR="00D16C7C" w:rsidRPr="00F338AB">
        <w:rPr>
          <w:rFonts w:eastAsia="MS Mincho" w:cstheme="minorHAnsi"/>
          <w:lang w:eastAsia="ja-JP"/>
        </w:rPr>
        <w:t>bands at</w:t>
      </w:r>
      <w:r w:rsidR="001F68FE" w:rsidRPr="00F338AB">
        <w:rPr>
          <w:rFonts w:eastAsia="MS Mincho" w:cstheme="minorHAnsi"/>
          <w:lang w:eastAsia="ja-JP"/>
        </w:rPr>
        <w:t xml:space="preserve"> </w:t>
      </w:r>
      <w:r w:rsidR="00D16C7C" w:rsidRPr="00F338AB">
        <w:rPr>
          <w:rFonts w:eastAsia="MS Mincho" w:cstheme="minorHAnsi"/>
          <w:lang w:eastAsia="ja-JP"/>
        </w:rPr>
        <w:t xml:space="preserve">690 nm with </w:t>
      </w:r>
      <w:r w:rsidR="00D16C7C" w:rsidRPr="00F338AB">
        <w:rPr>
          <w:rFonts w:eastAsia="MS Mincho" w:cstheme="minorHAnsi"/>
          <w:lang w:eastAsia="ja-JP"/>
        </w:rPr>
        <w:sym w:font="Symbol" w:char="F065"/>
      </w:r>
      <w:r w:rsidR="00D16C7C" w:rsidRPr="00F338AB">
        <w:rPr>
          <w:rFonts w:eastAsia="MS Mincho" w:cstheme="minorHAnsi"/>
          <w:lang w:eastAsia="ja-JP"/>
        </w:rPr>
        <w:t xml:space="preserve"> = 0.1 – 0.2 M</w:t>
      </w:r>
      <w:r w:rsidR="00D16C7C" w:rsidRPr="00F338AB">
        <w:rPr>
          <w:rFonts w:eastAsia="MS Mincho" w:cstheme="minorHAnsi"/>
          <w:vertAlign w:val="superscript"/>
          <w:lang w:eastAsia="ja-JP"/>
        </w:rPr>
        <w:t>−1</w:t>
      </w:r>
      <w:r w:rsidR="00D16C7C" w:rsidRPr="00F338AB">
        <w:rPr>
          <w:rFonts w:eastAsia="MS Mincho" w:cstheme="minorHAnsi"/>
          <w:lang w:eastAsia="ja-JP"/>
        </w:rPr>
        <w:t>·cm</w:t>
      </w:r>
      <w:r w:rsidR="00D16C7C" w:rsidRPr="00F338AB">
        <w:rPr>
          <w:rFonts w:eastAsia="MS Mincho" w:cstheme="minorHAnsi"/>
          <w:vertAlign w:val="superscript"/>
          <w:lang w:eastAsia="ja-JP"/>
        </w:rPr>
        <w:t>−1</w:t>
      </w:r>
      <w:r w:rsidR="00D16C7C" w:rsidRPr="00F338AB">
        <w:rPr>
          <w:rFonts w:eastAsia="MS Mincho" w:cstheme="minorHAnsi"/>
          <w:lang w:eastAsia="ja-JP"/>
        </w:rPr>
        <w:t xml:space="preserve"> </w:t>
      </w:r>
      <w:r w:rsidR="00CB212B" w:rsidRPr="00F338AB">
        <w:rPr>
          <w:rFonts w:eastAsia="MS Mincho" w:cstheme="minorHAnsi"/>
          <w:lang w:eastAsia="ja-JP"/>
        </w:rPr>
        <w:t xml:space="preserve">for </w:t>
      </w:r>
      <w:r w:rsidR="00CB212B" w:rsidRPr="00F338AB">
        <w:rPr>
          <w:rFonts w:eastAsia="MS Mincho" w:cstheme="minorHAnsi"/>
          <w:b/>
          <w:bCs/>
          <w:lang w:eastAsia="ja-JP"/>
        </w:rPr>
        <w:t>1</w:t>
      </w:r>
      <w:r w:rsidR="00CB212B" w:rsidRPr="00F338AB">
        <w:rPr>
          <w:rFonts w:eastAsia="MS Mincho" w:cstheme="minorHAnsi"/>
          <w:lang w:eastAsia="ja-JP"/>
        </w:rPr>
        <w:t xml:space="preserve"> and </w:t>
      </w:r>
      <w:r w:rsidR="00CB212B" w:rsidRPr="00F338AB">
        <w:rPr>
          <w:rFonts w:eastAsia="MS Mincho" w:cstheme="minorHAnsi"/>
          <w:b/>
          <w:bCs/>
          <w:lang w:eastAsia="ja-JP"/>
        </w:rPr>
        <w:t>2</w:t>
      </w:r>
      <w:r w:rsidR="00CB212B" w:rsidRPr="00F338AB">
        <w:rPr>
          <w:rFonts w:eastAsia="MS Mincho" w:cstheme="minorHAnsi"/>
          <w:lang w:eastAsia="ja-JP"/>
        </w:rPr>
        <w:t>, and 717 nm</w:t>
      </w:r>
      <w:r w:rsidR="0051385E" w:rsidRPr="00F338AB">
        <w:rPr>
          <w:rFonts w:eastAsia="MS Mincho" w:cstheme="minorHAnsi"/>
          <w:lang w:eastAsia="ja-JP"/>
        </w:rPr>
        <w:t xml:space="preserve"> for </w:t>
      </w:r>
      <w:r w:rsidR="0051385E" w:rsidRPr="00F338AB">
        <w:rPr>
          <w:rFonts w:eastAsia="MS Mincho" w:cstheme="minorHAnsi"/>
          <w:b/>
          <w:bCs/>
          <w:lang w:eastAsia="ja-JP"/>
        </w:rPr>
        <w:t>3</w:t>
      </w:r>
      <w:r w:rsidR="00CB212B" w:rsidRPr="00F338AB">
        <w:rPr>
          <w:rFonts w:eastAsia="MS Mincho" w:cstheme="minorHAnsi"/>
          <w:lang w:eastAsia="ja-JP"/>
        </w:rPr>
        <w:t xml:space="preserve"> with </w:t>
      </w:r>
      <w:r w:rsidR="00CB212B" w:rsidRPr="00F338AB">
        <w:rPr>
          <w:rFonts w:eastAsia="MS Mincho" w:cstheme="minorHAnsi"/>
          <w:i/>
          <w:iCs/>
          <w:lang w:eastAsia="ja-JP"/>
        </w:rPr>
        <w:sym w:font="Symbol" w:char="F065"/>
      </w:r>
      <w:r w:rsidR="00CB212B" w:rsidRPr="00F338AB">
        <w:rPr>
          <w:rFonts w:eastAsia="MS Mincho" w:cstheme="minorHAnsi"/>
          <w:lang w:eastAsia="ja-JP"/>
        </w:rPr>
        <w:t xml:space="preserve"> = 0.</w:t>
      </w:r>
      <w:r w:rsidR="003644E9" w:rsidRPr="00F338AB">
        <w:rPr>
          <w:rFonts w:eastAsia="MS Mincho" w:cstheme="minorHAnsi"/>
          <w:lang w:eastAsia="ja-JP"/>
        </w:rPr>
        <w:t>21</w:t>
      </w:r>
      <w:r w:rsidR="00CB212B" w:rsidRPr="00F338AB">
        <w:rPr>
          <w:rFonts w:eastAsia="MS Mincho" w:cstheme="minorHAnsi"/>
          <w:lang w:eastAsia="ja-JP"/>
        </w:rPr>
        <w:t xml:space="preserve"> M</w:t>
      </w:r>
      <w:r w:rsidR="00CB212B" w:rsidRPr="00F338AB">
        <w:rPr>
          <w:rFonts w:eastAsia="MS Mincho" w:cstheme="minorHAnsi"/>
          <w:vertAlign w:val="superscript"/>
          <w:lang w:eastAsia="ja-JP"/>
        </w:rPr>
        <w:t>−1</w:t>
      </w:r>
      <w:r w:rsidR="00CB212B" w:rsidRPr="00F338AB">
        <w:rPr>
          <w:rFonts w:eastAsia="MS Mincho" w:cstheme="minorHAnsi"/>
          <w:lang w:eastAsia="ja-JP"/>
        </w:rPr>
        <w:t>·cm</w:t>
      </w:r>
      <w:r w:rsidR="00CB212B" w:rsidRPr="00F338AB">
        <w:rPr>
          <w:rFonts w:eastAsia="MS Mincho" w:cstheme="minorHAnsi"/>
          <w:vertAlign w:val="superscript"/>
          <w:lang w:eastAsia="ja-JP"/>
        </w:rPr>
        <w:t>−1</w:t>
      </w:r>
      <w:r w:rsidR="00CB212B" w:rsidRPr="00F338AB">
        <w:rPr>
          <w:rFonts w:eastAsia="MS Mincho" w:cstheme="minorHAnsi"/>
          <w:lang w:eastAsia="ja-JP"/>
        </w:rPr>
        <w:t xml:space="preserve"> have </w:t>
      </w:r>
      <w:r w:rsidR="00D16C7C" w:rsidRPr="00F338AB">
        <w:rPr>
          <w:rFonts w:eastAsia="MS Mincho" w:cstheme="minorHAnsi"/>
          <w:lang w:eastAsia="ja-JP"/>
        </w:rPr>
        <w:t xml:space="preserve">also been detected. </w:t>
      </w:r>
      <w:bookmarkStart w:id="9" w:name="_Hlk141715950"/>
      <w:bookmarkEnd w:id="7"/>
      <w:r w:rsidR="00D16C7C" w:rsidRPr="00F338AB">
        <w:rPr>
          <w:rFonts w:eastAsia="MS Mincho" w:cstheme="minorHAnsi"/>
          <w:lang w:eastAsia="ja-JP"/>
        </w:rPr>
        <w:t>These bands correspond to the spin-forbidden direct transitions</w:t>
      </w:r>
      <w:r w:rsidR="00CB212B" w:rsidRPr="00F338AB">
        <w:rPr>
          <w:rFonts w:eastAsia="MS Mincho" w:cstheme="minorHAnsi"/>
          <w:lang w:eastAsia="ja-JP"/>
        </w:rPr>
        <w:t xml:space="preserve"> from the quartet ground state (</w:t>
      </w:r>
      <w:r w:rsidR="00CB212B" w:rsidRPr="00F338AB">
        <w:rPr>
          <w:rFonts w:eastAsia="MS Mincho" w:cstheme="minorHAnsi"/>
          <w:vertAlign w:val="superscript"/>
          <w:lang w:eastAsia="ja-JP"/>
        </w:rPr>
        <w:t>4</w:t>
      </w:r>
      <w:r w:rsidR="00CB212B" w:rsidRPr="00F338AB">
        <w:rPr>
          <w:rFonts w:eastAsia="MS Mincho" w:cstheme="minorHAnsi"/>
          <w:lang w:eastAsia="ja-JP"/>
        </w:rPr>
        <w:t>A</w:t>
      </w:r>
      <w:r w:rsidR="00CB212B" w:rsidRPr="00F338AB">
        <w:rPr>
          <w:rFonts w:eastAsia="MS Mincho" w:cstheme="minorHAnsi"/>
          <w:vertAlign w:val="subscript"/>
          <w:lang w:eastAsia="ja-JP"/>
        </w:rPr>
        <w:t>2</w:t>
      </w:r>
      <w:r w:rsidR="00CB212B" w:rsidRPr="00F338AB">
        <w:rPr>
          <w:rFonts w:eastAsia="MS Mincho" w:cstheme="minorHAnsi"/>
          <w:lang w:eastAsia="ja-JP"/>
        </w:rPr>
        <w:t>)</w:t>
      </w:r>
      <w:r w:rsidR="00D16C7C" w:rsidRPr="00F338AB">
        <w:rPr>
          <w:rFonts w:eastAsia="MS Mincho" w:cstheme="minorHAnsi"/>
          <w:lang w:eastAsia="ja-JP"/>
        </w:rPr>
        <w:t xml:space="preserve"> to the </w:t>
      </w:r>
      <w:r w:rsidR="00F92BFE" w:rsidRPr="00F338AB">
        <w:rPr>
          <w:rFonts w:eastAsia="MS Mincho" w:cstheme="minorHAnsi"/>
          <w:lang w:eastAsia="ja-JP"/>
        </w:rPr>
        <w:t xml:space="preserve">manifold </w:t>
      </w:r>
      <w:r w:rsidR="00D16C7C" w:rsidRPr="00F338AB">
        <w:rPr>
          <w:rFonts w:eastAsia="MS Mincho" w:cstheme="minorHAnsi"/>
          <w:lang w:eastAsia="ja-JP"/>
        </w:rPr>
        <w:t>low-lying doublet metal-</w:t>
      </w:r>
      <w:proofErr w:type="spellStart"/>
      <w:r w:rsidR="00280FD0" w:rsidRPr="00F338AB">
        <w:rPr>
          <w:rFonts w:eastAsia="MS Mincho" w:cstheme="minorHAnsi"/>
          <w:lang w:eastAsia="ja-JP"/>
        </w:rPr>
        <w:t>centered</w:t>
      </w:r>
      <w:proofErr w:type="spellEnd"/>
      <w:r w:rsidR="00D16C7C" w:rsidRPr="00F338AB">
        <w:rPr>
          <w:rFonts w:eastAsia="MS Mincho" w:cstheme="minorHAnsi"/>
          <w:lang w:eastAsia="ja-JP"/>
        </w:rPr>
        <w:t xml:space="preserve"> excited states</w:t>
      </w:r>
      <w:r w:rsidR="00CB212B" w:rsidRPr="00F338AB">
        <w:rPr>
          <w:rFonts w:eastAsia="MS Mincho" w:cstheme="minorHAnsi"/>
          <w:lang w:eastAsia="ja-JP"/>
        </w:rPr>
        <w:t xml:space="preserve"> (</w:t>
      </w:r>
      <w:r w:rsidR="00CB212B" w:rsidRPr="00F338AB">
        <w:rPr>
          <w:rFonts w:eastAsia="MS Mincho" w:cstheme="minorHAnsi"/>
          <w:vertAlign w:val="superscript"/>
          <w:lang w:eastAsia="ja-JP"/>
        </w:rPr>
        <w:t>2</w:t>
      </w:r>
      <w:r w:rsidR="00CB212B" w:rsidRPr="00F338AB">
        <w:rPr>
          <w:rFonts w:eastAsia="MS Mincho" w:cstheme="minorHAnsi"/>
          <w:lang w:eastAsia="ja-JP"/>
        </w:rPr>
        <w:t xml:space="preserve">E and </w:t>
      </w:r>
      <w:r w:rsidR="00CB212B" w:rsidRPr="00F338AB">
        <w:rPr>
          <w:rFonts w:eastAsia="MS Mincho" w:cstheme="minorHAnsi"/>
          <w:vertAlign w:val="superscript"/>
          <w:lang w:eastAsia="ja-JP"/>
        </w:rPr>
        <w:t>2</w:t>
      </w:r>
      <w:r w:rsidR="00CB212B" w:rsidRPr="00F338AB">
        <w:rPr>
          <w:rFonts w:eastAsia="MS Mincho" w:cstheme="minorHAnsi"/>
          <w:lang w:eastAsia="ja-JP"/>
        </w:rPr>
        <w:t>T</w:t>
      </w:r>
      <w:r w:rsidR="00CB212B" w:rsidRPr="00F338AB">
        <w:rPr>
          <w:rFonts w:eastAsia="MS Mincho" w:cstheme="minorHAnsi"/>
          <w:vertAlign w:val="subscript"/>
          <w:lang w:eastAsia="ja-JP"/>
        </w:rPr>
        <w:t>1</w:t>
      </w:r>
      <w:r w:rsidR="00CB212B" w:rsidRPr="00F338AB">
        <w:rPr>
          <w:rFonts w:eastAsia="MS Mincho" w:cstheme="minorHAnsi"/>
          <w:lang w:eastAsia="ja-JP"/>
        </w:rPr>
        <w:t>)</w:t>
      </w:r>
      <w:r w:rsidR="00D16C7C" w:rsidRPr="00F338AB">
        <w:rPr>
          <w:rFonts w:eastAsia="MS Mincho" w:cstheme="minorHAnsi"/>
          <w:lang w:eastAsia="ja-JP"/>
        </w:rPr>
        <w:t>.</w:t>
      </w:r>
      <w:bookmarkEnd w:id="9"/>
      <w:r w:rsidR="00D16C7C" w:rsidRPr="00F338AB">
        <w:rPr>
          <w:rFonts w:eastAsia="MS Mincho" w:cstheme="minorHAnsi"/>
          <w:lang w:eastAsia="ja-JP"/>
        </w:rPr>
        <w:t xml:space="preserve"> </w:t>
      </w:r>
    </w:p>
    <w:p w14:paraId="0E5CBB03" w14:textId="28AC35D9" w:rsidR="00BB0AD4" w:rsidRPr="00F338AB" w:rsidRDefault="00BB0AD4" w:rsidP="00BB0AD4">
      <w:pPr>
        <w:pStyle w:val="RSCB02ArticleText"/>
        <w:rPr>
          <w:sz w:val="16"/>
          <w:szCs w:val="16"/>
        </w:rPr>
      </w:pPr>
      <w:r w:rsidRPr="00F338AB">
        <w:rPr>
          <w:b/>
          <w:bCs/>
          <w:sz w:val="16"/>
          <w:szCs w:val="16"/>
        </w:rPr>
        <w:t xml:space="preserve">Figure 3. </w:t>
      </w:r>
      <w:r w:rsidRPr="00F338AB">
        <w:rPr>
          <w:sz w:val="16"/>
          <w:szCs w:val="16"/>
        </w:rPr>
        <w:t>Spin-flip</w:t>
      </w:r>
      <w:r w:rsidRPr="00F338AB">
        <w:rPr>
          <w:b/>
          <w:bCs/>
          <w:sz w:val="16"/>
          <w:szCs w:val="16"/>
        </w:rPr>
        <w:t xml:space="preserve"> </w:t>
      </w:r>
      <w:r w:rsidRPr="00F338AB">
        <w:rPr>
          <w:sz w:val="16"/>
          <w:szCs w:val="16"/>
        </w:rPr>
        <w:t xml:space="preserve">Absorption spectra of </w:t>
      </w:r>
      <w:r w:rsidRPr="00F338AB">
        <w:rPr>
          <w:b/>
          <w:bCs/>
          <w:sz w:val="16"/>
          <w:szCs w:val="16"/>
        </w:rPr>
        <w:t>1</w:t>
      </w:r>
      <w:r w:rsidRPr="00F338AB">
        <w:rPr>
          <w:sz w:val="16"/>
          <w:szCs w:val="16"/>
        </w:rPr>
        <w:t xml:space="preserve">, </w:t>
      </w:r>
      <w:r w:rsidRPr="00F338AB">
        <w:rPr>
          <w:b/>
          <w:bCs/>
          <w:sz w:val="16"/>
          <w:szCs w:val="16"/>
        </w:rPr>
        <w:t>2</w:t>
      </w:r>
      <w:r w:rsidRPr="00F338AB">
        <w:rPr>
          <w:sz w:val="16"/>
          <w:szCs w:val="16"/>
        </w:rPr>
        <w:t xml:space="preserve"> and </w:t>
      </w:r>
      <w:r w:rsidRPr="00F338AB">
        <w:rPr>
          <w:b/>
          <w:bCs/>
          <w:sz w:val="16"/>
          <w:szCs w:val="16"/>
        </w:rPr>
        <w:t>3</w:t>
      </w:r>
      <w:r w:rsidRPr="00F338AB">
        <w:rPr>
          <w:sz w:val="16"/>
          <w:szCs w:val="16"/>
        </w:rPr>
        <w:t xml:space="preserve"> complexes in acetonitrile (</w:t>
      </w:r>
      <w:r w:rsidRPr="00F338AB">
        <w:rPr>
          <w:i/>
          <w:iCs/>
          <w:sz w:val="16"/>
          <w:szCs w:val="16"/>
        </w:rPr>
        <w:t>c</w:t>
      </w:r>
      <w:r w:rsidRPr="00F338AB">
        <w:rPr>
          <w:sz w:val="16"/>
          <w:szCs w:val="16"/>
        </w:rPr>
        <w:t xml:space="preserve"> = 7.7 mM). Assignation band according to</w:t>
      </w:r>
      <w:r w:rsidR="00881E4D" w:rsidRPr="00F338AB">
        <w:rPr>
          <w:sz w:val="16"/>
          <w:szCs w:val="16"/>
        </w:rPr>
        <w:t xml:space="preserve"> </w:t>
      </w:r>
      <w:r w:rsidRPr="00F338AB">
        <w:rPr>
          <w:sz w:val="16"/>
          <w:szCs w:val="16"/>
        </w:rPr>
        <w:t>(CASSCF(7,12)/FIC-NEVPT2) calculations</w:t>
      </w:r>
      <w:r w:rsidR="00FD0895" w:rsidRPr="00F338AB">
        <w:rPr>
          <w:sz w:val="16"/>
          <w:szCs w:val="16"/>
        </w:rPr>
        <w:t xml:space="preserve"> (see text and Fig. S22)</w:t>
      </w:r>
      <w:r w:rsidRPr="00F338AB">
        <w:rPr>
          <w:sz w:val="16"/>
          <w:szCs w:val="16"/>
        </w:rPr>
        <w:t xml:space="preserve">. </w:t>
      </w:r>
      <w:r w:rsidR="000B0C16" w:rsidRPr="00F338AB">
        <w:rPr>
          <w:sz w:val="16"/>
          <w:szCs w:val="16"/>
        </w:rPr>
        <w:t>The oscillator strength (</w:t>
      </w:r>
      <w:r w:rsidR="000B0C16" w:rsidRPr="00F338AB">
        <w:rPr>
          <w:i/>
          <w:iCs/>
          <w:sz w:val="16"/>
          <w:szCs w:val="16"/>
        </w:rPr>
        <w:t>f</w:t>
      </w:r>
      <w:r w:rsidR="000B0C16" w:rsidRPr="00F338AB">
        <w:rPr>
          <w:sz w:val="16"/>
          <w:szCs w:val="16"/>
        </w:rPr>
        <w:t>) ha</w:t>
      </w:r>
      <w:r w:rsidR="00280FD0" w:rsidRPr="00F338AB">
        <w:rPr>
          <w:sz w:val="16"/>
          <w:szCs w:val="16"/>
        </w:rPr>
        <w:t>s</w:t>
      </w:r>
      <w:r w:rsidR="000B0C16" w:rsidRPr="00F338AB">
        <w:rPr>
          <w:sz w:val="16"/>
          <w:szCs w:val="16"/>
        </w:rPr>
        <w:t xml:space="preserve"> been calculated according to equation 2.</w:t>
      </w:r>
    </w:p>
    <w:p w14:paraId="1904E235" w14:textId="77777777" w:rsidR="00BB0AD4" w:rsidRPr="00F338AB" w:rsidRDefault="00BB0AD4" w:rsidP="00D16C7C">
      <w:pPr>
        <w:pStyle w:val="RSCB02ArticleText"/>
        <w:rPr>
          <w:rFonts w:eastAsia="MS Mincho" w:cstheme="minorHAnsi"/>
          <w:lang w:eastAsia="ja-JP"/>
        </w:rPr>
      </w:pPr>
    </w:p>
    <w:p w14:paraId="23BBE244" w14:textId="5C5E6653" w:rsidR="009238A8" w:rsidRPr="00F338AB" w:rsidRDefault="00D16C7C" w:rsidP="00D16C7C">
      <w:pPr>
        <w:pStyle w:val="RSCB02ArticleText"/>
        <w:rPr>
          <w:vertAlign w:val="superscript"/>
        </w:rPr>
      </w:pPr>
      <w:r w:rsidRPr="00F338AB">
        <w:rPr>
          <w:rFonts w:eastAsia="MS Mincho" w:cstheme="minorHAnsi"/>
          <w:lang w:eastAsia="ja-JP"/>
        </w:rPr>
        <w:t xml:space="preserve">Concerning these spin-forbidden transitions, it is worth noticing that the decadic absorption coefficients </w:t>
      </w:r>
      <w:r w:rsidRPr="00F338AB">
        <w:rPr>
          <w:rFonts w:eastAsia="MS Mincho" w:cstheme="minorHAnsi"/>
          <w:i/>
          <w:iCs/>
          <w:lang w:eastAsia="ja-JP"/>
        </w:rPr>
        <w:sym w:font="Symbol" w:char="F065"/>
      </w:r>
      <w:r w:rsidRPr="00F338AB">
        <w:rPr>
          <w:rFonts w:eastAsia="MS Mincho" w:cstheme="minorHAnsi"/>
          <w:lang w:eastAsia="ja-JP"/>
        </w:rPr>
        <w:t xml:space="preserve"> for the lowest energy band </w:t>
      </w:r>
      <w:r w:rsidR="001E1F8B" w:rsidRPr="00F338AB">
        <w:rPr>
          <w:rFonts w:eastAsia="MS Mincho" w:cstheme="minorHAnsi"/>
          <w:lang w:eastAsia="ja-JP"/>
        </w:rPr>
        <w:t>for the three compounds</w:t>
      </w:r>
      <w:r w:rsidRPr="00F338AB">
        <w:rPr>
          <w:rFonts w:eastAsia="MS Mincho" w:cstheme="minorHAnsi"/>
          <w:lang w:eastAsia="ja-JP"/>
        </w:rPr>
        <w:t xml:space="preserve"> are on average one order of magnitude greater (and at least 3 fold greater) than those</w:t>
      </w:r>
      <w:r w:rsidR="000922E5" w:rsidRPr="00F338AB">
        <w:rPr>
          <w:rFonts w:eastAsia="MS Mincho" w:cstheme="minorHAnsi"/>
          <w:lang w:eastAsia="ja-JP"/>
        </w:rPr>
        <w:t xml:space="preserve"> </w:t>
      </w:r>
      <w:r w:rsidR="009238A8" w:rsidRPr="00F338AB">
        <w:rPr>
          <w:rFonts w:eastAsia="MS Mincho" w:cstheme="minorHAnsi"/>
          <w:lang w:eastAsia="ja-JP"/>
        </w:rPr>
        <w:t xml:space="preserve">previously reported </w:t>
      </w:r>
      <w:bookmarkEnd w:id="8"/>
      <w:r w:rsidR="009238A8" w:rsidRPr="00F338AB">
        <w:rPr>
          <w:rFonts w:eastAsia="MS Mincho" w:cstheme="minorHAnsi"/>
          <w:lang w:eastAsia="ja-JP"/>
        </w:rPr>
        <w:t>for related complexes (0.02 - 0.3 M</w:t>
      </w:r>
      <w:r w:rsidR="009238A8" w:rsidRPr="00F338AB">
        <w:rPr>
          <w:rFonts w:eastAsia="MS Mincho" w:cstheme="minorHAnsi"/>
          <w:vertAlign w:val="superscript"/>
          <w:lang w:eastAsia="ja-JP"/>
        </w:rPr>
        <w:t>-1</w:t>
      </w:r>
      <w:r w:rsidR="009238A8" w:rsidRPr="00F338AB">
        <w:rPr>
          <w:rFonts w:eastAsia="MS Mincho" w:cstheme="minorHAnsi"/>
          <w:lang w:eastAsia="ja-JP"/>
        </w:rPr>
        <w:t>·cm</w:t>
      </w:r>
      <w:r w:rsidR="009238A8" w:rsidRPr="00F338AB">
        <w:rPr>
          <w:rFonts w:eastAsia="MS Mincho" w:cstheme="minorHAnsi"/>
          <w:vertAlign w:val="superscript"/>
          <w:lang w:eastAsia="ja-JP"/>
        </w:rPr>
        <w:t>-1</w:t>
      </w:r>
      <w:r w:rsidR="009238A8" w:rsidRPr="00F338AB">
        <w:rPr>
          <w:rFonts w:eastAsia="MS Mincho" w:cstheme="minorHAnsi"/>
          <w:lang w:eastAsia="ja-JP"/>
        </w:rPr>
        <w:t>).</w:t>
      </w:r>
      <w:r w:rsidR="009238A8" w:rsidRPr="00F338AB">
        <w:rPr>
          <w:rFonts w:eastAsia="MS Mincho" w:cstheme="minorHAnsi"/>
          <w:lang w:eastAsia="ja-JP"/>
        </w:rPr>
        <w:fldChar w:fldCharType="begin" w:fldLock="1"/>
      </w:r>
      <w:r w:rsidR="006B462E" w:rsidRPr="00F338AB">
        <w:rPr>
          <w:rFonts w:eastAsia="MS Mincho" w:cstheme="minorHAnsi" w:hint="eastAsia"/>
          <w:lang w:eastAsia="ja-JP"/>
        </w:rPr>
        <w:instrText>ADDIN CSL_CITATION {"citationItems":[{"id":"ITEM-1","itemData":{"DOI":"10.1039/d1dt01079d","ISSN":"14779234","PMID":"33929478","abstract":"Nine-coordinate [ErN9] or [ErN3O6] chromophores found in triple helical [Er(L)3]3+complexes (Lcorresponds to 2,2</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,6</w:instrText>
      </w:r>
      <w:r w:rsidR="006B462E" w:rsidRPr="00F338AB">
        <w:rPr>
          <w:rFonts w:eastAsia="MS Mincho" w:cstheme="minorHAnsi" w:hint="eastAsia"/>
          <w:lang w:eastAsia="ja-JP"/>
        </w:rPr>
        <w:instrText>′</w:instrText>
      </w:r>
      <w:r w:rsidR="006B462E" w:rsidRPr="00F338AB">
        <w:rPr>
          <w:rFonts w:eastAsia="MS Mincho" w:cstheme="minorHAnsi"/>
          <w:lang w:eastAsia="ja-JP"/>
        </w:rPr>
        <w:instrText>,2</w:instrText>
      </w:r>
      <w:r w:rsidR="006B462E" w:rsidRPr="00F338AB">
        <w:rPr>
          <w:rFonts w:eastAsia="MS Mincho" w:cstheme="minorHAnsi" w:hint="eastAsia"/>
          <w:lang w:eastAsia="ja-JP"/>
        </w:rPr>
        <w:instrText>′′</w:instrText>
      </w:r>
      <w:r w:rsidR="006B462E" w:rsidRPr="00F338AB">
        <w:rPr>
          <w:rFonts w:eastAsia="MS Mincho" w:cstheme="minorHAnsi"/>
          <w:lang w:eastAsia="ja-JP"/>
        </w:rPr>
        <w:instrText xml:space="preserve">-terpyridine (tpy), 2,6-(bisbenzimidazol-2-yl)pyridine (bzimpy), 2,6-diethylcarboxypyridine (dpa-ester) or 2,6-diethylcarboxamidopyridine (dpa-diamide) derivatives), [Er(dpa)3]3−(dpa is the 2,6-dipicolinate dianion) and [GaErGa(bpb-bzimpy)3]9+(bpb-bzimpy is 2,6-bis((pyridin-2-benzimidazol-5-yl)methyl-(benzimidazol-2-yl))pyridine) exhibit NIR (excitation at 801 nm) into visible (emission at 542 nm) linear light upconversion processes in acetonitrile at room temperature. The associated quantum yields 5.5(6) × 10−11≤ϕuptot(ESA) ≤ 1.7(2) × 10−9appear to be 1-3 orders of magnitude larger than those predicted by the accepted single-center excited-state absorption mechanism (ESA). Switching to the alternative energy transfer upconversion mechanism (ETU), which operates in multi-centers [CrErCr(bpb-bzimpy)3]9+, leads to an improved quantum yield ofϕuptot(ETU) = 5.8(6) × 10−8, but also to an even larger discrepancy by 4-6 orders of magnitude when compared with theoretical models. All photophysical studies point to Er(4I13/2) as being the only available ‘long-lived’ (1.8 ≤τ≤ 6.3 μs) and emissive excited state, which works as an intermediate relay for absorbing the second photon, but with an unexpected large cross-section for an intrashell 4f </w:instrText>
      </w:r>
      <w:r w:rsidR="006B462E" w:rsidRPr="00F338AB">
        <w:rPr>
          <w:rFonts w:eastAsia="MS Mincho" w:cstheme="minorHAnsi" w:hint="eastAsia"/>
          <w:lang w:eastAsia="ja-JP"/>
        </w:rPr>
        <w:instrText>→</w:instrText>
      </w:r>
      <w:r w:rsidR="006B462E" w:rsidRPr="00F338AB">
        <w:rPr>
          <w:rFonts w:eastAsia="MS Mincho" w:cstheme="minorHAnsi"/>
          <w:lang w:eastAsia="ja-JP"/>
        </w:rPr>
        <w:instrText xml:space="preserve"> 4f electronic tra</w:instrText>
      </w:r>
      <w:r w:rsidR="006B462E" w:rsidRPr="00F338AB">
        <w:rPr>
          <w:rFonts w:eastAsia="MS Mincho" w:cstheme="minorHAnsi" w:hint="eastAsia"/>
          <w:lang w:eastAsia="ja-JP"/>
        </w:rPr>
        <w:instrText xml:space="preserve">nsition. With this in mind, the ETU mechanism, thought to optimize upconversionviaintermetallic Cr </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 xml:space="preserve"> Er communication in [CrErCr(bpb-bzimpy)3]9+, is indeed not crucial and the boosted associated upconversion quantum yield is indebted to the dominant contr</w:instrText>
      </w:r>
      <w:r w:rsidR="006B462E" w:rsidRPr="00F338AB">
        <w:rPr>
          <w:rFonts w:eastAsia="MS Mincho" w:cstheme="minorHAnsi"/>
          <w:lang w:eastAsia="ja-JP"/>
        </w:rPr>
        <w:instrText>ibution of the single-center erbium ESA process. This curious phenomenon is responsible for the successful implementation of light upconversion in molecular coordination complexes under reasonable light power intensities, which paves the way for applications in medicine and biology. Its origin could be linked with the presence of metal-ligand bonding.","author":[{"dropping-particle":"","family":"Golesorkhi","given":"Bahman","non-dropping-particle":"","parse-names":false,"suffix":""},{"dropping-particle":"","family":"Taarit","given":"Inès","non-dropping-particle":"","parse-names":false,"suffix":""},{"dropping-particle":"","family":"Bolvin","given":"Hélène","non-dropping-particle":"","parse-names":false,"suffix":""},{"dropping-particle":"","family":"Nozary","given":"Homayoun","non-dropping-particle":"","parse-names":false,"suffix":""},{"dropping-particle":"","family":"Jiménez","given":"Juan Ramón","non-dropping-particle":"","parse-names":false,"suffix":""},{"dropping-particle":"","family":"Besnard","given":"Céline","non-dropping-particle":"","parse-names":false,"suffix":""},{"dropping-particle":"","family":"Guénée","given":"Laure","non-dropping-particle":"","parse-names":false,"suffix":""},{"dropping-particle":"","family":"Fürstenberg","given":"Alexandre","non-dropping-particle":"","parse-names":false,"suffix":""},{"dropping-particle":"","family":"Piguet","given":"Claude","non-dropping-particle":"","parse-names":false,"suffix":""}],"container-title":"Dalton Transactions","id":"ITEM-1","issue":"23","issued":{"date-parts":[["2021"]]},"page":"7955-7968","title":"Molecular light-upconversion: we have had a problem! When excited state absorption (ESA) overcomes energy transfer upconversion (ETU) in Cr(iii)/Er(iii) complexes","type":"article-journal","volume":"50"},"uris":["http://www.mendeley.com/documents/?uuid=336eee5c-65f2-3b9f-87fe-f46b65b86a09"]},{"id":"ITEM-2","itemData":{"DOI":"10.1021/acs.inorgchem.9b03163","ISSN":"1520510X","PMID":"31909978","abstract":"The CrIIIN6 chromophores are particularly appealing for low-energy sensitization via energy transfer processes since they show extremely long excited state lifetimes reaching the millisecond range in the technologically crucial near-infrared domain. However, their properties were barely harnessed in multimetallic structures because of the lack of both monitoring methods and accessible synthetic pathways. We herein report a remedy to monitor and control the formation of CrIII-containing assemblies in solution via the design of a CrIIIN6 inert \"complex-as-ligand\" that can be included into polymetallic architectures. As a proof of concept, these CrN6 building blocks were reacted in solution with ZnII or FeII to give extended trinuclear linear Cr-M-Cr assemblies, the structure of which could be addressed by NMR spectroscopy despite the presence of two slowly relaxing CrIII paramagnetic centers. In addition to long CrIII excited state lifetimes and weak sensitivity to oxygen quenching, these polymetallic assemblies display controlled CrIII to MII energy transfers, which pave the way for use of the \"complex-as-ligand\" strategy for introducing photophysically active CrIII probes into light-converting polymetallic devices.","author":[{"dropping-particle":"","family":"Doistau","given":"Benjamin","non-dropping-particle":"","parse-names":false,"suffix":""},{"dropping-particle":"","family":"Jiménez","given":"Juan Ramón","non-dropping-particle":"","parse-names":false,"suffix":""},{"dropping-particle":"","family":"Guerra","given":"Sebastiano","non-dropping-particle":"","parse-names":false,"suffix":""},{"dropping-particle":"","family":"Besnard","given":"Céline","non-dropping-particle":"","parse-names":false,"suffix":""},{"dropping-particle":"","family":"Piguet","given":"Claude","non-dropping-particle":"","parse-names":false,"suffix":""}],"container-title":"Inorganic Chemistry","id":"ITEM-2","issue":"2","issued":{"date-parts":[["2020"]]},"page":"1424-1435","title":"Key Strategy for the Rational Incorporation of Long-Lived NIR Emissive Cr(III) Chromophores into Polymetallic Architectures","type":"article-journal","volume":"59"},"uris":["http://www.mendeley.com/documents/?uuid=b8540054-2f0d-46d1-9c47-68c2cbb9fa68"]},{"id":"ITEM-3","itemData":{"DOI":"10.1002/anie.201909325","ISSN":"15213773","PMID":"31600421","abstract":"Photoactive metal complexes employing Earth-abundant metal ions are a key to sustainable photophysical and photochemical applications. We exploit the effects of an inversion center and ligand non-innocence to tune the luminescence and photochemistry of the excited state of the [CrN6] chromophore [Cr(tpe)2]3+ with close to octahedral symmetry (tpe=1,1,1-tris(pyrid-2-yl)ethane). [Cr(tpe)2]3+ exhibits the longest luminescence lifetime (τ=4500 μs) reported up to date for a molecular polypyridyl chromium(III) complex together with a very high luminescence quantum yield of Φ=8.2 % at room temperature in fluid solution. Furthermore, the tpe ligands in [Cr(tpe)2]3+ are redox non-innocent, leading to reversible reductive chemistry. The excited state redox poten</w:instrText>
      </w:r>
      <w:r w:rsidR="006B462E" w:rsidRPr="00F338AB">
        <w:rPr>
          <w:rFonts w:eastAsia="MS Mincho" w:cstheme="minorHAnsi" w:hint="eastAsia"/>
          <w:lang w:eastAsia="ja-JP"/>
        </w:rPr>
        <w:instrText>tial and lifetime of [Cr(tpe)2]3+ surpass those of the classical photosensitizer [Ru(bpy)3]2+ (bpy=2,2</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-bipyridine) enabling energy transfer (to oxygen) and photoredox processes (with azulene and tri(n-butyl)amine).","author":[{"dropping-particle":"","fam</w:instrText>
      </w:r>
      <w:r w:rsidR="006B462E" w:rsidRPr="00F338AB">
        <w:rPr>
          <w:rFonts w:eastAsia="MS Mincho" w:cstheme="minorHAnsi"/>
          <w:lang w:eastAsia="ja-JP"/>
        </w:rPr>
        <w:instrText>ily":"Treiling","given":"Steffen","non-dropping-particle":"","parse-names":false,"suffix":""},{"dropping-particle":"","family":"Wang","given":"Cui","non-dropping-particle":"","parse-names":false,"suffix":""},{"dropping-particle":"","family":"Förster","given":"Christoph","non-dropping-particle":"","parse-names":false,"suffix":""},{"dropping-particle":"","family":"Reichenauer","given":"Florian","non-dropping-particle":"","parse-names":false,"suffix":""},{"dropping-particle":"","family":"Kalmbach","given":"Jens","non-dropping-particle":"","parse-names":false,"suffix":""},{"dropping-particle":"","family":"Boden","given":"Pit","non-dropping-particle":"","parse-names":false,"suffix":""},{"dropping-particle":"","family":"Harris","given":"Joe P.","non-dropping-particle":"","parse-names":false,"suffix":""},{"dropping-particle":"","family":"Carrella","given":"Luca M.","non-dropping-particle":"","parse-names":false,"suffix":""},{"dropping-particle":"","family":"Rentschler","given":"Eva","non-dropping-particle":"","parse-names":false,"suffix":""},{"dropping-particle":"","family":"Resch-Genger","given":"Ute","non-dropping-particle":"","parse-names":false,"suffix":""},{"dropping-particle":"","family":"Reber","given":"Christian","non-dropping-particle":"","parse-names":false,"suffix":""},{"dropping-particle":"","family":"Seitz","given":"Michael","non-dropping-particle":"","parse-names":false,"suffix":""},{"dropping-particle":"","family":"Gerhards","given":"Markus","non-dropping-particle":"","parse-names":false,"suffix":""},{"dropping-particle":"","family":"Heinze","given":"Katja","non-dropping-particle":"","parse-names":false,"suffix":""}],"container-title":"Angew. Chem. Int. Ed.","id":"ITEM-3","issue":"50","issued":{"date-parts":[["2019"]]},"page":"18075-18085","title":"Luminescence and Light-Driven Energy and Electron Transfer from an Exceptionally Long-Lived Excited State of a Non-Innocent Chromium(III) Complex","type":"article-journal","volume":"58"},"uris":["http://www.mendeley.com/documents/?uuid=9359f050-b210-4ae2-8201-adc937c0de72"]},{"id":"ITEM-4","itemData":{"DOI":"10.1021/jacs.9b06524","ISSN":"15205126","PMID":"31353904","abstract":"The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w:instrText>
      </w:r>
      <w:r w:rsidR="006B462E" w:rsidRPr="00F338AB">
        <w:rPr>
          <w:rFonts w:eastAsia="MS Mincho" w:cstheme="minorHAnsi" w:hint="eastAsia"/>
          <w:lang w:eastAsia="ja-JP"/>
        </w:rPr>
        <w:instrText xml:space="preserve">meters assigned the absolute configurations of the two enantiomers. Circularly polarized luminescence (CPL) spectra showed two polarized emission bands within the NIR region corresponding to the characteristic metal-centered spin-flip Cr(2E </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 xml:space="preserve"> 4A2) and Cr(2T1 </w:instrText>
      </w:r>
      <w:r w:rsidR="006B462E" w:rsidRPr="00F338AB">
        <w:rPr>
          <w:rFonts w:eastAsia="MS Mincho" w:cstheme="minorHAnsi" w:hint="eastAsia"/>
          <w:lang w:eastAsia="ja-JP"/>
        </w:rPr>
        <w:instrText>→</w:instrText>
      </w:r>
      <w:r w:rsidR="006B462E" w:rsidRPr="00F338AB">
        <w:rPr>
          <w:rFonts w:eastAsia="MS Mincho" w:cstheme="minorHAnsi" w:hint="eastAsia"/>
          <w:lang w:eastAsia="ja-JP"/>
        </w:rPr>
        <w:instrText xml:space="preserve"> 4A2) transitions with exceptionally high dissymmetry factors, |glum|, of 0.2 and 0.1, respectively, which are comparable to those reported for rare-earth chiral complexes. Photophysical properties also revealed an extremely long excited-state lifeti</w:instrText>
      </w:r>
      <w:r w:rsidR="006B462E" w:rsidRPr="00F338AB">
        <w:rPr>
          <w:rFonts w:eastAsia="MS Mincho" w:cstheme="minorHAnsi"/>
          <w:lang w:eastAsia="ja-JP"/>
        </w:rPr>
        <w:instrText>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metals.","author":[{"dropping-particle":"","family":"Jiménez","given":"Juan 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G.","non-dropping-particle":"","parse-names":false,"suffix":""},{"dropping-particle":"","family":"Piguet","given":"Claude","non-dropping-particle":"","parse-names":false,"suffix":""}],"container-title":"Journal of the American Chemical Society","id":"ITEM-4","issue":"33","issued":{"date-parts":[["2019"]]},"page":"13244-13252","title":"Chiral Molecular Ruby [Cr(dqp)2]3+ with Long-Lived Circularly Polarized Luminescence","type":"article-journal","volume":"141"},"uris":["http://www.mendeley.com/documents/?uuid=c7c99518-e905-4ab9-9073-0461e8253f76"]}],"mendeley":{"formattedCitation":"&lt;sup&gt;17,22,51,52&lt;/sup&gt;","plainTextFormattedCitation":"17,22,51,52","previouslyFormattedCitation":"&lt;sup&gt;17,22,51,52&lt;/sup&gt;"},"properties":{"noteIndex":0},"schema":"https://github.com/citation-style-language/schema/raw/master/csl-citation.json"}</w:instrText>
      </w:r>
      <w:r w:rsidR="009238A8" w:rsidRPr="00F338AB">
        <w:rPr>
          <w:rFonts w:eastAsia="MS Mincho" w:cstheme="minorHAnsi"/>
          <w:lang w:eastAsia="ja-JP"/>
        </w:rPr>
        <w:fldChar w:fldCharType="separate"/>
      </w:r>
      <w:r w:rsidR="00255A25" w:rsidRPr="00F338AB">
        <w:rPr>
          <w:rFonts w:eastAsia="MS Mincho" w:cstheme="minorHAnsi"/>
          <w:noProof/>
          <w:vertAlign w:val="superscript"/>
          <w:lang w:eastAsia="ja-JP"/>
        </w:rPr>
        <w:t>17,22,51,52</w:t>
      </w:r>
      <w:r w:rsidR="009238A8" w:rsidRPr="00F338AB">
        <w:rPr>
          <w:rFonts w:eastAsia="MS Mincho" w:cstheme="minorHAnsi"/>
          <w:lang w:eastAsia="ja-JP"/>
        </w:rPr>
        <w:fldChar w:fldCharType="end"/>
      </w:r>
      <w:r w:rsidR="009238A8" w:rsidRPr="00F338AB">
        <w:rPr>
          <w:rFonts w:eastAsia="MS Mincho" w:cstheme="minorHAnsi"/>
          <w:lang w:eastAsia="ja-JP"/>
        </w:rPr>
        <w:t xml:space="preserve"> The even larger value found for complex </w:t>
      </w:r>
      <w:r w:rsidR="009238A8" w:rsidRPr="00F338AB">
        <w:rPr>
          <w:rFonts w:eastAsia="MS Mincho" w:cstheme="minorHAnsi"/>
          <w:b/>
          <w:lang w:eastAsia="ja-JP"/>
        </w:rPr>
        <w:t>2</w:t>
      </w:r>
      <w:r w:rsidR="009238A8" w:rsidRPr="00F338AB">
        <w:rPr>
          <w:rFonts w:eastAsia="MS Mincho" w:cstheme="minorHAnsi"/>
          <w:lang w:eastAsia="ja-JP"/>
        </w:rPr>
        <w:t xml:space="preserve"> </w:t>
      </w:r>
      <w:r w:rsidR="001E1F8B" w:rsidRPr="00F338AB">
        <w:rPr>
          <w:rFonts w:eastAsia="MS Mincho" w:cstheme="minorHAnsi"/>
          <w:lang w:eastAsia="ja-JP"/>
        </w:rPr>
        <w:t>(1.27 M</w:t>
      </w:r>
      <w:r w:rsidR="001E1F8B" w:rsidRPr="00F338AB">
        <w:rPr>
          <w:rFonts w:eastAsia="MS Mincho" w:cstheme="minorHAnsi"/>
          <w:vertAlign w:val="superscript"/>
          <w:lang w:eastAsia="ja-JP"/>
        </w:rPr>
        <w:t>−1</w:t>
      </w:r>
      <w:r w:rsidR="001E1F8B" w:rsidRPr="00F338AB">
        <w:rPr>
          <w:rFonts w:eastAsia="MS Mincho" w:cstheme="minorHAnsi"/>
          <w:lang w:eastAsia="ja-JP"/>
        </w:rPr>
        <w:t>·cm</w:t>
      </w:r>
      <w:r w:rsidR="001E1F8B" w:rsidRPr="00F338AB">
        <w:rPr>
          <w:rFonts w:eastAsia="MS Mincho" w:cstheme="minorHAnsi"/>
          <w:vertAlign w:val="superscript"/>
          <w:lang w:eastAsia="ja-JP"/>
        </w:rPr>
        <w:t>−1</w:t>
      </w:r>
      <w:r w:rsidR="001E1F8B" w:rsidRPr="00F338AB">
        <w:rPr>
          <w:rFonts w:eastAsia="MS Mincho" w:cstheme="minorHAnsi"/>
          <w:lang w:eastAsia="ja-JP"/>
        </w:rPr>
        <w:t>) i</w:t>
      </w:r>
      <w:r w:rsidR="009238A8" w:rsidRPr="00F338AB">
        <w:rPr>
          <w:rFonts w:eastAsia="MS Mincho" w:cstheme="minorHAnsi"/>
          <w:lang w:eastAsia="ja-JP"/>
        </w:rPr>
        <w:t>s attributed to the heavy-atom effect caused by the iodine atoms in the ligand scaffold, boosting the spin-orbit coupling and so partially relaxing the spin selection rule. The associated oscillator strength (</w:t>
      </w:r>
      <w:proofErr w:type="spellStart"/>
      <w:r w:rsidR="009238A8" w:rsidRPr="00F338AB">
        <w:rPr>
          <w:rFonts w:eastAsia="MS Mincho" w:cstheme="minorHAnsi"/>
          <w:i/>
          <w:iCs/>
          <w:lang w:eastAsia="ja-JP"/>
        </w:rPr>
        <w:t>f</w:t>
      </w:r>
      <w:r w:rsidR="009238A8" w:rsidRPr="00F338AB">
        <w:rPr>
          <w:rFonts w:eastAsia="MS Mincho" w:cstheme="minorHAnsi"/>
          <w:vertAlign w:val="subscript"/>
          <w:lang w:eastAsia="ja-JP"/>
        </w:rPr>
        <w:t>exp</w:t>
      </w:r>
      <w:proofErr w:type="spellEnd"/>
      <w:r w:rsidR="009238A8" w:rsidRPr="00F338AB">
        <w:rPr>
          <w:rFonts w:eastAsia="MS Mincho" w:cstheme="minorHAnsi"/>
          <w:lang w:eastAsia="ja-JP"/>
        </w:rPr>
        <w:t xml:space="preserve">) for the lowest energy transition has been calculated using the Strickler-Berg relationship (eq. 1), where </w:t>
      </w:r>
      <w:r w:rsidR="009238A8" w:rsidRPr="00F338AB">
        <w:rPr>
          <w:rFonts w:eastAsia="MS Mincho" w:cstheme="minorHAnsi"/>
          <w:i/>
          <w:lang w:eastAsia="ja-JP"/>
        </w:rPr>
        <w:t>m</w:t>
      </w:r>
      <w:r w:rsidR="009238A8" w:rsidRPr="00F338AB">
        <w:rPr>
          <w:rFonts w:eastAsia="MS Mincho" w:cstheme="minorHAnsi"/>
          <w:lang w:eastAsia="ja-JP"/>
        </w:rPr>
        <w:t xml:space="preserve"> is the electron mass, </w:t>
      </w:r>
      <w:r w:rsidR="009238A8" w:rsidRPr="00F338AB">
        <w:rPr>
          <w:rFonts w:eastAsia="MS Mincho" w:cstheme="minorHAnsi"/>
          <w:i/>
          <w:lang w:eastAsia="ja-JP"/>
        </w:rPr>
        <w:t>c</w:t>
      </w:r>
      <w:r w:rsidR="009238A8" w:rsidRPr="00F338AB">
        <w:rPr>
          <w:rFonts w:eastAsia="MS Mincho" w:cstheme="minorHAnsi"/>
          <w:lang w:eastAsia="ja-JP"/>
        </w:rPr>
        <w:t xml:space="preserve"> is the velocity of the light in vacuum, </w:t>
      </w:r>
      <w:r w:rsidR="009238A8" w:rsidRPr="00F338AB">
        <w:rPr>
          <w:rFonts w:eastAsia="MS Mincho" w:cstheme="minorHAnsi"/>
          <w:i/>
          <w:lang w:eastAsia="ja-JP"/>
        </w:rPr>
        <w:t>N</w:t>
      </w:r>
      <w:r w:rsidR="009238A8" w:rsidRPr="00F338AB">
        <w:rPr>
          <w:rFonts w:eastAsia="MS Mincho" w:cstheme="minorHAnsi"/>
          <w:vertAlign w:val="subscript"/>
          <w:lang w:eastAsia="ja-JP"/>
        </w:rPr>
        <w:t>a</w:t>
      </w:r>
      <w:r w:rsidR="009238A8" w:rsidRPr="00F338AB">
        <w:rPr>
          <w:rFonts w:eastAsia="MS Mincho" w:cstheme="minorHAnsi"/>
          <w:lang w:eastAsia="ja-JP"/>
        </w:rPr>
        <w:t xml:space="preserve"> is </w:t>
      </w:r>
      <w:r w:rsidR="00280FD0" w:rsidRPr="00F338AB">
        <w:rPr>
          <w:rFonts w:eastAsia="MS Mincho" w:cstheme="minorHAnsi"/>
          <w:lang w:eastAsia="ja-JP"/>
        </w:rPr>
        <w:t>Avogadro’s</w:t>
      </w:r>
      <w:r w:rsidR="009238A8" w:rsidRPr="00F338AB">
        <w:rPr>
          <w:rFonts w:eastAsia="MS Mincho" w:cstheme="minorHAnsi"/>
          <w:lang w:eastAsia="ja-JP"/>
        </w:rPr>
        <w:t xml:space="preserve"> number, </w:t>
      </w:r>
      <w:r w:rsidR="009238A8" w:rsidRPr="00F338AB">
        <w:rPr>
          <w:rFonts w:eastAsia="MS Mincho" w:cstheme="minorHAnsi"/>
          <w:i/>
          <w:lang w:eastAsia="ja-JP"/>
        </w:rPr>
        <w:t>e</w:t>
      </w:r>
      <w:r w:rsidR="009238A8" w:rsidRPr="00F338AB">
        <w:rPr>
          <w:rFonts w:eastAsia="MS Mincho" w:cstheme="minorHAnsi"/>
          <w:lang w:eastAsia="ja-JP"/>
        </w:rPr>
        <w:t xml:space="preserve"> is the electron charge, </w:t>
      </w:r>
      <m:oMath>
        <m:r>
          <w:rPr>
            <w:rFonts w:ascii="Cambria Math" w:eastAsia="MS Mincho" w:hAnsi="Cambria Math" w:cstheme="minorHAnsi"/>
            <w:lang w:eastAsia="ja-JP"/>
          </w:rPr>
          <m:t>X</m:t>
        </m:r>
      </m:oMath>
      <w:r w:rsidR="009238A8" w:rsidRPr="00F338AB">
        <w:rPr>
          <w:rFonts w:eastAsia="MS Mincho" w:cstheme="minorHAnsi"/>
          <w:lang w:eastAsia="ja-JP"/>
        </w:rPr>
        <w:t xml:space="preserve"> </w:t>
      </w:r>
      <m:oMath>
        <m:r>
          <m:rPr>
            <m:sty m:val="p"/>
          </m:rPr>
          <w:rPr>
            <w:rFonts w:ascii="Cambria Math" w:eastAsia="MS Mincho" w:hAnsi="Cambria Math" w:cstheme="minorHAnsi"/>
            <w:lang w:eastAsia="ja-JP"/>
          </w:rPr>
          <m:t>=</m:t>
        </m:r>
      </m:oMath>
      <w:r w:rsidR="009238A8" w:rsidRPr="00F338AB">
        <w:rPr>
          <w:rFonts w:eastAsia="MS Mincho" w:cstheme="minorHAnsi"/>
          <w:lang w:eastAsia="ja-JP"/>
        </w:rPr>
        <w:t xml:space="preserve"> (</w:t>
      </w:r>
      <w:r w:rsidR="009238A8" w:rsidRPr="00F338AB">
        <w:rPr>
          <w:rFonts w:eastAsia="MS Mincho" w:cstheme="minorHAnsi"/>
          <w:i/>
          <w:lang w:eastAsia="ja-JP"/>
        </w:rPr>
        <w:t>n</w:t>
      </w:r>
      <w:r w:rsidR="009238A8" w:rsidRPr="00F338AB">
        <w:rPr>
          <w:rFonts w:eastAsia="MS Mincho" w:cstheme="minorHAnsi"/>
          <w:vertAlign w:val="superscript"/>
          <w:lang w:eastAsia="ja-JP"/>
        </w:rPr>
        <w:t>2</w:t>
      </w:r>
      <w:r w:rsidR="009238A8" w:rsidRPr="00F338AB">
        <w:rPr>
          <w:rFonts w:eastAsia="MS Mincho" w:cstheme="minorHAnsi"/>
          <w:lang w:eastAsia="ja-JP"/>
        </w:rPr>
        <w:t>+2)</w:t>
      </w:r>
      <w:r w:rsidR="009238A8" w:rsidRPr="00F338AB">
        <w:rPr>
          <w:rFonts w:eastAsia="MS Mincho" w:cstheme="minorHAnsi"/>
          <w:vertAlign w:val="superscript"/>
          <w:lang w:eastAsia="ja-JP"/>
        </w:rPr>
        <w:t>2</w:t>
      </w:r>
      <w:r w:rsidR="009238A8" w:rsidRPr="00F338AB">
        <w:rPr>
          <w:rFonts w:eastAsia="MS Mincho" w:cstheme="minorHAnsi"/>
          <w:lang w:eastAsia="ja-JP"/>
        </w:rPr>
        <w:t>/9</w:t>
      </w:r>
      <w:r w:rsidR="009238A8" w:rsidRPr="00F338AB">
        <w:rPr>
          <w:rFonts w:eastAsia="MS Mincho" w:cstheme="minorHAnsi"/>
          <w:i/>
          <w:lang w:eastAsia="ja-JP"/>
        </w:rPr>
        <w:t>n</w:t>
      </w:r>
      <w:r w:rsidR="009238A8" w:rsidRPr="00F338AB">
        <w:rPr>
          <w:rFonts w:eastAsia="MS Mincho" w:cstheme="minorHAnsi"/>
          <w:lang w:eastAsia="ja-JP"/>
        </w:rPr>
        <w:t xml:space="preserve"> is the local field correction where </w:t>
      </w:r>
      <w:r w:rsidR="009238A8" w:rsidRPr="00F338AB">
        <w:rPr>
          <w:rFonts w:eastAsia="MS Mincho" w:cstheme="minorHAnsi"/>
          <w:i/>
          <w:lang w:eastAsia="ja-JP"/>
        </w:rPr>
        <w:t>n</w:t>
      </w:r>
      <w:r w:rsidR="009238A8" w:rsidRPr="00F338AB">
        <w:rPr>
          <w:rFonts w:eastAsia="MS Mincho" w:cstheme="minorHAnsi"/>
          <w:lang w:eastAsia="ja-JP"/>
        </w:rPr>
        <w:t xml:space="preserve"> is the refractive index of the medium, </w:t>
      </w:r>
      <m:oMath>
        <m:acc>
          <m:accPr>
            <m:chr m:val="̃"/>
            <m:ctrlPr>
              <w:rPr>
                <w:rFonts w:ascii="Cambria Math" w:eastAsia="MS Mincho" w:hAnsi="Cambria Math" w:cstheme="minorHAnsi"/>
                <w:lang w:eastAsia="ja-JP"/>
              </w:rPr>
            </m:ctrlPr>
          </m:accPr>
          <m:e>
            <m:r>
              <w:rPr>
                <w:rFonts w:ascii="Cambria Math" w:eastAsia="MS Mincho" w:hAnsi="Cambria Math" w:cstheme="minorHAnsi"/>
                <w:lang w:eastAsia="ja-JP"/>
              </w:rPr>
              <m:t>v</m:t>
            </m:r>
          </m:e>
        </m:acc>
        <m:r>
          <m:rPr>
            <m:sty m:val="p"/>
          </m:rPr>
          <w:rPr>
            <w:rFonts w:ascii="Cambria Math" w:eastAsia="MS Mincho" w:hAnsi="Cambria Math" w:cstheme="minorHAnsi"/>
            <w:lang w:eastAsia="ja-JP"/>
          </w:rPr>
          <m:t xml:space="preserve"> </m:t>
        </m:r>
      </m:oMath>
      <w:r w:rsidR="009238A8" w:rsidRPr="00F338AB">
        <w:rPr>
          <w:rFonts w:eastAsia="MS Mincho" w:cstheme="minorHAnsi"/>
          <w:lang w:eastAsia="ja-JP"/>
        </w:rPr>
        <w:t xml:space="preserve">is the wavenumber of the relevant electronic transition and </w:t>
      </w:r>
      <m:oMath>
        <m:r>
          <w:rPr>
            <w:rFonts w:ascii="Cambria Math" w:eastAsia="MS Mincho" w:hAnsi="Cambria Math" w:cstheme="minorHAnsi"/>
            <w:lang w:eastAsia="ja-JP"/>
          </w:rPr>
          <m:t>ε</m:t>
        </m:r>
      </m:oMath>
      <w:r w:rsidR="009238A8" w:rsidRPr="00F338AB">
        <w:rPr>
          <w:rFonts w:eastAsia="MS Mincho" w:cstheme="minorHAnsi"/>
          <w:lang w:eastAsia="ja-JP"/>
        </w:rPr>
        <w:t xml:space="preserve"> is the molar absorption coefficient.</w:t>
      </w:r>
    </w:p>
    <w:p w14:paraId="79E4024C" w14:textId="1761A49C" w:rsidR="009238A8" w:rsidRPr="00F338AB" w:rsidRDefault="009238A8" w:rsidP="009238A8">
      <w:pPr>
        <w:spacing w:after="0" w:line="240" w:lineRule="atLeast"/>
        <w:ind w:firstLine="425"/>
        <w:jc w:val="both"/>
        <w:rPr>
          <w:rFonts w:eastAsia="MS Mincho" w:cstheme="minorHAnsi"/>
          <w:sz w:val="18"/>
          <w:szCs w:val="18"/>
          <w:lang w:eastAsia="ja-JP"/>
        </w:rPr>
      </w:pPr>
    </w:p>
    <w:p w14:paraId="17F1D50E" w14:textId="767979A0" w:rsidR="009238A8" w:rsidRPr="00F338AB" w:rsidRDefault="00DA5DC2" w:rsidP="0017793A">
      <w:pPr>
        <w:spacing w:after="0" w:line="240" w:lineRule="atLeast"/>
        <w:ind w:firstLine="425"/>
        <w:jc w:val="both"/>
        <w:rPr>
          <w:rFonts w:eastAsia="MS Mincho" w:cstheme="minorHAnsi"/>
          <w:sz w:val="18"/>
          <w:szCs w:val="18"/>
          <w:lang w:eastAsia="ja-JP"/>
        </w:rPr>
      </w:pPr>
      <m:oMathPara>
        <m:oMath>
          <m:sSub>
            <m:sSubPr>
              <m:ctrlPr>
                <w:rPr>
                  <w:rFonts w:ascii="Cambria Math" w:eastAsia="MS Mincho" w:hAnsi="Cambria Math" w:cstheme="minorHAnsi"/>
                  <w:sz w:val="18"/>
                  <w:szCs w:val="18"/>
                  <w:lang w:eastAsia="ja-JP"/>
                </w:rPr>
              </m:ctrlPr>
            </m:sSubPr>
            <m:e>
              <m:r>
                <w:rPr>
                  <w:rFonts w:ascii="Cambria Math" w:eastAsia="MS Mincho" w:hAnsi="Cambria Math" w:cstheme="minorHAnsi"/>
                  <w:sz w:val="18"/>
                  <w:szCs w:val="18"/>
                  <w:lang w:eastAsia="ja-JP"/>
                </w:rPr>
                <m:t>f</m:t>
              </m:r>
            </m:e>
            <m:sub>
              <m:r>
                <m:rPr>
                  <m:sty m:val="p"/>
                </m:rPr>
                <w:rPr>
                  <w:rFonts w:ascii="Cambria Math" w:eastAsia="MS Mincho" w:hAnsi="Cambria Math" w:cstheme="minorHAnsi"/>
                  <w:sz w:val="18"/>
                  <w:szCs w:val="18"/>
                  <w:lang w:eastAsia="ja-JP"/>
                </w:rPr>
                <m:t>exp</m:t>
              </m:r>
            </m:sub>
          </m:sSub>
          <m:r>
            <m:rPr>
              <m:sty m:val="p"/>
            </m:rPr>
            <w:rPr>
              <w:rFonts w:ascii="Cambria Math" w:eastAsia="MS Mincho" w:hAnsi="Cambria Math" w:cstheme="minorHAnsi"/>
              <w:sz w:val="18"/>
              <w:szCs w:val="18"/>
              <w:lang w:eastAsia="ja-JP"/>
            </w:rPr>
            <m:t>=</m:t>
          </m:r>
          <m:f>
            <m:fPr>
              <m:ctrlPr>
                <w:rPr>
                  <w:rFonts w:ascii="Cambria Math" w:eastAsia="MS Mincho" w:hAnsi="Cambria Math" w:cstheme="minorHAnsi"/>
                  <w:sz w:val="18"/>
                  <w:szCs w:val="18"/>
                  <w:lang w:eastAsia="ja-JP"/>
                </w:rPr>
              </m:ctrlPr>
            </m:fPr>
            <m:num>
              <m:r>
                <m:rPr>
                  <m:sty m:val="p"/>
                </m:rPr>
                <w:rPr>
                  <w:rFonts w:ascii="Cambria Math" w:eastAsia="MS Mincho" w:hAnsi="Cambria Math" w:cstheme="minorHAnsi"/>
                  <w:sz w:val="18"/>
                  <w:szCs w:val="18"/>
                  <w:lang w:eastAsia="ja-JP"/>
                </w:rPr>
                <m:t xml:space="preserve">2303 </m:t>
              </m:r>
              <m:r>
                <w:rPr>
                  <w:rFonts w:ascii="Cambria Math" w:eastAsia="MS Mincho" w:hAnsi="Cambria Math" w:cstheme="minorHAnsi"/>
                  <w:sz w:val="18"/>
                  <w:szCs w:val="18"/>
                  <w:lang w:eastAsia="ja-JP"/>
                </w:rPr>
                <m:t>m</m:t>
              </m:r>
              <m:sSup>
                <m:sSupPr>
                  <m:ctrlPr>
                    <w:rPr>
                      <w:rFonts w:ascii="Cambria Math" w:eastAsia="MS Mincho" w:hAnsi="Cambria Math" w:cstheme="minorHAnsi"/>
                      <w:sz w:val="18"/>
                      <w:szCs w:val="18"/>
                      <w:lang w:eastAsia="ja-JP"/>
                    </w:rPr>
                  </m:ctrlPr>
                </m:sSupPr>
                <m:e>
                  <m:r>
                    <w:rPr>
                      <w:rFonts w:ascii="Cambria Math" w:eastAsia="MS Mincho" w:hAnsi="Cambria Math" w:cstheme="minorHAnsi"/>
                      <w:sz w:val="18"/>
                      <w:szCs w:val="18"/>
                      <w:lang w:eastAsia="ja-JP"/>
                    </w:rPr>
                    <m:t>c</m:t>
                  </m:r>
                </m:e>
                <m:sup>
                  <m:r>
                    <m:rPr>
                      <m:sty m:val="p"/>
                    </m:rPr>
                    <w:rPr>
                      <w:rFonts w:ascii="Cambria Math" w:eastAsia="MS Mincho" w:hAnsi="Cambria Math" w:cstheme="minorHAnsi"/>
                      <w:sz w:val="18"/>
                      <w:szCs w:val="18"/>
                      <w:lang w:eastAsia="ja-JP"/>
                    </w:rPr>
                    <m:t>2</m:t>
                  </m:r>
                </m:sup>
              </m:sSup>
            </m:num>
            <m:den>
              <m:sSub>
                <m:sSubPr>
                  <m:ctrlPr>
                    <w:rPr>
                      <w:rFonts w:ascii="Cambria Math" w:eastAsia="MS Mincho" w:hAnsi="Cambria Math" w:cstheme="minorHAnsi"/>
                      <w:sz w:val="18"/>
                      <w:szCs w:val="18"/>
                      <w:lang w:eastAsia="ja-JP"/>
                    </w:rPr>
                  </m:ctrlPr>
                </m:sSubPr>
                <m:e>
                  <m:r>
                    <w:rPr>
                      <w:rFonts w:ascii="Cambria Math" w:eastAsia="MS Mincho" w:hAnsi="Cambria Math" w:cstheme="minorHAnsi"/>
                      <w:sz w:val="18"/>
                      <w:szCs w:val="18"/>
                      <w:lang w:eastAsia="ja-JP"/>
                    </w:rPr>
                    <m:t>N</m:t>
                  </m:r>
                </m:e>
                <m:sub>
                  <m:r>
                    <w:rPr>
                      <w:rFonts w:ascii="Cambria Math" w:eastAsia="MS Mincho" w:hAnsi="Cambria Math" w:cstheme="minorHAnsi"/>
                      <w:sz w:val="18"/>
                      <w:szCs w:val="18"/>
                      <w:lang w:eastAsia="ja-JP"/>
                    </w:rPr>
                    <m:t>a</m:t>
                  </m:r>
                </m:sub>
              </m:sSub>
              <m:r>
                <w:rPr>
                  <w:rFonts w:ascii="Cambria Math" w:eastAsia="MS Mincho" w:hAnsi="Cambria Math" w:cstheme="minorHAnsi"/>
                  <w:sz w:val="18"/>
                  <w:szCs w:val="18"/>
                  <w:lang w:eastAsia="ja-JP"/>
                </w:rPr>
                <m:t>π</m:t>
              </m:r>
              <m:sSup>
                <m:sSupPr>
                  <m:ctrlPr>
                    <w:rPr>
                      <w:rFonts w:ascii="Cambria Math" w:eastAsia="MS Mincho" w:hAnsi="Cambria Math" w:cstheme="minorHAnsi"/>
                      <w:sz w:val="18"/>
                      <w:szCs w:val="18"/>
                      <w:lang w:eastAsia="ja-JP"/>
                    </w:rPr>
                  </m:ctrlPr>
                </m:sSupPr>
                <m:e>
                  <m:r>
                    <w:rPr>
                      <w:rFonts w:ascii="Cambria Math" w:eastAsia="MS Mincho" w:hAnsi="Cambria Math" w:cstheme="minorHAnsi"/>
                      <w:sz w:val="18"/>
                      <w:szCs w:val="18"/>
                      <w:lang w:eastAsia="ja-JP"/>
                    </w:rPr>
                    <m:t>e</m:t>
                  </m:r>
                </m:e>
                <m:sup>
                  <m:r>
                    <m:rPr>
                      <m:sty m:val="p"/>
                    </m:rPr>
                    <w:rPr>
                      <w:rFonts w:ascii="Cambria Math" w:eastAsia="MS Mincho" w:hAnsi="Cambria Math" w:cstheme="minorHAnsi"/>
                      <w:sz w:val="18"/>
                      <w:szCs w:val="18"/>
                      <w:lang w:eastAsia="ja-JP"/>
                    </w:rPr>
                    <m:t>2</m:t>
                  </m:r>
                </m:sup>
              </m:sSup>
            </m:den>
          </m:f>
          <m:r>
            <m:rPr>
              <m:sty m:val="p"/>
            </m:rPr>
            <w:rPr>
              <w:rFonts w:ascii="Cambria Math" w:eastAsia="MS Mincho" w:hAnsi="Cambria Math" w:cstheme="minorHAnsi"/>
              <w:sz w:val="18"/>
              <w:szCs w:val="18"/>
              <w:lang w:eastAsia="ja-JP"/>
            </w:rPr>
            <m:t xml:space="preserve"> </m:t>
          </m:r>
          <m:f>
            <m:fPr>
              <m:ctrlPr>
                <w:rPr>
                  <w:rFonts w:ascii="Cambria Math" w:eastAsia="MS Mincho" w:hAnsi="Cambria Math" w:cstheme="minorHAnsi"/>
                  <w:sz w:val="18"/>
                  <w:szCs w:val="18"/>
                  <w:lang w:eastAsia="ja-JP"/>
                </w:rPr>
              </m:ctrlPr>
            </m:fPr>
            <m:num>
              <m:r>
                <m:rPr>
                  <m:sty m:val="p"/>
                </m:rPr>
                <w:rPr>
                  <w:rFonts w:ascii="Cambria Math" w:eastAsia="MS Mincho" w:hAnsi="Cambria Math" w:cstheme="minorHAnsi"/>
                  <w:sz w:val="18"/>
                  <w:szCs w:val="18"/>
                  <w:lang w:eastAsia="ja-JP"/>
                </w:rPr>
                <m:t>1</m:t>
              </m:r>
            </m:num>
            <m:den>
              <m:r>
                <w:rPr>
                  <w:rFonts w:ascii="Cambria Math" w:eastAsia="MS Mincho" w:hAnsi="Cambria Math" w:cstheme="minorHAnsi"/>
                  <w:sz w:val="18"/>
                  <w:szCs w:val="18"/>
                  <w:lang w:eastAsia="ja-JP"/>
                </w:rPr>
                <m:t>X</m:t>
              </m:r>
            </m:den>
          </m:f>
          <m:nary>
            <m:naryPr>
              <m:limLoc m:val="undOvr"/>
              <m:subHide m:val="1"/>
              <m:supHide m:val="1"/>
              <m:ctrlPr>
                <w:rPr>
                  <w:rFonts w:ascii="Cambria Math" w:eastAsia="MS Mincho" w:hAnsi="Cambria Math" w:cstheme="minorHAnsi"/>
                  <w:sz w:val="18"/>
                  <w:szCs w:val="18"/>
                  <w:lang w:eastAsia="ja-JP"/>
                </w:rPr>
              </m:ctrlPr>
            </m:naryPr>
            <m:sub/>
            <m:sup/>
            <m:e>
              <m:r>
                <w:rPr>
                  <w:rFonts w:ascii="Cambria Math" w:eastAsia="MS Mincho" w:hAnsi="Cambria Math" w:cstheme="minorHAnsi"/>
                  <w:sz w:val="18"/>
                  <w:szCs w:val="18"/>
                  <w:lang w:eastAsia="ja-JP"/>
                </w:rPr>
                <m:t>ε</m:t>
              </m:r>
              <m:d>
                <m:dPr>
                  <m:ctrlPr>
                    <w:rPr>
                      <w:rFonts w:ascii="Cambria Math" w:eastAsia="MS Mincho" w:hAnsi="Cambria Math" w:cstheme="minorHAnsi"/>
                      <w:sz w:val="18"/>
                      <w:szCs w:val="18"/>
                      <w:lang w:eastAsia="ja-JP"/>
                    </w:rPr>
                  </m:ctrlPr>
                </m:dPr>
                <m:e>
                  <m:acc>
                    <m:accPr>
                      <m:chr m:val="̃"/>
                      <m:ctrlPr>
                        <w:rPr>
                          <w:rFonts w:ascii="Cambria Math" w:eastAsia="MS Mincho" w:hAnsi="Cambria Math" w:cstheme="minorHAnsi"/>
                          <w:sz w:val="18"/>
                          <w:szCs w:val="18"/>
                          <w:lang w:eastAsia="ja-JP"/>
                        </w:rPr>
                      </m:ctrlPr>
                    </m:accPr>
                    <m:e>
                      <m:r>
                        <w:rPr>
                          <w:rFonts w:ascii="Cambria Math" w:eastAsia="MS Mincho" w:hAnsi="Cambria Math" w:cstheme="minorHAnsi"/>
                          <w:sz w:val="18"/>
                          <w:szCs w:val="18"/>
                          <w:lang w:eastAsia="ja-JP"/>
                        </w:rPr>
                        <m:t>v</m:t>
                      </m:r>
                    </m:e>
                  </m:acc>
                </m:e>
              </m:d>
              <m:r>
                <w:rPr>
                  <w:rFonts w:ascii="Cambria Math" w:eastAsia="MS Mincho" w:hAnsi="Cambria Math" w:cstheme="minorHAnsi"/>
                  <w:sz w:val="18"/>
                  <w:szCs w:val="18"/>
                  <w:lang w:eastAsia="ja-JP"/>
                </w:rPr>
                <m:t>d</m:t>
              </m:r>
              <m:acc>
                <m:accPr>
                  <m:chr m:val="̃"/>
                  <m:ctrlPr>
                    <w:rPr>
                      <w:rFonts w:ascii="Cambria Math" w:eastAsia="MS Mincho" w:hAnsi="Cambria Math" w:cstheme="minorHAnsi"/>
                      <w:sz w:val="18"/>
                      <w:szCs w:val="18"/>
                      <w:lang w:eastAsia="ja-JP"/>
                    </w:rPr>
                  </m:ctrlPr>
                </m:accPr>
                <m:e>
                  <m:r>
                    <w:rPr>
                      <w:rFonts w:ascii="Cambria Math" w:eastAsia="MS Mincho" w:hAnsi="Cambria Math" w:cstheme="minorHAnsi"/>
                      <w:sz w:val="18"/>
                      <w:szCs w:val="18"/>
                      <w:lang w:eastAsia="ja-JP"/>
                    </w:rPr>
                    <m:t>v</m:t>
                  </m:r>
                </m:e>
              </m:acc>
            </m:e>
          </m:nary>
          <m:r>
            <m:rPr>
              <m:sty m:val="p"/>
            </m:rPr>
            <w:rPr>
              <w:rFonts w:ascii="Cambria Math" w:eastAsia="MS Mincho" w:hAnsi="Cambria Math" w:cstheme="minorHAnsi"/>
              <w:sz w:val="18"/>
              <w:szCs w:val="18"/>
              <w:lang w:eastAsia="ja-JP"/>
            </w:rPr>
            <m:t>=3.63</m:t>
          </m:r>
          <m:r>
            <w:rPr>
              <w:rFonts w:ascii="Cambria Math" w:eastAsia="MS Mincho" w:hAnsi="Cambria Math" w:cstheme="minorHAnsi"/>
              <w:sz w:val="18"/>
              <w:szCs w:val="18"/>
              <w:lang w:eastAsia="ja-JP"/>
            </w:rPr>
            <m:t>x</m:t>
          </m:r>
          <m:r>
            <m:rPr>
              <m:sty m:val="p"/>
            </m:rPr>
            <w:rPr>
              <w:rFonts w:ascii="Cambria Math" w:eastAsia="MS Mincho" w:hAnsi="Cambria Math" w:cstheme="minorHAnsi"/>
              <w:sz w:val="18"/>
              <w:szCs w:val="18"/>
              <w:lang w:eastAsia="ja-JP"/>
            </w:rPr>
            <m:t xml:space="preserve"> </m:t>
          </m:r>
          <m:sSup>
            <m:sSupPr>
              <m:ctrlPr>
                <w:rPr>
                  <w:rFonts w:ascii="Cambria Math" w:eastAsia="MS Mincho" w:hAnsi="Cambria Math" w:cstheme="minorHAnsi"/>
                  <w:sz w:val="18"/>
                  <w:szCs w:val="18"/>
                  <w:lang w:eastAsia="ja-JP"/>
                </w:rPr>
              </m:ctrlPr>
            </m:sSupPr>
            <m:e>
              <m:r>
                <m:rPr>
                  <m:sty m:val="p"/>
                </m:rPr>
                <w:rPr>
                  <w:rFonts w:ascii="Cambria Math" w:eastAsia="MS Mincho" w:hAnsi="Cambria Math" w:cstheme="minorHAnsi"/>
                  <w:sz w:val="18"/>
                  <w:szCs w:val="18"/>
                  <w:lang w:eastAsia="ja-JP"/>
                </w:rPr>
                <m:t>10</m:t>
              </m:r>
            </m:e>
            <m:sup>
              <m:r>
                <m:rPr>
                  <m:sty m:val="p"/>
                </m:rPr>
                <w:rPr>
                  <w:rFonts w:ascii="Cambria Math" w:eastAsia="MS Mincho" w:hAnsi="Cambria Math" w:cstheme="minorHAnsi"/>
                  <w:sz w:val="18"/>
                  <w:szCs w:val="18"/>
                  <w:lang w:eastAsia="ja-JP"/>
                </w:rPr>
                <m:t>-9</m:t>
              </m:r>
            </m:sup>
          </m:sSup>
          <m:nary>
            <m:naryPr>
              <m:limLoc m:val="undOvr"/>
              <m:subHide m:val="1"/>
              <m:supHide m:val="1"/>
              <m:ctrlPr>
                <w:rPr>
                  <w:rFonts w:ascii="Cambria Math" w:eastAsia="MS Mincho" w:hAnsi="Cambria Math" w:cstheme="minorHAnsi"/>
                  <w:sz w:val="18"/>
                  <w:szCs w:val="18"/>
                  <w:lang w:eastAsia="ja-JP"/>
                </w:rPr>
              </m:ctrlPr>
            </m:naryPr>
            <m:sub/>
            <m:sup/>
            <m:e>
              <m:r>
                <w:rPr>
                  <w:rFonts w:ascii="Cambria Math" w:eastAsia="MS Mincho" w:hAnsi="Cambria Math" w:cstheme="minorHAnsi"/>
                  <w:sz w:val="18"/>
                  <w:szCs w:val="18"/>
                  <w:lang w:eastAsia="ja-JP"/>
                </w:rPr>
                <m:t>ε</m:t>
              </m:r>
              <m:d>
                <m:dPr>
                  <m:ctrlPr>
                    <w:rPr>
                      <w:rFonts w:ascii="Cambria Math" w:eastAsia="MS Mincho" w:hAnsi="Cambria Math" w:cstheme="minorHAnsi"/>
                      <w:sz w:val="18"/>
                      <w:szCs w:val="18"/>
                      <w:lang w:eastAsia="ja-JP"/>
                    </w:rPr>
                  </m:ctrlPr>
                </m:dPr>
                <m:e>
                  <m:acc>
                    <m:accPr>
                      <m:chr m:val="̃"/>
                      <m:ctrlPr>
                        <w:rPr>
                          <w:rFonts w:ascii="Cambria Math" w:eastAsia="MS Mincho" w:hAnsi="Cambria Math" w:cstheme="minorHAnsi"/>
                          <w:sz w:val="18"/>
                          <w:szCs w:val="18"/>
                          <w:lang w:eastAsia="ja-JP"/>
                        </w:rPr>
                      </m:ctrlPr>
                    </m:accPr>
                    <m:e>
                      <m:r>
                        <w:rPr>
                          <w:rFonts w:ascii="Cambria Math" w:eastAsia="MS Mincho" w:hAnsi="Cambria Math" w:cstheme="minorHAnsi"/>
                          <w:sz w:val="18"/>
                          <w:szCs w:val="18"/>
                          <w:lang w:eastAsia="ja-JP"/>
                        </w:rPr>
                        <m:t>v</m:t>
                      </m:r>
                    </m:e>
                  </m:acc>
                </m:e>
              </m:d>
              <m:r>
                <w:rPr>
                  <w:rFonts w:ascii="Cambria Math" w:eastAsia="MS Mincho" w:hAnsi="Cambria Math" w:cstheme="minorHAnsi"/>
                  <w:sz w:val="18"/>
                  <w:szCs w:val="18"/>
                  <w:lang w:eastAsia="ja-JP"/>
                </w:rPr>
                <m:t>d</m:t>
              </m:r>
              <m:acc>
                <m:accPr>
                  <m:chr m:val="̃"/>
                  <m:ctrlPr>
                    <w:rPr>
                      <w:rFonts w:ascii="Cambria Math" w:eastAsia="MS Mincho" w:hAnsi="Cambria Math" w:cstheme="minorHAnsi"/>
                      <w:sz w:val="18"/>
                      <w:szCs w:val="18"/>
                      <w:lang w:eastAsia="ja-JP"/>
                    </w:rPr>
                  </m:ctrlPr>
                </m:accPr>
                <m:e>
                  <m:r>
                    <w:rPr>
                      <w:rFonts w:ascii="Cambria Math" w:eastAsia="MS Mincho" w:hAnsi="Cambria Math" w:cstheme="minorHAnsi"/>
                      <w:sz w:val="18"/>
                      <w:szCs w:val="18"/>
                      <w:lang w:eastAsia="ja-JP"/>
                    </w:rPr>
                    <m:t>v</m:t>
                  </m:r>
                  <m:r>
                    <m:rPr>
                      <m:sty m:val="p"/>
                    </m:rPr>
                    <w:rPr>
                      <w:rFonts w:ascii="Cambria Math" w:eastAsia="MS Mincho" w:hAnsi="Cambria Math" w:cstheme="minorHAnsi"/>
                      <w:sz w:val="18"/>
                      <w:szCs w:val="18"/>
                      <w:lang w:eastAsia="ja-JP"/>
                    </w:rPr>
                    <m:t xml:space="preserve"> </m:t>
                  </m:r>
                </m:e>
              </m:acc>
            </m:e>
          </m:nary>
          <m:d>
            <m:dPr>
              <m:ctrlPr>
                <w:rPr>
                  <w:rFonts w:ascii="Cambria Math" w:eastAsia="MS Mincho" w:hAnsi="Cambria Math" w:cstheme="minorHAnsi"/>
                  <w:sz w:val="18"/>
                  <w:szCs w:val="18"/>
                  <w:lang w:eastAsia="ja-JP"/>
                </w:rPr>
              </m:ctrlPr>
            </m:dPr>
            <m:e>
              <m:r>
                <m:rPr>
                  <m:sty m:val="p"/>
                </m:rPr>
                <w:rPr>
                  <w:rFonts w:ascii="Cambria Math" w:eastAsia="MS Mincho" w:hAnsi="Cambria Math" w:cstheme="minorHAnsi"/>
                  <w:sz w:val="18"/>
                  <w:szCs w:val="18"/>
                  <w:lang w:eastAsia="ja-JP"/>
                </w:rPr>
                <m:t>eq. 2</m:t>
              </m:r>
            </m:e>
          </m:d>
        </m:oMath>
      </m:oMathPara>
    </w:p>
    <w:p w14:paraId="6236CAEA" w14:textId="04D08464" w:rsidR="002900CE" w:rsidRPr="00F338AB" w:rsidRDefault="002900CE" w:rsidP="001329C0">
      <w:pPr>
        <w:spacing w:after="0" w:line="240" w:lineRule="atLeast"/>
        <w:ind w:firstLine="425"/>
        <w:jc w:val="both"/>
        <w:rPr>
          <w:rFonts w:eastAsia="MS Mincho" w:cstheme="minorHAnsi"/>
          <w:sz w:val="18"/>
          <w:szCs w:val="18"/>
          <w:lang w:eastAsia="ja-JP"/>
        </w:rPr>
      </w:pPr>
    </w:p>
    <w:p w14:paraId="35BF37A7" w14:textId="2A902590" w:rsidR="006B462E" w:rsidRPr="00F338AB" w:rsidRDefault="009238A8" w:rsidP="006B462E">
      <w:pPr>
        <w:spacing w:after="0" w:line="240" w:lineRule="atLeast"/>
        <w:jc w:val="both"/>
        <w:rPr>
          <w:rFonts w:eastAsia="MS Mincho" w:cstheme="minorHAnsi"/>
          <w:sz w:val="18"/>
          <w:szCs w:val="18"/>
          <w:lang w:eastAsia="ja-JP"/>
        </w:rPr>
      </w:pPr>
      <w:r w:rsidRPr="00F338AB">
        <w:rPr>
          <w:rFonts w:eastAsia="MS Mincho" w:cstheme="minorHAnsi"/>
          <w:sz w:val="18"/>
          <w:szCs w:val="18"/>
          <w:lang w:eastAsia="ja-JP"/>
        </w:rPr>
        <w:t>The obtained value of 9.8·10</w:t>
      </w:r>
      <w:r w:rsidRPr="00F338AB">
        <w:rPr>
          <w:rFonts w:eastAsia="MS Mincho" w:cstheme="minorHAnsi"/>
          <w:sz w:val="18"/>
          <w:szCs w:val="18"/>
          <w:vertAlign w:val="superscript"/>
          <w:lang w:eastAsia="ja-JP"/>
        </w:rPr>
        <w:t>-7</w:t>
      </w:r>
      <w:r w:rsidR="00CB212B" w:rsidRPr="00F338AB">
        <w:rPr>
          <w:rFonts w:eastAsia="MS Mincho" w:cstheme="minorHAnsi"/>
          <w:sz w:val="18"/>
          <w:szCs w:val="18"/>
          <w:lang w:eastAsia="ja-JP"/>
        </w:rPr>
        <w:t xml:space="preserve">, </w:t>
      </w:r>
      <w:r w:rsidRPr="00F338AB">
        <w:rPr>
          <w:rFonts w:eastAsia="MS Mincho" w:cstheme="minorHAnsi"/>
          <w:sz w:val="18"/>
          <w:szCs w:val="18"/>
          <w:lang w:eastAsia="ja-JP"/>
        </w:rPr>
        <w:t>2.5·10</w:t>
      </w:r>
      <w:r w:rsidRPr="00F338AB">
        <w:rPr>
          <w:rFonts w:eastAsia="MS Mincho" w:cstheme="minorHAnsi"/>
          <w:sz w:val="18"/>
          <w:szCs w:val="18"/>
          <w:vertAlign w:val="superscript"/>
          <w:lang w:eastAsia="ja-JP"/>
        </w:rPr>
        <w:t xml:space="preserve">-6 </w:t>
      </w:r>
      <w:r w:rsidR="00CB212B" w:rsidRPr="00F338AB">
        <w:rPr>
          <w:rFonts w:eastAsia="MS Mincho" w:cstheme="minorHAnsi"/>
          <w:sz w:val="18"/>
          <w:szCs w:val="18"/>
          <w:vertAlign w:val="superscript"/>
          <w:lang w:eastAsia="ja-JP"/>
        </w:rPr>
        <w:t xml:space="preserve"> </w:t>
      </w:r>
      <w:r w:rsidR="00CB212B" w:rsidRPr="00F338AB">
        <w:rPr>
          <w:rFonts w:eastAsia="MS Mincho" w:cstheme="minorHAnsi"/>
          <w:sz w:val="18"/>
          <w:szCs w:val="18"/>
          <w:lang w:eastAsia="ja-JP"/>
        </w:rPr>
        <w:t>and 9.0·10</w:t>
      </w:r>
      <w:r w:rsidR="00CB212B" w:rsidRPr="00F338AB">
        <w:rPr>
          <w:rFonts w:eastAsia="MS Mincho" w:cstheme="minorHAnsi"/>
          <w:sz w:val="18"/>
          <w:szCs w:val="18"/>
          <w:vertAlign w:val="superscript"/>
          <w:lang w:eastAsia="ja-JP"/>
        </w:rPr>
        <w:t xml:space="preserve">-7 </w:t>
      </w:r>
      <w:r w:rsidR="00CB212B" w:rsidRPr="00F338AB">
        <w:rPr>
          <w:rFonts w:eastAsia="MS Mincho" w:cstheme="minorHAnsi"/>
          <w:sz w:val="18"/>
          <w:szCs w:val="18"/>
          <w:lang w:eastAsia="ja-JP"/>
        </w:rPr>
        <w:t>fo</w:t>
      </w:r>
      <w:r w:rsidRPr="00F338AB">
        <w:rPr>
          <w:rFonts w:eastAsia="MS Mincho" w:cstheme="minorHAnsi"/>
          <w:sz w:val="18"/>
          <w:szCs w:val="18"/>
          <w:lang w:eastAsia="ja-JP"/>
        </w:rPr>
        <w:t xml:space="preserve">r </w:t>
      </w:r>
      <w:r w:rsidRPr="00F338AB">
        <w:rPr>
          <w:rFonts w:eastAsia="MS Mincho" w:cstheme="minorHAnsi"/>
          <w:b/>
          <w:bCs/>
          <w:sz w:val="18"/>
          <w:szCs w:val="18"/>
          <w:lang w:eastAsia="ja-JP"/>
        </w:rPr>
        <w:t>1</w:t>
      </w:r>
      <w:r w:rsidR="00CB212B" w:rsidRPr="00F338AB">
        <w:rPr>
          <w:rFonts w:eastAsia="MS Mincho" w:cstheme="minorHAnsi"/>
          <w:sz w:val="18"/>
          <w:szCs w:val="18"/>
          <w:lang w:eastAsia="ja-JP"/>
        </w:rPr>
        <w:t>,</w:t>
      </w:r>
      <w:r w:rsidRPr="00F338AB">
        <w:rPr>
          <w:rFonts w:eastAsia="MS Mincho" w:cstheme="minorHAnsi"/>
          <w:sz w:val="18"/>
          <w:szCs w:val="18"/>
          <w:lang w:eastAsia="ja-JP"/>
        </w:rPr>
        <w:t xml:space="preserve"> </w:t>
      </w:r>
      <w:r w:rsidRPr="00F338AB">
        <w:rPr>
          <w:rFonts w:eastAsia="MS Mincho" w:cstheme="minorHAnsi"/>
          <w:b/>
          <w:bCs/>
          <w:sz w:val="18"/>
          <w:szCs w:val="18"/>
          <w:lang w:eastAsia="ja-JP"/>
        </w:rPr>
        <w:t>2</w:t>
      </w:r>
      <w:r w:rsidR="00CB212B" w:rsidRPr="00F338AB">
        <w:rPr>
          <w:rFonts w:eastAsia="MS Mincho" w:cstheme="minorHAnsi"/>
          <w:b/>
          <w:bCs/>
          <w:sz w:val="18"/>
          <w:szCs w:val="18"/>
          <w:lang w:eastAsia="ja-JP"/>
        </w:rPr>
        <w:t xml:space="preserve"> </w:t>
      </w:r>
      <w:r w:rsidR="00CB212B" w:rsidRPr="00F338AB">
        <w:rPr>
          <w:rFonts w:eastAsia="MS Mincho" w:cstheme="minorHAnsi"/>
          <w:sz w:val="18"/>
          <w:szCs w:val="18"/>
          <w:lang w:eastAsia="ja-JP"/>
        </w:rPr>
        <w:t>and</w:t>
      </w:r>
      <w:r w:rsidR="00CB212B" w:rsidRPr="00F338AB">
        <w:rPr>
          <w:rFonts w:eastAsia="MS Mincho" w:cstheme="minorHAnsi"/>
          <w:b/>
          <w:bCs/>
          <w:sz w:val="18"/>
          <w:szCs w:val="18"/>
          <w:lang w:eastAsia="ja-JP"/>
        </w:rPr>
        <w:t xml:space="preserve"> 3</w:t>
      </w:r>
      <w:r w:rsidRPr="00F338AB">
        <w:rPr>
          <w:rFonts w:eastAsia="MS Mincho" w:cstheme="minorHAnsi"/>
          <w:sz w:val="18"/>
          <w:szCs w:val="18"/>
          <w:lang w:eastAsia="ja-JP"/>
        </w:rPr>
        <w:t xml:space="preserve"> </w:t>
      </w:r>
      <w:r w:rsidR="00ED670B" w:rsidRPr="00F338AB">
        <w:rPr>
          <w:rFonts w:eastAsia="MS Mincho" w:cstheme="minorHAnsi"/>
          <w:sz w:val="18"/>
          <w:szCs w:val="18"/>
          <w:lang w:eastAsia="ja-JP"/>
        </w:rPr>
        <w:t>respectively,</w:t>
      </w:r>
      <w:r w:rsidR="00CB212B" w:rsidRPr="00F338AB">
        <w:rPr>
          <w:rFonts w:eastAsia="MS Mincho" w:cstheme="minorHAnsi"/>
          <w:sz w:val="18"/>
          <w:szCs w:val="18"/>
          <w:lang w:eastAsia="ja-JP"/>
        </w:rPr>
        <w:t xml:space="preserve"> are </w:t>
      </w:r>
      <w:r w:rsidR="00281597" w:rsidRPr="00F338AB">
        <w:rPr>
          <w:rFonts w:eastAsia="MS Mincho" w:cstheme="minorHAnsi"/>
          <w:sz w:val="18"/>
          <w:szCs w:val="18"/>
          <w:lang w:eastAsia="ja-JP"/>
        </w:rPr>
        <w:t>larger</w:t>
      </w:r>
      <w:r w:rsidR="00CB212B" w:rsidRPr="00F338AB">
        <w:rPr>
          <w:rFonts w:eastAsia="MS Mincho" w:cstheme="minorHAnsi"/>
          <w:sz w:val="18"/>
          <w:szCs w:val="18"/>
          <w:lang w:eastAsia="ja-JP"/>
        </w:rPr>
        <w:t xml:space="preserve"> compared to previous related Cr(III) compounds.</w:t>
      </w:r>
      <w:r w:rsidR="00CB212B" w:rsidRPr="00F338AB">
        <w:rPr>
          <w:rFonts w:eastAsia="MS Mincho" w:cstheme="minorHAnsi"/>
          <w:sz w:val="18"/>
          <w:szCs w:val="18"/>
          <w:lang w:eastAsia="ja-JP"/>
        </w:rPr>
        <w:fldChar w:fldCharType="begin" w:fldLock="1"/>
      </w:r>
      <w:r w:rsidR="006B462E" w:rsidRPr="00F338AB">
        <w:rPr>
          <w:rFonts w:eastAsia="MS Mincho" w:cstheme="minorHAnsi"/>
          <w:sz w:val="18"/>
          <w:szCs w:val="18"/>
          <w:lang w:eastAsia="ja-JP"/>
        </w:rPr>
        <w:instrText>ADDIN CSL_CITATION {"citationItems":[{"id":"ITEM-1","itemData":{"DOI":"10.1016/0371-1951(63)80166-6","ISSN":"03711951","author":[{"dropping-particle":"","family":"DeArmond","given":"Keith","non-dropping-particle":"","parse-names":false,"suffix":""},{"dropping-particle":"","family":"Forster","given":"Leslie S.","non-dropping-particle":"","parse-names":false,"suffix":""}],"container-title":"Spectrochimica Acta","id":"ITEM-1","issue":"10","issued":{"date-parts":[["1963"]]},"page":"1687-1693","title":"Electronic transitions in chromium (III) complexes—III","type":"article-journal","volume":"19"},"uris":["http://www.mendeley.com/documents/?uuid=d4862c05-f34a-4218-9110-c76d1fb255c8"]},{"id":"ITEM-2","itemData":{"DOI":"10.1021/jacs.9b06524","ISSN":"15205126","PMID":"31353904","abstract":"The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parameters assigned the absolute configurations of the two enantiomers. Circularly polarized luminescenc</w:instrText>
      </w:r>
      <w:r w:rsidR="006B462E" w:rsidRPr="00F338AB">
        <w:rPr>
          <w:rFonts w:eastAsia="MS Mincho" w:cstheme="minorHAnsi" w:hint="eastAsia"/>
          <w:sz w:val="18"/>
          <w:szCs w:val="18"/>
          <w:lang w:eastAsia="ja-JP"/>
        </w:rPr>
        <w:instrText xml:space="preserve">e (CPL) spectra showed two polarized emission bands within the NIR region corresponding to the characteristic metal-centered spin-flip Cr(2E </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 xml:space="preserve"> 4A2) and Cr(2T1 </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 xml:space="preserve"> 4A2) transitions with exceptionally high dissymmetry factors, |glum|, of 0.2 and 0.1, respecti</w:instrText>
      </w:r>
      <w:r w:rsidR="006B462E" w:rsidRPr="00F338AB">
        <w:rPr>
          <w:rFonts w:eastAsia="MS Mincho" w:cstheme="minorHAnsi"/>
          <w:sz w:val="18"/>
          <w:szCs w:val="18"/>
          <w:lang w:eastAsia="ja-JP"/>
        </w:rPr>
        <w:instrText>vely, which are comparable to those reported for rare-earth chiral complexes. Photophysical properties also revealed an extremely long excited-state lifetime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metals.","author":[{"dropping-particle":"","family":"Jiménez","given":"Juan 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G.","non-dropping-particle":"","parse-names":false,"suffix":""},{"dropping-particle":"","family":"Piguet","given":"Claude","non-dropping-particle":"","parse-names":false,"suffix":""}],"container-title":"Journal of the American Chemical Society","id":"ITEM-2","issue":"33","issued":{"date-parts":[["2019"]]},"page":"13244-13252","title":"Chiral Molecular Ruby [Cr(dqp)2]3+ with Long-Lived Circularly Polarized Luminescence","type":"article-journal","volume":"141"},"uris":["http://www.mendeley.com/documents/?uuid=e07e4a4c-c633-4296-9d39-44f03238aefe"]}],"mendeley":{"formattedCitation":"&lt;sup&gt;17,53&lt;/sup&gt;","plainTextFormattedCitation":"17,53","previouslyFormattedCitation":"&lt;sup&gt;17,53&lt;/sup&gt;"},"properties":{"noteIndex":0},"schema":"https://github.com/citation-style-language/schema/raw/master/csl-citation.json"}</w:instrText>
      </w:r>
      <w:r w:rsidR="00CB212B" w:rsidRPr="00F338AB">
        <w:rPr>
          <w:rFonts w:eastAsia="MS Mincho" w:cstheme="minorHAnsi"/>
          <w:sz w:val="18"/>
          <w:szCs w:val="18"/>
          <w:lang w:eastAsia="ja-JP"/>
        </w:rPr>
        <w:fldChar w:fldCharType="separate"/>
      </w:r>
      <w:r w:rsidR="00255A25" w:rsidRPr="00F338AB">
        <w:rPr>
          <w:rFonts w:eastAsia="MS Mincho" w:cstheme="minorHAnsi"/>
          <w:noProof/>
          <w:sz w:val="18"/>
          <w:szCs w:val="18"/>
          <w:vertAlign w:val="superscript"/>
          <w:lang w:eastAsia="ja-JP"/>
        </w:rPr>
        <w:t>17,53</w:t>
      </w:r>
      <w:r w:rsidR="00CB212B" w:rsidRPr="00F338AB">
        <w:rPr>
          <w:rFonts w:eastAsia="MS Mincho" w:cstheme="minorHAnsi"/>
          <w:sz w:val="18"/>
          <w:szCs w:val="18"/>
          <w:lang w:eastAsia="ja-JP"/>
        </w:rPr>
        <w:fldChar w:fldCharType="end"/>
      </w:r>
      <w:r w:rsidR="00ED670B" w:rsidRPr="00F338AB">
        <w:rPr>
          <w:rFonts w:eastAsia="MS Mincho" w:cstheme="minorHAnsi"/>
          <w:sz w:val="18"/>
          <w:szCs w:val="18"/>
          <w:lang w:eastAsia="ja-JP"/>
        </w:rPr>
        <w:t xml:space="preserve"> </w:t>
      </w:r>
      <w:r w:rsidR="00CB212B" w:rsidRPr="00F338AB">
        <w:rPr>
          <w:rFonts w:eastAsia="MS Mincho" w:cstheme="minorHAnsi"/>
          <w:sz w:val="18"/>
          <w:szCs w:val="18"/>
          <w:lang w:eastAsia="ja-JP"/>
        </w:rPr>
        <w:t>The compound</w:t>
      </w:r>
      <w:r w:rsidRPr="00F338AB">
        <w:rPr>
          <w:rFonts w:eastAsia="MS Mincho" w:cstheme="minorHAnsi"/>
          <w:sz w:val="18"/>
          <w:szCs w:val="18"/>
          <w:lang w:eastAsia="ja-JP"/>
        </w:rPr>
        <w:t xml:space="preserve"> </w:t>
      </w:r>
      <w:r w:rsidRPr="00F338AB">
        <w:rPr>
          <w:rFonts w:eastAsia="MS Mincho" w:cstheme="minorHAnsi"/>
          <w:b/>
          <w:bCs/>
          <w:sz w:val="18"/>
          <w:szCs w:val="18"/>
          <w:lang w:eastAsia="ja-JP"/>
        </w:rPr>
        <w:t>2</w:t>
      </w:r>
      <w:r w:rsidR="00CB212B" w:rsidRPr="00F338AB">
        <w:rPr>
          <w:rFonts w:eastAsia="MS Mincho" w:cstheme="minorHAnsi"/>
          <w:sz w:val="18"/>
          <w:szCs w:val="18"/>
          <w:lang w:eastAsia="ja-JP"/>
        </w:rPr>
        <w:t xml:space="preserve"> containing four iodine atoms reflect</w:t>
      </w:r>
      <w:r w:rsidR="00281597" w:rsidRPr="00F338AB">
        <w:rPr>
          <w:rFonts w:eastAsia="MS Mincho" w:cstheme="minorHAnsi"/>
          <w:sz w:val="18"/>
          <w:szCs w:val="18"/>
          <w:lang w:eastAsia="ja-JP"/>
        </w:rPr>
        <w:t>s</w:t>
      </w:r>
      <w:r w:rsidR="00CB212B" w:rsidRPr="00F338AB">
        <w:rPr>
          <w:rFonts w:eastAsia="MS Mincho" w:cstheme="minorHAnsi"/>
          <w:sz w:val="18"/>
          <w:szCs w:val="18"/>
          <w:lang w:eastAsia="ja-JP"/>
        </w:rPr>
        <w:t xml:space="preserve"> an increased value </w:t>
      </w:r>
      <w:r w:rsidR="00281597" w:rsidRPr="00F338AB">
        <w:rPr>
          <w:rFonts w:eastAsia="MS Mincho" w:cstheme="minorHAnsi"/>
          <w:sz w:val="18"/>
          <w:szCs w:val="18"/>
          <w:lang w:eastAsia="ja-JP"/>
        </w:rPr>
        <w:t xml:space="preserve">by </w:t>
      </w:r>
      <w:r w:rsidR="00CB212B" w:rsidRPr="00F338AB">
        <w:rPr>
          <w:rFonts w:eastAsia="MS Mincho" w:cstheme="minorHAnsi"/>
          <w:sz w:val="18"/>
          <w:szCs w:val="18"/>
          <w:lang w:eastAsia="ja-JP"/>
        </w:rPr>
        <w:t>a factor 2.5 in agreement with the abovementioned difference in molar extinction coefficient at the absorption maxima.</w:t>
      </w:r>
      <w:r w:rsidRPr="00F338AB">
        <w:rPr>
          <w:rFonts w:eastAsia="MS Mincho" w:cstheme="minorHAnsi"/>
          <w:sz w:val="18"/>
          <w:szCs w:val="18"/>
          <w:lang w:eastAsia="ja-JP"/>
        </w:rPr>
        <w:t xml:space="preserve"> </w:t>
      </w:r>
      <w:r w:rsidR="00D02A3E" w:rsidRPr="00F338AB">
        <w:rPr>
          <w:rFonts w:eastAsia="MS Mincho" w:cstheme="minorHAnsi"/>
          <w:sz w:val="18"/>
          <w:szCs w:val="18"/>
          <w:lang w:eastAsia="ja-JP"/>
        </w:rPr>
        <w:t>The</w:t>
      </w:r>
      <w:r w:rsidRPr="00F338AB">
        <w:rPr>
          <w:rFonts w:eastAsia="MS Mincho" w:cstheme="minorHAnsi"/>
          <w:sz w:val="18"/>
          <w:szCs w:val="18"/>
          <w:lang w:eastAsia="ja-JP"/>
        </w:rPr>
        <w:t xml:space="preserve"> </w:t>
      </w:r>
      <w:proofErr w:type="spellStart"/>
      <w:r w:rsidRPr="00F338AB">
        <w:rPr>
          <w:rFonts w:eastAsia="MS Mincho" w:cstheme="minorHAnsi"/>
          <w:i/>
          <w:sz w:val="18"/>
          <w:szCs w:val="18"/>
          <w:lang w:eastAsia="ja-JP"/>
        </w:rPr>
        <w:t>f</w:t>
      </w:r>
      <w:r w:rsidRPr="00F338AB">
        <w:rPr>
          <w:rFonts w:eastAsia="MS Mincho" w:cstheme="minorHAnsi"/>
          <w:sz w:val="18"/>
          <w:szCs w:val="18"/>
          <w:vertAlign w:val="subscript"/>
          <w:lang w:eastAsia="ja-JP"/>
        </w:rPr>
        <w:t>exp</w:t>
      </w:r>
      <w:proofErr w:type="spellEnd"/>
      <w:r w:rsidRPr="00F338AB">
        <w:rPr>
          <w:rFonts w:eastAsia="MS Mincho" w:cstheme="minorHAnsi"/>
          <w:sz w:val="18"/>
          <w:szCs w:val="18"/>
          <w:lang w:eastAsia="ja-JP"/>
        </w:rPr>
        <w:t xml:space="preserve"> </w:t>
      </w:r>
      <w:r w:rsidR="00D02A3E" w:rsidRPr="00F338AB">
        <w:rPr>
          <w:rFonts w:eastAsia="MS Mincho" w:cstheme="minorHAnsi"/>
          <w:sz w:val="18"/>
          <w:szCs w:val="18"/>
          <w:lang w:eastAsia="ja-JP"/>
        </w:rPr>
        <w:t xml:space="preserve">in </w:t>
      </w:r>
      <w:r w:rsidR="00D02A3E" w:rsidRPr="00F338AB">
        <w:rPr>
          <w:rFonts w:eastAsia="MS Mincho" w:cstheme="minorHAnsi"/>
          <w:b/>
          <w:bCs/>
          <w:sz w:val="18"/>
          <w:szCs w:val="18"/>
          <w:lang w:eastAsia="ja-JP"/>
        </w:rPr>
        <w:t>2</w:t>
      </w:r>
      <w:r w:rsidR="00D02A3E" w:rsidRPr="00F338AB">
        <w:rPr>
          <w:rFonts w:eastAsia="MS Mincho" w:cstheme="minorHAnsi"/>
          <w:sz w:val="18"/>
          <w:szCs w:val="18"/>
          <w:lang w:eastAsia="ja-JP"/>
        </w:rPr>
        <w:t xml:space="preserve"> </w:t>
      </w:r>
      <w:r w:rsidRPr="00F338AB">
        <w:rPr>
          <w:rFonts w:eastAsia="MS Mincho" w:cstheme="minorHAnsi"/>
          <w:sz w:val="18"/>
          <w:szCs w:val="18"/>
          <w:lang w:eastAsia="ja-JP"/>
        </w:rPr>
        <w:t xml:space="preserve">lies in the order of magnitude found in lanthanides ions such as Yb(III), which is well-known to act as a sensitizer in energy transfer </w:t>
      </w:r>
      <w:proofErr w:type="spellStart"/>
      <w:r w:rsidRPr="00F338AB">
        <w:rPr>
          <w:rFonts w:eastAsia="MS Mincho" w:cstheme="minorHAnsi"/>
          <w:sz w:val="18"/>
          <w:szCs w:val="18"/>
          <w:lang w:eastAsia="ja-JP"/>
        </w:rPr>
        <w:t>upconversion</w:t>
      </w:r>
      <w:proofErr w:type="spellEnd"/>
      <w:r w:rsidRPr="00F338AB">
        <w:rPr>
          <w:rFonts w:eastAsia="MS Mincho" w:cstheme="minorHAnsi"/>
          <w:sz w:val="18"/>
          <w:szCs w:val="18"/>
          <w:lang w:eastAsia="ja-JP"/>
        </w:rPr>
        <w:t xml:space="preserve"> processes (ETU).</w:t>
      </w:r>
      <w:r w:rsidRPr="00F338AB">
        <w:rPr>
          <w:rFonts w:eastAsia="MS Mincho" w:cstheme="minorHAnsi"/>
          <w:sz w:val="18"/>
          <w:szCs w:val="18"/>
          <w:lang w:eastAsia="ja-JP"/>
        </w:rPr>
        <w:fldChar w:fldCharType="begin" w:fldLock="1"/>
      </w:r>
      <w:r w:rsidR="006B462E" w:rsidRPr="00F338AB">
        <w:rPr>
          <w:rFonts w:eastAsia="MS Mincho" w:cstheme="minorHAnsi"/>
          <w:sz w:val="18"/>
          <w:szCs w:val="18"/>
          <w:lang w:eastAsia="ja-JP"/>
        </w:rPr>
        <w:instrText>ADDIN CSL_CITATION {"citationItems":[{"id":"ITEM-1","itemData":{"DOI":"10.1063/1.1695840","ISSN":"00219606","abstract":"We have correlated the experimentally measured intensities of the solution absorption spectra of PrPr3+, Nd3+, Er3+, Tm3+ in three different solvents with a theoretical expression derived by Judd. The expression, Matrix Equation Presented is derived from a theory in which the ligand-field interactions with the central 3+ ion cause a mixing of higher configurations of opposite parity into the fy configuration and gives rise to induced electric-dipole transitions. A prerequisite for the intensity calculations is the computation of complete intermediate coupling eigenvectors for the energy levels investigated. Other possible mechanisms such as magnetic-dipole and electric-quadrupole transitions are considered. The oscillator strengths of important magnetic-dipole transitions are tabulated. The results give the first experimental verification of the ability of the theory to account for large changes in certain bands of the same lanthanide observed in different solvents. Conclusions are drawn respecting the 7\\'s obtained in a given medium for all the lanthanides studied, and also for those obtained for a given lanthanide in different media. The / dependence of the Tx's is removed to facilitate their intercomparison, and the resulting parameters are tabulated. The 2s for Yb3+ are obtained by an extrapolation of the values computed for Tm3+ and Er3+. The nature of the model required by the theory is discussed.","author":[{"dropping-particle":"","family":"Carnall","given":"W. T.","non-dropping-particle":"","parse-names":false,"suffix":""},{"dropping-particle":"","family":"Fields","given":"P. R.","non-dropping-particle":"","parse-names":false,"suffix":""},{"dropping-particle":"","family":"Wybourne","given":"B. G.","non-dropping-particle":"","parse-names":false,"suffix":""}],"container-title":"The Journal of Chemical Physics","id":"ITEM-1","issue":"11","issued":{"date-parts":[["1965"]]},"page":"3797-3806","title":"Spectral intensities of the trivalent lanthanides and actinides in solution. I. Pr3+, Nd3+, Er3+, Tm3+, and Yb8+ 1","type":"article-journal","volume":"42"},"uris":["http://www.mendeley.com/documents/?uuid=2b003f22-9e1b-4c4d-bc53-589854676b1f"]}],"mendeley":{"formattedCitation":"&lt;sup&gt;54&lt;/sup&gt;","plainTextFormattedCitation":"54","previouslyFormattedCitation":"&lt;sup&gt;54&lt;/sup&gt;"},"properties":{"noteIndex":0},"schema":"https://github.com/citation-style-language/schema/raw/master/csl-citation.json"}</w:instrText>
      </w:r>
      <w:r w:rsidRPr="00F338AB">
        <w:rPr>
          <w:rFonts w:eastAsia="MS Mincho" w:cstheme="minorHAnsi"/>
          <w:sz w:val="18"/>
          <w:szCs w:val="18"/>
          <w:lang w:eastAsia="ja-JP"/>
        </w:rPr>
        <w:fldChar w:fldCharType="separate"/>
      </w:r>
      <w:r w:rsidR="00255A25" w:rsidRPr="00F338AB">
        <w:rPr>
          <w:rFonts w:eastAsia="MS Mincho" w:cstheme="minorHAnsi"/>
          <w:noProof/>
          <w:sz w:val="18"/>
          <w:szCs w:val="18"/>
          <w:vertAlign w:val="superscript"/>
          <w:lang w:eastAsia="ja-JP"/>
        </w:rPr>
        <w:t>54</w:t>
      </w:r>
      <w:r w:rsidRPr="00F338AB">
        <w:rPr>
          <w:rFonts w:eastAsia="MS Mincho" w:cstheme="minorHAnsi"/>
          <w:sz w:val="18"/>
          <w:szCs w:val="18"/>
          <w:lang w:eastAsia="ja-JP"/>
        </w:rPr>
        <w:fldChar w:fldCharType="end"/>
      </w:r>
      <w:r w:rsidRPr="00F338AB">
        <w:rPr>
          <w:rFonts w:eastAsia="MS Mincho" w:cstheme="minorHAnsi"/>
          <w:sz w:val="18"/>
          <w:szCs w:val="18"/>
          <w:lang w:eastAsia="ja-JP"/>
        </w:rPr>
        <w:t xml:space="preserve"> </w:t>
      </w:r>
      <w:r w:rsidR="00FE083B" w:rsidRPr="00F338AB">
        <w:rPr>
          <w:rFonts w:eastAsia="MS Mincho" w:cstheme="minorHAnsi"/>
          <w:sz w:val="18"/>
          <w:szCs w:val="18"/>
          <w:lang w:eastAsia="ja-JP"/>
        </w:rPr>
        <w:t>Although weak, t</w:t>
      </w:r>
      <w:r w:rsidRPr="00F338AB">
        <w:rPr>
          <w:rFonts w:eastAsia="MS Mincho" w:cstheme="minorHAnsi"/>
          <w:sz w:val="18"/>
          <w:szCs w:val="18"/>
          <w:lang w:eastAsia="ja-JP"/>
        </w:rPr>
        <w:t xml:space="preserve">he enhancement of the spin-flip transition cross-section </w:t>
      </w:r>
      <w:r w:rsidRPr="00F338AB">
        <w:rPr>
          <w:rFonts w:eastAsia="MS Mincho" w:cstheme="minorHAnsi"/>
          <w:iCs/>
          <w:sz w:val="18"/>
          <w:szCs w:val="18"/>
          <w:lang w:eastAsia="ja-JP"/>
        </w:rPr>
        <w:t>(associated to</w:t>
      </w:r>
      <w:r w:rsidRPr="00F338AB">
        <w:rPr>
          <w:rFonts w:eastAsia="MS Mincho" w:cstheme="minorHAnsi"/>
          <w:sz w:val="18"/>
          <w:szCs w:val="18"/>
          <w:lang w:eastAsia="ja-JP"/>
        </w:rPr>
        <w:t xml:space="preserve"> </w:t>
      </w:r>
      <w:proofErr w:type="spellStart"/>
      <w:r w:rsidRPr="00F338AB">
        <w:rPr>
          <w:rFonts w:eastAsia="MS Mincho" w:cstheme="minorHAnsi"/>
          <w:i/>
          <w:sz w:val="18"/>
          <w:szCs w:val="18"/>
          <w:lang w:eastAsia="ja-JP"/>
        </w:rPr>
        <w:t>f</w:t>
      </w:r>
      <w:r w:rsidRPr="00F338AB">
        <w:rPr>
          <w:rFonts w:eastAsia="MS Mincho" w:cstheme="minorHAnsi"/>
          <w:sz w:val="18"/>
          <w:szCs w:val="18"/>
          <w:vertAlign w:val="subscript"/>
          <w:lang w:eastAsia="ja-JP"/>
        </w:rPr>
        <w:t>exp</w:t>
      </w:r>
      <w:proofErr w:type="spellEnd"/>
      <w:r w:rsidRPr="00F338AB">
        <w:rPr>
          <w:rFonts w:eastAsia="MS Mincho" w:cstheme="minorHAnsi"/>
          <w:sz w:val="18"/>
          <w:szCs w:val="18"/>
          <w:lang w:eastAsia="ja-JP"/>
        </w:rPr>
        <w:t>) would be keystone to harness inert Cr(III) as efficient NIR sensitizer for boosting ETU efficiency in (supra)molecular Cr(III)-Er(III) assemblies</w:t>
      </w:r>
      <w:r w:rsidR="006B462E" w:rsidRPr="00F338AB">
        <w:rPr>
          <w:rFonts w:eastAsia="MS Mincho" w:cstheme="minorHAnsi"/>
          <w:sz w:val="18"/>
          <w:szCs w:val="18"/>
          <w:lang w:eastAsia="ja-JP"/>
        </w:rPr>
        <w:t>,</w:t>
      </w:r>
      <w:r w:rsidRPr="00F338AB">
        <w:rPr>
          <w:rFonts w:eastAsia="MS Mincho" w:cstheme="minorHAnsi"/>
          <w:sz w:val="18"/>
          <w:szCs w:val="18"/>
          <w:lang w:eastAsia="ja-JP"/>
        </w:rPr>
        <w:fldChar w:fldCharType="begin" w:fldLock="1"/>
      </w:r>
      <w:r w:rsidR="006B462E" w:rsidRPr="00F338AB">
        <w:rPr>
          <w:rFonts w:eastAsia="MS Mincho" w:cstheme="minorHAnsi"/>
          <w:sz w:val="18"/>
          <w:szCs w:val="18"/>
          <w:lang w:eastAsia="ja-JP"/>
        </w:rPr>
        <w:instrText>ADDIN CSL_CITATION {"citationItems":[{"id":"ITEM-1","itemData":{"DOI":"10.1002/anie.201100095","ISSN":"15213773","abstract":"Giving the green light: The connection of two CrIII sensitizers around a central ErIII acceptor in a self-assembled cation provides high local metal concentrations that favor efficient nonlinear energy transfer upconversion luminescence (see picture). Upon selective low-energy near-infrared irradiation of CrIII-centered transitions, 1 displays an unprecedented molecular two-photon upconverted green ErIII-centered emission. Copyright © 2011 WILEY-VCH Verlag GmbH &amp; Co. KGaA, Weinheim.","author":[{"dropping-particle":"","family":"Aboshyan-Sorgho","given":"Lilit","non-dropping-particle":"","parse-names":false,"suffix":""},{"dropping-particle":"","family":"Besnard","given":"Céline","non-dropping-particle":"","parse-names":false,"suffix":""},{"dropping-particle":"","family":"Pattison","given":"Phil","non-dropping-particle":"","parse-names":false,"suffix":""},{"dropping-particle":"","family":"Kittilstved","given":"Kevin R.","non-dropping-particle":"","parse-names":false,"suffix":""},{"dropping-particle":"","family":"Aebischer","given":"Annina","non-dropping-particle":"","parse-names":false,"suffix":""},{"dropping-particle":"","family":"Bünzli","given":"Jean Claude G.","non-dropping-particle":"","parse-names":false,"suffix":""},{"dropping-particle":"","family":"Hauser","given":"Andreas","non-dropping-particle":"","parse-names":false,"suffix":""},{"dropping-particle":"","family":"Piguet","gi</w:instrText>
      </w:r>
      <w:r w:rsidR="006B462E" w:rsidRPr="00F338AB">
        <w:rPr>
          <w:rFonts w:eastAsia="MS Mincho" w:cstheme="minorHAnsi" w:hint="eastAsia"/>
          <w:sz w:val="18"/>
          <w:szCs w:val="18"/>
          <w:lang w:eastAsia="ja-JP"/>
        </w:rPr>
        <w:instrText>ven":"Claude","non-dropping-particle":"","parse-names":false,"suffix":""}],"container-title":"Angew. Chem. Int. Ed.","id":"ITEM-1","issue":"18","issued":{"date-parts":[["2011"]]},"page":"4108-4112","title":"Near-infrared</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Visible light upconversion in a mo</w:instrText>
      </w:r>
      <w:r w:rsidR="006B462E" w:rsidRPr="00F338AB">
        <w:rPr>
          <w:rFonts w:eastAsia="MS Mincho" w:cstheme="minorHAnsi"/>
          <w:sz w:val="18"/>
          <w:szCs w:val="18"/>
          <w:lang w:eastAsia="ja-JP"/>
        </w:rPr>
        <w:instrText>lecular trinuclear d-f-d complex","type":"article-journal","volume":"50"},"uris":["http://www.mendeley.com/documents/?uuid=e80c2478-b0c5-4cb9-8a52-72a8b156d572"]},{"id":"ITEM-2","itemData":{"DOI":"10.1021/jacs.3c01331","ISSN":"15205126","PMID":"37018515","abstract":"Whereas dye-sensitized lanthanide-doped nanoparticles represent an unquestionable advance for pushing linear near-infrared (NIR) to visible-light upconversion within the frame of applications, analogous improvements are difficult to mimic for related but intramolecular processes induced at the molecular level in coordination complexes. Major difficulties arise from the cationic nature of the target cyanine-containing sensitizers (S), which drastically limits their thermodynamic affinities for catching the lanthanide activators (A) required for performing linear light upconversion. In this context, the rare previous design of stable dye-containing molecular SA light-upconverters required large S···A distances at the cost of the operation of onl</w:instrText>
      </w:r>
      <w:r w:rsidR="006B462E" w:rsidRPr="00F338AB">
        <w:rPr>
          <w:rFonts w:eastAsia="MS Mincho" w:cstheme="minorHAnsi" w:hint="eastAsia"/>
          <w:sz w:val="18"/>
          <w:szCs w:val="18"/>
          <w:lang w:eastAsia="ja-JP"/>
        </w:rPr>
        <w:instrText xml:space="preserve">y poorly efficient intramolecular S </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 xml:space="preserve"> A energy transfers and global sensitization. With the synthesis of the compact ligand [L2]+, we exploit here the benefit of using a single sulfur connector between the dye and the binding unit for counterbalancing the</w:instrText>
      </w:r>
      <w:r w:rsidR="006B462E" w:rsidRPr="00F338AB">
        <w:rPr>
          <w:rFonts w:eastAsia="MS Mincho" w:cstheme="minorHAnsi"/>
          <w:sz w:val="18"/>
          <w:szCs w:val="18"/>
          <w:lang w:eastAsia="ja-JP"/>
        </w:rPr>
        <w:instrText xml:space="preserve"> drastic electrostatic penalty which is expected to prevent metal complexation. Quantitative amounts of nine-coordinate [L2Er(hfac)3]+ molecular adducts could be finally prepared in solution at millimolar concentrations, while the S···A distance has been reduced by 40% to reach circa 0.7 nm. Detailed photophysical studies demonstrate the operation of a three times improved energy transfer upconversion (ETU) mechanism for molecular [L2Er(hfac)3]+ in acetonitrile at room temperature, thanks to the boosted heavy atom effect operating in the close cyanine/Er pair. NIR excitation at 801 nm can thus be upconverted into visible light (525-545 nm) with an unprecedented brightness of Bup(801 nm) = 2.0(1) × 10-3 M-1·cm-1 for a molecular lanthanide complex.","author":[{"dropping-particle":"","family":"Taarit","given":"Inès","non-dropping-particle":"","parse-names":false,"suffix":""},{"dropping-particle":"","family":"Alves","given":"Filipe","non-dropping-particle":"","parse-names":false,"suffix":""},{"dropping-particle":"","family":"Benchohra","given":"Amina","non-dropping-particle":"","parse-names":false,"suffix":""},{"dropping-particle":"","family":"Guénée","given":"Laure","non-dropping-particle":"","parse-names":false,"suffix":""},{"dropping-particle":"","family":"Golesorkhi","given":"Bahman","non-dropping-particle":"","parse-names":false,"suffix":""},{"dropping-particle":"","family":"Rosspeintner","given":"Arnulf","non-dropping-particle":"","parse-names":false,"suffix":""},{"dropping-particle":"","family":"Fürstenberg","given":"Alexandre","non-dropping-particle":"","parse-names":false,"suffix":""},{"dropping-particle":"","family":"Piguet","given":"Claude","non-dropping-particle":"","parse-names":false,"suffix":""}],"container-title":"Journal of the American Chemical Society","id":"ITEM-2","issued":{"date-parts":[["2023"]]},"page":"8621-8633","title":"Seeking Brightness in Molecular Erbium-Based Light Upconversion","type":"article-journal","volume":"145"},"uris":["http://www.mendeley.com/documents/?uuid=c4caf79f-80a7-469a-a46a-f55fd9e685d8"]},{"id":"ITEM-3","itemData":{"DOI":"10.1021/acs.inorgchem.4c02397","ISSN":"1520510X","abstract":"Pseudo-octahedral CrIIIN6 chromophores hold a unique appeal for low-energy sensitization of NIR lanthanide luminescence due to their exceptionally long-lived spin-flip excited states. This allure persists despite the obstacles and complexities involved in integrating both elements into a metallosupramolecular assembly. In this work, we have designed a structurally optimized heteroleptic CrIII building block capable of binding rare earths. Following a complex-as-ligand synthetic strategy, two heterometallic supramolecular assemblies, in which three peripherical CrIII sensitizers coordinated through a molecular wire to a central ErIII</w:instrText>
      </w:r>
      <w:r w:rsidR="006B462E" w:rsidRPr="00F338AB">
        <w:rPr>
          <w:rFonts w:eastAsia="MS Mincho" w:cstheme="minorHAnsi" w:hint="eastAsia"/>
          <w:sz w:val="18"/>
          <w:szCs w:val="18"/>
          <w:lang w:eastAsia="ja-JP"/>
        </w:rPr>
        <w:instrText xml:space="preserve"> or YIII, have been prepared. Upon excitation of the CrIII spin-flip states, the downshifted Er(4I13/2 </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 xml:space="preserve"> 4I15/2) emission at 1550 nm was induced through intramolecular energy transfer. Time-resolved experiments at room temperature reveal a CrIII </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 xml:space="preserve"> ErIII e</w:instrText>
      </w:r>
      <w:r w:rsidR="006B462E" w:rsidRPr="00F338AB">
        <w:rPr>
          <w:rFonts w:eastAsia="MS Mincho" w:cstheme="minorHAnsi"/>
          <w:sz w:val="18"/>
          <w:szCs w:val="18"/>
          <w:lang w:eastAsia="ja-JP"/>
        </w:rPr>
        <w:instrText>nergy transfer of 62-73% efficiencies with rate constants of about 8.5 × 105 s-1 despite the long donor-acceptor distance (circa 14 Å). This efficient directional intermetallic energy transfer can be rationalized using the Dexter formalism, which is promoted by a rigid linear electron-rich alkyne bridge that acts as a molecular wire connecting the CrIII and ErIII ions.","author":[{"dropping-particle":"","family":"Poncet","given":"Maxime","non-dropping-particle":"","parse-names":false,"suffix":""},{"dropping-particle":"","family":"Besnard","given":"Céline","non-dropping-particle":"","parse-names":false,"suffix":""},{"dropping-particle":"","family":"Jiménez","given":"Juan Ramón","non-dropping-particle":"","parse-names":false,"suffix":""},{"dropping-particle":"","family":"Piguet","given":"Claude","non-dropping-particle":"","parse-names":false,"suffix":""}],"container-title":"Inorganic Chemistry","id":"ITEM-3","issue":"Iii","issued":{"date-parts":[["2024"]]},"title":"Maximizing Nanoscale Downshifting Energy Transfer in a Metallosupramolecular Cr(III)-Er(III) Assembly","type":"article-journal"},"uris":["http://www.mendeley.com/documents/?uuid=90e05f4f-6325-4b15-91f7-b4db50afb372"]}],"mendeley":{"formattedCitation":"&lt;sup&gt;27,32,55&lt;/sup&gt;","plainTextFormattedCitation":"27,32,55","previouslyFormattedCitation":"&lt;sup&gt;27,32,55&lt;/sup&gt;"},"properties":{"noteIndex":0},"schema":"https://github.com/citation-style-language/schema/raw/master/csl-citation.json"}</w:instrText>
      </w:r>
      <w:r w:rsidRPr="00F338AB">
        <w:rPr>
          <w:rFonts w:eastAsia="MS Mincho" w:cstheme="minorHAnsi"/>
          <w:sz w:val="18"/>
          <w:szCs w:val="18"/>
          <w:lang w:eastAsia="ja-JP"/>
        </w:rPr>
        <w:fldChar w:fldCharType="separate"/>
      </w:r>
      <w:r w:rsidR="00255A25" w:rsidRPr="00F338AB">
        <w:rPr>
          <w:rFonts w:eastAsia="MS Mincho" w:cstheme="minorHAnsi"/>
          <w:noProof/>
          <w:sz w:val="18"/>
          <w:szCs w:val="18"/>
          <w:vertAlign w:val="superscript"/>
          <w:lang w:eastAsia="ja-JP"/>
        </w:rPr>
        <w:t>27,32,55</w:t>
      </w:r>
      <w:r w:rsidRPr="00F338AB">
        <w:rPr>
          <w:rFonts w:eastAsia="MS Mincho" w:cstheme="minorHAnsi"/>
          <w:sz w:val="18"/>
          <w:szCs w:val="18"/>
          <w:lang w:eastAsia="ja-JP"/>
        </w:rPr>
        <w:fldChar w:fldCharType="end"/>
      </w:r>
      <w:r w:rsidRPr="00F338AB">
        <w:rPr>
          <w:rFonts w:eastAsia="MS Mincho" w:cstheme="minorHAnsi"/>
          <w:sz w:val="18"/>
          <w:szCs w:val="18"/>
          <w:lang w:eastAsia="ja-JP"/>
        </w:rPr>
        <w:t xml:space="preserve"> </w:t>
      </w:r>
      <w:r w:rsidR="006B462E" w:rsidRPr="00F338AB">
        <w:rPr>
          <w:rFonts w:eastAsia="MS Mincho" w:cstheme="minorHAnsi"/>
          <w:sz w:val="18"/>
          <w:szCs w:val="18"/>
          <w:lang w:eastAsia="ja-JP"/>
        </w:rPr>
        <w:t xml:space="preserve">and potentially also for enhancing the efficiency of red light-driven </w:t>
      </w:r>
      <w:proofErr w:type="spellStart"/>
      <w:r w:rsidR="006B462E" w:rsidRPr="00F338AB">
        <w:rPr>
          <w:rFonts w:eastAsia="MS Mincho" w:cstheme="minorHAnsi"/>
          <w:sz w:val="18"/>
          <w:szCs w:val="18"/>
          <w:lang w:eastAsia="ja-JP"/>
        </w:rPr>
        <w:t>photoredox</w:t>
      </w:r>
      <w:proofErr w:type="spellEnd"/>
      <w:r w:rsidR="006B462E" w:rsidRPr="00F338AB">
        <w:rPr>
          <w:rFonts w:eastAsia="MS Mincho" w:cstheme="minorHAnsi"/>
          <w:sz w:val="18"/>
          <w:szCs w:val="18"/>
          <w:lang w:eastAsia="ja-JP"/>
        </w:rPr>
        <w:t xml:space="preserve"> catalysis with Cr(III) complexes.</w:t>
      </w:r>
      <w:r w:rsidR="006B462E" w:rsidRPr="00F338AB">
        <w:rPr>
          <w:rFonts w:eastAsia="MS Mincho" w:cstheme="minorHAnsi"/>
          <w:sz w:val="18"/>
          <w:szCs w:val="18"/>
          <w:lang w:eastAsia="ja-JP"/>
        </w:rPr>
        <w:fldChar w:fldCharType="begin" w:fldLock="1"/>
      </w:r>
      <w:r w:rsidR="006B462E" w:rsidRPr="00F338AB">
        <w:rPr>
          <w:rFonts w:eastAsia="MS Mincho" w:cstheme="minorHAnsi"/>
          <w:sz w:val="18"/>
          <w:szCs w:val="18"/>
          <w:lang w:eastAsia="ja-JP"/>
        </w:rPr>
        <w:instrText>ADDIN CSL_CITATION {"citationItems":[{"id":"ITEM-1","itemData":{"DOI":"10.1038/s41586-018-0835-2","ISSN":"14764687","PMID":"30651612","abstract":"Recent advances in photoredox catalysis have made it possible to achieve various challenging synthetic transformations, polymerizations and surface modifications1–3. All of these reactions require ultraviolet- or visible-light stimuli; however, the use of visible-light irradiation has intrinsic challenges. For example, the penetration of visible light through most reaction media is very low, leading to problems in large-scale reactions. Moreover, reactants can compete with photocatalysts for the absorption of incident light, limiting the scope of the reactions. These problems can be overcome by the use of near-infrared light, which has a much higher penetration depth through various media, notably biological tissue4. Here we demonstrate various photoredox transformations under infrared radiation by utilizing the photophysical process of triplet fusion upconversion, a mechanism by which two low-energy photons are converted into a higher-energy photon. We show that this is a general strategy applicable to a wide range of photoredox reactions. We tune the upconversion components to adjust the output light, accessing both orange light and blue light from low-energy infrared light, by pairwise manipulation of the sensitizer and annihilator. We further demonstrate that the annihilator itself can be used as a photocatalyst, thus simplifying the reaction. This approach enables catalysis of high-energy transformations through several opaque barriers using low-energy infrared light.","author":[{"dropping-particle":"","family":"Ravetz","given":"Benjamin D.","non-dropping-particle":"","parse-names":false,"suffix":""},{"dropping-particle":"","family":"Pun","given":"Andrew B.","non-dropping-particle":"","parse-names":false,"suffix":""},{"dropping-particle":"","family":"Churchill","given":"Emily M.","non-dropping-particle":"","parse-names":false,"suffix":""},{"dropping-particle":"","family":"Congreve","given":"Daniel N.","non-dropping-particle":"","parse-names":false,"suffix":""},{"dropping-particle":"","family":"Rovis","given":"Tomislav","non-dropping-particle":"","parse-names":false,"suffix":""},{"dropping-particle":"","family":"Campos","given":"Luis M.","non-dropping-particle":"","parse-names":false,"suffix":""}],"container-title":"Nature","id":"ITEM-1","issue":"7739","issued":{"date-parts":[["2019"]]},"page":"343-346","publisher":"Springer US","title":"Photoredox catalysis using infrared light via triplet fusion upconversion","type":"article-journal","volume":"565"},"uris":["http://www.mendeley.com/documents/?uuid=e7a8f9bd-1071-4299-9290-df3fb6491033"]},{"id":"ITEM-2","itemData":{"DOI":"10.1021/jacsau.2c00265","ISSN":"26913704","abstract":"Photoredox catalysis typically relies on the use of single chromophores, whereas strategies, in which two different light absorbers are combined, are rare. In photosystems I and II of green plants, the two separate chromophores P680 and P700 both absorb light independently of one another, and then their excitation energy is combined in the so-called Z-scheme, to drive an overall reaction that is thermodynamically very demanding. Here, we adapt this concept to perform photoredox reactions on organic substrates with the combined energy input of two red photons instead of blue or UV light. Specifically, a CuI bis(α-diimine) complex in combination with in situ formed 9,10-dicyanoanthracenyl radical anion in the presence of excess diisopropylethylamine catalyzes ca. 50 dehalogenation and detosylation reactions. This dual photoredox approach seems useful because red light is less damaging and has a greater penetration depth than blue or UV radiation. UV-vis transient absorption spectroscopy reveals that the subtle change in solvent from acetonitrile to acetone induces a changeover in the reaction mechanism, involving either a dominant photoinduced electron transfer or a dominant triplet-triplet energy transfer pathway. Our study illustrates the mechanistic complexity in systems operating under multiphotonic excitation conditions, and it provides insights into how the competition between desirable and unwanted reaction steps can become more controllable.","author":[{"dropping-particle":"","family":"Glaser","given":"Felix","non-dropping-particle":"","parse-names":false,"suffix":""},{"dropping-particle":"","family":"Wenger","given":"Oliver S.","non-dropping-particle":"","parse-names":false,"suffix":""}],"container-title":"JACS Au","id":"ITEM-2","issue":"6","issued":{"date-parts":[["2022"]]},"page":"1488-1503","title":"Red Light-Based Dual Photoredox Strategy Resembling the Z-Scheme of Natural Photosynthesis","type":"article-journal","volume":"2"},"uris":["http://www.mendeley.com/documents/?uuid=010646fe-01e9-45d9-abba-85fc509ffb05"]}],"mendeley":{"formattedCitation":"&lt;sup&gt;56,57&lt;/sup&gt;","plainTextFormattedCitation":"56,57","previouslyFormattedCitation":"&lt;sup&gt;56,57&lt;/sup&gt;"},"properties":{"noteIndex":0},"schema":"https://github.com/citation-style-language/schema/raw/master/csl-citation.json"}</w:instrText>
      </w:r>
      <w:r w:rsidR="006B462E" w:rsidRPr="00F338AB">
        <w:rPr>
          <w:rFonts w:eastAsia="MS Mincho" w:cstheme="minorHAnsi"/>
          <w:sz w:val="18"/>
          <w:szCs w:val="18"/>
          <w:lang w:eastAsia="ja-JP"/>
        </w:rPr>
        <w:fldChar w:fldCharType="separate"/>
      </w:r>
      <w:r w:rsidR="006B462E" w:rsidRPr="00F338AB">
        <w:rPr>
          <w:rFonts w:eastAsia="MS Mincho" w:cstheme="minorHAnsi"/>
          <w:noProof/>
          <w:sz w:val="18"/>
          <w:szCs w:val="18"/>
          <w:vertAlign w:val="superscript"/>
          <w:lang w:eastAsia="ja-JP"/>
        </w:rPr>
        <w:t>56,57</w:t>
      </w:r>
      <w:r w:rsidR="006B462E" w:rsidRPr="00F338AB">
        <w:rPr>
          <w:rFonts w:eastAsia="MS Mincho" w:cstheme="minorHAnsi"/>
          <w:sz w:val="18"/>
          <w:szCs w:val="18"/>
          <w:lang w:eastAsia="ja-JP"/>
        </w:rPr>
        <w:fldChar w:fldCharType="end"/>
      </w:r>
      <w:r w:rsidR="006B462E" w:rsidRPr="00F338AB">
        <w:rPr>
          <w:rFonts w:eastAsia="MS Mincho" w:cstheme="minorHAnsi"/>
          <w:sz w:val="18"/>
          <w:szCs w:val="18"/>
          <w:lang w:eastAsia="ja-JP"/>
        </w:rPr>
        <w:t xml:space="preserve"> </w:t>
      </w:r>
    </w:p>
    <w:p w14:paraId="24FA8A80" w14:textId="77777777" w:rsidR="00D8369A" w:rsidRPr="00F338AB" w:rsidRDefault="00D8369A" w:rsidP="00B5534B">
      <w:pPr>
        <w:spacing w:after="0" w:line="240" w:lineRule="atLeast"/>
        <w:jc w:val="both"/>
        <w:rPr>
          <w:rFonts w:eastAsia="MS Mincho" w:cstheme="minorHAnsi"/>
          <w:sz w:val="18"/>
          <w:szCs w:val="18"/>
          <w:lang w:eastAsia="ja-JP"/>
        </w:rPr>
      </w:pPr>
    </w:p>
    <w:p w14:paraId="72B8817A" w14:textId="0FB5973E" w:rsidR="00381634" w:rsidRPr="00F338AB" w:rsidRDefault="00381634" w:rsidP="00381634">
      <w:pPr>
        <w:spacing w:after="0" w:line="240" w:lineRule="atLeast"/>
        <w:jc w:val="both"/>
        <w:rPr>
          <w:rFonts w:eastAsia="MS Mincho" w:cstheme="minorHAnsi"/>
          <w:b/>
          <w:bCs/>
          <w:sz w:val="18"/>
          <w:szCs w:val="18"/>
          <w:lang w:eastAsia="ja-JP"/>
        </w:rPr>
      </w:pPr>
      <w:r w:rsidRPr="00F338AB">
        <w:rPr>
          <w:rFonts w:eastAsia="MS Mincho" w:cstheme="minorHAnsi"/>
          <w:b/>
          <w:bCs/>
          <w:sz w:val="18"/>
          <w:szCs w:val="18"/>
          <w:lang w:eastAsia="ja-JP"/>
        </w:rPr>
        <w:t>Theoretical calculations</w:t>
      </w:r>
    </w:p>
    <w:p w14:paraId="16DCE11D" w14:textId="5CD78694" w:rsidR="009238A8" w:rsidRPr="00F338AB" w:rsidRDefault="009238A8" w:rsidP="00381634">
      <w:pPr>
        <w:spacing w:after="0" w:line="240" w:lineRule="atLeast"/>
        <w:jc w:val="both"/>
        <w:rPr>
          <w:rFonts w:eastAsia="MS Mincho" w:cstheme="minorHAnsi"/>
          <w:sz w:val="18"/>
          <w:szCs w:val="18"/>
          <w:lang w:eastAsia="ja-JP"/>
        </w:rPr>
      </w:pPr>
      <w:r w:rsidRPr="00F338AB">
        <w:rPr>
          <w:rFonts w:eastAsia="MS Mincho" w:cstheme="minorHAnsi"/>
          <w:sz w:val="18"/>
          <w:szCs w:val="18"/>
          <w:lang w:eastAsia="ja-JP"/>
        </w:rPr>
        <w:t>The geometries of [</w:t>
      </w:r>
      <w:proofErr w:type="gramStart"/>
      <w:r w:rsidRPr="00F338AB">
        <w:rPr>
          <w:rFonts w:eastAsia="MS Mincho" w:cstheme="minorHAnsi"/>
          <w:sz w:val="18"/>
          <w:szCs w:val="18"/>
          <w:lang w:eastAsia="ja-JP"/>
        </w:rPr>
        <w:t>Cr(</w:t>
      </w:r>
      <w:proofErr w:type="spellStart"/>
      <w:proofErr w:type="gramEnd"/>
      <w:r w:rsidRPr="00F338AB">
        <w:rPr>
          <w:rFonts w:eastAsia="MS Mincho" w:cstheme="minorHAnsi"/>
          <w:sz w:val="18"/>
          <w:szCs w:val="18"/>
          <w:lang w:eastAsia="ja-JP"/>
        </w:rPr>
        <w:t>Mebipzp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00FE083B" w:rsidRPr="00F338AB">
        <w:rPr>
          <w:rFonts w:eastAsia="MS Mincho" w:cstheme="minorHAnsi"/>
          <w:sz w:val="18"/>
          <w:szCs w:val="18"/>
          <w:lang w:eastAsia="ja-JP"/>
        </w:rPr>
        <w:t>,</w:t>
      </w:r>
      <w:r w:rsidRPr="00F338AB">
        <w:rPr>
          <w:rFonts w:eastAsia="MS Mincho" w:cstheme="minorHAnsi"/>
          <w:sz w:val="18"/>
          <w:szCs w:val="18"/>
          <w:lang w:eastAsia="ja-JP"/>
        </w:rPr>
        <w:t xml:space="preserve"> [Cr(</w:t>
      </w:r>
      <w:proofErr w:type="spellStart"/>
      <w:r w:rsidRPr="00F338AB">
        <w:rPr>
          <w:rFonts w:eastAsia="MS Mincho" w:cstheme="minorHAnsi"/>
          <w:sz w:val="18"/>
          <w:szCs w:val="18"/>
          <w:lang w:eastAsia="ja-JP"/>
        </w:rPr>
        <w:t>IMebipzp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 xml:space="preserve"> </w:t>
      </w:r>
      <w:r w:rsidR="00FE083B" w:rsidRPr="00F338AB">
        <w:rPr>
          <w:rFonts w:eastAsia="MS Mincho" w:cstheme="minorHAnsi"/>
          <w:sz w:val="18"/>
          <w:szCs w:val="18"/>
          <w:lang w:eastAsia="ja-JP"/>
        </w:rPr>
        <w:t>and [Cr(</w:t>
      </w:r>
      <w:proofErr w:type="spellStart"/>
      <w:r w:rsidR="00FE083B" w:rsidRPr="00F338AB">
        <w:rPr>
          <w:rFonts w:eastAsia="MS Mincho" w:cstheme="minorHAnsi"/>
          <w:sz w:val="18"/>
          <w:szCs w:val="18"/>
          <w:lang w:eastAsia="ja-JP"/>
        </w:rPr>
        <w:t>bip</w:t>
      </w:r>
      <w:proofErr w:type="spellEnd"/>
      <w:r w:rsidR="00FE083B" w:rsidRPr="00F338AB">
        <w:rPr>
          <w:rFonts w:eastAsia="MS Mincho" w:cstheme="minorHAnsi"/>
          <w:sz w:val="18"/>
          <w:szCs w:val="18"/>
          <w:lang w:eastAsia="ja-JP"/>
        </w:rPr>
        <w:t>*)</w:t>
      </w:r>
      <w:r w:rsidR="00FE083B" w:rsidRPr="00F338AB">
        <w:rPr>
          <w:rFonts w:eastAsia="MS Mincho" w:cstheme="minorHAnsi"/>
          <w:sz w:val="18"/>
          <w:szCs w:val="18"/>
          <w:vertAlign w:val="subscript"/>
          <w:lang w:eastAsia="ja-JP"/>
        </w:rPr>
        <w:t>2</w:t>
      </w:r>
      <w:r w:rsidR="00FE083B" w:rsidRPr="00F338AB">
        <w:rPr>
          <w:rFonts w:eastAsia="MS Mincho" w:cstheme="minorHAnsi"/>
          <w:sz w:val="18"/>
          <w:szCs w:val="18"/>
          <w:lang w:eastAsia="ja-JP"/>
        </w:rPr>
        <w:t>]</w:t>
      </w:r>
      <w:r w:rsidR="00FE083B" w:rsidRPr="00F338AB">
        <w:rPr>
          <w:rFonts w:eastAsia="MS Mincho" w:cstheme="minorHAnsi"/>
          <w:sz w:val="18"/>
          <w:szCs w:val="18"/>
          <w:vertAlign w:val="superscript"/>
          <w:lang w:eastAsia="ja-JP"/>
        </w:rPr>
        <w:t>3+</w:t>
      </w:r>
      <w:r w:rsidR="00FE083B" w:rsidRPr="00F338AB">
        <w:rPr>
          <w:rFonts w:eastAsia="MS Mincho" w:cstheme="minorHAnsi"/>
          <w:sz w:val="18"/>
          <w:szCs w:val="18"/>
          <w:lang w:eastAsia="ja-JP"/>
        </w:rPr>
        <w:t xml:space="preserve"> </w:t>
      </w:r>
      <w:r w:rsidRPr="00F338AB">
        <w:rPr>
          <w:rFonts w:eastAsia="MS Mincho" w:cstheme="minorHAnsi"/>
          <w:sz w:val="18"/>
          <w:szCs w:val="18"/>
          <w:lang w:eastAsia="ja-JP"/>
        </w:rPr>
        <w:t xml:space="preserve">in their </w:t>
      </w:r>
      <w:r w:rsidRPr="00F338AB">
        <w:rPr>
          <w:rFonts w:eastAsia="MS Mincho" w:cstheme="minorHAnsi"/>
          <w:sz w:val="18"/>
          <w:szCs w:val="18"/>
          <w:vertAlign w:val="superscript"/>
          <w:lang w:eastAsia="ja-JP"/>
        </w:rPr>
        <w:t>4</w:t>
      </w:r>
      <w:r w:rsidRPr="00F338AB">
        <w:rPr>
          <w:rFonts w:eastAsia="MS Mincho" w:cstheme="minorHAnsi"/>
          <w:sz w:val="18"/>
          <w:szCs w:val="18"/>
          <w:lang w:eastAsia="ja-JP"/>
        </w:rPr>
        <w:t>A</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 xml:space="preserve"> ground states were optimized using unrestricted density functional theory (DFT) calculations at the UB3LYP/def2TZVPP level (S</w:t>
      </w:r>
      <w:r w:rsidR="005D144C" w:rsidRPr="00F338AB">
        <w:rPr>
          <w:rFonts w:eastAsia="MS Mincho" w:cstheme="minorHAnsi"/>
          <w:sz w:val="18"/>
          <w:szCs w:val="18"/>
          <w:lang w:eastAsia="ja-JP"/>
        </w:rPr>
        <w:t>I for technical details</w:t>
      </w:r>
      <w:r w:rsidRPr="00F338AB">
        <w:rPr>
          <w:rFonts w:eastAsia="MS Mincho" w:cstheme="minorHAnsi"/>
          <w:sz w:val="18"/>
          <w:szCs w:val="18"/>
          <w:lang w:eastAsia="ja-JP"/>
        </w:rPr>
        <w:t xml:space="preserve"> and Fig. S</w:t>
      </w:r>
      <w:r w:rsidR="000B0C16" w:rsidRPr="00F338AB">
        <w:rPr>
          <w:rFonts w:eastAsia="MS Mincho" w:cstheme="minorHAnsi"/>
          <w:sz w:val="18"/>
          <w:szCs w:val="18"/>
          <w:lang w:eastAsia="ja-JP"/>
        </w:rPr>
        <w:t>21</w:t>
      </w:r>
      <w:r w:rsidRPr="00F338AB">
        <w:rPr>
          <w:rFonts w:eastAsia="MS Mincho" w:cstheme="minorHAnsi"/>
          <w:sz w:val="18"/>
          <w:szCs w:val="18"/>
          <w:lang w:eastAsia="ja-JP"/>
        </w:rPr>
        <w:t>). The obtained geometries matched those obtained from the single-crystal diffraction, with minimal variations in their bite angles (Table S</w:t>
      </w:r>
      <w:r w:rsidR="000B0C16" w:rsidRPr="00F338AB">
        <w:rPr>
          <w:rFonts w:eastAsia="MS Mincho" w:cstheme="minorHAnsi"/>
          <w:sz w:val="18"/>
          <w:szCs w:val="18"/>
          <w:lang w:eastAsia="ja-JP"/>
        </w:rPr>
        <w:t>6</w:t>
      </w:r>
      <w:r w:rsidRPr="00F338AB">
        <w:rPr>
          <w:rFonts w:eastAsia="MS Mincho" w:cstheme="minorHAnsi"/>
          <w:sz w:val="18"/>
          <w:szCs w:val="18"/>
          <w:lang w:eastAsia="ja-JP"/>
        </w:rPr>
        <w:t xml:space="preserve">). The excited state landscape was evaluated using the complete active space self-consistent field method (CASSCF(7,12)/FIC-NEVPT2) for </w:t>
      </w:r>
      <w:r w:rsidR="00FE083B" w:rsidRPr="00F338AB">
        <w:rPr>
          <w:rFonts w:eastAsia="MS Mincho" w:cstheme="minorHAnsi"/>
          <w:sz w:val="18"/>
          <w:szCs w:val="18"/>
          <w:lang w:eastAsia="ja-JP"/>
        </w:rPr>
        <w:t>the three</w:t>
      </w:r>
      <w:r w:rsidRPr="00F338AB">
        <w:rPr>
          <w:rFonts w:eastAsia="MS Mincho" w:cstheme="minorHAnsi"/>
          <w:sz w:val="18"/>
          <w:szCs w:val="18"/>
          <w:lang w:eastAsia="ja-JP"/>
        </w:rPr>
        <w:t xml:space="preserve"> complexes. The calculations revealed a similar distribution of the excited states</w:t>
      </w:r>
      <w:r w:rsidR="000B0C16" w:rsidRPr="00F338AB">
        <w:rPr>
          <w:rFonts w:eastAsia="MS Mincho" w:cstheme="minorHAnsi"/>
          <w:sz w:val="18"/>
          <w:szCs w:val="18"/>
          <w:lang w:eastAsia="ja-JP"/>
        </w:rPr>
        <w:t xml:space="preserve"> in the three compounds</w:t>
      </w:r>
      <w:r w:rsidRPr="00F338AB">
        <w:rPr>
          <w:rFonts w:eastAsia="MS Mincho" w:cstheme="minorHAnsi"/>
          <w:sz w:val="18"/>
          <w:szCs w:val="18"/>
          <w:lang w:eastAsia="ja-JP"/>
        </w:rPr>
        <w:t xml:space="preserve">, where the microstates </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1</w:t>
      </w:r>
      <w:r w:rsidRPr="00F338AB">
        <w:rPr>
          <w:rFonts w:eastAsia="MS Mincho" w:cstheme="minorHAnsi"/>
          <w:sz w:val="18"/>
          <w:szCs w:val="18"/>
          <w:lang w:eastAsia="ja-JP"/>
        </w:rPr>
        <w:t xml:space="preserve">(1) and </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1</w:t>
      </w:r>
      <w:r w:rsidRPr="00F338AB">
        <w:rPr>
          <w:rFonts w:eastAsia="MS Mincho" w:cstheme="minorHAnsi"/>
          <w:sz w:val="18"/>
          <w:szCs w:val="18"/>
          <w:lang w:eastAsia="ja-JP"/>
        </w:rPr>
        <w:t>(2) a</w:t>
      </w:r>
      <w:r w:rsidR="000B0C16" w:rsidRPr="00F338AB">
        <w:rPr>
          <w:rFonts w:eastAsia="MS Mincho" w:cstheme="minorHAnsi"/>
          <w:sz w:val="18"/>
          <w:szCs w:val="18"/>
          <w:lang w:eastAsia="ja-JP"/>
        </w:rPr>
        <w:t>re</w:t>
      </w:r>
      <w:r w:rsidRPr="00F338AB">
        <w:rPr>
          <w:rFonts w:eastAsia="MS Mincho" w:cstheme="minorHAnsi"/>
          <w:sz w:val="18"/>
          <w:szCs w:val="18"/>
          <w:lang w:eastAsia="ja-JP"/>
        </w:rPr>
        <w:t xml:space="preserve"> the lowest energy excited states (</w:t>
      </w:r>
      <w:r w:rsidR="000B0C16" w:rsidRPr="00F338AB">
        <w:rPr>
          <w:rFonts w:eastAsia="MS Mincho" w:cstheme="minorHAnsi"/>
          <w:sz w:val="18"/>
          <w:szCs w:val="18"/>
          <w:lang w:eastAsia="ja-JP"/>
        </w:rPr>
        <w:t>Fig. S22</w:t>
      </w:r>
      <w:r w:rsidRPr="00F338AB">
        <w:rPr>
          <w:rFonts w:eastAsia="MS Mincho" w:cstheme="minorHAnsi"/>
          <w:sz w:val="18"/>
          <w:szCs w:val="18"/>
          <w:lang w:eastAsia="ja-JP"/>
        </w:rPr>
        <w:t xml:space="preserve">). Similar </w:t>
      </w:r>
      <w:r w:rsidR="006B462E" w:rsidRPr="00F338AB">
        <w:rPr>
          <w:rFonts w:eastAsia="MS Mincho" w:cstheme="minorHAnsi"/>
          <w:sz w:val="18"/>
          <w:szCs w:val="18"/>
          <w:lang w:eastAsia="ja-JP"/>
        </w:rPr>
        <w:t>results</w:t>
      </w:r>
      <w:r w:rsidRPr="00F338AB">
        <w:rPr>
          <w:rFonts w:eastAsia="MS Mincho" w:cstheme="minorHAnsi"/>
          <w:sz w:val="18"/>
          <w:szCs w:val="18"/>
          <w:lang w:eastAsia="ja-JP"/>
        </w:rPr>
        <w:t xml:space="preserve"> have been </w:t>
      </w:r>
      <w:r w:rsidR="000B0C16" w:rsidRPr="00F338AB">
        <w:rPr>
          <w:rFonts w:eastAsia="MS Mincho" w:cstheme="minorHAnsi"/>
          <w:sz w:val="18"/>
          <w:szCs w:val="18"/>
          <w:lang w:eastAsia="ja-JP"/>
        </w:rPr>
        <w:t>found in</w:t>
      </w:r>
      <w:r w:rsidRPr="00F338AB">
        <w:rPr>
          <w:rFonts w:eastAsia="MS Mincho" w:cstheme="minorHAnsi"/>
          <w:sz w:val="18"/>
          <w:szCs w:val="18"/>
          <w:lang w:eastAsia="ja-JP"/>
        </w:rPr>
        <w:t xml:space="preserve"> [Cr(</w:t>
      </w:r>
      <w:proofErr w:type="spellStart"/>
      <w:r w:rsidRPr="00F338AB">
        <w:rPr>
          <w:rFonts w:eastAsia="MS Mincho" w:cstheme="minorHAnsi"/>
          <w:sz w:val="18"/>
          <w:szCs w:val="18"/>
          <w:lang w:eastAsia="ja-JP"/>
        </w:rPr>
        <w:t>bpmp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 [Cr(</w:t>
      </w:r>
      <w:proofErr w:type="spellStart"/>
      <w:r w:rsidRPr="00F338AB">
        <w:rPr>
          <w:rFonts w:eastAsia="MS Mincho" w:cstheme="minorHAnsi"/>
          <w:sz w:val="18"/>
          <w:szCs w:val="18"/>
          <w:lang w:eastAsia="ja-JP"/>
        </w:rPr>
        <w:t>ddpd</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 [Cr(</w:t>
      </w:r>
      <w:proofErr w:type="spellStart"/>
      <w:r w:rsidRPr="00F338AB">
        <w:rPr>
          <w:rFonts w:eastAsia="MS Mincho" w:cstheme="minorHAnsi"/>
          <w:sz w:val="18"/>
          <w:szCs w:val="18"/>
          <w:lang w:eastAsia="ja-JP"/>
        </w:rPr>
        <w:t>btmp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 xml:space="preserve"> and [Cr(</w:t>
      </w:r>
      <w:proofErr w:type="spellStart"/>
      <w:r w:rsidRPr="00F338AB">
        <w:rPr>
          <w:rFonts w:eastAsia="MS Mincho" w:cstheme="minorHAnsi"/>
          <w:sz w:val="18"/>
          <w:szCs w:val="18"/>
          <w:lang w:eastAsia="ja-JP"/>
        </w:rPr>
        <w:t>dqp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w:t>
      </w:r>
      <w:r w:rsidRPr="00F338AB">
        <w:rPr>
          <w:rFonts w:eastAsia="MS Mincho" w:cstheme="minorHAnsi"/>
          <w:sz w:val="18"/>
          <w:szCs w:val="18"/>
          <w:lang w:eastAsia="ja-JP"/>
        </w:rPr>
        <w:fldChar w:fldCharType="begin" w:fldLock="1"/>
      </w:r>
      <w:r w:rsidR="006B462E" w:rsidRPr="00F338AB">
        <w:rPr>
          <w:rFonts w:eastAsia="MS Mincho" w:cstheme="minorHAnsi"/>
          <w:sz w:val="18"/>
          <w:szCs w:val="18"/>
          <w:lang w:eastAsia="ja-JP"/>
        </w:rPr>
        <w:instrText xml:space="preserve">ADDIN CSL_CITATION {"citationItems":[{"id":"ITEM-1","itemData":{"DOI":"10.1021/jacs.9b06524","ISSN":"15205126","PMID":"31353904","abstract":"The chiral resolution of a kinetically inert molecular ruby [Cr(dqp)2]3+ (1, dqp = 2,6-di(quinolin-8-yl)pyridine) displaying strong dual light emission at room temperature has been achieved. The wrapped arrangement of the six-membered dqp chelating ligands around the Cr(III) provided nonplanar helical conformations leading to the diastereoselective assembly of chiral bis-tridentate monometallic Cr(III)-helix. The PP-(+)-[Cr(dqp)2]3+ and MM-(-)-[Cr(dqp)2]3+ enantiomers could be separated and isolated by using cation-exchange chromatography and subsequent salt-metathesis with KPF6. X-ray crystallographic analysis based on Flack parameters assigned the absolute configurations of the two enantiomers. Circularly polarized luminescence (CPL) spectra showed two polarized emission bands within the NIR region corresponding to the characteristic metal-centered spin-flip Cr(2E </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 xml:space="preserve"> 4A2) and Cr(2T1 </w:instrText>
      </w:r>
      <w:r w:rsidR="006B462E" w:rsidRPr="00F338AB">
        <w:rPr>
          <w:rFonts w:eastAsia="MS Mincho" w:cstheme="minorHAnsi" w:hint="eastAsia"/>
          <w:sz w:val="18"/>
          <w:szCs w:val="18"/>
          <w:lang w:eastAsia="ja-JP"/>
        </w:rPr>
        <w:instrText>→</w:instrText>
      </w:r>
      <w:r w:rsidR="006B462E" w:rsidRPr="00F338AB">
        <w:rPr>
          <w:rFonts w:eastAsia="MS Mincho" w:cstheme="minorHAnsi" w:hint="eastAsia"/>
          <w:sz w:val="18"/>
          <w:szCs w:val="18"/>
          <w:lang w:eastAsia="ja-JP"/>
        </w:rPr>
        <w:instrText xml:space="preserve"> 4A2) transitions with exceptionally high dissymmetry factors, |glum|, of 0.2 and 0.1, respectively, which are comparable to those reported for rare-earth chiral complexes. Photophysical properties also revealed an extremely long excite</w:instrText>
      </w:r>
      <w:r w:rsidR="006B462E" w:rsidRPr="00F338AB">
        <w:rPr>
          <w:rFonts w:eastAsia="MS Mincho" w:cstheme="minorHAnsi"/>
          <w:sz w:val="18"/>
          <w:szCs w:val="18"/>
          <w:lang w:eastAsia="ja-JP"/>
        </w:rPr>
        <w:instrText>d-state lifetime of 1.2 ms and a high quantum yield of 5.2% at room temperature in water. These properties make [Cr(dqp)2]3+ an ideal sensitizer for the preparation of enantiopure luminescent supramolecular energy-converting devices and also open up the possibility of using chiral Cr(III) chromophores for the construction of NIR-CPL materials and polarized photonic devices based on earth-abundant metals.","author":[{"dropping-particle":"","family":"Jiménez","given":"Juan Ramón","non-dropping-particle":"","parse-names":false,"suffix":""},{"dropping-particle":"","family":"Doistau","given":"Benjamin","non-dropping-particle":"","parse-names":false,"suffix":""},{"dropping-particle":"","family":"Cruz","given":"Carlos M.","non-dropping-particle":"","parse-names":false,"suffix":""},{"dropping-particle":"","family":"Besnard","given":"Céline","non-dropping-particle":"","parse-names":false,"suffix":""},{"dropping-particle":"","family":"Cuerva","given":"Juan M.","non-dropping-particle":"","parse-names":false,"suffix":""},{"dropping-particle":"","family":"Campaña","given":"Araceli G.","non-dropping-particle":"","parse-names":false,"suffix":""},{"dropping-particle":"","family":"Piguet","given":"Claude","non-dropping-particle":"","parse-names":false,"suffix":""}],"container-title":"Journal of the American Chemical Society","id":"ITEM-1","issue":"33","issued":{"date-parts":[["2019"]]},"page":"13244-13252","title":"Chiral Molecular Ruby [Cr(dqp)2]3+ with Long-Lived Circularly Polarized Luminescence","type":"article-journal","volume":"141"},"uris":["http://www.mendeley.com/documents/?uuid=e07e4a4c-c633-4296-9d39-44f03238aefe"]},{"id":"ITEM-2","itemData":{"DOI":"10.1021/jacs.1c05971","author":[{"dropping-particle":"","family":"Reichenauer","given":"Florian","non-dropping-particle":"","parse-names":false,"suffix":""},{"dropping-particle":"","family":"Wang","given":"Cui","non-dropping-particle":"","parse-names":false,"suffix":""},{"dropping-particle":"","family":"Christoph","given":"F","non-dropping-particle":"","parse-names":false,"suffix":""},{"dropping-particle":"","family":"Boden","given":"Pit","non-dropping-particle":"","parse-names":false,"suffix":""},{"dropping-particle":"","family":"Ugur","given":"Naz","non-dropping-particle":"","parse-names":false,"suffix":""},{"dropping-particle":"","family":"Ricardo","given":"B","non-dropping-particle":"","parse-names":false,"suffix":""},{"dropping-particle":"","family":"Kalmbach","given":"Jens","non-dropping-particle":"","parse-names":false,"suffix":""},{"dropping-particle":"","family":"Carrella","given":"Luca M","non-dropping-particle":"","parse-names":false,"suffix":""},{"dropping-particle":"","family":"Rentschler","given":"Eva","non-dropping-particle":"","parse-names":false,"suffix":""},{"dropping-particle":"","family":"Ramanan","given":"Charusheela","non-dropping-particle":"","parse-names":false,"suffix":""},{"dropping-particle":"","family":"Niedner-schatteburg","given":"Gereon","non-dropping-particle":"","parse-names":false,"suffix":""},{"dropping-particle":"","family":"Gerhards","given":"Markus","non-dropping-particle":"","parse-names":false,"suffix":""},{"dropping-particle":"","family":"Seitz","given":"Michael","non-dropping-particle":"","parse-names":false,"suffix":""},{"dropping-particle":"","family":"Resch-genger","given":"Ute","non-dropping-particle":"","parse-names":false,"suffix":""},{"dropping-particle":"","family":"Heinze","given":"Katja","non-dropping-particle":"","parse-names":false,"suffix":""}],"container-title":"J. Am. Chem. Soc","id":"ITEM-2","issue":"11843-11855","issued":{"date-parts":[["2021"]]},"title":"Strongly Red-Emissive Molecular Ruby [Cr(bpmp) 2 ] 3+ Surpasses [Ru(bpy) 3 ] 2+","type":"article-journal","volume":"143"},"uris":["http://www.mendeley.com/documents/?uuid=9d14db5d-daf5-4448-872a-c5e2b9bd7aac"]},{"id":"ITEM-3","itemData":{"DOI":"10.1021/jacs.3c01543","ISSN":"15205126","PMID":"37224437","abstract":"A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Society","id":"ITEM-3","issued":{"date-parts":[["2023"]]},"page":"12081-12092","title":"Direct Determination of the Rate of Intersystem Crossing in a Near-IR Luminescent Cr(III) Triazolyl Complex","type":"article-journal","volume":"145"},"uris":["http://www.mendeley.com/documents/?uuid=8c880c1f-848d-422a-bae8-b73fecd99327"]}],"mendeley":{"formattedCitation":"&lt;sup&gt;17,44,45&lt;/sup&gt;","plainTextFormattedCitation":"17,44,45","previouslyFormattedCitation":"&lt;sup&gt;17,44,45&lt;/sup&gt;"},"properties":{"noteIndex":0},"schema":"https://github.com/citation-style-language/schema/raw/master/csl-citation.json"}</w:instrText>
      </w:r>
      <w:r w:rsidRPr="00F338AB">
        <w:rPr>
          <w:rFonts w:eastAsia="MS Mincho" w:cstheme="minorHAnsi"/>
          <w:sz w:val="18"/>
          <w:szCs w:val="18"/>
          <w:lang w:eastAsia="ja-JP"/>
        </w:rPr>
        <w:fldChar w:fldCharType="separate"/>
      </w:r>
      <w:r w:rsidR="00255A25" w:rsidRPr="00F338AB">
        <w:rPr>
          <w:rFonts w:eastAsia="MS Mincho" w:cstheme="minorHAnsi"/>
          <w:noProof/>
          <w:sz w:val="18"/>
          <w:szCs w:val="18"/>
          <w:vertAlign w:val="superscript"/>
          <w:lang w:eastAsia="ja-JP"/>
        </w:rPr>
        <w:t>17,44,45</w:t>
      </w:r>
      <w:r w:rsidRPr="00F338AB">
        <w:rPr>
          <w:rFonts w:eastAsia="MS Mincho" w:cstheme="minorHAnsi"/>
          <w:sz w:val="18"/>
          <w:szCs w:val="18"/>
          <w:lang w:eastAsia="ja-JP"/>
        </w:rPr>
        <w:fldChar w:fldCharType="end"/>
      </w:r>
      <w:r w:rsidRPr="00F338AB">
        <w:rPr>
          <w:rFonts w:eastAsia="MS Mincho" w:cstheme="minorHAnsi"/>
          <w:sz w:val="18"/>
          <w:szCs w:val="18"/>
          <w:lang w:eastAsia="ja-JP"/>
        </w:rPr>
        <w:t xml:space="preserve"> Despite the admixture and small energy difference between the six microstates belonging to</w:t>
      </w:r>
      <w:r w:rsidR="006B462E" w:rsidRPr="00F338AB">
        <w:rPr>
          <w:rFonts w:eastAsia="MS Mincho" w:cstheme="minorHAnsi"/>
          <w:sz w:val="18"/>
          <w:szCs w:val="18"/>
          <w:lang w:eastAsia="ja-JP"/>
        </w:rPr>
        <w:t xml:space="preserve"> the</w:t>
      </w:r>
      <w:r w:rsidRPr="00F338AB">
        <w:rPr>
          <w:rFonts w:eastAsia="MS Mincho" w:cstheme="minorHAnsi"/>
          <w:sz w:val="18"/>
          <w:szCs w:val="18"/>
          <w:lang w:eastAsia="ja-JP"/>
        </w:rPr>
        <w:t xml:space="preserve"> </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1</w:t>
      </w:r>
      <w:r w:rsidRPr="00F338AB">
        <w:rPr>
          <w:rFonts w:eastAsia="MS Mincho" w:cstheme="minorHAnsi"/>
          <w:sz w:val="18"/>
          <w:szCs w:val="18"/>
          <w:lang w:eastAsia="ja-JP"/>
        </w:rPr>
        <w:t xml:space="preserve"> and </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 xml:space="preserve">E </w:t>
      </w:r>
      <w:r w:rsidR="006B462E" w:rsidRPr="00F338AB">
        <w:rPr>
          <w:rFonts w:eastAsia="MS Mincho" w:cstheme="minorHAnsi"/>
          <w:sz w:val="18"/>
          <w:szCs w:val="18"/>
          <w:lang w:eastAsia="ja-JP"/>
        </w:rPr>
        <w:t>states</w:t>
      </w:r>
      <w:r w:rsidRPr="00F338AB">
        <w:rPr>
          <w:rFonts w:eastAsia="MS Mincho" w:cstheme="minorHAnsi"/>
          <w:sz w:val="18"/>
          <w:szCs w:val="18"/>
          <w:lang w:eastAsia="ja-JP"/>
        </w:rPr>
        <w:t>, two distinguishable bands were experimentally observed in the absorption spectrum and were tentatively assigned to two different set</w:t>
      </w:r>
      <w:r w:rsidR="006B462E" w:rsidRPr="00F338AB">
        <w:rPr>
          <w:rFonts w:eastAsia="MS Mincho" w:cstheme="minorHAnsi"/>
          <w:sz w:val="18"/>
          <w:szCs w:val="18"/>
          <w:lang w:eastAsia="ja-JP"/>
        </w:rPr>
        <w:t>s</w:t>
      </w:r>
      <w:r w:rsidRPr="00F338AB">
        <w:rPr>
          <w:rFonts w:eastAsia="MS Mincho" w:cstheme="minorHAnsi"/>
          <w:sz w:val="18"/>
          <w:szCs w:val="18"/>
          <w:lang w:eastAsia="ja-JP"/>
        </w:rPr>
        <w:t xml:space="preserve"> of doublet states (Fig</w:t>
      </w:r>
      <w:r w:rsidR="000B0C16" w:rsidRPr="00F338AB">
        <w:rPr>
          <w:rFonts w:eastAsia="MS Mincho" w:cstheme="minorHAnsi"/>
          <w:sz w:val="18"/>
          <w:szCs w:val="18"/>
          <w:lang w:eastAsia="ja-JP"/>
        </w:rPr>
        <w:t>. 3</w:t>
      </w:r>
      <w:r w:rsidRPr="00F338AB">
        <w:rPr>
          <w:rFonts w:eastAsia="MS Mincho" w:cstheme="minorHAnsi"/>
          <w:sz w:val="18"/>
          <w:szCs w:val="18"/>
          <w:lang w:eastAsia="ja-JP"/>
        </w:rPr>
        <w:t>). Thus, according to the quantum chemical calculations and the experimental results, the band located at lower energy can be assigned to the [</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E(1),</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1</w:t>
      </w:r>
      <w:r w:rsidRPr="00F338AB">
        <w:rPr>
          <w:rFonts w:eastAsia="MS Mincho" w:cstheme="minorHAnsi"/>
          <w:sz w:val="18"/>
          <w:szCs w:val="18"/>
          <w:lang w:eastAsia="ja-JP"/>
        </w:rPr>
        <w:t>(2),</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1</w:t>
      </w:r>
      <w:r w:rsidRPr="00F338AB">
        <w:rPr>
          <w:rFonts w:eastAsia="MS Mincho" w:cstheme="minorHAnsi"/>
          <w:sz w:val="18"/>
          <w:szCs w:val="18"/>
          <w:lang w:eastAsia="ja-JP"/>
        </w:rPr>
        <w:t xml:space="preserve">(1) ← </w:t>
      </w:r>
      <w:r w:rsidRPr="00F338AB">
        <w:rPr>
          <w:rFonts w:eastAsia="MS Mincho" w:cstheme="minorHAnsi"/>
          <w:sz w:val="18"/>
          <w:szCs w:val="18"/>
          <w:vertAlign w:val="superscript"/>
          <w:lang w:eastAsia="ja-JP"/>
        </w:rPr>
        <w:t>4</w:t>
      </w:r>
      <w:r w:rsidRPr="00F338AB">
        <w:rPr>
          <w:rFonts w:eastAsia="MS Mincho" w:cstheme="minorHAnsi"/>
          <w:sz w:val="18"/>
          <w:szCs w:val="18"/>
          <w:lang w:eastAsia="ja-JP"/>
        </w:rPr>
        <w:t>A</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 transitions and the higher one to [</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E(2),</w:t>
      </w:r>
      <w:r w:rsidRPr="00F338AB">
        <w:rPr>
          <w:rFonts w:eastAsia="MS Mincho" w:cstheme="minorHAnsi"/>
          <w:sz w:val="18"/>
          <w:szCs w:val="18"/>
          <w:vertAlign w:val="superscript"/>
          <w:lang w:eastAsia="ja-JP"/>
        </w:rPr>
        <w:t>2</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1</w:t>
      </w:r>
      <w:r w:rsidRPr="00F338AB">
        <w:rPr>
          <w:rFonts w:eastAsia="MS Mincho" w:cstheme="minorHAnsi"/>
          <w:sz w:val="18"/>
          <w:szCs w:val="18"/>
          <w:lang w:eastAsia="ja-JP"/>
        </w:rPr>
        <w:t xml:space="preserve">(3) ← </w:t>
      </w:r>
      <w:r w:rsidRPr="00F338AB">
        <w:rPr>
          <w:rFonts w:eastAsia="MS Mincho" w:cstheme="minorHAnsi"/>
          <w:sz w:val="18"/>
          <w:szCs w:val="18"/>
          <w:vertAlign w:val="superscript"/>
          <w:lang w:eastAsia="ja-JP"/>
        </w:rPr>
        <w:t>4</w:t>
      </w:r>
      <w:r w:rsidRPr="00F338AB">
        <w:rPr>
          <w:rFonts w:eastAsia="MS Mincho" w:cstheme="minorHAnsi"/>
          <w:sz w:val="18"/>
          <w:szCs w:val="18"/>
          <w:lang w:eastAsia="ja-JP"/>
        </w:rPr>
        <w:t>A</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 xml:space="preserve">] which result in the Jablonski diagram depicted in Fig. </w:t>
      </w:r>
      <w:r w:rsidR="00FE083B" w:rsidRPr="00F338AB">
        <w:rPr>
          <w:rFonts w:eastAsia="MS Mincho" w:cstheme="minorHAnsi"/>
          <w:sz w:val="18"/>
          <w:szCs w:val="18"/>
          <w:lang w:eastAsia="ja-JP"/>
        </w:rPr>
        <w:t>S</w:t>
      </w:r>
      <w:r w:rsidR="000B0C16" w:rsidRPr="00F338AB">
        <w:rPr>
          <w:rFonts w:eastAsia="MS Mincho" w:cstheme="minorHAnsi"/>
          <w:sz w:val="18"/>
          <w:szCs w:val="18"/>
          <w:lang w:eastAsia="ja-JP"/>
        </w:rPr>
        <w:t>22</w:t>
      </w:r>
      <w:r w:rsidRPr="00F338AB">
        <w:rPr>
          <w:rFonts w:eastAsia="MS Mincho" w:cstheme="minorHAnsi"/>
          <w:sz w:val="18"/>
          <w:szCs w:val="18"/>
          <w:lang w:eastAsia="ja-JP"/>
        </w:rPr>
        <w:t>. Fifty spin-allowed vertical electronic transitions were computed using time dependent DFT (TD-DFT, Table S7</w:t>
      </w:r>
      <w:r w:rsidR="000B0C16" w:rsidRPr="00F338AB">
        <w:rPr>
          <w:rFonts w:eastAsia="MS Mincho" w:cstheme="minorHAnsi"/>
          <w:sz w:val="18"/>
          <w:szCs w:val="18"/>
          <w:lang w:eastAsia="ja-JP"/>
        </w:rPr>
        <w:t>-S9</w:t>
      </w:r>
      <w:r w:rsidRPr="00F338AB">
        <w:rPr>
          <w:rFonts w:eastAsia="MS Mincho" w:cstheme="minorHAnsi"/>
          <w:sz w:val="18"/>
          <w:szCs w:val="18"/>
          <w:lang w:eastAsia="ja-JP"/>
        </w:rPr>
        <w:t xml:space="preserve">) at the UCAM-B3LYP/def2TZVP level of theory. The decomposition of these transitions suggested that the six lowest energetic electronic transitions have a mainly metal </w:t>
      </w:r>
      <w:proofErr w:type="spellStart"/>
      <w:r w:rsidR="00280FD0" w:rsidRPr="00F338AB">
        <w:rPr>
          <w:rFonts w:eastAsia="MS Mincho" w:cstheme="minorHAnsi"/>
          <w:sz w:val="18"/>
          <w:szCs w:val="18"/>
          <w:lang w:eastAsia="ja-JP"/>
        </w:rPr>
        <w:t>centered</w:t>
      </w:r>
      <w:proofErr w:type="spellEnd"/>
      <w:r w:rsidRPr="00F338AB">
        <w:rPr>
          <w:rFonts w:eastAsia="MS Mincho" w:cstheme="minorHAnsi"/>
          <w:sz w:val="18"/>
          <w:szCs w:val="18"/>
          <w:lang w:eastAsia="ja-JP"/>
        </w:rPr>
        <w:t xml:space="preserve"> (MC) character (Fig. S2</w:t>
      </w:r>
      <w:r w:rsidR="000B0C16" w:rsidRPr="00F338AB">
        <w:rPr>
          <w:rFonts w:eastAsia="MS Mincho" w:cstheme="minorHAnsi"/>
          <w:sz w:val="18"/>
          <w:szCs w:val="18"/>
          <w:lang w:eastAsia="ja-JP"/>
        </w:rPr>
        <w:t>3, S26 and S29</w:t>
      </w:r>
      <w:r w:rsidRPr="00F338AB">
        <w:rPr>
          <w:rFonts w:eastAsia="MS Mincho" w:cstheme="minorHAnsi"/>
          <w:sz w:val="18"/>
          <w:szCs w:val="18"/>
          <w:lang w:eastAsia="ja-JP"/>
        </w:rPr>
        <w:t>), as expected. Those transitions can be divided in</w:t>
      </w:r>
      <w:r w:rsidR="00FD0895" w:rsidRPr="00F338AB">
        <w:rPr>
          <w:rFonts w:eastAsia="MS Mincho" w:cstheme="minorHAnsi"/>
          <w:sz w:val="18"/>
          <w:szCs w:val="18"/>
          <w:lang w:eastAsia="ja-JP"/>
        </w:rPr>
        <w:t>to</w:t>
      </w:r>
      <w:r w:rsidRPr="00F338AB">
        <w:rPr>
          <w:rFonts w:eastAsia="MS Mincho" w:cstheme="minorHAnsi"/>
          <w:sz w:val="18"/>
          <w:szCs w:val="18"/>
          <w:lang w:eastAsia="ja-JP"/>
        </w:rPr>
        <w:t xml:space="preserve"> two groups, three transitions falling under the observed band between 450 and 550 nm and three transitions between 370 and 450 nm (Fig. </w:t>
      </w:r>
      <w:r w:rsidR="000B0C16" w:rsidRPr="00F338AB">
        <w:rPr>
          <w:rFonts w:eastAsia="MS Mincho" w:cstheme="minorHAnsi"/>
          <w:sz w:val="18"/>
          <w:szCs w:val="18"/>
          <w:lang w:eastAsia="ja-JP"/>
        </w:rPr>
        <w:t>2b</w:t>
      </w:r>
      <w:r w:rsidRPr="00F338AB">
        <w:rPr>
          <w:rFonts w:eastAsia="MS Mincho" w:cstheme="minorHAnsi"/>
          <w:sz w:val="18"/>
          <w:szCs w:val="18"/>
          <w:lang w:eastAsia="ja-JP"/>
        </w:rPr>
        <w:t xml:space="preserve">). Electron density difference maps (EDDM) assigned the orbitals involved in each transition, confirming their </w:t>
      </w:r>
      <w:r w:rsidRPr="00F338AB">
        <w:rPr>
          <w:rFonts w:eastAsia="MS Mincho" w:cstheme="minorHAnsi"/>
          <w:sz w:val="18"/>
          <w:szCs w:val="18"/>
          <w:vertAlign w:val="superscript"/>
          <w:lang w:eastAsia="ja-JP"/>
        </w:rPr>
        <w:t>4</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 xml:space="preserve"> ← </w:t>
      </w:r>
      <w:r w:rsidRPr="00F338AB">
        <w:rPr>
          <w:rFonts w:eastAsia="MS Mincho" w:cstheme="minorHAnsi"/>
          <w:sz w:val="18"/>
          <w:szCs w:val="18"/>
          <w:vertAlign w:val="superscript"/>
          <w:lang w:eastAsia="ja-JP"/>
        </w:rPr>
        <w:t>4</w:t>
      </w:r>
      <w:r w:rsidRPr="00F338AB">
        <w:rPr>
          <w:rFonts w:eastAsia="MS Mincho" w:cstheme="minorHAnsi"/>
          <w:sz w:val="18"/>
          <w:szCs w:val="18"/>
          <w:lang w:eastAsia="ja-JP"/>
        </w:rPr>
        <w:t>A</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 xml:space="preserve"> character (Fig </w:t>
      </w:r>
      <w:r w:rsidR="000B0C16" w:rsidRPr="00F338AB">
        <w:rPr>
          <w:rFonts w:eastAsia="MS Mincho" w:cstheme="minorHAnsi"/>
          <w:sz w:val="18"/>
          <w:szCs w:val="18"/>
          <w:lang w:eastAsia="ja-JP"/>
        </w:rPr>
        <w:t xml:space="preserve">S24, </w:t>
      </w:r>
      <w:r w:rsidRPr="00F338AB">
        <w:rPr>
          <w:rFonts w:eastAsia="MS Mincho" w:cstheme="minorHAnsi"/>
          <w:sz w:val="18"/>
          <w:szCs w:val="18"/>
          <w:lang w:eastAsia="ja-JP"/>
        </w:rPr>
        <w:t>S</w:t>
      </w:r>
      <w:r w:rsidR="000B0C16" w:rsidRPr="00F338AB">
        <w:rPr>
          <w:rFonts w:eastAsia="MS Mincho" w:cstheme="minorHAnsi"/>
          <w:sz w:val="18"/>
          <w:szCs w:val="18"/>
          <w:lang w:eastAsia="ja-JP"/>
        </w:rPr>
        <w:t>27 and S30</w:t>
      </w:r>
      <w:r w:rsidRPr="00F338AB">
        <w:rPr>
          <w:rFonts w:eastAsia="MS Mincho" w:cstheme="minorHAnsi"/>
          <w:sz w:val="18"/>
          <w:szCs w:val="18"/>
          <w:lang w:eastAsia="ja-JP"/>
        </w:rPr>
        <w:t>). In all cases, the calculated oscillator strength</w:t>
      </w:r>
      <w:r w:rsidR="00FD0895" w:rsidRPr="00F338AB">
        <w:rPr>
          <w:rFonts w:eastAsia="MS Mincho" w:cstheme="minorHAnsi"/>
          <w:sz w:val="18"/>
          <w:szCs w:val="18"/>
          <w:lang w:eastAsia="ja-JP"/>
        </w:rPr>
        <w:t>s</w:t>
      </w:r>
      <w:r w:rsidRPr="00F338AB">
        <w:rPr>
          <w:rFonts w:eastAsia="MS Mincho" w:cstheme="minorHAnsi"/>
          <w:sz w:val="18"/>
          <w:szCs w:val="18"/>
          <w:lang w:eastAsia="ja-JP"/>
        </w:rPr>
        <w:t xml:space="preserve"> </w:t>
      </w:r>
      <w:r w:rsidR="00FD0895" w:rsidRPr="00F338AB">
        <w:rPr>
          <w:rFonts w:eastAsia="MS Mincho" w:cstheme="minorHAnsi"/>
          <w:sz w:val="18"/>
          <w:szCs w:val="18"/>
          <w:lang w:eastAsia="ja-JP"/>
        </w:rPr>
        <w:t xml:space="preserve">are </w:t>
      </w:r>
      <w:r w:rsidRPr="00F338AB">
        <w:rPr>
          <w:rFonts w:eastAsia="MS Mincho" w:cstheme="minorHAnsi"/>
          <w:sz w:val="18"/>
          <w:szCs w:val="18"/>
          <w:lang w:eastAsia="ja-JP"/>
        </w:rPr>
        <w:t xml:space="preserve">lower than 0.0006, expected for </w:t>
      </w:r>
      <w:r w:rsidR="00FD0895" w:rsidRPr="00F338AB">
        <w:rPr>
          <w:rFonts w:eastAsia="MS Mincho" w:cstheme="minorHAnsi"/>
          <w:sz w:val="18"/>
          <w:szCs w:val="18"/>
          <w:lang w:eastAsia="ja-JP"/>
        </w:rPr>
        <w:t xml:space="preserve">parity-forbidden </w:t>
      </w:r>
      <w:r w:rsidRPr="00F338AB">
        <w:rPr>
          <w:rFonts w:eastAsia="MS Mincho" w:cstheme="minorHAnsi"/>
          <w:sz w:val="18"/>
          <w:szCs w:val="18"/>
          <w:lang w:eastAsia="ja-JP"/>
        </w:rPr>
        <w:t xml:space="preserve">metal </w:t>
      </w:r>
      <w:proofErr w:type="spellStart"/>
      <w:r w:rsidR="00280FD0" w:rsidRPr="00F338AB">
        <w:rPr>
          <w:rFonts w:eastAsia="MS Mincho" w:cstheme="minorHAnsi"/>
          <w:sz w:val="18"/>
          <w:szCs w:val="18"/>
          <w:lang w:eastAsia="ja-JP"/>
        </w:rPr>
        <w:t>centered</w:t>
      </w:r>
      <w:proofErr w:type="spellEnd"/>
      <w:r w:rsidRPr="00F338AB">
        <w:rPr>
          <w:rFonts w:eastAsia="MS Mincho" w:cstheme="minorHAnsi"/>
          <w:sz w:val="18"/>
          <w:szCs w:val="18"/>
          <w:lang w:eastAsia="ja-JP"/>
        </w:rPr>
        <w:t xml:space="preserve"> </w:t>
      </w:r>
      <w:r w:rsidR="00FD0895" w:rsidRPr="00F338AB">
        <w:rPr>
          <w:rFonts w:eastAsia="MS Mincho" w:cstheme="minorHAnsi"/>
          <w:sz w:val="18"/>
          <w:szCs w:val="18"/>
          <w:lang w:eastAsia="ja-JP"/>
        </w:rPr>
        <w:t xml:space="preserve">electric dipole </w:t>
      </w:r>
      <w:r w:rsidRPr="00F338AB">
        <w:rPr>
          <w:rFonts w:eastAsia="MS Mincho" w:cstheme="minorHAnsi"/>
          <w:sz w:val="18"/>
          <w:szCs w:val="18"/>
          <w:lang w:eastAsia="ja-JP"/>
        </w:rPr>
        <w:t xml:space="preserve">transitions in </w:t>
      </w:r>
      <w:proofErr w:type="gramStart"/>
      <w:r w:rsidRPr="00F338AB">
        <w:rPr>
          <w:rFonts w:eastAsia="MS Mincho" w:cstheme="minorHAnsi"/>
          <w:sz w:val="18"/>
          <w:szCs w:val="18"/>
          <w:lang w:eastAsia="ja-JP"/>
        </w:rPr>
        <w:t>chromium</w:t>
      </w:r>
      <w:r w:rsidR="006B462E" w:rsidRPr="00F338AB">
        <w:rPr>
          <w:rFonts w:eastAsia="MS Mincho" w:cstheme="minorHAnsi"/>
          <w:sz w:val="18"/>
          <w:szCs w:val="18"/>
          <w:lang w:eastAsia="ja-JP"/>
        </w:rPr>
        <w:t>(</w:t>
      </w:r>
      <w:proofErr w:type="gramEnd"/>
      <w:r w:rsidR="006B462E" w:rsidRPr="00F338AB">
        <w:rPr>
          <w:rFonts w:eastAsia="MS Mincho" w:cstheme="minorHAnsi"/>
          <w:sz w:val="18"/>
          <w:szCs w:val="18"/>
          <w:lang w:eastAsia="ja-JP"/>
        </w:rPr>
        <w:t>III)</w:t>
      </w:r>
      <w:r w:rsidRPr="00F338AB">
        <w:rPr>
          <w:rFonts w:eastAsia="MS Mincho" w:cstheme="minorHAnsi"/>
          <w:sz w:val="18"/>
          <w:szCs w:val="18"/>
          <w:lang w:eastAsia="ja-JP"/>
        </w:rPr>
        <w:t xml:space="preserve"> complexes. According to the TD-DFT results, the observed band between 300 and 400 nm is composed of transitions with a strong intra-ligand charge transfer (ILCT) character, while the higher energetic transitions show a ligand-metal charge transfer (LMCT) character.</w:t>
      </w:r>
      <w:r w:rsidR="00FE083B" w:rsidRPr="00F338AB">
        <w:rPr>
          <w:rFonts w:eastAsia="MS Mincho" w:cstheme="minorHAnsi"/>
          <w:sz w:val="18"/>
          <w:szCs w:val="18"/>
          <w:lang w:eastAsia="ja-JP"/>
        </w:rPr>
        <w:t xml:space="preserve"> </w:t>
      </w:r>
    </w:p>
    <w:p w14:paraId="5331C056" w14:textId="77777777" w:rsidR="00856A1C" w:rsidRPr="00F338AB" w:rsidRDefault="00856A1C" w:rsidP="001329C0">
      <w:pPr>
        <w:spacing w:after="0" w:line="240" w:lineRule="atLeast"/>
        <w:jc w:val="both"/>
        <w:rPr>
          <w:rFonts w:eastAsia="MS Mincho" w:cstheme="minorHAnsi"/>
          <w:b/>
          <w:bCs/>
          <w:sz w:val="18"/>
          <w:szCs w:val="18"/>
          <w:lang w:eastAsia="ja-JP"/>
        </w:rPr>
      </w:pPr>
    </w:p>
    <w:p w14:paraId="3878CD7D" w14:textId="6420A39E" w:rsidR="001329C0" w:rsidRPr="00F338AB" w:rsidRDefault="001329C0" w:rsidP="001329C0">
      <w:pPr>
        <w:spacing w:after="0" w:line="240" w:lineRule="atLeast"/>
        <w:jc w:val="both"/>
        <w:rPr>
          <w:rFonts w:eastAsia="MS Mincho" w:cstheme="minorHAnsi"/>
          <w:b/>
          <w:bCs/>
          <w:sz w:val="18"/>
          <w:szCs w:val="18"/>
          <w:lang w:eastAsia="ja-JP"/>
        </w:rPr>
      </w:pPr>
      <w:r w:rsidRPr="00F338AB">
        <w:rPr>
          <w:rFonts w:eastAsia="MS Mincho" w:cstheme="minorHAnsi"/>
          <w:b/>
          <w:bCs/>
          <w:sz w:val="18"/>
          <w:szCs w:val="18"/>
          <w:lang w:eastAsia="ja-JP"/>
        </w:rPr>
        <w:t>Emission properties</w:t>
      </w:r>
    </w:p>
    <w:p w14:paraId="7D6BE4F2" w14:textId="6B25F52F" w:rsidR="00A66A41" w:rsidRPr="00F338AB" w:rsidRDefault="009238A8" w:rsidP="00635EC6">
      <w:pPr>
        <w:spacing w:after="0" w:line="240" w:lineRule="atLeast"/>
        <w:jc w:val="both"/>
        <w:rPr>
          <w:rFonts w:eastAsia="MS Mincho" w:cstheme="minorHAnsi"/>
          <w:sz w:val="18"/>
          <w:szCs w:val="18"/>
          <w:lang w:eastAsia="ja-JP"/>
        </w:rPr>
      </w:pPr>
      <w:r w:rsidRPr="00F338AB">
        <w:rPr>
          <w:rFonts w:eastAsia="MS Mincho" w:cstheme="minorHAnsi"/>
          <w:sz w:val="18"/>
          <w:szCs w:val="18"/>
          <w:lang w:eastAsia="ja-JP"/>
        </w:rPr>
        <w:t xml:space="preserve">At ambient temperature and after light excitation at </w:t>
      </w:r>
      <w:r w:rsidR="00881E4D" w:rsidRPr="00F338AB">
        <w:rPr>
          <w:rFonts w:eastAsia="MS Mincho" w:cstheme="minorHAnsi"/>
          <w:sz w:val="18"/>
          <w:szCs w:val="18"/>
          <w:lang w:eastAsia="ja-JP"/>
        </w:rPr>
        <w:sym w:font="Symbol" w:char="F07E"/>
      </w:r>
      <w:r w:rsidRPr="00F338AB">
        <w:rPr>
          <w:rFonts w:eastAsia="MS Mincho" w:cstheme="minorHAnsi"/>
          <w:sz w:val="18"/>
          <w:szCs w:val="18"/>
          <w:lang w:eastAsia="ja-JP"/>
        </w:rPr>
        <w:t>480 nm (</w:t>
      </w:r>
      <w:r w:rsidRPr="00F338AB">
        <w:rPr>
          <w:rFonts w:eastAsia="MS Mincho" w:cstheme="minorHAnsi"/>
          <w:sz w:val="18"/>
          <w:szCs w:val="18"/>
          <w:vertAlign w:val="superscript"/>
          <w:lang w:eastAsia="ja-JP"/>
        </w:rPr>
        <w:t>4</w:t>
      </w:r>
      <w:r w:rsidRPr="00F338AB">
        <w:rPr>
          <w:rFonts w:eastAsia="MS Mincho" w:cstheme="minorHAnsi"/>
          <w:sz w:val="18"/>
          <w:szCs w:val="18"/>
          <w:lang w:eastAsia="ja-JP"/>
        </w:rPr>
        <w:t>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4</w:t>
      </w:r>
      <w:r w:rsidRPr="00F338AB">
        <w:rPr>
          <w:rFonts w:eastAsia="MS Mincho" w:cstheme="minorHAnsi"/>
          <w:sz w:val="18"/>
          <w:szCs w:val="18"/>
          <w:lang w:eastAsia="ja-JP"/>
        </w:rPr>
        <w:t>A</w:t>
      </w:r>
      <w:r w:rsidRPr="00F338AB">
        <w:rPr>
          <w:rFonts w:eastAsia="MS Mincho" w:cstheme="minorHAnsi"/>
          <w:sz w:val="18"/>
          <w:szCs w:val="18"/>
          <w:vertAlign w:val="subscript"/>
          <w:lang w:eastAsia="ja-JP"/>
        </w:rPr>
        <w:t xml:space="preserve">2 </w:t>
      </w:r>
      <w:r w:rsidRPr="00F338AB">
        <w:rPr>
          <w:rFonts w:eastAsia="MS Mincho" w:cstheme="minorHAnsi"/>
          <w:sz w:val="18"/>
          <w:szCs w:val="18"/>
          <w:lang w:eastAsia="ja-JP"/>
        </w:rPr>
        <w:t xml:space="preserve">transition), </w:t>
      </w:r>
      <w:r w:rsidR="00377742" w:rsidRPr="00F338AB">
        <w:rPr>
          <w:rFonts w:eastAsia="MS Mincho" w:cstheme="minorHAnsi"/>
          <w:sz w:val="18"/>
          <w:szCs w:val="18"/>
          <w:lang w:eastAsia="ja-JP"/>
        </w:rPr>
        <w:t>the three</w:t>
      </w:r>
      <w:r w:rsidRPr="00F338AB">
        <w:rPr>
          <w:rFonts w:eastAsia="MS Mincho" w:cstheme="minorHAnsi"/>
          <w:sz w:val="18"/>
          <w:szCs w:val="18"/>
          <w:lang w:eastAsia="ja-JP"/>
        </w:rPr>
        <w:t xml:space="preserve"> complexes exhibit a broad </w:t>
      </w:r>
      <w:r w:rsidR="00FD0895" w:rsidRPr="00F338AB">
        <w:rPr>
          <w:rFonts w:eastAsia="MS Mincho" w:cstheme="minorHAnsi"/>
          <w:sz w:val="18"/>
          <w:szCs w:val="18"/>
          <w:lang w:eastAsia="ja-JP"/>
        </w:rPr>
        <w:t xml:space="preserve">SF </w:t>
      </w:r>
      <w:r w:rsidRPr="00F338AB">
        <w:rPr>
          <w:rFonts w:eastAsia="MS Mincho" w:cstheme="minorHAnsi"/>
          <w:sz w:val="18"/>
          <w:szCs w:val="18"/>
          <w:lang w:eastAsia="ja-JP"/>
        </w:rPr>
        <w:t xml:space="preserve">emission </w:t>
      </w:r>
      <w:r w:rsidRPr="00F338AB">
        <w:rPr>
          <w:rFonts w:eastAsia="MS Mincho" w:cstheme="minorHAnsi"/>
          <w:sz w:val="18"/>
          <w:szCs w:val="18"/>
          <w:lang w:eastAsia="ja-JP"/>
        </w:rPr>
        <w:lastRenderedPageBreak/>
        <w:t xml:space="preserve">band with </w:t>
      </w:r>
      <w:bookmarkStart w:id="10" w:name="_Hlk182829967"/>
      <w:r w:rsidRPr="00F338AB">
        <w:rPr>
          <w:rFonts w:eastAsia="MS Mincho" w:cstheme="minorHAnsi"/>
          <w:sz w:val="18"/>
          <w:szCs w:val="18"/>
          <w:lang w:eastAsia="ja-JP"/>
        </w:rPr>
        <w:t>FWHM</w:t>
      </w:r>
      <w:bookmarkEnd w:id="10"/>
      <w:r w:rsidRPr="00F338AB">
        <w:rPr>
          <w:rFonts w:eastAsia="MS Mincho" w:cstheme="minorHAnsi"/>
          <w:sz w:val="18"/>
          <w:szCs w:val="18"/>
          <w:lang w:eastAsia="ja-JP"/>
        </w:rPr>
        <w:t xml:space="preserve"> </w:t>
      </w:r>
      <w:r w:rsidR="00377742" w:rsidRPr="00F338AB">
        <w:rPr>
          <w:rFonts w:eastAsia="MS Mincho" w:cstheme="minorHAnsi"/>
          <w:sz w:val="18"/>
          <w:szCs w:val="18"/>
          <w:lang w:eastAsia="ja-JP"/>
        </w:rPr>
        <w:t>ranging from</w:t>
      </w:r>
      <w:r w:rsidRPr="00F338AB">
        <w:rPr>
          <w:rFonts w:eastAsia="MS Mincho" w:cstheme="minorHAnsi"/>
          <w:sz w:val="18"/>
          <w:szCs w:val="18"/>
          <w:lang w:eastAsia="ja-JP"/>
        </w:rPr>
        <w:t xml:space="preserve"> </w:t>
      </w:r>
      <w:r w:rsidR="004C3B6E" w:rsidRPr="00F338AB">
        <w:rPr>
          <w:rFonts w:eastAsia="MS Mincho" w:cstheme="minorHAnsi"/>
          <w:sz w:val="18"/>
          <w:szCs w:val="18"/>
          <w:lang w:eastAsia="ja-JP"/>
        </w:rPr>
        <w:t>590</w:t>
      </w:r>
      <w:r w:rsidRPr="00F338AB">
        <w:rPr>
          <w:rFonts w:eastAsia="MS Mincho" w:cstheme="minorHAnsi"/>
          <w:sz w:val="18"/>
          <w:szCs w:val="18"/>
          <w:lang w:eastAsia="ja-JP"/>
        </w:rPr>
        <w:t xml:space="preserve"> cm</w:t>
      </w:r>
      <w:r w:rsidRPr="00F338AB">
        <w:rPr>
          <w:rFonts w:eastAsia="MS Mincho" w:cstheme="minorHAnsi"/>
          <w:sz w:val="18"/>
          <w:szCs w:val="18"/>
          <w:vertAlign w:val="superscript"/>
          <w:lang w:eastAsia="ja-JP"/>
        </w:rPr>
        <w:t>-1</w:t>
      </w:r>
      <w:r w:rsidRPr="00F338AB">
        <w:rPr>
          <w:rFonts w:eastAsia="MS Mincho" w:cstheme="minorHAnsi"/>
          <w:sz w:val="18"/>
          <w:szCs w:val="18"/>
          <w:lang w:eastAsia="ja-JP"/>
        </w:rPr>
        <w:t xml:space="preserve"> </w:t>
      </w:r>
      <w:r w:rsidR="00D81C88" w:rsidRPr="00F338AB">
        <w:rPr>
          <w:rFonts w:eastAsia="MS Mincho" w:cstheme="minorHAnsi"/>
          <w:sz w:val="18"/>
          <w:szCs w:val="18"/>
          <w:lang w:eastAsia="ja-JP"/>
        </w:rPr>
        <w:t xml:space="preserve">(for </w:t>
      </w:r>
      <w:r w:rsidR="00D81C88" w:rsidRPr="00F338AB">
        <w:rPr>
          <w:rFonts w:eastAsia="MS Mincho" w:cstheme="minorHAnsi"/>
          <w:b/>
          <w:bCs/>
          <w:sz w:val="18"/>
          <w:szCs w:val="18"/>
          <w:lang w:eastAsia="ja-JP"/>
        </w:rPr>
        <w:t>1</w:t>
      </w:r>
      <w:r w:rsidR="00D81C88" w:rsidRPr="00F338AB">
        <w:rPr>
          <w:rFonts w:eastAsia="MS Mincho" w:cstheme="minorHAnsi"/>
          <w:sz w:val="18"/>
          <w:szCs w:val="18"/>
          <w:lang w:eastAsia="ja-JP"/>
        </w:rPr>
        <w:t xml:space="preserve"> and </w:t>
      </w:r>
      <w:r w:rsidR="00D81C88" w:rsidRPr="00F338AB">
        <w:rPr>
          <w:rFonts w:eastAsia="MS Mincho" w:cstheme="minorHAnsi"/>
          <w:b/>
          <w:bCs/>
          <w:sz w:val="18"/>
          <w:szCs w:val="18"/>
          <w:lang w:eastAsia="ja-JP"/>
        </w:rPr>
        <w:t>2</w:t>
      </w:r>
      <w:r w:rsidR="00D81C88" w:rsidRPr="00F338AB">
        <w:rPr>
          <w:rFonts w:eastAsia="MS Mincho" w:cstheme="minorHAnsi"/>
          <w:sz w:val="18"/>
          <w:szCs w:val="18"/>
          <w:lang w:eastAsia="ja-JP"/>
        </w:rPr>
        <w:t xml:space="preserve">) </w:t>
      </w:r>
      <w:r w:rsidR="00377742" w:rsidRPr="00F338AB">
        <w:rPr>
          <w:rFonts w:eastAsia="MS Mincho" w:cstheme="minorHAnsi"/>
          <w:sz w:val="18"/>
          <w:szCs w:val="18"/>
          <w:lang w:eastAsia="ja-JP"/>
        </w:rPr>
        <w:t>to 1</w:t>
      </w:r>
      <w:r w:rsidR="004C3B6E" w:rsidRPr="00F338AB">
        <w:rPr>
          <w:rFonts w:eastAsia="MS Mincho" w:cstheme="minorHAnsi"/>
          <w:sz w:val="18"/>
          <w:szCs w:val="18"/>
          <w:lang w:eastAsia="ja-JP"/>
        </w:rPr>
        <w:t>070</w:t>
      </w:r>
      <w:r w:rsidR="00377742" w:rsidRPr="00F338AB">
        <w:rPr>
          <w:rFonts w:eastAsia="MS Mincho" w:cstheme="minorHAnsi"/>
          <w:sz w:val="18"/>
          <w:szCs w:val="18"/>
          <w:lang w:eastAsia="ja-JP"/>
        </w:rPr>
        <w:t xml:space="preserve"> cm</w:t>
      </w:r>
      <w:r w:rsidR="00377742" w:rsidRPr="00F338AB">
        <w:rPr>
          <w:rFonts w:eastAsia="MS Mincho" w:cstheme="minorHAnsi"/>
          <w:sz w:val="18"/>
          <w:szCs w:val="18"/>
          <w:vertAlign w:val="superscript"/>
          <w:lang w:eastAsia="ja-JP"/>
        </w:rPr>
        <w:t>-1</w:t>
      </w:r>
      <w:r w:rsidR="00D81C88" w:rsidRPr="00F338AB">
        <w:rPr>
          <w:rFonts w:eastAsia="MS Mincho" w:cstheme="minorHAnsi"/>
          <w:sz w:val="18"/>
          <w:szCs w:val="18"/>
          <w:lang w:eastAsia="ja-JP"/>
        </w:rPr>
        <w:t xml:space="preserve"> (for </w:t>
      </w:r>
      <w:r w:rsidR="00D81C88" w:rsidRPr="00F338AB">
        <w:rPr>
          <w:rFonts w:eastAsia="MS Mincho" w:cstheme="minorHAnsi"/>
          <w:b/>
          <w:bCs/>
          <w:sz w:val="18"/>
          <w:szCs w:val="18"/>
          <w:lang w:eastAsia="ja-JP"/>
        </w:rPr>
        <w:t>3</w:t>
      </w:r>
      <w:r w:rsidR="00D81C88" w:rsidRPr="00F338AB">
        <w:rPr>
          <w:rFonts w:eastAsia="MS Mincho" w:cstheme="minorHAnsi"/>
          <w:sz w:val="18"/>
          <w:szCs w:val="18"/>
          <w:lang w:eastAsia="ja-JP"/>
        </w:rPr>
        <w:t>)</w:t>
      </w:r>
      <w:r w:rsidR="00377742" w:rsidRPr="00F338AB">
        <w:rPr>
          <w:rFonts w:eastAsia="MS Mincho" w:cstheme="minorHAnsi"/>
          <w:sz w:val="18"/>
          <w:szCs w:val="18"/>
          <w:lang w:eastAsia="ja-JP"/>
        </w:rPr>
        <w:t xml:space="preserve">, </w:t>
      </w:r>
      <w:r w:rsidRPr="00F338AB">
        <w:rPr>
          <w:rFonts w:eastAsia="MS Mincho" w:cstheme="minorHAnsi"/>
          <w:sz w:val="18"/>
          <w:szCs w:val="18"/>
          <w:lang w:eastAsia="ja-JP"/>
        </w:rPr>
        <w:t>and maxima located at 741 nm (13495 cm</w:t>
      </w:r>
      <w:r w:rsidRPr="00F338AB">
        <w:rPr>
          <w:rFonts w:eastAsia="MS Mincho" w:cstheme="minorHAnsi"/>
          <w:sz w:val="18"/>
          <w:szCs w:val="18"/>
          <w:vertAlign w:val="superscript"/>
          <w:lang w:eastAsia="ja-JP"/>
        </w:rPr>
        <w:t>-1</w:t>
      </w:r>
      <w:r w:rsidRPr="00F338AB">
        <w:rPr>
          <w:rFonts w:eastAsia="MS Mincho" w:cstheme="minorHAnsi"/>
          <w:sz w:val="18"/>
          <w:szCs w:val="18"/>
          <w:lang w:eastAsia="ja-JP"/>
        </w:rPr>
        <w:t>)</w:t>
      </w:r>
      <w:r w:rsidR="00377742" w:rsidRPr="00F338AB">
        <w:rPr>
          <w:rFonts w:eastAsia="MS Mincho" w:cstheme="minorHAnsi"/>
          <w:sz w:val="18"/>
          <w:szCs w:val="18"/>
          <w:lang w:eastAsia="ja-JP"/>
        </w:rPr>
        <w:t>,</w:t>
      </w:r>
      <w:r w:rsidRPr="00F338AB">
        <w:rPr>
          <w:rFonts w:eastAsia="MS Mincho" w:cstheme="minorHAnsi"/>
          <w:sz w:val="18"/>
          <w:szCs w:val="18"/>
          <w:lang w:eastAsia="ja-JP"/>
        </w:rPr>
        <w:t xml:space="preserve"> 748 nm (13368 cm</w:t>
      </w:r>
      <w:r w:rsidRPr="00F338AB">
        <w:rPr>
          <w:rFonts w:eastAsia="MS Mincho" w:cstheme="minorHAnsi"/>
          <w:sz w:val="18"/>
          <w:szCs w:val="18"/>
          <w:vertAlign w:val="superscript"/>
          <w:lang w:eastAsia="ja-JP"/>
        </w:rPr>
        <w:t>−1</w:t>
      </w:r>
      <w:r w:rsidRPr="00F338AB">
        <w:rPr>
          <w:rFonts w:eastAsia="MS Mincho" w:cstheme="minorHAnsi"/>
          <w:sz w:val="18"/>
          <w:szCs w:val="18"/>
          <w:lang w:eastAsia="ja-JP"/>
        </w:rPr>
        <w:t>)</w:t>
      </w:r>
      <w:r w:rsidR="00377742" w:rsidRPr="00F338AB">
        <w:rPr>
          <w:rFonts w:eastAsia="MS Mincho" w:cstheme="minorHAnsi"/>
          <w:sz w:val="18"/>
          <w:szCs w:val="18"/>
          <w:lang w:eastAsia="ja-JP"/>
        </w:rPr>
        <w:t xml:space="preserve"> and 830 nm (12000 cm</w:t>
      </w:r>
      <w:r w:rsidR="00377742" w:rsidRPr="00F338AB">
        <w:rPr>
          <w:rFonts w:eastAsia="MS Mincho" w:cstheme="minorHAnsi"/>
          <w:sz w:val="18"/>
          <w:szCs w:val="18"/>
          <w:vertAlign w:val="superscript"/>
          <w:lang w:eastAsia="ja-JP"/>
        </w:rPr>
        <w:t>-1</w:t>
      </w:r>
      <w:r w:rsidR="00377742" w:rsidRPr="00F338AB">
        <w:rPr>
          <w:rFonts w:eastAsia="MS Mincho" w:cstheme="minorHAnsi"/>
          <w:sz w:val="18"/>
          <w:szCs w:val="18"/>
          <w:lang w:eastAsia="ja-JP"/>
        </w:rPr>
        <w:t>)</w:t>
      </w:r>
      <w:r w:rsidRPr="00F338AB">
        <w:rPr>
          <w:rFonts w:eastAsia="MS Mincho" w:cstheme="minorHAnsi"/>
          <w:sz w:val="18"/>
          <w:szCs w:val="18"/>
          <w:lang w:eastAsia="ja-JP"/>
        </w:rPr>
        <w:t xml:space="preserve"> for </w:t>
      </w:r>
      <w:r w:rsidRPr="00F338AB">
        <w:rPr>
          <w:rFonts w:eastAsia="MS Mincho" w:cstheme="minorHAnsi"/>
          <w:b/>
          <w:bCs/>
          <w:sz w:val="18"/>
          <w:szCs w:val="18"/>
          <w:lang w:eastAsia="ja-JP"/>
        </w:rPr>
        <w:t>1</w:t>
      </w:r>
      <w:r w:rsidR="00377742" w:rsidRPr="00F338AB">
        <w:rPr>
          <w:rFonts w:eastAsia="MS Mincho" w:cstheme="minorHAnsi"/>
          <w:sz w:val="18"/>
          <w:szCs w:val="18"/>
          <w:lang w:eastAsia="ja-JP"/>
        </w:rPr>
        <w:t>,</w:t>
      </w:r>
      <w:r w:rsidRPr="00F338AB">
        <w:rPr>
          <w:rFonts w:eastAsia="MS Mincho" w:cstheme="minorHAnsi"/>
          <w:sz w:val="18"/>
          <w:szCs w:val="18"/>
          <w:lang w:eastAsia="ja-JP"/>
        </w:rPr>
        <w:t xml:space="preserve"> </w:t>
      </w:r>
      <w:r w:rsidRPr="00F338AB">
        <w:rPr>
          <w:rFonts w:eastAsia="MS Mincho" w:cstheme="minorHAnsi"/>
          <w:b/>
          <w:bCs/>
          <w:sz w:val="18"/>
          <w:szCs w:val="18"/>
          <w:lang w:eastAsia="ja-JP"/>
        </w:rPr>
        <w:t>2</w:t>
      </w:r>
      <w:r w:rsidRPr="00F338AB">
        <w:rPr>
          <w:rFonts w:eastAsia="MS Mincho" w:cstheme="minorHAnsi"/>
          <w:sz w:val="18"/>
          <w:szCs w:val="18"/>
          <w:lang w:eastAsia="ja-JP"/>
        </w:rPr>
        <w:t xml:space="preserve"> </w:t>
      </w:r>
      <w:r w:rsidR="00377742" w:rsidRPr="00F338AB">
        <w:rPr>
          <w:rFonts w:eastAsia="MS Mincho" w:cstheme="minorHAnsi"/>
          <w:sz w:val="18"/>
          <w:szCs w:val="18"/>
          <w:lang w:eastAsia="ja-JP"/>
        </w:rPr>
        <w:t xml:space="preserve">and </w:t>
      </w:r>
      <w:r w:rsidR="00377742" w:rsidRPr="00F338AB">
        <w:rPr>
          <w:rFonts w:eastAsia="MS Mincho" w:cstheme="minorHAnsi"/>
          <w:b/>
          <w:bCs/>
          <w:sz w:val="18"/>
          <w:szCs w:val="18"/>
          <w:lang w:eastAsia="ja-JP"/>
        </w:rPr>
        <w:t>3</w:t>
      </w:r>
      <w:r w:rsidR="00377742" w:rsidRPr="00F338AB">
        <w:rPr>
          <w:rFonts w:eastAsia="MS Mincho" w:cstheme="minorHAnsi"/>
          <w:sz w:val="18"/>
          <w:szCs w:val="18"/>
          <w:lang w:eastAsia="ja-JP"/>
        </w:rPr>
        <w:t xml:space="preserve"> </w:t>
      </w:r>
      <w:r w:rsidRPr="00F338AB">
        <w:rPr>
          <w:rFonts w:eastAsia="MS Mincho" w:cstheme="minorHAnsi"/>
          <w:sz w:val="18"/>
          <w:szCs w:val="18"/>
          <w:lang w:eastAsia="ja-JP"/>
        </w:rPr>
        <w:t xml:space="preserve">respectively (Fig. </w:t>
      </w:r>
      <w:r w:rsidR="003531BA" w:rsidRPr="00F338AB">
        <w:rPr>
          <w:rFonts w:eastAsia="MS Mincho" w:cstheme="minorHAnsi"/>
          <w:sz w:val="18"/>
          <w:szCs w:val="18"/>
          <w:lang w:eastAsia="ja-JP"/>
        </w:rPr>
        <w:t>2</w:t>
      </w:r>
      <w:r w:rsidR="002E1A42" w:rsidRPr="00F338AB">
        <w:rPr>
          <w:rFonts w:eastAsia="MS Mincho" w:cstheme="minorHAnsi"/>
          <w:sz w:val="18"/>
          <w:szCs w:val="18"/>
          <w:lang w:eastAsia="ja-JP"/>
        </w:rPr>
        <w:t>b</w:t>
      </w:r>
      <w:r w:rsidRPr="00F338AB">
        <w:rPr>
          <w:rFonts w:eastAsia="MS Mincho" w:cstheme="minorHAnsi"/>
          <w:sz w:val="18"/>
          <w:szCs w:val="18"/>
          <w:lang w:eastAsia="ja-JP"/>
        </w:rPr>
        <w:t xml:space="preserve">). </w:t>
      </w:r>
      <w:r w:rsidR="00D81C88" w:rsidRPr="00F338AB">
        <w:rPr>
          <w:rFonts w:eastAsia="MS Mincho" w:cstheme="minorHAnsi"/>
          <w:sz w:val="18"/>
          <w:szCs w:val="18"/>
          <w:lang w:eastAsia="ja-JP"/>
        </w:rPr>
        <w:t xml:space="preserve">The excitation spectra recorded </w:t>
      </w:r>
      <w:r w:rsidR="00AD4930" w:rsidRPr="00F338AB">
        <w:rPr>
          <w:rFonts w:eastAsia="MS Mincho" w:cstheme="minorHAnsi"/>
          <w:sz w:val="18"/>
          <w:szCs w:val="18"/>
          <w:lang w:eastAsia="ja-JP"/>
        </w:rPr>
        <w:t xml:space="preserve">upon </w:t>
      </w:r>
      <w:r w:rsidR="00D81C88" w:rsidRPr="00F338AB">
        <w:rPr>
          <w:rFonts w:eastAsia="MS Mincho" w:cstheme="minorHAnsi"/>
          <w:sz w:val="18"/>
          <w:szCs w:val="18"/>
          <w:lang w:eastAsia="ja-JP"/>
        </w:rPr>
        <w:t xml:space="preserve">monitoring the emission band coincide with the absorption spectra, demonstrating the participation of the </w:t>
      </w:r>
      <w:r w:rsidR="00D81C88" w:rsidRPr="00F338AB">
        <w:rPr>
          <w:rFonts w:eastAsia="MS Mincho" w:cstheme="minorHAnsi"/>
          <w:sz w:val="18"/>
          <w:szCs w:val="18"/>
          <w:vertAlign w:val="superscript"/>
          <w:lang w:eastAsia="ja-JP"/>
        </w:rPr>
        <w:t>4</w:t>
      </w:r>
      <w:r w:rsidR="00D81C88" w:rsidRPr="00F338AB">
        <w:rPr>
          <w:rFonts w:eastAsia="MS Mincho" w:cstheme="minorHAnsi"/>
          <w:sz w:val="18"/>
          <w:szCs w:val="18"/>
          <w:lang w:eastAsia="ja-JP"/>
        </w:rPr>
        <w:t>T</w:t>
      </w:r>
      <w:r w:rsidR="00D81C88" w:rsidRPr="00F338AB">
        <w:rPr>
          <w:rFonts w:eastAsia="MS Mincho" w:cstheme="minorHAnsi"/>
          <w:sz w:val="18"/>
          <w:szCs w:val="18"/>
          <w:vertAlign w:val="subscript"/>
          <w:lang w:eastAsia="ja-JP"/>
        </w:rPr>
        <w:t>2</w:t>
      </w:r>
      <w:r w:rsidR="00D81C88" w:rsidRPr="00F338AB">
        <w:rPr>
          <w:rFonts w:eastAsia="MS Mincho" w:cstheme="minorHAnsi"/>
          <w:sz w:val="18"/>
          <w:szCs w:val="18"/>
          <w:lang w:eastAsia="ja-JP"/>
        </w:rPr>
        <w:t xml:space="preserve"> and </w:t>
      </w:r>
      <w:r w:rsidR="00D81C88" w:rsidRPr="00F338AB">
        <w:rPr>
          <w:rFonts w:eastAsia="MS Mincho" w:cstheme="minorHAnsi"/>
          <w:sz w:val="18"/>
          <w:szCs w:val="18"/>
          <w:vertAlign w:val="superscript"/>
          <w:lang w:eastAsia="ja-JP"/>
        </w:rPr>
        <w:t>4</w:t>
      </w:r>
      <w:r w:rsidR="00D81C88" w:rsidRPr="00F338AB">
        <w:rPr>
          <w:rFonts w:eastAsia="MS Mincho" w:cstheme="minorHAnsi"/>
          <w:sz w:val="18"/>
          <w:szCs w:val="18"/>
          <w:lang w:eastAsia="ja-JP"/>
        </w:rPr>
        <w:t xml:space="preserve">LMCT excited states in the population of the emissive excited states of </w:t>
      </w:r>
      <w:r w:rsidR="00D81C88" w:rsidRPr="00F338AB">
        <w:rPr>
          <w:rFonts w:eastAsia="MS Mincho" w:cstheme="minorHAnsi"/>
          <w:b/>
          <w:bCs/>
          <w:sz w:val="18"/>
          <w:szCs w:val="18"/>
          <w:lang w:eastAsia="ja-JP"/>
        </w:rPr>
        <w:t>1</w:t>
      </w:r>
      <w:r w:rsidR="00D81C88" w:rsidRPr="00F338AB">
        <w:rPr>
          <w:rFonts w:eastAsia="MS Mincho" w:cstheme="minorHAnsi"/>
          <w:sz w:val="18"/>
          <w:szCs w:val="18"/>
          <w:lang w:eastAsia="ja-JP"/>
        </w:rPr>
        <w:t xml:space="preserve">, </w:t>
      </w:r>
      <w:r w:rsidR="00D81C88" w:rsidRPr="00F338AB">
        <w:rPr>
          <w:rFonts w:eastAsia="MS Mincho" w:cstheme="minorHAnsi"/>
          <w:b/>
          <w:bCs/>
          <w:sz w:val="18"/>
          <w:szCs w:val="18"/>
          <w:lang w:eastAsia="ja-JP"/>
        </w:rPr>
        <w:t>2</w:t>
      </w:r>
      <w:r w:rsidR="00D81C88" w:rsidRPr="00F338AB">
        <w:rPr>
          <w:rFonts w:eastAsia="MS Mincho" w:cstheme="minorHAnsi"/>
          <w:sz w:val="18"/>
          <w:szCs w:val="18"/>
          <w:lang w:eastAsia="ja-JP"/>
        </w:rPr>
        <w:t xml:space="preserve"> and </w:t>
      </w:r>
      <w:r w:rsidR="00D81C88" w:rsidRPr="00F338AB">
        <w:rPr>
          <w:rFonts w:eastAsia="MS Mincho" w:cstheme="minorHAnsi"/>
          <w:b/>
          <w:bCs/>
          <w:sz w:val="18"/>
          <w:szCs w:val="18"/>
          <w:lang w:eastAsia="ja-JP"/>
        </w:rPr>
        <w:t>3</w:t>
      </w:r>
      <w:r w:rsidR="00D81C88" w:rsidRPr="00F338AB">
        <w:rPr>
          <w:rFonts w:eastAsia="MS Mincho" w:cstheme="minorHAnsi"/>
          <w:sz w:val="18"/>
          <w:szCs w:val="18"/>
          <w:lang w:eastAsia="ja-JP"/>
        </w:rPr>
        <w:t xml:space="preserve"> (Fig. S</w:t>
      </w:r>
      <w:r w:rsidR="002E1A42" w:rsidRPr="00F338AB">
        <w:rPr>
          <w:rFonts w:eastAsia="MS Mincho" w:cstheme="minorHAnsi"/>
          <w:sz w:val="18"/>
          <w:szCs w:val="18"/>
          <w:lang w:eastAsia="ja-JP"/>
        </w:rPr>
        <w:t>11</w:t>
      </w:r>
      <w:r w:rsidR="00D81C88" w:rsidRPr="00F338AB">
        <w:rPr>
          <w:rFonts w:eastAsia="MS Mincho" w:cstheme="minorHAnsi"/>
          <w:sz w:val="18"/>
          <w:szCs w:val="18"/>
          <w:lang w:eastAsia="ja-JP"/>
        </w:rPr>
        <w:t xml:space="preserve">). </w:t>
      </w:r>
      <w:r w:rsidRPr="00F338AB">
        <w:rPr>
          <w:rFonts w:eastAsia="MS Mincho" w:cstheme="minorHAnsi"/>
          <w:sz w:val="18"/>
          <w:szCs w:val="18"/>
          <w:lang w:eastAsia="ja-JP"/>
        </w:rPr>
        <w:t>Interestingly, th</w:t>
      </w:r>
      <w:r w:rsidR="00377742" w:rsidRPr="00F338AB">
        <w:rPr>
          <w:rFonts w:eastAsia="MS Mincho" w:cstheme="minorHAnsi"/>
          <w:sz w:val="18"/>
          <w:szCs w:val="18"/>
          <w:lang w:eastAsia="ja-JP"/>
        </w:rPr>
        <w:t>e</w:t>
      </w:r>
      <w:r w:rsidRPr="00F338AB">
        <w:rPr>
          <w:rFonts w:eastAsia="MS Mincho" w:cstheme="minorHAnsi"/>
          <w:sz w:val="18"/>
          <w:szCs w:val="18"/>
          <w:lang w:eastAsia="ja-JP"/>
        </w:rPr>
        <w:t xml:space="preserve"> FWHM value is four times larger compared to </w:t>
      </w:r>
      <w:r w:rsidR="00580CE4" w:rsidRPr="00F338AB">
        <w:rPr>
          <w:rFonts w:eastAsia="MS Mincho" w:cstheme="minorHAnsi"/>
          <w:sz w:val="18"/>
          <w:szCs w:val="18"/>
          <w:lang w:eastAsia="ja-JP"/>
        </w:rPr>
        <w:t>the ar</w:t>
      </w:r>
      <w:r w:rsidR="00504610" w:rsidRPr="00F338AB">
        <w:rPr>
          <w:rFonts w:eastAsia="MS Mincho" w:cstheme="minorHAnsi"/>
          <w:sz w:val="18"/>
          <w:szCs w:val="18"/>
          <w:lang w:eastAsia="ja-JP"/>
        </w:rPr>
        <w:t xml:space="preserve">chetypal </w:t>
      </w:r>
      <w:r w:rsidR="00D81C88" w:rsidRPr="00F338AB">
        <w:rPr>
          <w:rFonts w:eastAsia="MS Mincho" w:cstheme="minorHAnsi"/>
          <w:sz w:val="18"/>
          <w:szCs w:val="18"/>
          <w:lang w:eastAsia="ja-JP"/>
        </w:rPr>
        <w:t>[Cr(</w:t>
      </w:r>
      <w:proofErr w:type="spellStart"/>
      <w:r w:rsidR="00D81C88" w:rsidRPr="00F338AB">
        <w:rPr>
          <w:rFonts w:eastAsia="MS Mincho" w:cstheme="minorHAnsi"/>
          <w:sz w:val="18"/>
          <w:szCs w:val="18"/>
          <w:lang w:eastAsia="ja-JP"/>
        </w:rPr>
        <w:t>ddpd</w:t>
      </w:r>
      <w:proofErr w:type="spellEnd"/>
      <w:r w:rsidR="00D81C88" w:rsidRPr="00F338AB">
        <w:rPr>
          <w:rFonts w:eastAsia="MS Mincho" w:cstheme="minorHAnsi"/>
          <w:sz w:val="18"/>
          <w:szCs w:val="18"/>
          <w:lang w:eastAsia="ja-JP"/>
        </w:rPr>
        <w:t>)</w:t>
      </w:r>
      <w:r w:rsidR="00D81C88" w:rsidRPr="00F338AB">
        <w:rPr>
          <w:rFonts w:eastAsia="MS Mincho" w:cstheme="minorHAnsi"/>
          <w:sz w:val="18"/>
          <w:szCs w:val="18"/>
          <w:vertAlign w:val="subscript"/>
          <w:lang w:eastAsia="ja-JP"/>
        </w:rPr>
        <w:t>2</w:t>
      </w:r>
      <w:r w:rsidR="00D81C88" w:rsidRPr="00F338AB">
        <w:rPr>
          <w:rFonts w:eastAsia="MS Mincho" w:cstheme="minorHAnsi"/>
          <w:sz w:val="18"/>
          <w:szCs w:val="18"/>
          <w:lang w:eastAsia="ja-JP"/>
        </w:rPr>
        <w:t>]</w:t>
      </w:r>
      <w:r w:rsidR="00D81C88" w:rsidRPr="00F338AB">
        <w:rPr>
          <w:rFonts w:eastAsia="MS Mincho" w:cstheme="minorHAnsi"/>
          <w:sz w:val="18"/>
          <w:szCs w:val="18"/>
          <w:vertAlign w:val="superscript"/>
          <w:lang w:eastAsia="ja-JP"/>
        </w:rPr>
        <w:t>3+</w:t>
      </w:r>
      <w:r w:rsidR="00D81C88" w:rsidRPr="00F338AB">
        <w:rPr>
          <w:rFonts w:eastAsia="MS Mincho" w:cstheme="minorHAnsi"/>
          <w:sz w:val="18"/>
          <w:szCs w:val="18"/>
          <w:lang w:eastAsia="ja-JP"/>
        </w:rPr>
        <w:t>, [Cr(</w:t>
      </w:r>
      <w:proofErr w:type="spellStart"/>
      <w:r w:rsidR="00D81C88" w:rsidRPr="00F338AB">
        <w:rPr>
          <w:rFonts w:eastAsia="MS Mincho" w:cstheme="minorHAnsi"/>
          <w:sz w:val="18"/>
          <w:szCs w:val="18"/>
          <w:lang w:eastAsia="ja-JP"/>
        </w:rPr>
        <w:t>dqp</w:t>
      </w:r>
      <w:proofErr w:type="spellEnd"/>
      <w:r w:rsidR="00D81C88" w:rsidRPr="00F338AB">
        <w:rPr>
          <w:rFonts w:eastAsia="MS Mincho" w:cstheme="minorHAnsi"/>
          <w:sz w:val="18"/>
          <w:szCs w:val="18"/>
          <w:lang w:eastAsia="ja-JP"/>
        </w:rPr>
        <w:t>)</w:t>
      </w:r>
      <w:r w:rsidR="00D81C88" w:rsidRPr="00F338AB">
        <w:rPr>
          <w:rFonts w:eastAsia="MS Mincho" w:cstheme="minorHAnsi"/>
          <w:sz w:val="18"/>
          <w:szCs w:val="18"/>
          <w:vertAlign w:val="subscript"/>
          <w:lang w:eastAsia="ja-JP"/>
        </w:rPr>
        <w:t>2</w:t>
      </w:r>
      <w:r w:rsidR="00D81C88" w:rsidRPr="00F338AB">
        <w:rPr>
          <w:rFonts w:eastAsia="MS Mincho" w:cstheme="minorHAnsi"/>
          <w:sz w:val="18"/>
          <w:szCs w:val="18"/>
          <w:lang w:eastAsia="ja-JP"/>
        </w:rPr>
        <w:t>]</w:t>
      </w:r>
      <w:r w:rsidR="00D81C88" w:rsidRPr="00F338AB">
        <w:rPr>
          <w:rFonts w:eastAsia="MS Mincho" w:cstheme="minorHAnsi"/>
          <w:sz w:val="18"/>
          <w:szCs w:val="18"/>
          <w:vertAlign w:val="superscript"/>
          <w:lang w:eastAsia="ja-JP"/>
        </w:rPr>
        <w:t xml:space="preserve">3+ </w:t>
      </w:r>
      <w:r w:rsidR="00D81C88" w:rsidRPr="00F338AB">
        <w:rPr>
          <w:rFonts w:eastAsia="MS Mincho" w:cstheme="minorHAnsi"/>
          <w:sz w:val="18"/>
          <w:szCs w:val="18"/>
          <w:lang w:eastAsia="ja-JP"/>
        </w:rPr>
        <w:t xml:space="preserve">complexes (Fig. S9a), </w:t>
      </w:r>
      <w:r w:rsidRPr="00F338AB">
        <w:rPr>
          <w:rFonts w:eastAsia="MS Mincho" w:cstheme="minorHAnsi"/>
          <w:sz w:val="18"/>
          <w:szCs w:val="18"/>
          <w:lang w:eastAsia="ja-JP"/>
        </w:rPr>
        <w:t xml:space="preserve">and comparable to the </w:t>
      </w:r>
      <w:proofErr w:type="spellStart"/>
      <w:r w:rsidRPr="00F338AB">
        <w:rPr>
          <w:rFonts w:eastAsia="MS Mincho" w:cstheme="minorHAnsi"/>
          <w:sz w:val="18"/>
          <w:szCs w:val="18"/>
          <w:lang w:eastAsia="ja-JP"/>
        </w:rPr>
        <w:t>analog</w:t>
      </w:r>
      <w:proofErr w:type="spellEnd"/>
      <w:r w:rsidRPr="00F338AB">
        <w:rPr>
          <w:rFonts w:eastAsia="MS Mincho" w:cstheme="minorHAnsi"/>
          <w:sz w:val="18"/>
          <w:szCs w:val="18"/>
          <w:lang w:eastAsia="ja-JP"/>
        </w:rPr>
        <w:t xml:space="preserve"> [Cr(</w:t>
      </w:r>
      <w:proofErr w:type="spellStart"/>
      <w:r w:rsidRPr="00F338AB">
        <w:rPr>
          <w:rFonts w:eastAsia="MS Mincho" w:cstheme="minorHAnsi"/>
          <w:sz w:val="18"/>
          <w:szCs w:val="18"/>
          <w:lang w:eastAsia="ja-JP"/>
        </w:rPr>
        <w:t>btmp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w:t>
      </w:r>
      <w:r w:rsidR="00D81C88" w:rsidRPr="00F338AB">
        <w:rPr>
          <w:rFonts w:eastAsia="MS Mincho" w:cstheme="minorHAnsi"/>
          <w:sz w:val="18"/>
          <w:szCs w:val="18"/>
          <w:lang w:eastAsia="ja-JP"/>
        </w:rPr>
        <w:fldChar w:fldCharType="begin" w:fldLock="1"/>
      </w:r>
      <w:r w:rsidR="00255A25" w:rsidRPr="00F338AB">
        <w:rPr>
          <w:rFonts w:eastAsia="MS Mincho" w:cstheme="minorHAnsi"/>
          <w:sz w:val="18"/>
          <w:szCs w:val="18"/>
          <w:lang w:eastAsia="ja-JP"/>
        </w:rPr>
        <w:instrText>ADDIN CSL_CITATION {"citationItems":[{"id":"ITEM-1","itemData":{"DOI":"10.1021/jacs.3c01543","ISSN":"15205126","PMID":"37224437","abstract":"A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Society","id":"ITEM-1","issued":{"date-parts":[["2023"]]},"page":"12081-12092","title":"Direct Determination of the Rate of Intersystem Crossing in a Near-IR Luminescent Cr(III) Triazolyl Complex","type":"article-journal","volume":"145"},"uris":["http://www.mendeley.com/documents/?uuid=8c880c1f-848d-422a-bae8-b73fecd99327"]}],"mendeley":{"formattedCitation":"&lt;sup&gt;45&lt;/sup&gt;","plainTextFormattedCitation":"45","previouslyFormattedCitation":"&lt;sup&gt;45&lt;/sup&gt;"},"properties":{"noteIndex":0},"schema":"https://github.com/citation-style-language/schema/raw/master/csl-citation.json"}</w:instrText>
      </w:r>
      <w:r w:rsidR="00D81C88" w:rsidRPr="00F338AB">
        <w:rPr>
          <w:rFonts w:eastAsia="MS Mincho" w:cstheme="minorHAnsi"/>
          <w:sz w:val="18"/>
          <w:szCs w:val="18"/>
          <w:lang w:eastAsia="ja-JP"/>
        </w:rPr>
        <w:fldChar w:fldCharType="separate"/>
      </w:r>
      <w:r w:rsidR="00030AAC" w:rsidRPr="00F338AB">
        <w:rPr>
          <w:rFonts w:eastAsia="MS Mincho" w:cstheme="minorHAnsi"/>
          <w:noProof/>
          <w:sz w:val="18"/>
          <w:szCs w:val="18"/>
          <w:vertAlign w:val="superscript"/>
          <w:lang w:eastAsia="ja-JP"/>
        </w:rPr>
        <w:t>45</w:t>
      </w:r>
      <w:r w:rsidR="00D81C88" w:rsidRPr="00F338AB">
        <w:rPr>
          <w:rFonts w:eastAsia="MS Mincho" w:cstheme="minorHAnsi"/>
          <w:sz w:val="18"/>
          <w:szCs w:val="18"/>
          <w:lang w:eastAsia="ja-JP"/>
        </w:rPr>
        <w:fldChar w:fldCharType="end"/>
      </w:r>
      <w:r w:rsidRPr="00F338AB">
        <w:rPr>
          <w:rFonts w:eastAsia="MS Mincho" w:cstheme="minorHAnsi"/>
          <w:sz w:val="18"/>
          <w:szCs w:val="18"/>
          <w:lang w:eastAsia="ja-JP"/>
        </w:rPr>
        <w:t xml:space="preserve"> which can be a benefit</w:t>
      </w:r>
      <w:r w:rsidR="00FE083B" w:rsidRPr="00F338AB">
        <w:rPr>
          <w:rFonts w:eastAsia="MS Mincho" w:cstheme="minorHAnsi"/>
          <w:sz w:val="18"/>
          <w:szCs w:val="18"/>
          <w:lang w:eastAsia="ja-JP"/>
        </w:rPr>
        <w:t xml:space="preserve"> for </w:t>
      </w:r>
      <w:r w:rsidR="00B47F0E" w:rsidRPr="00F338AB">
        <w:rPr>
          <w:rFonts w:eastAsia="MS Mincho" w:cstheme="minorHAnsi"/>
          <w:sz w:val="18"/>
          <w:szCs w:val="18"/>
          <w:lang w:eastAsia="ja-JP"/>
        </w:rPr>
        <w:t>Förste</w:t>
      </w:r>
      <w:r w:rsidR="006B462E" w:rsidRPr="00F338AB">
        <w:rPr>
          <w:rFonts w:eastAsia="MS Mincho" w:cstheme="minorHAnsi"/>
          <w:sz w:val="18"/>
          <w:szCs w:val="18"/>
          <w:lang w:eastAsia="ja-JP"/>
        </w:rPr>
        <w:t>r</w:t>
      </w:r>
      <w:r w:rsidR="00B47F0E" w:rsidRPr="00F338AB">
        <w:rPr>
          <w:rFonts w:eastAsia="MS Mincho" w:cstheme="minorHAnsi"/>
          <w:sz w:val="18"/>
          <w:szCs w:val="18"/>
          <w:lang w:eastAsia="ja-JP"/>
        </w:rPr>
        <w:t xml:space="preserve"> type energy transfer</w:t>
      </w:r>
      <w:r w:rsidRPr="00F338AB">
        <w:rPr>
          <w:rFonts w:eastAsia="MS Mincho" w:cstheme="minorHAnsi"/>
          <w:sz w:val="18"/>
          <w:szCs w:val="18"/>
          <w:lang w:eastAsia="ja-JP"/>
        </w:rPr>
        <w:t xml:space="preserve"> </w:t>
      </w:r>
      <w:r w:rsidR="00FE083B" w:rsidRPr="00F338AB">
        <w:rPr>
          <w:rFonts w:eastAsia="MS Mincho" w:cstheme="minorHAnsi"/>
          <w:sz w:val="18"/>
          <w:szCs w:val="18"/>
          <w:lang w:eastAsia="ja-JP"/>
        </w:rPr>
        <w:t xml:space="preserve">to </w:t>
      </w:r>
      <w:r w:rsidRPr="00F338AB">
        <w:rPr>
          <w:rFonts w:eastAsia="MS Mincho" w:cstheme="minorHAnsi"/>
          <w:sz w:val="18"/>
          <w:szCs w:val="18"/>
          <w:lang w:eastAsia="ja-JP"/>
        </w:rPr>
        <w:t>low-energy acceptors in supramolecular assemblies.</w:t>
      </w:r>
      <w:r w:rsidR="00FE083B" w:rsidRPr="00F338AB">
        <w:rPr>
          <w:rFonts w:eastAsia="MS Mincho" w:cstheme="minorHAnsi"/>
          <w:sz w:val="18"/>
          <w:szCs w:val="18"/>
          <w:lang w:eastAsia="ja-JP"/>
        </w:rPr>
        <w:t xml:space="preserve"> </w:t>
      </w:r>
      <w:r w:rsidRPr="00F338AB">
        <w:rPr>
          <w:rFonts w:eastAsia="MS Mincho" w:cstheme="minorHAnsi"/>
          <w:sz w:val="18"/>
          <w:szCs w:val="18"/>
          <w:lang w:eastAsia="ja-JP"/>
        </w:rPr>
        <w:t>At 77 K, the emission</w:t>
      </w:r>
      <w:r w:rsidR="00AD17CA" w:rsidRPr="00F338AB">
        <w:rPr>
          <w:rFonts w:eastAsia="MS Mincho" w:cstheme="minorHAnsi"/>
          <w:sz w:val="18"/>
          <w:szCs w:val="18"/>
          <w:lang w:eastAsia="ja-JP"/>
        </w:rPr>
        <w:t xml:space="preserve"> bands</w:t>
      </w:r>
      <w:r w:rsidRPr="00F338AB">
        <w:rPr>
          <w:rFonts w:eastAsia="MS Mincho" w:cstheme="minorHAnsi"/>
          <w:sz w:val="18"/>
          <w:szCs w:val="18"/>
          <w:lang w:eastAsia="ja-JP"/>
        </w:rPr>
        <w:t xml:space="preserve"> </w:t>
      </w:r>
      <w:r w:rsidR="00AD17CA" w:rsidRPr="00F338AB">
        <w:rPr>
          <w:rFonts w:eastAsia="MS Mincho" w:cstheme="minorHAnsi"/>
          <w:sz w:val="18"/>
          <w:szCs w:val="18"/>
          <w:lang w:eastAsia="ja-JP"/>
        </w:rPr>
        <w:t>are</w:t>
      </w:r>
      <w:r w:rsidRPr="00F338AB">
        <w:rPr>
          <w:rFonts w:eastAsia="MS Mincho" w:cstheme="minorHAnsi"/>
          <w:sz w:val="18"/>
          <w:szCs w:val="18"/>
          <w:lang w:eastAsia="ja-JP"/>
        </w:rPr>
        <w:t xml:space="preserve"> more structured</w:t>
      </w:r>
      <w:r w:rsidR="00AD17CA" w:rsidRPr="00F338AB">
        <w:rPr>
          <w:rFonts w:eastAsia="MS Mincho" w:cstheme="minorHAnsi"/>
          <w:sz w:val="18"/>
          <w:szCs w:val="18"/>
          <w:lang w:eastAsia="ja-JP"/>
        </w:rPr>
        <w:t>,</w:t>
      </w:r>
      <w:r w:rsidR="00FE083B" w:rsidRPr="00F338AB">
        <w:rPr>
          <w:rFonts w:eastAsia="MS Mincho" w:cstheme="minorHAnsi"/>
          <w:sz w:val="18"/>
          <w:szCs w:val="18"/>
          <w:lang w:eastAsia="ja-JP"/>
        </w:rPr>
        <w:t xml:space="preserve"> as expected, </w:t>
      </w:r>
      <w:r w:rsidRPr="00F338AB">
        <w:rPr>
          <w:rFonts w:eastAsia="MS Mincho" w:cstheme="minorHAnsi"/>
          <w:sz w:val="18"/>
          <w:szCs w:val="18"/>
          <w:lang w:eastAsia="ja-JP"/>
        </w:rPr>
        <w:t xml:space="preserve">but remains broad (dashed line in Fig. </w:t>
      </w:r>
      <w:r w:rsidR="00D81C88" w:rsidRPr="00F338AB">
        <w:rPr>
          <w:rFonts w:eastAsia="MS Mincho" w:cstheme="minorHAnsi"/>
          <w:sz w:val="18"/>
          <w:szCs w:val="18"/>
          <w:lang w:eastAsia="ja-JP"/>
        </w:rPr>
        <w:t>2b</w:t>
      </w:r>
      <w:r w:rsidR="004C3B6E" w:rsidRPr="00F338AB">
        <w:rPr>
          <w:rFonts w:eastAsia="MS Mincho" w:cstheme="minorHAnsi"/>
          <w:sz w:val="18"/>
          <w:szCs w:val="18"/>
          <w:lang w:eastAsia="ja-JP"/>
        </w:rPr>
        <w:t xml:space="preserve"> and Fig. 2d</w:t>
      </w:r>
      <w:r w:rsidRPr="00F338AB">
        <w:rPr>
          <w:rFonts w:eastAsia="MS Mincho" w:cstheme="minorHAnsi"/>
          <w:sz w:val="18"/>
          <w:szCs w:val="18"/>
          <w:lang w:eastAsia="ja-JP"/>
        </w:rPr>
        <w:t xml:space="preserve">), which is in stark contrast with the </w:t>
      </w:r>
      <w:r w:rsidR="004C3B6E" w:rsidRPr="00F338AB">
        <w:rPr>
          <w:rFonts w:eastAsia="MS Mincho" w:cstheme="minorHAnsi"/>
          <w:sz w:val="18"/>
          <w:szCs w:val="18"/>
          <w:lang w:eastAsia="ja-JP"/>
        </w:rPr>
        <w:t xml:space="preserve">sharper bands found </w:t>
      </w:r>
      <w:r w:rsidRPr="00F338AB">
        <w:rPr>
          <w:rFonts w:eastAsia="MS Mincho" w:cstheme="minorHAnsi"/>
          <w:sz w:val="18"/>
          <w:szCs w:val="18"/>
          <w:lang w:eastAsia="ja-JP"/>
        </w:rPr>
        <w:t>at low temperature in the related [Cr(</w:t>
      </w:r>
      <w:proofErr w:type="spellStart"/>
      <w:r w:rsidRPr="00F338AB">
        <w:rPr>
          <w:rFonts w:eastAsia="MS Mincho" w:cstheme="minorHAnsi"/>
          <w:sz w:val="18"/>
          <w:szCs w:val="18"/>
          <w:lang w:eastAsia="ja-JP"/>
        </w:rPr>
        <w:t>ddpd</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 [Cr(</w:t>
      </w:r>
      <w:proofErr w:type="spellStart"/>
      <w:r w:rsidRPr="00F338AB">
        <w:rPr>
          <w:rFonts w:eastAsia="MS Mincho" w:cstheme="minorHAnsi"/>
          <w:sz w:val="18"/>
          <w:szCs w:val="18"/>
          <w:lang w:eastAsia="ja-JP"/>
        </w:rPr>
        <w:t>dqp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002D7B75" w:rsidRPr="00F338AB">
        <w:rPr>
          <w:rFonts w:eastAsia="MS Mincho" w:cstheme="minorHAnsi"/>
          <w:sz w:val="18"/>
          <w:szCs w:val="18"/>
          <w:lang w:eastAsia="ja-JP"/>
        </w:rPr>
        <w:t xml:space="preserve"> </w:t>
      </w:r>
      <w:r w:rsidRPr="00F338AB">
        <w:rPr>
          <w:rFonts w:eastAsia="MS Mincho" w:cstheme="minorHAnsi"/>
          <w:sz w:val="18"/>
          <w:szCs w:val="18"/>
          <w:lang w:eastAsia="ja-JP"/>
        </w:rPr>
        <w:t>and [Cr(</w:t>
      </w:r>
      <w:proofErr w:type="spellStart"/>
      <w:r w:rsidRPr="00F338AB">
        <w:rPr>
          <w:rFonts w:eastAsia="MS Mincho" w:cstheme="minorHAnsi"/>
          <w:sz w:val="18"/>
          <w:szCs w:val="18"/>
          <w:lang w:eastAsia="ja-JP"/>
        </w:rPr>
        <w:t>bpmp</w:t>
      </w:r>
      <w:proofErr w:type="spellEnd"/>
      <w:r w:rsidRPr="00F338AB">
        <w:rPr>
          <w:rFonts w:eastAsia="MS Mincho" w:cstheme="minorHAnsi"/>
          <w:sz w:val="18"/>
          <w:szCs w:val="18"/>
          <w:lang w:eastAsia="ja-JP"/>
        </w:rPr>
        <w:t>)</w:t>
      </w:r>
      <w:r w:rsidRPr="00F338AB">
        <w:rPr>
          <w:rFonts w:eastAsia="MS Mincho" w:cstheme="minorHAnsi"/>
          <w:sz w:val="18"/>
          <w:szCs w:val="18"/>
          <w:vertAlign w:val="subscript"/>
          <w:lang w:eastAsia="ja-JP"/>
        </w:rPr>
        <w:t>2</w:t>
      </w:r>
      <w:r w:rsidRPr="00F338AB">
        <w:rPr>
          <w:rFonts w:eastAsia="MS Mincho" w:cstheme="minorHAnsi"/>
          <w:sz w:val="18"/>
          <w:szCs w:val="18"/>
          <w:lang w:eastAsia="ja-JP"/>
        </w:rPr>
        <w:t>]</w:t>
      </w:r>
      <w:r w:rsidRPr="00F338AB">
        <w:rPr>
          <w:rFonts w:eastAsia="MS Mincho" w:cstheme="minorHAnsi"/>
          <w:sz w:val="18"/>
          <w:szCs w:val="18"/>
          <w:vertAlign w:val="superscript"/>
          <w:lang w:eastAsia="ja-JP"/>
        </w:rPr>
        <w:t>3+</w:t>
      </w:r>
      <w:r w:rsidRPr="00F338AB">
        <w:rPr>
          <w:rFonts w:eastAsia="MS Mincho" w:cstheme="minorHAnsi"/>
          <w:sz w:val="18"/>
          <w:szCs w:val="18"/>
          <w:lang w:eastAsia="ja-JP"/>
        </w:rPr>
        <w:t xml:space="preserve"> complexes</w:t>
      </w:r>
      <w:r w:rsidR="00A6763D" w:rsidRPr="00F338AB">
        <w:rPr>
          <w:rFonts w:eastAsia="MS Mincho" w:cstheme="minorHAnsi"/>
          <w:sz w:val="18"/>
          <w:szCs w:val="18"/>
          <w:lang w:eastAsia="ja-JP"/>
        </w:rPr>
        <w:t xml:space="preserve"> </w:t>
      </w:r>
      <w:r w:rsidRPr="00F338AB">
        <w:rPr>
          <w:rFonts w:eastAsia="MS Mincho" w:cstheme="minorHAnsi"/>
          <w:sz w:val="18"/>
          <w:szCs w:val="18"/>
          <w:lang w:eastAsia="ja-JP"/>
        </w:rPr>
        <w:t>(Fig. S</w:t>
      </w:r>
      <w:r w:rsidR="00D81C88" w:rsidRPr="00F338AB">
        <w:rPr>
          <w:rFonts w:eastAsia="MS Mincho" w:cstheme="minorHAnsi"/>
          <w:sz w:val="18"/>
          <w:szCs w:val="18"/>
          <w:lang w:eastAsia="ja-JP"/>
        </w:rPr>
        <w:t>9</w:t>
      </w:r>
      <w:r w:rsidRPr="00F338AB">
        <w:rPr>
          <w:rFonts w:eastAsia="MS Mincho" w:cstheme="minorHAnsi"/>
          <w:sz w:val="18"/>
          <w:szCs w:val="18"/>
          <w:lang w:eastAsia="ja-JP"/>
        </w:rPr>
        <w:t>b).</w:t>
      </w:r>
      <w:r w:rsidR="002D7B75" w:rsidRPr="00F338AB">
        <w:rPr>
          <w:rFonts w:eastAsia="MS Mincho" w:cstheme="minorHAnsi"/>
          <w:sz w:val="18"/>
          <w:szCs w:val="18"/>
          <w:lang w:eastAsia="ja-JP"/>
        </w:rPr>
        <w:fldChar w:fldCharType="begin" w:fldLock="1"/>
      </w:r>
      <w:r w:rsidR="00255A25" w:rsidRPr="00F338AB">
        <w:rPr>
          <w:rFonts w:eastAsia="MS Mincho" w:cstheme="minorHAnsi"/>
          <w:sz w:val="18"/>
          <w:szCs w:val="18"/>
          <w:lang w:eastAsia="ja-JP"/>
        </w:rPr>
        <w:instrText>ADDIN CSL_CITATION {"citationItems":[{"id":"ITEM-1","itemData":{"DOI":"10.1021/jacs.1c05971","author":[{"dropping-particle":"","family":"Reichenauer","given":"Florian","non-dropping-particle":"","parse-names":false,"suffix":""},{"dropping-particle":"","family":"Wang","given":"Cui","non-dropping-particle":"","parse-names":false,"suffix":""},{"dropping-particle":"","family":"Christoph","given":"F","non-dropping-particle":"","parse-names":false,"suffix":""},{"dropping-particle":"","family":"Boden","given":"Pit","non-dropping-particle":"","parse-names":false,"suffix":""},{"dropping-particle":"","family":"Ugur","given":"Naz","non-dropping-particle":"","parse-names":false,"suffix":""},{"dropping-particle":"","family":"Ricardo","given":"B","non-dropping-particle":"","parse-names":false,"suffix":""},{"dropping-particle":"","family":"Kalmbach","given":"Jens","non-dropping-particle":"","parse-names":false,"suffix":""},{"dropping-particle":"","family":"Carrella","given":"Luca M","non-dropping-particle":"","parse-names":false,"suffix":""},{"dropping-particle":"","family":"Rentschler","given":"Eva","non-dropping-particle":"","parse-names":false,"suffix":""},{"dropping-particle":"","family":"Ramanan","given":"Charusheela","non-dropping-particle":"","parse-names":false,"suffix":""},{"dropping-particle":"","family":"Niedner-schatteburg","given":"Gereon","non-dropping-particle":"","parse-names":false,"suffix":""},{"dropping-particle":"","family":"Gerhards","given":"Markus","non-dropping-particle":"","parse-names":false,"suffix":""},{"dropping-particle":"","family":"Seitz","given":"Michael","non-dropping-particle":"","parse-names":false,"suffix":""},{"dropping-particle":"","family":"Resch-genger","given":"Ute","non-dropping-particle":"","parse-names":false,"suffix":""},{"dropping-particle":"","family":"Heinze","given":"Katja","non-dropping-particle":"","parse-names":false,"suffix":""}],"container-title":"J. Am. Chem. Soc","id":"ITEM-1","issue":"11843-11855","issued":{"date-parts":[["2021"]]},"title":"Strongly Red-Emissive Molecular Ruby [Cr(bpmp) 2 ] 3+ Surpasses [Ru(bpy) 3 ] 2+","type":"article-journal","volume":"143"},"uris":["http://www.mendeley.com/documents/?uuid=9d14db5d-daf5-4448-872a-c5e2b9bd7aac"]}],"mendeley":{"formattedCitation":"&lt;sup&gt;44&lt;/sup&gt;","plainTextFormattedCitation":"44","previouslyFormattedCitation":"&lt;sup&gt;44&lt;/sup&gt;"},"properties":{"noteIndex":0},"schema":"https://github.com/citation-style-language/schema/raw/master/csl-citation.json"}</w:instrText>
      </w:r>
      <w:r w:rsidR="002D7B75" w:rsidRPr="00F338AB">
        <w:rPr>
          <w:rFonts w:eastAsia="MS Mincho" w:cstheme="minorHAnsi"/>
          <w:sz w:val="18"/>
          <w:szCs w:val="18"/>
          <w:lang w:eastAsia="ja-JP"/>
        </w:rPr>
        <w:fldChar w:fldCharType="separate"/>
      </w:r>
      <w:r w:rsidR="00030AAC" w:rsidRPr="00F338AB">
        <w:rPr>
          <w:rFonts w:eastAsia="MS Mincho" w:cstheme="minorHAnsi"/>
          <w:noProof/>
          <w:sz w:val="18"/>
          <w:szCs w:val="18"/>
          <w:vertAlign w:val="superscript"/>
          <w:lang w:eastAsia="ja-JP"/>
        </w:rPr>
        <w:t>44</w:t>
      </w:r>
      <w:r w:rsidR="002D7B75" w:rsidRPr="00F338AB">
        <w:rPr>
          <w:rFonts w:eastAsia="MS Mincho" w:cstheme="minorHAnsi"/>
          <w:sz w:val="18"/>
          <w:szCs w:val="18"/>
          <w:lang w:eastAsia="ja-JP"/>
        </w:rPr>
        <w:fldChar w:fldCharType="end"/>
      </w:r>
      <w:r w:rsidRPr="00F338AB">
        <w:rPr>
          <w:rFonts w:eastAsia="MS Mincho" w:cstheme="minorHAnsi"/>
          <w:sz w:val="18"/>
          <w:szCs w:val="18"/>
          <w:lang w:eastAsia="ja-JP"/>
        </w:rPr>
        <w:t xml:space="preserve"> </w:t>
      </w:r>
      <w:bookmarkStart w:id="11" w:name="_Hlk140832522"/>
      <w:bookmarkStart w:id="12" w:name="_Hlk140830812"/>
      <w:r w:rsidRPr="00F338AB">
        <w:rPr>
          <w:rFonts w:eastAsia="MS Mincho" w:cstheme="minorHAnsi"/>
          <w:sz w:val="18"/>
          <w:szCs w:val="18"/>
          <w:lang w:eastAsia="ja-JP"/>
        </w:rPr>
        <w:t xml:space="preserve">The broad emission </w:t>
      </w:r>
      <w:r w:rsidR="00984E0A" w:rsidRPr="00F338AB">
        <w:rPr>
          <w:rFonts w:eastAsia="MS Mincho" w:cstheme="minorHAnsi"/>
          <w:sz w:val="18"/>
          <w:szCs w:val="18"/>
          <w:lang w:eastAsia="ja-JP"/>
        </w:rPr>
        <w:t xml:space="preserve">bands observed </w:t>
      </w:r>
      <w:r w:rsidR="006B462E" w:rsidRPr="00F338AB">
        <w:rPr>
          <w:rFonts w:eastAsia="MS Mincho" w:cstheme="minorHAnsi"/>
          <w:sz w:val="18"/>
          <w:szCs w:val="18"/>
          <w:lang w:eastAsia="ja-JP"/>
        </w:rPr>
        <w:t>at</w:t>
      </w:r>
      <w:r w:rsidR="00984E0A" w:rsidRPr="00F338AB">
        <w:rPr>
          <w:rFonts w:eastAsia="MS Mincho" w:cstheme="minorHAnsi"/>
          <w:sz w:val="18"/>
          <w:szCs w:val="18"/>
          <w:lang w:eastAsia="ja-JP"/>
        </w:rPr>
        <w:t xml:space="preserve"> both room temperature and low temperature are </w:t>
      </w:r>
      <w:r w:rsidRPr="00F338AB">
        <w:rPr>
          <w:rFonts w:eastAsia="MS Mincho" w:cstheme="minorHAnsi"/>
          <w:sz w:val="18"/>
          <w:szCs w:val="18"/>
          <w:lang w:eastAsia="ja-JP"/>
        </w:rPr>
        <w:t>consistent with</w:t>
      </w:r>
      <w:r w:rsidR="003D4231" w:rsidRPr="00F338AB">
        <w:rPr>
          <w:rFonts w:eastAsia="MS Mincho" w:cstheme="minorHAnsi"/>
          <w:sz w:val="18"/>
          <w:szCs w:val="18"/>
          <w:lang w:eastAsia="ja-JP"/>
        </w:rPr>
        <w:t xml:space="preserve"> important vibronic structure as a consequence of misalignments of the</w:t>
      </w:r>
      <w:r w:rsidR="006B462E" w:rsidRPr="00F338AB">
        <w:rPr>
          <w:rFonts w:eastAsia="MS Mincho" w:cstheme="minorHAnsi"/>
          <w:sz w:val="18"/>
          <w:szCs w:val="18"/>
          <w:lang w:eastAsia="ja-JP"/>
        </w:rPr>
        <w:t xml:space="preserve"> ground and excited </w:t>
      </w:r>
      <w:r w:rsidR="003D4231" w:rsidRPr="00F338AB">
        <w:rPr>
          <w:rFonts w:eastAsia="MS Mincho" w:cstheme="minorHAnsi"/>
          <w:sz w:val="18"/>
          <w:szCs w:val="18"/>
          <w:lang w:eastAsia="ja-JP"/>
        </w:rPr>
        <w:t>potential wells</w:t>
      </w:r>
      <w:r w:rsidR="006B462E" w:rsidRPr="00F338AB">
        <w:rPr>
          <w:rFonts w:eastAsia="MS Mincho" w:cstheme="minorHAnsi"/>
          <w:sz w:val="18"/>
          <w:szCs w:val="18"/>
          <w:lang w:eastAsia="ja-JP"/>
        </w:rPr>
        <w:t xml:space="preserve"> (Fig.</w:t>
      </w:r>
      <w:r w:rsidR="00454698" w:rsidRPr="00F338AB">
        <w:rPr>
          <w:rFonts w:eastAsia="MS Mincho" w:cstheme="minorHAnsi"/>
          <w:sz w:val="18"/>
          <w:szCs w:val="18"/>
          <w:lang w:eastAsia="ja-JP"/>
        </w:rPr>
        <w:t xml:space="preserve"> </w:t>
      </w:r>
      <w:r w:rsidR="006B462E" w:rsidRPr="00F338AB">
        <w:rPr>
          <w:rFonts w:eastAsia="MS Mincho" w:cstheme="minorHAnsi"/>
          <w:sz w:val="18"/>
          <w:szCs w:val="18"/>
          <w:lang w:eastAsia="ja-JP"/>
        </w:rPr>
        <w:t>4)</w:t>
      </w:r>
      <w:r w:rsidR="003D4231" w:rsidRPr="00F338AB">
        <w:rPr>
          <w:rFonts w:eastAsia="MS Mincho" w:cstheme="minorHAnsi"/>
          <w:sz w:val="18"/>
          <w:szCs w:val="18"/>
          <w:lang w:eastAsia="ja-JP"/>
        </w:rPr>
        <w:t>.</w:t>
      </w:r>
      <w:r w:rsidRPr="00F338AB">
        <w:rPr>
          <w:rFonts w:eastAsia="MS Mincho" w:cstheme="minorHAnsi"/>
          <w:sz w:val="18"/>
          <w:szCs w:val="18"/>
          <w:lang w:eastAsia="ja-JP"/>
        </w:rPr>
        <w:t xml:space="preserve"> </w:t>
      </w:r>
      <w:r w:rsidR="006B462E" w:rsidRPr="00F338AB">
        <w:rPr>
          <w:rFonts w:eastAsia="MS Mincho" w:cstheme="minorHAnsi"/>
          <w:sz w:val="18"/>
          <w:szCs w:val="18"/>
          <w:lang w:eastAsia="ja-JP"/>
        </w:rPr>
        <w:t xml:space="preserve">The origin of this </w:t>
      </w:r>
      <w:r w:rsidR="00454698" w:rsidRPr="00F338AB">
        <w:rPr>
          <w:rFonts w:eastAsia="MS Mincho" w:cstheme="minorHAnsi"/>
          <w:sz w:val="18"/>
          <w:szCs w:val="18"/>
          <w:lang w:eastAsia="ja-JP"/>
        </w:rPr>
        <w:t>misalignment</w:t>
      </w:r>
      <w:r w:rsidR="006B462E" w:rsidRPr="00F338AB">
        <w:rPr>
          <w:rFonts w:eastAsia="MS Mincho" w:cstheme="minorHAnsi"/>
          <w:sz w:val="18"/>
          <w:szCs w:val="18"/>
          <w:lang w:eastAsia="ja-JP"/>
        </w:rPr>
        <w:t xml:space="preserve"> is in part due to the inhomogeneity of Cr-N bonds due to the presence of two different </w:t>
      </w:r>
      <w:r w:rsidR="00E77C78" w:rsidRPr="00F338AB">
        <w:rPr>
          <w:rFonts w:eastAsia="MS Mincho" w:cstheme="minorHAnsi"/>
          <w:sz w:val="18"/>
          <w:szCs w:val="18"/>
          <w:lang w:eastAsia="ja-JP"/>
        </w:rPr>
        <w:t>binding sites (pyrazol</w:t>
      </w:r>
      <w:r w:rsidR="00AD4930" w:rsidRPr="00F338AB">
        <w:rPr>
          <w:rFonts w:eastAsia="MS Mincho" w:cstheme="minorHAnsi"/>
          <w:sz w:val="18"/>
          <w:szCs w:val="18"/>
          <w:lang w:eastAsia="ja-JP"/>
        </w:rPr>
        <w:t>e</w:t>
      </w:r>
      <w:r w:rsidR="00E77C78" w:rsidRPr="00F338AB">
        <w:rPr>
          <w:rFonts w:eastAsia="MS Mincho" w:cstheme="minorHAnsi"/>
          <w:sz w:val="18"/>
          <w:szCs w:val="18"/>
          <w:lang w:eastAsia="ja-JP"/>
        </w:rPr>
        <w:t xml:space="preserve">/indazole and pyridine), as similarly observed in </w:t>
      </w:r>
      <w:proofErr w:type="spellStart"/>
      <w:r w:rsidR="00E77C78" w:rsidRPr="00F338AB">
        <w:rPr>
          <w:rFonts w:eastAsia="MS Mincho" w:cstheme="minorHAnsi"/>
          <w:i/>
          <w:iCs/>
          <w:sz w:val="18"/>
          <w:szCs w:val="18"/>
          <w:lang w:eastAsia="ja-JP"/>
        </w:rPr>
        <w:t>fac</w:t>
      </w:r>
      <w:proofErr w:type="spellEnd"/>
      <w:r w:rsidR="00E77C78" w:rsidRPr="00F338AB">
        <w:rPr>
          <w:rFonts w:eastAsia="MS Mincho" w:cstheme="minorHAnsi"/>
          <w:sz w:val="18"/>
          <w:szCs w:val="18"/>
          <w:lang w:eastAsia="ja-JP"/>
        </w:rPr>
        <w:t>-Cr(</w:t>
      </w:r>
      <w:proofErr w:type="spellStart"/>
      <w:r w:rsidR="00E77C78" w:rsidRPr="00F338AB">
        <w:rPr>
          <w:rFonts w:eastAsia="MS Mincho" w:cstheme="minorHAnsi"/>
          <w:sz w:val="18"/>
          <w:szCs w:val="18"/>
          <w:lang w:eastAsia="ja-JP"/>
        </w:rPr>
        <w:t>ppy</w:t>
      </w:r>
      <w:proofErr w:type="spellEnd"/>
      <w:r w:rsidR="00E77C78" w:rsidRPr="00F338AB">
        <w:rPr>
          <w:rFonts w:eastAsia="MS Mincho" w:cstheme="minorHAnsi"/>
          <w:sz w:val="18"/>
          <w:szCs w:val="18"/>
          <w:lang w:eastAsia="ja-JP"/>
        </w:rPr>
        <w:t>)</w:t>
      </w:r>
      <w:r w:rsidR="00E77C78" w:rsidRPr="00F338AB">
        <w:rPr>
          <w:rFonts w:eastAsia="MS Mincho" w:cstheme="minorHAnsi"/>
          <w:sz w:val="18"/>
          <w:szCs w:val="18"/>
          <w:vertAlign w:val="subscript"/>
          <w:lang w:eastAsia="ja-JP"/>
        </w:rPr>
        <w:t>3</w:t>
      </w:r>
      <w:r w:rsidR="00E77C78" w:rsidRPr="00F338AB">
        <w:rPr>
          <w:rFonts w:eastAsia="MS Mincho" w:cstheme="minorHAnsi"/>
          <w:sz w:val="18"/>
          <w:szCs w:val="18"/>
          <w:lang w:eastAsia="ja-JP"/>
        </w:rPr>
        <w:t xml:space="preserve"> (</w:t>
      </w:r>
      <w:proofErr w:type="spellStart"/>
      <w:r w:rsidR="00E77C78" w:rsidRPr="00F338AB">
        <w:rPr>
          <w:rFonts w:eastAsia="MS Mincho" w:cstheme="minorHAnsi"/>
          <w:sz w:val="18"/>
          <w:szCs w:val="18"/>
          <w:lang w:eastAsia="ja-JP"/>
        </w:rPr>
        <w:t>ppy</w:t>
      </w:r>
      <w:proofErr w:type="spellEnd"/>
      <w:r w:rsidR="00E77C78" w:rsidRPr="00F338AB">
        <w:rPr>
          <w:rFonts w:eastAsia="MS Mincho" w:cstheme="minorHAnsi"/>
          <w:sz w:val="18"/>
          <w:szCs w:val="18"/>
          <w:lang w:eastAsia="ja-JP"/>
        </w:rPr>
        <w:t xml:space="preserve"> =2-phenylpyridine)</w:t>
      </w:r>
      <w:r w:rsidR="006B462E" w:rsidRPr="00F338AB">
        <w:rPr>
          <w:rFonts w:eastAsia="MS Mincho" w:cstheme="minorHAnsi"/>
          <w:sz w:val="18"/>
          <w:szCs w:val="18"/>
          <w:lang w:eastAsia="ja-JP"/>
        </w:rPr>
        <w:t xml:space="preserve"> and [Cr(</w:t>
      </w:r>
      <w:proofErr w:type="spellStart"/>
      <w:r w:rsidR="006B462E" w:rsidRPr="00F338AB">
        <w:rPr>
          <w:rFonts w:eastAsia="MS Mincho" w:cstheme="minorHAnsi"/>
          <w:sz w:val="18"/>
          <w:szCs w:val="18"/>
          <w:lang w:eastAsia="ja-JP"/>
        </w:rPr>
        <w:t>btmp</w:t>
      </w:r>
      <w:proofErr w:type="spellEnd"/>
      <w:r w:rsidR="006B462E" w:rsidRPr="00F338AB">
        <w:rPr>
          <w:rFonts w:eastAsia="MS Mincho" w:cstheme="minorHAnsi"/>
          <w:sz w:val="18"/>
          <w:szCs w:val="18"/>
          <w:lang w:eastAsia="ja-JP"/>
        </w:rPr>
        <w:t>)</w:t>
      </w:r>
      <w:r w:rsidR="006B462E" w:rsidRPr="00F338AB">
        <w:rPr>
          <w:rFonts w:eastAsia="MS Mincho" w:cstheme="minorHAnsi"/>
          <w:sz w:val="18"/>
          <w:szCs w:val="18"/>
          <w:vertAlign w:val="subscript"/>
          <w:lang w:eastAsia="ja-JP"/>
        </w:rPr>
        <w:t>2</w:t>
      </w:r>
      <w:r w:rsidR="006B462E" w:rsidRPr="00F338AB">
        <w:rPr>
          <w:rFonts w:eastAsia="MS Mincho" w:cstheme="minorHAnsi"/>
          <w:sz w:val="18"/>
          <w:szCs w:val="18"/>
          <w:lang w:eastAsia="ja-JP"/>
        </w:rPr>
        <w:t>]</w:t>
      </w:r>
      <w:r w:rsidR="006B462E" w:rsidRPr="00F338AB">
        <w:rPr>
          <w:rFonts w:eastAsia="MS Mincho" w:cstheme="minorHAnsi"/>
          <w:sz w:val="18"/>
          <w:szCs w:val="18"/>
          <w:vertAlign w:val="superscript"/>
          <w:lang w:eastAsia="ja-JP"/>
        </w:rPr>
        <w:t>3+</w:t>
      </w:r>
      <w:r w:rsidR="00E77C78" w:rsidRPr="00F338AB">
        <w:rPr>
          <w:rFonts w:eastAsia="MS Mincho" w:cstheme="minorHAnsi"/>
          <w:sz w:val="18"/>
          <w:szCs w:val="18"/>
          <w:lang w:eastAsia="ja-JP"/>
        </w:rPr>
        <w:t>.</w:t>
      </w:r>
      <w:r w:rsidR="00B43BE7" w:rsidRPr="00F338AB">
        <w:rPr>
          <w:rFonts w:eastAsia="MS Mincho" w:cstheme="minorHAnsi"/>
          <w:sz w:val="18"/>
          <w:szCs w:val="18"/>
          <w:lang w:eastAsia="ja-JP"/>
        </w:rPr>
        <w:fldChar w:fldCharType="begin" w:fldLock="1"/>
      </w:r>
      <w:r w:rsidR="005631DC" w:rsidRPr="00F338AB">
        <w:rPr>
          <w:rFonts w:eastAsia="MS Mincho" w:cstheme="minorHAnsi"/>
          <w:sz w:val="18"/>
          <w:szCs w:val="18"/>
          <w:lang w:eastAsia="ja-JP"/>
        </w:rPr>
        <w:instrText>ADDIN CSL_CITATION {"citationItems":[{"id":"ITEM-1","itemData":{"DOI":"10.1039/d2cc00680d","ISSN":"1364548X","PMID":"35226026","abstract":"Cr(ppy)3, a structural analog of the green phosphorescent Ir(ppy)3, emits even in solution at room temperature from a weakly distorted spin-flip state at 910 nm (Hppy = 2-phenylpyridine). The low energy arises from an enhanced covalence of the Cr-C bonds as compared to Cr-N bonds. Lower temperature reduces thermally activated decay increasing the emission intensity.","author":[{"dropping-particle":"","family":"Stein","given":"Laura","non-dropping-particle":"","parse-names":false,"suffix":""},{"dropping-particle":"","family":"Boden","given":"Pit","non-dropping-particle":"","parse-names":false,"suffix":""},{"dropping-particle":"","family":"Naumann","given":"Robert","non-dropping-particle":"","parse-names":false,"suffix":""},{"dropping-particle":"","family":"Förster","given":"Christoph","non-dropping-particle":"","parse-names":false,"suffix":""},{"dropping-particle":"","family":"Niedner-Schatteburg","given":"Gereon","non-dropping-particle":"","parse-names":false,"suffix":""},{"dropping-particle":"","family":"Heinze","given":"Katja","non-dropping-particle":"","parse-names":false,"suffix":""}],"container-title":"Chemical Communications","id":"ITEM-1","issue":"22","issued":{"date-parts":[["2022"]]},"page":"3701-3704","title":"The overlooked NIR luminescence of Cr(ppy)3","type":"article-journal","volume":"58"},"uris":["http://www.mendeley.com/documents/?uuid=a1fd69d1-950c-476e-8a01-8dc3a850ac05"]},{"id":"ITEM-2","itemData":{"DOI":"10.1021/jacs.3c01543","ISSN":"15205126","PMID":"37224437","abstract":"A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Society","id":"ITEM-2","issued":{"date-parts":[["2023"]]},"page":"12081-12092","title":"Direct Determination of the Rate of Intersystem Crossing in a Near-IR Luminescent Cr(III) Triazolyl Complex","type":"article-journal","volume":"145"},"uris":["http://www.mendeley.com/documents/?uuid=8c880c1f-848d-422a-bae8-b73fecd99327"]}],"mendeley":{"formattedCitation":"&lt;sup&gt;45,58&lt;/sup&gt;","plainTextFormattedCitation":"45,58","previouslyFormattedCitation":"&lt;sup&gt;45,58&lt;/sup&gt;"},"properties":{"noteIndex":0},"schema":"https://github.com/citation-style-language/schema/raw/master/csl-citation.json"}</w:instrText>
      </w:r>
      <w:r w:rsidR="00B43BE7" w:rsidRPr="00F338AB">
        <w:rPr>
          <w:rFonts w:eastAsia="MS Mincho" w:cstheme="minorHAnsi"/>
          <w:sz w:val="18"/>
          <w:szCs w:val="18"/>
          <w:lang w:eastAsia="ja-JP"/>
        </w:rPr>
        <w:fldChar w:fldCharType="separate"/>
      </w:r>
      <w:r w:rsidR="006B462E" w:rsidRPr="00F338AB">
        <w:rPr>
          <w:rFonts w:eastAsia="MS Mincho" w:cstheme="minorHAnsi"/>
          <w:noProof/>
          <w:sz w:val="18"/>
          <w:szCs w:val="18"/>
          <w:vertAlign w:val="superscript"/>
          <w:lang w:eastAsia="ja-JP"/>
        </w:rPr>
        <w:t>45,58</w:t>
      </w:r>
      <w:r w:rsidR="00B43BE7" w:rsidRPr="00F338AB">
        <w:rPr>
          <w:rFonts w:eastAsia="MS Mincho" w:cstheme="minorHAnsi"/>
          <w:sz w:val="18"/>
          <w:szCs w:val="18"/>
          <w:lang w:eastAsia="ja-JP"/>
        </w:rPr>
        <w:fldChar w:fldCharType="end"/>
      </w:r>
      <w:r w:rsidR="00E77C78" w:rsidRPr="00F338AB">
        <w:rPr>
          <w:rFonts w:eastAsia="MS Mincho" w:cstheme="minorHAnsi"/>
          <w:sz w:val="18"/>
          <w:szCs w:val="18"/>
          <w:lang w:eastAsia="ja-JP"/>
        </w:rPr>
        <w:t xml:space="preserve"> Indeed, the compression of the octahedral geometry, resulting from the shorter Cr–N(pyrazole) and Cr-N(indazole) </w:t>
      </w:r>
      <w:r w:rsidR="00B43BE7" w:rsidRPr="00F338AB">
        <w:rPr>
          <w:rFonts w:eastAsia="MS Mincho" w:cstheme="minorHAnsi"/>
          <w:sz w:val="18"/>
          <w:szCs w:val="18"/>
          <w:lang w:eastAsia="ja-JP"/>
        </w:rPr>
        <w:t xml:space="preserve">bond </w:t>
      </w:r>
      <w:r w:rsidR="00E77C78" w:rsidRPr="00F338AB">
        <w:rPr>
          <w:rFonts w:eastAsia="MS Mincho" w:cstheme="minorHAnsi"/>
          <w:sz w:val="18"/>
          <w:szCs w:val="18"/>
          <w:lang w:eastAsia="ja-JP"/>
        </w:rPr>
        <w:t xml:space="preserve">distances in the equatorial plane of the complexes, leads to a </w:t>
      </w:r>
      <w:commentRangeStart w:id="13"/>
      <w:r w:rsidR="00E77C78" w:rsidRPr="00F338AB">
        <w:rPr>
          <w:rFonts w:eastAsia="MS Mincho" w:cstheme="minorHAnsi"/>
          <w:sz w:val="18"/>
          <w:szCs w:val="18"/>
          <w:lang w:eastAsia="ja-JP"/>
        </w:rPr>
        <w:t>noticeable Jahn-Teller distortion</w:t>
      </w:r>
      <w:commentRangeEnd w:id="13"/>
      <w:r w:rsidR="00E33C9C" w:rsidRPr="00F338AB">
        <w:rPr>
          <w:rStyle w:val="CommentReference"/>
        </w:rPr>
        <w:commentReference w:id="13"/>
      </w:r>
      <w:r w:rsidR="00E77C78" w:rsidRPr="00F338AB">
        <w:rPr>
          <w:rFonts w:eastAsia="MS Mincho" w:cstheme="minorHAnsi"/>
          <w:sz w:val="18"/>
          <w:szCs w:val="18"/>
          <w:lang w:eastAsia="ja-JP"/>
        </w:rPr>
        <w:t xml:space="preserve">. This compressed distortion causes a splitting of the </w:t>
      </w:r>
      <w:r w:rsidR="00E77C78" w:rsidRPr="00F338AB">
        <w:rPr>
          <w:rFonts w:eastAsia="MS Mincho" w:cstheme="minorHAnsi"/>
          <w:i/>
          <w:iCs/>
          <w:sz w:val="18"/>
          <w:szCs w:val="18"/>
          <w:lang w:eastAsia="ja-JP"/>
        </w:rPr>
        <w:t>t</w:t>
      </w:r>
      <w:r w:rsidR="00E77C78" w:rsidRPr="00F338AB">
        <w:rPr>
          <w:rFonts w:eastAsia="MS Mincho" w:cstheme="minorHAnsi"/>
          <w:sz w:val="18"/>
          <w:szCs w:val="18"/>
          <w:vertAlign w:val="subscript"/>
          <w:lang w:eastAsia="ja-JP"/>
        </w:rPr>
        <w:t>2</w:t>
      </w:r>
      <w:r w:rsidR="00E77C78" w:rsidRPr="00F338AB">
        <w:rPr>
          <w:rFonts w:eastAsia="MS Mincho" w:cstheme="minorHAnsi"/>
          <w:sz w:val="18"/>
          <w:szCs w:val="18"/>
          <w:lang w:eastAsia="ja-JP"/>
        </w:rPr>
        <w:t xml:space="preserve"> orbitals, which in turn contributes to the broadening of the emission</w:t>
      </w:r>
      <w:r w:rsidR="00B43BE7" w:rsidRPr="00F338AB">
        <w:rPr>
          <w:rFonts w:eastAsia="MS Mincho" w:cstheme="minorHAnsi"/>
          <w:sz w:val="18"/>
          <w:szCs w:val="18"/>
          <w:lang w:eastAsia="ja-JP"/>
        </w:rPr>
        <w:t xml:space="preserve">. </w:t>
      </w:r>
      <w:r w:rsidR="00E77C78" w:rsidRPr="00F338AB">
        <w:rPr>
          <w:rFonts w:eastAsia="MS Mincho" w:cstheme="minorHAnsi"/>
          <w:sz w:val="18"/>
          <w:szCs w:val="18"/>
          <w:lang w:eastAsia="ja-JP"/>
        </w:rPr>
        <w:t>The associated increase of covalence</w:t>
      </w:r>
      <w:r w:rsidR="000B14E0" w:rsidRPr="00F338AB">
        <w:rPr>
          <w:rFonts w:eastAsia="MS Mincho" w:cstheme="minorHAnsi"/>
          <w:sz w:val="18"/>
          <w:szCs w:val="18"/>
          <w:lang w:eastAsia="ja-JP"/>
        </w:rPr>
        <w:t xml:space="preserve"> </w:t>
      </w:r>
      <w:r w:rsidR="00E77C78" w:rsidRPr="00F338AB">
        <w:rPr>
          <w:rFonts w:eastAsia="MS Mincho" w:cstheme="minorHAnsi"/>
          <w:sz w:val="18"/>
          <w:szCs w:val="18"/>
          <w:lang w:eastAsia="ja-JP"/>
        </w:rPr>
        <w:t xml:space="preserve">of the </w:t>
      </w:r>
      <w:r w:rsidR="00E77C78" w:rsidRPr="00F338AB">
        <w:rPr>
          <w:rFonts w:eastAsia="MS Mincho" w:cstheme="minorHAnsi"/>
          <w:i/>
          <w:sz w:val="18"/>
          <w:szCs w:val="18"/>
          <w:lang w:eastAsia="ja-JP"/>
        </w:rPr>
        <w:t>t</w:t>
      </w:r>
      <w:r w:rsidR="00E77C78" w:rsidRPr="00F338AB">
        <w:rPr>
          <w:rFonts w:eastAsia="MS Mincho" w:cstheme="minorHAnsi"/>
          <w:sz w:val="18"/>
          <w:szCs w:val="18"/>
          <w:vertAlign w:val="subscript"/>
          <w:lang w:eastAsia="ja-JP"/>
        </w:rPr>
        <w:t>2</w:t>
      </w:r>
      <w:r w:rsidR="00E77C78" w:rsidRPr="00F338AB">
        <w:rPr>
          <w:rFonts w:eastAsia="MS Mincho" w:cstheme="minorHAnsi"/>
          <w:sz w:val="18"/>
          <w:szCs w:val="18"/>
          <w:lang w:eastAsia="ja-JP"/>
        </w:rPr>
        <w:t xml:space="preserve"> orbitals</w:t>
      </w:r>
      <w:r w:rsidR="007401EC" w:rsidRPr="00F338AB">
        <w:rPr>
          <w:rFonts w:eastAsia="MS Mincho" w:cstheme="minorHAnsi"/>
          <w:sz w:val="18"/>
          <w:szCs w:val="18"/>
          <w:lang w:eastAsia="ja-JP"/>
        </w:rPr>
        <w:t xml:space="preserve"> as stated before</w:t>
      </w:r>
      <w:r w:rsidR="00E77C78" w:rsidRPr="00F338AB">
        <w:rPr>
          <w:rFonts w:eastAsia="MS Mincho" w:cstheme="minorHAnsi"/>
          <w:sz w:val="18"/>
          <w:szCs w:val="18"/>
          <w:lang w:eastAsia="ja-JP"/>
        </w:rPr>
        <w:t xml:space="preserve"> (in </w:t>
      </w:r>
      <w:r w:rsidR="00E77C78" w:rsidRPr="00F338AB">
        <w:rPr>
          <w:rFonts w:eastAsia="MS Mincho" w:cstheme="minorHAnsi"/>
          <w:i/>
          <w:sz w:val="18"/>
          <w:szCs w:val="18"/>
          <w:lang w:eastAsia="ja-JP"/>
        </w:rPr>
        <w:t>O</w:t>
      </w:r>
      <w:r w:rsidR="00E77C78" w:rsidRPr="00F338AB">
        <w:rPr>
          <w:rFonts w:eastAsia="MS Mincho" w:cstheme="minorHAnsi"/>
          <w:sz w:val="18"/>
          <w:szCs w:val="18"/>
          <w:lang w:eastAsia="ja-JP"/>
        </w:rPr>
        <w:t xml:space="preserve"> point group)</w:t>
      </w:r>
      <w:r w:rsidR="00376676" w:rsidRPr="00F338AB">
        <w:rPr>
          <w:rFonts w:eastAsia="MS Mincho" w:cstheme="minorHAnsi"/>
          <w:sz w:val="18"/>
          <w:szCs w:val="18"/>
          <w:lang w:eastAsia="ja-JP"/>
        </w:rPr>
        <w:t xml:space="preserve"> </w:t>
      </w:r>
      <w:r w:rsidR="00E77C78" w:rsidRPr="00F338AB">
        <w:rPr>
          <w:rFonts w:eastAsia="MS Mincho" w:cstheme="minorHAnsi"/>
          <w:sz w:val="18"/>
          <w:szCs w:val="18"/>
          <w:lang w:eastAsia="ja-JP"/>
        </w:rPr>
        <w:t>can</w:t>
      </w:r>
      <w:r w:rsidR="002D7B75" w:rsidRPr="00F338AB">
        <w:rPr>
          <w:rFonts w:eastAsia="MS Mincho" w:cstheme="minorHAnsi"/>
          <w:sz w:val="18"/>
          <w:szCs w:val="18"/>
          <w:lang w:eastAsia="ja-JP"/>
        </w:rPr>
        <w:t xml:space="preserve"> also</w:t>
      </w:r>
      <w:r w:rsidR="00E77C78" w:rsidRPr="00F338AB">
        <w:rPr>
          <w:rFonts w:eastAsia="MS Mincho" w:cstheme="minorHAnsi"/>
          <w:sz w:val="18"/>
          <w:szCs w:val="18"/>
          <w:lang w:eastAsia="ja-JP"/>
        </w:rPr>
        <w:t xml:space="preserve"> be incriminated in the unusual Stokes shift of the spin flip transition reaching 340 cm</w:t>
      </w:r>
      <w:r w:rsidR="00E77C78" w:rsidRPr="00F338AB">
        <w:rPr>
          <w:rFonts w:eastAsia="MS Mincho" w:cstheme="minorHAnsi"/>
          <w:sz w:val="18"/>
          <w:szCs w:val="18"/>
          <w:vertAlign w:val="superscript"/>
          <w:lang w:eastAsia="ja-JP"/>
        </w:rPr>
        <w:t>-1</w:t>
      </w:r>
      <w:r w:rsidR="00E77C78" w:rsidRPr="00F338AB">
        <w:rPr>
          <w:rFonts w:eastAsia="MS Mincho" w:cstheme="minorHAnsi"/>
          <w:sz w:val="18"/>
          <w:szCs w:val="18"/>
          <w:lang w:eastAsia="ja-JP"/>
        </w:rPr>
        <w:t xml:space="preserve"> and 410 cm</w:t>
      </w:r>
      <w:r w:rsidR="00E77C78" w:rsidRPr="00F338AB">
        <w:rPr>
          <w:rFonts w:eastAsia="MS Mincho" w:cstheme="minorHAnsi"/>
          <w:sz w:val="18"/>
          <w:szCs w:val="18"/>
          <w:vertAlign w:val="superscript"/>
          <w:lang w:eastAsia="ja-JP"/>
        </w:rPr>
        <w:t>-1</w:t>
      </w:r>
      <w:r w:rsidR="00E77C78" w:rsidRPr="00F338AB">
        <w:rPr>
          <w:rFonts w:eastAsia="MS Mincho" w:cstheme="minorHAnsi"/>
          <w:sz w:val="18"/>
          <w:szCs w:val="18"/>
          <w:lang w:eastAsia="ja-JP"/>
        </w:rPr>
        <w:t xml:space="preserve"> respectively for </w:t>
      </w:r>
      <w:r w:rsidR="00E77C78" w:rsidRPr="00F338AB">
        <w:rPr>
          <w:rFonts w:eastAsia="MS Mincho" w:cstheme="minorHAnsi"/>
          <w:b/>
          <w:sz w:val="18"/>
          <w:szCs w:val="18"/>
          <w:lang w:eastAsia="ja-JP"/>
        </w:rPr>
        <w:t>1</w:t>
      </w:r>
      <w:r w:rsidR="00E77C78" w:rsidRPr="00F338AB">
        <w:rPr>
          <w:rFonts w:eastAsia="MS Mincho" w:cstheme="minorHAnsi"/>
          <w:sz w:val="18"/>
          <w:szCs w:val="18"/>
          <w:lang w:eastAsia="ja-JP"/>
        </w:rPr>
        <w:t xml:space="preserve"> and </w:t>
      </w:r>
      <w:r w:rsidR="00E77C78" w:rsidRPr="00F338AB">
        <w:rPr>
          <w:rFonts w:eastAsia="MS Mincho" w:cstheme="minorHAnsi"/>
          <w:b/>
          <w:sz w:val="18"/>
          <w:szCs w:val="18"/>
          <w:lang w:eastAsia="ja-JP"/>
        </w:rPr>
        <w:t xml:space="preserve">2 </w:t>
      </w:r>
      <w:r w:rsidR="00E77C78" w:rsidRPr="00F338AB">
        <w:rPr>
          <w:rFonts w:eastAsia="MS Mincho" w:cstheme="minorHAnsi"/>
          <w:bCs/>
          <w:sz w:val="18"/>
          <w:szCs w:val="18"/>
          <w:lang w:eastAsia="ja-JP"/>
        </w:rPr>
        <w:t xml:space="preserve">and </w:t>
      </w:r>
      <w:proofErr w:type="spellStart"/>
      <w:proofErr w:type="gramStart"/>
      <w:r w:rsidR="00E33C9C" w:rsidRPr="00F338AB">
        <w:rPr>
          <w:rFonts w:eastAsia="MS Mincho" w:cstheme="minorHAnsi"/>
          <w:bCs/>
          <w:sz w:val="18"/>
          <w:szCs w:val="18"/>
          <w:lang w:eastAsia="ja-JP"/>
        </w:rPr>
        <w:t>a</w:t>
      </w:r>
      <w:proofErr w:type="spellEnd"/>
      <w:proofErr w:type="gramEnd"/>
      <w:r w:rsidR="00E33C9C" w:rsidRPr="00F338AB">
        <w:rPr>
          <w:rFonts w:eastAsia="MS Mincho" w:cstheme="minorHAnsi"/>
          <w:bCs/>
          <w:sz w:val="18"/>
          <w:szCs w:val="18"/>
          <w:lang w:eastAsia="ja-JP"/>
        </w:rPr>
        <w:t xml:space="preserve"> </w:t>
      </w:r>
      <w:r w:rsidR="00E77C78" w:rsidRPr="00F338AB">
        <w:rPr>
          <w:rFonts w:eastAsia="MS Mincho" w:cstheme="minorHAnsi"/>
          <w:bCs/>
          <w:sz w:val="18"/>
          <w:szCs w:val="18"/>
          <w:lang w:eastAsia="ja-JP"/>
        </w:rPr>
        <w:t>even larger value of 8</w:t>
      </w:r>
      <w:r w:rsidR="00376676" w:rsidRPr="00F338AB">
        <w:rPr>
          <w:rFonts w:eastAsia="MS Mincho" w:cstheme="minorHAnsi"/>
          <w:bCs/>
          <w:sz w:val="18"/>
          <w:szCs w:val="18"/>
          <w:lang w:eastAsia="ja-JP"/>
        </w:rPr>
        <w:t>2</w:t>
      </w:r>
      <w:r w:rsidR="00E77C78" w:rsidRPr="00F338AB">
        <w:rPr>
          <w:rFonts w:eastAsia="MS Mincho" w:cstheme="minorHAnsi"/>
          <w:bCs/>
          <w:sz w:val="18"/>
          <w:szCs w:val="18"/>
          <w:lang w:eastAsia="ja-JP"/>
        </w:rPr>
        <w:t>0 cm</w:t>
      </w:r>
      <w:r w:rsidR="00E77C78" w:rsidRPr="00F338AB">
        <w:rPr>
          <w:rFonts w:eastAsia="MS Mincho" w:cstheme="minorHAnsi"/>
          <w:bCs/>
          <w:sz w:val="18"/>
          <w:szCs w:val="18"/>
          <w:vertAlign w:val="superscript"/>
          <w:lang w:eastAsia="ja-JP"/>
        </w:rPr>
        <w:t>-1</w:t>
      </w:r>
      <w:r w:rsidR="00E77C78" w:rsidRPr="00F338AB">
        <w:rPr>
          <w:rFonts w:eastAsia="MS Mincho" w:cstheme="minorHAnsi"/>
          <w:bCs/>
          <w:sz w:val="18"/>
          <w:szCs w:val="18"/>
          <w:lang w:eastAsia="ja-JP"/>
        </w:rPr>
        <w:t xml:space="preserve"> for compound </w:t>
      </w:r>
      <w:r w:rsidR="00E77C78" w:rsidRPr="00F338AB">
        <w:rPr>
          <w:rFonts w:eastAsia="MS Mincho" w:cstheme="minorHAnsi"/>
          <w:b/>
          <w:sz w:val="18"/>
          <w:szCs w:val="18"/>
          <w:lang w:eastAsia="ja-JP"/>
        </w:rPr>
        <w:t>3</w:t>
      </w:r>
      <w:r w:rsidR="00E77C78" w:rsidRPr="00F338AB">
        <w:rPr>
          <w:rFonts w:eastAsia="MS Mincho" w:cstheme="minorHAnsi"/>
          <w:bCs/>
          <w:sz w:val="18"/>
          <w:szCs w:val="18"/>
          <w:lang w:eastAsia="ja-JP"/>
        </w:rPr>
        <w:t xml:space="preserve"> (</w:t>
      </w:r>
      <w:r w:rsidR="00454698" w:rsidRPr="00F338AB">
        <w:rPr>
          <w:rFonts w:eastAsia="MS Mincho" w:cstheme="minorHAnsi"/>
          <w:bCs/>
          <w:sz w:val="18"/>
          <w:szCs w:val="18"/>
          <w:lang w:eastAsia="ja-JP"/>
        </w:rPr>
        <w:t xml:space="preserve">Fig. 4 and </w:t>
      </w:r>
      <w:r w:rsidR="00E77C78" w:rsidRPr="00F338AB">
        <w:rPr>
          <w:rFonts w:eastAsia="MS Mincho" w:cstheme="minorHAnsi"/>
          <w:bCs/>
          <w:sz w:val="18"/>
          <w:szCs w:val="18"/>
          <w:lang w:eastAsia="ja-JP"/>
        </w:rPr>
        <w:t>Fig. S</w:t>
      </w:r>
      <w:r w:rsidR="00376676" w:rsidRPr="00F338AB">
        <w:rPr>
          <w:rFonts w:eastAsia="MS Mincho" w:cstheme="minorHAnsi"/>
          <w:bCs/>
          <w:sz w:val="18"/>
          <w:szCs w:val="18"/>
          <w:lang w:eastAsia="ja-JP"/>
        </w:rPr>
        <w:t>10</w:t>
      </w:r>
      <w:r w:rsidR="00E77C78" w:rsidRPr="00F338AB">
        <w:rPr>
          <w:rFonts w:eastAsia="MS Mincho" w:cstheme="minorHAnsi"/>
          <w:bCs/>
          <w:sz w:val="18"/>
          <w:szCs w:val="18"/>
          <w:lang w:eastAsia="ja-JP"/>
        </w:rPr>
        <w:t>).</w:t>
      </w:r>
      <w:r w:rsidR="00E77C78" w:rsidRPr="00F338AB">
        <w:rPr>
          <w:rFonts w:eastAsia="MS Mincho" w:cstheme="minorHAnsi"/>
          <w:sz w:val="18"/>
          <w:szCs w:val="18"/>
          <w:lang w:eastAsia="ja-JP"/>
        </w:rPr>
        <w:t xml:space="preserve"> The latter Stokes shift reflected by the low temperature shifting of the emission band maxima</w:t>
      </w:r>
      <w:r w:rsidR="00E33C9C" w:rsidRPr="00F338AB">
        <w:rPr>
          <w:rFonts w:eastAsia="MS Mincho" w:cstheme="minorHAnsi"/>
          <w:sz w:val="18"/>
          <w:szCs w:val="18"/>
          <w:lang w:eastAsia="ja-JP"/>
        </w:rPr>
        <w:t>,</w:t>
      </w:r>
      <w:r w:rsidR="00376676" w:rsidRPr="00F338AB">
        <w:rPr>
          <w:rFonts w:eastAsia="MS Mincho" w:cstheme="minorHAnsi"/>
          <w:sz w:val="18"/>
          <w:szCs w:val="18"/>
          <w:lang w:eastAsia="ja-JP"/>
        </w:rPr>
        <w:t xml:space="preserve"> as also observed in [Cr(</w:t>
      </w:r>
      <w:proofErr w:type="spellStart"/>
      <w:r w:rsidR="00376676" w:rsidRPr="00F338AB">
        <w:rPr>
          <w:rFonts w:eastAsia="MS Mincho" w:cstheme="minorHAnsi"/>
          <w:sz w:val="18"/>
          <w:szCs w:val="18"/>
          <w:lang w:eastAsia="ja-JP"/>
        </w:rPr>
        <w:t>btmp</w:t>
      </w:r>
      <w:proofErr w:type="spellEnd"/>
      <w:r w:rsidR="00376676" w:rsidRPr="00F338AB">
        <w:rPr>
          <w:rFonts w:eastAsia="MS Mincho" w:cstheme="minorHAnsi"/>
          <w:sz w:val="18"/>
          <w:szCs w:val="18"/>
          <w:lang w:eastAsia="ja-JP"/>
        </w:rPr>
        <w:t>)</w:t>
      </w:r>
      <w:r w:rsidR="00376676" w:rsidRPr="00F338AB">
        <w:rPr>
          <w:rFonts w:eastAsia="MS Mincho" w:cstheme="minorHAnsi"/>
          <w:sz w:val="18"/>
          <w:szCs w:val="18"/>
          <w:vertAlign w:val="subscript"/>
          <w:lang w:eastAsia="ja-JP"/>
        </w:rPr>
        <w:t>2</w:t>
      </w:r>
      <w:r w:rsidR="00376676" w:rsidRPr="00F338AB">
        <w:rPr>
          <w:rFonts w:eastAsia="MS Mincho" w:cstheme="minorHAnsi"/>
          <w:sz w:val="18"/>
          <w:szCs w:val="18"/>
          <w:lang w:eastAsia="ja-JP"/>
        </w:rPr>
        <w:t>]</w:t>
      </w:r>
      <w:r w:rsidR="00376676" w:rsidRPr="00F338AB">
        <w:rPr>
          <w:rFonts w:eastAsia="MS Mincho" w:cstheme="minorHAnsi"/>
          <w:sz w:val="18"/>
          <w:szCs w:val="18"/>
          <w:vertAlign w:val="superscript"/>
          <w:lang w:eastAsia="ja-JP"/>
        </w:rPr>
        <w:t>3+</w:t>
      </w:r>
      <w:r w:rsidR="00376676" w:rsidRPr="00F338AB">
        <w:rPr>
          <w:rFonts w:eastAsia="MS Mincho" w:cstheme="minorHAnsi"/>
          <w:sz w:val="18"/>
          <w:szCs w:val="18"/>
          <w:lang w:eastAsia="ja-JP"/>
        </w:rPr>
        <w:t>,</w:t>
      </w:r>
      <w:r w:rsidR="00376676" w:rsidRPr="00F338AB">
        <w:rPr>
          <w:rFonts w:eastAsia="MS Mincho" w:cstheme="minorHAnsi"/>
          <w:sz w:val="18"/>
          <w:szCs w:val="18"/>
          <w:lang w:eastAsia="ja-JP"/>
        </w:rPr>
        <w:fldChar w:fldCharType="begin" w:fldLock="1"/>
      </w:r>
      <w:r w:rsidR="00255A25" w:rsidRPr="00F338AB">
        <w:rPr>
          <w:rFonts w:eastAsia="MS Mincho" w:cstheme="minorHAnsi"/>
          <w:sz w:val="18"/>
          <w:szCs w:val="18"/>
          <w:lang w:eastAsia="ja-JP"/>
        </w:rPr>
        <w:instrText>ADDIN CSL_CITATION {"citationItems":[{"id":"ITEM-1","itemData":{"DOI":"10.1021/jacs.3c01543","ISSN":"15205126","PMID":"37224437","abstract":"A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Society","id":"ITEM-1","issued":{"date-parts":[["2023"]]},"page":"12081-12092","title":"Direct Determination of the Rate of Intersystem Crossing in a Near-IR Luminescent Cr(III) Triazolyl Complex","type":"article-journal","volume":"145"},"uris":["http://www.mendeley.com/documents/?uuid=8c880c1f-848d-422a-bae8-b73fecd99327"]}],"mendeley":{"formattedCitation":"&lt;sup&gt;45&lt;/sup&gt;","plainTextFormattedCitation":"45","previouslyFormattedCitation":"&lt;sup&gt;45&lt;/sup&gt;"},"properties":{"noteIndex":0},"schema":"https://github.com/citation-style-language/schema/raw/master/csl-citation.json"}</w:instrText>
      </w:r>
      <w:r w:rsidR="00376676" w:rsidRPr="00F338AB">
        <w:rPr>
          <w:rFonts w:eastAsia="MS Mincho" w:cstheme="minorHAnsi"/>
          <w:sz w:val="18"/>
          <w:szCs w:val="18"/>
          <w:lang w:eastAsia="ja-JP"/>
        </w:rPr>
        <w:fldChar w:fldCharType="separate"/>
      </w:r>
      <w:r w:rsidR="00030AAC" w:rsidRPr="00F338AB">
        <w:rPr>
          <w:rFonts w:eastAsia="MS Mincho" w:cstheme="minorHAnsi"/>
          <w:noProof/>
          <w:sz w:val="18"/>
          <w:szCs w:val="18"/>
          <w:vertAlign w:val="superscript"/>
          <w:lang w:eastAsia="ja-JP"/>
        </w:rPr>
        <w:t>45</w:t>
      </w:r>
      <w:r w:rsidR="00376676" w:rsidRPr="00F338AB">
        <w:rPr>
          <w:rFonts w:eastAsia="MS Mincho" w:cstheme="minorHAnsi"/>
          <w:sz w:val="18"/>
          <w:szCs w:val="18"/>
          <w:lang w:eastAsia="ja-JP"/>
        </w:rPr>
        <w:fldChar w:fldCharType="end"/>
      </w:r>
      <w:r w:rsidR="00376676" w:rsidRPr="00F338AB">
        <w:rPr>
          <w:rFonts w:eastAsia="MS Mincho" w:cstheme="minorHAnsi"/>
          <w:sz w:val="18"/>
          <w:szCs w:val="18"/>
          <w:lang w:eastAsia="ja-JP"/>
        </w:rPr>
        <w:t xml:space="preserve"> </w:t>
      </w:r>
      <w:r w:rsidR="00E77C78" w:rsidRPr="00F338AB">
        <w:rPr>
          <w:rFonts w:eastAsia="MS Mincho" w:cstheme="minorHAnsi"/>
          <w:sz w:val="18"/>
          <w:szCs w:val="18"/>
          <w:lang w:eastAsia="ja-JP"/>
        </w:rPr>
        <w:t xml:space="preserve">is particularly uncommon for </w:t>
      </w:r>
      <w:proofErr w:type="spellStart"/>
      <w:r w:rsidR="006B462E" w:rsidRPr="00F338AB">
        <w:rPr>
          <w:rFonts w:eastAsia="MS Mincho" w:cstheme="minorHAnsi"/>
          <w:sz w:val="18"/>
          <w:szCs w:val="18"/>
          <w:lang w:eastAsia="ja-JP"/>
        </w:rPr>
        <w:t>Cr</w:t>
      </w:r>
      <w:r w:rsidR="006B462E" w:rsidRPr="00F338AB">
        <w:rPr>
          <w:rFonts w:eastAsia="MS Mincho" w:cstheme="minorHAnsi"/>
          <w:sz w:val="18"/>
          <w:szCs w:val="18"/>
          <w:vertAlign w:val="superscript"/>
          <w:lang w:eastAsia="ja-JP"/>
        </w:rPr>
        <w:t>III</w:t>
      </w:r>
      <w:proofErr w:type="spellEnd"/>
      <w:r w:rsidR="00E77C78" w:rsidRPr="00F338AB">
        <w:rPr>
          <w:rFonts w:eastAsia="MS Mincho" w:cstheme="minorHAnsi"/>
          <w:sz w:val="18"/>
          <w:szCs w:val="18"/>
          <w:lang w:eastAsia="ja-JP"/>
        </w:rPr>
        <w:t xml:space="preserve"> spin flip transitions and mirrors misalignment between th</w:t>
      </w:r>
      <w:r w:rsidR="006B462E" w:rsidRPr="00F338AB">
        <w:rPr>
          <w:rFonts w:eastAsia="MS Mincho" w:cstheme="minorHAnsi"/>
          <w:sz w:val="18"/>
          <w:szCs w:val="18"/>
          <w:lang w:eastAsia="ja-JP"/>
        </w:rPr>
        <w:t>e</w:t>
      </w:r>
      <w:r w:rsidR="00E77C78" w:rsidRPr="00F338AB">
        <w:rPr>
          <w:rFonts w:eastAsia="MS Mincho" w:cstheme="minorHAnsi"/>
          <w:sz w:val="18"/>
          <w:szCs w:val="18"/>
          <w:lang w:eastAsia="ja-JP"/>
        </w:rPr>
        <w:t xml:space="preserve"> potential wells of the excited </w:t>
      </w:r>
      <w:r w:rsidR="00E77C78" w:rsidRPr="00F338AB">
        <w:rPr>
          <w:rFonts w:eastAsia="MS Mincho" w:cstheme="minorHAnsi"/>
          <w:sz w:val="18"/>
          <w:szCs w:val="18"/>
          <w:vertAlign w:val="superscript"/>
          <w:lang w:eastAsia="ja-JP"/>
        </w:rPr>
        <w:t>2</w:t>
      </w:r>
      <w:r w:rsidR="00E77C78" w:rsidRPr="00F338AB">
        <w:rPr>
          <w:rFonts w:eastAsia="MS Mincho" w:cstheme="minorHAnsi"/>
          <w:sz w:val="18"/>
          <w:szCs w:val="18"/>
          <w:lang w:eastAsia="ja-JP"/>
        </w:rPr>
        <w:t xml:space="preserve">MC and ground </w:t>
      </w:r>
      <w:r w:rsidR="00E77C78" w:rsidRPr="00F338AB">
        <w:rPr>
          <w:rFonts w:eastAsia="MS Mincho" w:cstheme="minorHAnsi"/>
          <w:sz w:val="18"/>
          <w:szCs w:val="18"/>
          <w:vertAlign w:val="superscript"/>
          <w:lang w:eastAsia="ja-JP"/>
        </w:rPr>
        <w:t>4</w:t>
      </w:r>
      <w:r w:rsidR="00E77C78" w:rsidRPr="00F338AB">
        <w:rPr>
          <w:rFonts w:eastAsia="MS Mincho" w:cstheme="minorHAnsi"/>
          <w:sz w:val="18"/>
          <w:szCs w:val="18"/>
          <w:lang w:eastAsia="ja-JP"/>
        </w:rPr>
        <w:t>A</w:t>
      </w:r>
      <w:r w:rsidR="00E77C78" w:rsidRPr="00F338AB">
        <w:rPr>
          <w:rFonts w:eastAsia="MS Mincho" w:cstheme="minorHAnsi"/>
          <w:sz w:val="18"/>
          <w:szCs w:val="18"/>
          <w:vertAlign w:val="subscript"/>
          <w:lang w:eastAsia="ja-JP"/>
        </w:rPr>
        <w:t>2</w:t>
      </w:r>
      <w:r w:rsidR="00E77C78" w:rsidRPr="00F338AB">
        <w:rPr>
          <w:rFonts w:eastAsia="MS Mincho" w:cstheme="minorHAnsi"/>
          <w:sz w:val="18"/>
          <w:szCs w:val="18"/>
          <w:lang w:eastAsia="ja-JP"/>
        </w:rPr>
        <w:t xml:space="preserve"> </w:t>
      </w:r>
      <w:bookmarkStart w:id="14" w:name="_Hlk140759484"/>
      <w:r w:rsidR="002D7B75" w:rsidRPr="00F338AB">
        <w:rPr>
          <w:rFonts w:eastAsia="MS Mincho" w:cstheme="minorHAnsi"/>
          <w:sz w:val="18"/>
          <w:szCs w:val="18"/>
          <w:lang w:eastAsia="ja-JP"/>
        </w:rPr>
        <w:t>states</w:t>
      </w:r>
      <w:r w:rsidR="007401EC" w:rsidRPr="00F338AB">
        <w:rPr>
          <w:rFonts w:eastAsia="MS Mincho" w:cstheme="minorHAnsi"/>
          <w:sz w:val="18"/>
          <w:szCs w:val="18"/>
          <w:lang w:eastAsia="ja-JP"/>
        </w:rPr>
        <w:t xml:space="preserve"> (</w:t>
      </w:r>
      <w:r w:rsidR="008A1112" w:rsidRPr="00F338AB">
        <w:rPr>
          <w:rFonts w:eastAsia="MS Mincho" w:cstheme="minorHAnsi"/>
          <w:sz w:val="18"/>
          <w:szCs w:val="18"/>
          <w:lang w:eastAsia="ja-JP"/>
        </w:rPr>
        <w:t xml:space="preserve">Fig. 2d and </w:t>
      </w:r>
      <w:r w:rsidR="007401EC" w:rsidRPr="00F338AB">
        <w:rPr>
          <w:rFonts w:eastAsia="MS Mincho" w:cstheme="minorHAnsi"/>
          <w:sz w:val="18"/>
          <w:szCs w:val="18"/>
          <w:lang w:eastAsia="ja-JP"/>
        </w:rPr>
        <w:t>Fig. 4)</w:t>
      </w:r>
      <w:r w:rsidR="00E77C78" w:rsidRPr="00F338AB">
        <w:rPr>
          <w:rFonts w:eastAsia="MS Mincho" w:cstheme="minorHAnsi"/>
          <w:sz w:val="18"/>
          <w:szCs w:val="18"/>
          <w:lang w:eastAsia="ja-JP"/>
        </w:rPr>
        <w:t xml:space="preserve">. </w:t>
      </w:r>
      <w:bookmarkEnd w:id="14"/>
      <w:r w:rsidR="00E77C78" w:rsidRPr="00F338AB">
        <w:rPr>
          <w:rFonts w:eastAsia="MS Mincho" w:cstheme="minorHAnsi"/>
          <w:sz w:val="18"/>
          <w:szCs w:val="18"/>
          <w:lang w:eastAsia="ja-JP"/>
        </w:rPr>
        <w:t>In addition, compared to the analog</w:t>
      </w:r>
      <w:r w:rsidR="00E33C9C" w:rsidRPr="00F338AB">
        <w:rPr>
          <w:rFonts w:eastAsia="MS Mincho" w:cstheme="minorHAnsi"/>
          <w:sz w:val="18"/>
          <w:szCs w:val="18"/>
          <w:lang w:eastAsia="ja-JP"/>
        </w:rPr>
        <w:t>ue</w:t>
      </w:r>
      <w:r w:rsidR="00E77C78" w:rsidRPr="00F338AB">
        <w:rPr>
          <w:rFonts w:eastAsia="MS Mincho" w:cstheme="minorHAnsi"/>
          <w:sz w:val="18"/>
          <w:szCs w:val="18"/>
          <w:lang w:eastAsia="ja-JP"/>
        </w:rPr>
        <w:t xml:space="preserve"> [Cr(</w:t>
      </w:r>
      <w:proofErr w:type="spellStart"/>
      <w:r w:rsidR="00E77C78" w:rsidRPr="00F338AB">
        <w:rPr>
          <w:rFonts w:eastAsia="MS Mincho" w:cstheme="minorHAnsi"/>
          <w:sz w:val="18"/>
          <w:szCs w:val="18"/>
          <w:lang w:eastAsia="ja-JP"/>
        </w:rPr>
        <w:t>bpmp</w:t>
      </w:r>
      <w:proofErr w:type="spellEnd"/>
      <w:r w:rsidR="00E77C78" w:rsidRPr="00F338AB">
        <w:rPr>
          <w:rFonts w:eastAsia="MS Mincho" w:cstheme="minorHAnsi"/>
          <w:sz w:val="18"/>
          <w:szCs w:val="18"/>
          <w:lang w:eastAsia="ja-JP"/>
        </w:rPr>
        <w:t>)</w:t>
      </w:r>
      <w:r w:rsidR="00E77C78" w:rsidRPr="00F338AB">
        <w:rPr>
          <w:rFonts w:eastAsia="MS Mincho" w:cstheme="minorHAnsi"/>
          <w:sz w:val="18"/>
          <w:szCs w:val="18"/>
          <w:vertAlign w:val="subscript"/>
          <w:lang w:eastAsia="ja-JP"/>
        </w:rPr>
        <w:t>2</w:t>
      </w:r>
      <w:r w:rsidR="00E77C78" w:rsidRPr="00F338AB">
        <w:rPr>
          <w:rFonts w:eastAsia="MS Mincho" w:cstheme="minorHAnsi"/>
          <w:sz w:val="18"/>
          <w:szCs w:val="18"/>
          <w:lang w:eastAsia="ja-JP"/>
        </w:rPr>
        <w:t>]</w:t>
      </w:r>
      <w:r w:rsidR="00E77C78" w:rsidRPr="00F338AB">
        <w:rPr>
          <w:rFonts w:eastAsia="MS Mincho" w:cstheme="minorHAnsi"/>
          <w:sz w:val="18"/>
          <w:szCs w:val="18"/>
          <w:vertAlign w:val="superscript"/>
          <w:lang w:eastAsia="ja-JP"/>
        </w:rPr>
        <w:t>3+</w:t>
      </w:r>
      <w:r w:rsidR="00E77C78" w:rsidRPr="00F338AB">
        <w:rPr>
          <w:rFonts w:eastAsia="MS Mincho" w:cstheme="minorHAnsi"/>
          <w:sz w:val="18"/>
          <w:szCs w:val="18"/>
          <w:lang w:eastAsia="ja-JP"/>
        </w:rPr>
        <w:t xml:space="preserve">, which features six pyridine ligands in the first coordination sphere around the </w:t>
      </w:r>
      <w:proofErr w:type="spellStart"/>
      <w:r w:rsidR="006B462E" w:rsidRPr="00F338AB">
        <w:rPr>
          <w:rFonts w:eastAsia="MS Mincho" w:cstheme="minorHAnsi"/>
          <w:sz w:val="18"/>
          <w:szCs w:val="18"/>
          <w:lang w:eastAsia="ja-JP"/>
        </w:rPr>
        <w:t>Cr</w:t>
      </w:r>
      <w:r w:rsidR="006B462E" w:rsidRPr="00F338AB">
        <w:rPr>
          <w:rFonts w:eastAsia="MS Mincho" w:cstheme="minorHAnsi"/>
          <w:sz w:val="18"/>
          <w:szCs w:val="18"/>
          <w:vertAlign w:val="superscript"/>
          <w:lang w:eastAsia="ja-JP"/>
        </w:rPr>
        <w:t>III</w:t>
      </w:r>
      <w:proofErr w:type="spellEnd"/>
      <w:r w:rsidR="00E77C78" w:rsidRPr="00F338AB">
        <w:rPr>
          <w:rFonts w:eastAsia="MS Mincho" w:cstheme="minorHAnsi"/>
          <w:sz w:val="18"/>
          <w:szCs w:val="18"/>
          <w:lang w:eastAsia="ja-JP"/>
        </w:rPr>
        <w:t xml:space="preserve"> </w:t>
      </w:r>
      <w:r w:rsidR="00E33C9C" w:rsidRPr="00F338AB">
        <w:rPr>
          <w:rFonts w:eastAsia="MS Mincho" w:cstheme="minorHAnsi"/>
          <w:sz w:val="18"/>
          <w:szCs w:val="18"/>
          <w:lang w:eastAsia="ja-JP"/>
        </w:rPr>
        <w:t>with a</w:t>
      </w:r>
      <w:r w:rsidR="009A366A" w:rsidRPr="00F338AB">
        <w:rPr>
          <w:rFonts w:eastAsia="MS Mincho" w:cstheme="minorHAnsi"/>
          <w:sz w:val="18"/>
          <w:szCs w:val="18"/>
          <w:lang w:eastAsia="ja-JP"/>
        </w:rPr>
        <w:t xml:space="preserve"> SF emission at</w:t>
      </w:r>
      <w:r w:rsidR="00E77C78" w:rsidRPr="00F338AB">
        <w:rPr>
          <w:rFonts w:eastAsia="MS Mincho" w:cstheme="minorHAnsi"/>
          <w:sz w:val="18"/>
          <w:szCs w:val="18"/>
          <w:lang w:eastAsia="ja-JP"/>
        </w:rPr>
        <w:t xml:space="preserve"> 709 nm, the incorporation of pyrazole and indazole results in a shift of the emission</w:t>
      </w:r>
      <w:r w:rsidR="00E33C9C" w:rsidRPr="00F338AB">
        <w:rPr>
          <w:rFonts w:eastAsia="MS Mincho" w:cstheme="minorHAnsi"/>
          <w:sz w:val="18"/>
          <w:szCs w:val="18"/>
          <w:lang w:eastAsia="ja-JP"/>
        </w:rPr>
        <w:t xml:space="preserve"> bands</w:t>
      </w:r>
      <w:r w:rsidR="00E77C78" w:rsidRPr="00F338AB">
        <w:rPr>
          <w:rFonts w:eastAsia="MS Mincho" w:cstheme="minorHAnsi"/>
          <w:sz w:val="18"/>
          <w:szCs w:val="18"/>
          <w:lang w:eastAsia="ja-JP"/>
        </w:rPr>
        <w:t xml:space="preserve"> to</w:t>
      </w:r>
      <w:r w:rsidR="00376676" w:rsidRPr="00F338AB">
        <w:rPr>
          <w:rFonts w:eastAsia="MS Mincho" w:cstheme="minorHAnsi"/>
          <w:sz w:val="18"/>
          <w:szCs w:val="18"/>
          <w:lang w:eastAsia="ja-JP"/>
        </w:rPr>
        <w:t xml:space="preserve"> </w:t>
      </w:r>
      <w:r w:rsidR="00376676" w:rsidRPr="00F338AB">
        <w:rPr>
          <w:rFonts w:eastAsia="MS Mincho" w:cstheme="minorHAnsi"/>
          <w:sz w:val="18"/>
          <w:szCs w:val="18"/>
          <w:lang w:eastAsia="ja-JP"/>
        </w:rPr>
        <w:sym w:font="Symbol" w:char="F07E"/>
      </w:r>
      <w:r w:rsidR="00E77C78" w:rsidRPr="00F338AB">
        <w:rPr>
          <w:rFonts w:eastAsia="MS Mincho" w:cstheme="minorHAnsi"/>
          <w:sz w:val="18"/>
          <w:szCs w:val="18"/>
          <w:lang w:eastAsia="ja-JP"/>
        </w:rPr>
        <w:t xml:space="preserve"> </w:t>
      </w:r>
      <w:r w:rsidR="00376676" w:rsidRPr="00F338AB">
        <w:rPr>
          <w:rFonts w:eastAsia="MS Mincho" w:cstheme="minorHAnsi"/>
          <w:sz w:val="18"/>
          <w:szCs w:val="18"/>
          <w:lang w:eastAsia="ja-JP"/>
        </w:rPr>
        <w:t xml:space="preserve">740 nm (for </w:t>
      </w:r>
      <w:r w:rsidR="00376676" w:rsidRPr="00F338AB">
        <w:rPr>
          <w:rFonts w:eastAsia="MS Mincho" w:cstheme="minorHAnsi"/>
          <w:b/>
          <w:bCs/>
          <w:sz w:val="18"/>
          <w:szCs w:val="18"/>
          <w:lang w:eastAsia="ja-JP"/>
        </w:rPr>
        <w:t>1</w:t>
      </w:r>
      <w:r w:rsidR="00376676" w:rsidRPr="00F338AB">
        <w:rPr>
          <w:rFonts w:eastAsia="MS Mincho" w:cstheme="minorHAnsi"/>
          <w:sz w:val="18"/>
          <w:szCs w:val="18"/>
          <w:lang w:eastAsia="ja-JP"/>
        </w:rPr>
        <w:t xml:space="preserve"> and </w:t>
      </w:r>
      <w:r w:rsidR="00376676" w:rsidRPr="00F338AB">
        <w:rPr>
          <w:rFonts w:eastAsia="MS Mincho" w:cstheme="minorHAnsi"/>
          <w:b/>
          <w:bCs/>
          <w:sz w:val="18"/>
          <w:szCs w:val="18"/>
          <w:lang w:eastAsia="ja-JP"/>
        </w:rPr>
        <w:t>2</w:t>
      </w:r>
      <w:r w:rsidR="00376676" w:rsidRPr="00F338AB">
        <w:rPr>
          <w:rFonts w:eastAsia="MS Mincho" w:cstheme="minorHAnsi"/>
          <w:sz w:val="18"/>
          <w:szCs w:val="18"/>
          <w:lang w:eastAsia="ja-JP"/>
        </w:rPr>
        <w:t xml:space="preserve">) and 830 nm (for </w:t>
      </w:r>
      <w:r w:rsidR="00376676" w:rsidRPr="00F338AB">
        <w:rPr>
          <w:rFonts w:eastAsia="MS Mincho" w:cstheme="minorHAnsi"/>
          <w:b/>
          <w:bCs/>
          <w:sz w:val="18"/>
          <w:szCs w:val="18"/>
          <w:lang w:eastAsia="ja-JP"/>
        </w:rPr>
        <w:t>3</w:t>
      </w:r>
      <w:r w:rsidR="00376676" w:rsidRPr="00F338AB">
        <w:rPr>
          <w:rFonts w:eastAsia="MS Mincho" w:cstheme="minorHAnsi"/>
          <w:sz w:val="18"/>
          <w:szCs w:val="18"/>
          <w:lang w:eastAsia="ja-JP"/>
        </w:rPr>
        <w:t>)</w:t>
      </w:r>
      <w:r w:rsidR="00E77C78" w:rsidRPr="00F338AB">
        <w:rPr>
          <w:rFonts w:eastAsia="MS Mincho" w:cstheme="minorHAnsi"/>
          <w:sz w:val="18"/>
          <w:szCs w:val="18"/>
          <w:lang w:eastAsia="ja-JP"/>
        </w:rPr>
        <w:t xml:space="preserve">. </w:t>
      </w:r>
      <w:r w:rsidR="00376676" w:rsidRPr="00F338AB">
        <w:rPr>
          <w:rFonts w:eastAsia="MS Mincho" w:cstheme="minorHAnsi"/>
          <w:sz w:val="18"/>
          <w:szCs w:val="18"/>
          <w:lang w:eastAsia="ja-JP"/>
        </w:rPr>
        <w:t>This bathochromic shift aligns with an increase in covalency</w:t>
      </w:r>
      <w:r w:rsidR="00E33C9C" w:rsidRPr="00F338AB">
        <w:rPr>
          <w:rFonts w:eastAsia="MS Mincho" w:cstheme="minorHAnsi"/>
          <w:sz w:val="18"/>
          <w:szCs w:val="18"/>
          <w:lang w:eastAsia="ja-JP"/>
        </w:rPr>
        <w:t>.</w:t>
      </w:r>
      <w:r w:rsidR="00376676" w:rsidRPr="00F338AB">
        <w:rPr>
          <w:rFonts w:eastAsia="MS Mincho" w:cstheme="minorHAnsi"/>
          <w:sz w:val="18"/>
          <w:szCs w:val="18"/>
          <w:lang w:eastAsia="ja-JP"/>
        </w:rPr>
        <w:t>,</w:t>
      </w:r>
      <w:r w:rsidR="00E33C9C" w:rsidRPr="00F338AB">
        <w:rPr>
          <w:rFonts w:eastAsia="MS Mincho" w:cstheme="minorHAnsi"/>
          <w:sz w:val="18"/>
          <w:szCs w:val="18"/>
          <w:lang w:eastAsia="ja-JP"/>
        </w:rPr>
        <w:t xml:space="preserve"> It</w:t>
      </w:r>
      <w:r w:rsidR="00796135" w:rsidRPr="00F338AB">
        <w:rPr>
          <w:rFonts w:eastAsia="MS Mincho" w:cstheme="minorHAnsi"/>
          <w:sz w:val="18"/>
          <w:szCs w:val="18"/>
          <w:lang w:eastAsia="ja-JP"/>
        </w:rPr>
        <w:t xml:space="preserve"> </w:t>
      </w:r>
      <w:r w:rsidR="00376676" w:rsidRPr="00F338AB">
        <w:rPr>
          <w:rFonts w:eastAsia="MS Mincho" w:cstheme="minorHAnsi"/>
          <w:sz w:val="18"/>
          <w:szCs w:val="18"/>
          <w:lang w:eastAsia="ja-JP"/>
        </w:rPr>
        <w:t>m</w:t>
      </w:r>
      <w:r w:rsidR="00796135" w:rsidRPr="00F338AB">
        <w:rPr>
          <w:rFonts w:eastAsia="MS Mincho" w:cstheme="minorHAnsi"/>
          <w:sz w:val="18"/>
          <w:szCs w:val="18"/>
          <w:lang w:eastAsia="ja-JP"/>
        </w:rPr>
        <w:t>ight</w:t>
      </w:r>
      <w:r w:rsidR="00376676" w:rsidRPr="00F338AB">
        <w:rPr>
          <w:rFonts w:eastAsia="MS Mincho" w:cstheme="minorHAnsi"/>
          <w:sz w:val="18"/>
          <w:szCs w:val="18"/>
          <w:lang w:eastAsia="ja-JP"/>
        </w:rPr>
        <w:t xml:space="preserve"> be due to enhanced electronic delocalization of the</w:t>
      </w:r>
      <w:r w:rsidR="00896EC2" w:rsidRPr="00F338AB">
        <w:rPr>
          <w:rFonts w:eastAsia="MS Mincho" w:cstheme="minorHAnsi"/>
          <w:sz w:val="18"/>
          <w:szCs w:val="18"/>
          <w:lang w:eastAsia="ja-JP"/>
        </w:rPr>
        <w:t xml:space="preserve"> metal-</w:t>
      </w:r>
      <w:proofErr w:type="spellStart"/>
      <w:r w:rsidR="00280FD0" w:rsidRPr="00F338AB">
        <w:rPr>
          <w:rFonts w:eastAsia="MS Mincho" w:cstheme="minorHAnsi"/>
          <w:sz w:val="18"/>
          <w:szCs w:val="18"/>
          <w:lang w:eastAsia="ja-JP"/>
        </w:rPr>
        <w:t>centered</w:t>
      </w:r>
      <w:proofErr w:type="spellEnd"/>
      <w:r w:rsidR="00376676" w:rsidRPr="00F338AB">
        <w:rPr>
          <w:rFonts w:eastAsia="MS Mincho" w:cstheme="minorHAnsi"/>
          <w:sz w:val="18"/>
          <w:szCs w:val="18"/>
          <w:lang w:eastAsia="ja-JP"/>
        </w:rPr>
        <w:t xml:space="preserve"> </w:t>
      </w:r>
      <w:r w:rsidR="00376676" w:rsidRPr="00F338AB">
        <w:rPr>
          <w:rFonts w:eastAsia="MS Mincho" w:cstheme="minorHAnsi"/>
          <w:i/>
          <w:iCs/>
          <w:sz w:val="18"/>
          <w:szCs w:val="18"/>
          <w:lang w:eastAsia="ja-JP"/>
        </w:rPr>
        <w:t>t</w:t>
      </w:r>
      <w:r w:rsidR="00376676" w:rsidRPr="00F338AB">
        <w:rPr>
          <w:rFonts w:eastAsia="MS Mincho" w:cstheme="minorHAnsi"/>
          <w:sz w:val="18"/>
          <w:szCs w:val="18"/>
          <w:vertAlign w:val="subscript"/>
          <w:lang w:eastAsia="ja-JP"/>
        </w:rPr>
        <w:t>2</w:t>
      </w:r>
      <w:r w:rsidR="00376676" w:rsidRPr="00F338AB">
        <w:rPr>
          <w:rFonts w:eastAsia="MS Mincho" w:cstheme="minorHAnsi"/>
          <w:sz w:val="18"/>
          <w:szCs w:val="18"/>
          <w:lang w:eastAsia="ja-JP"/>
        </w:rPr>
        <w:t xml:space="preserve"> electrons </w:t>
      </w:r>
      <w:r w:rsidR="00896EC2" w:rsidRPr="00F338AB">
        <w:rPr>
          <w:rFonts w:eastAsia="MS Mincho" w:cstheme="minorHAnsi"/>
          <w:sz w:val="18"/>
          <w:szCs w:val="18"/>
          <w:lang w:eastAsia="ja-JP"/>
        </w:rPr>
        <w:t xml:space="preserve">in the five membered aromatic heterocycle </w:t>
      </w:r>
      <w:r w:rsidR="00376676" w:rsidRPr="00F338AB">
        <w:rPr>
          <w:rFonts w:eastAsia="MS Mincho" w:cstheme="minorHAnsi"/>
          <w:sz w:val="18"/>
          <w:szCs w:val="18"/>
          <w:lang w:eastAsia="ja-JP"/>
        </w:rPr>
        <w:t>pyrazole and indazole</w:t>
      </w:r>
      <w:r w:rsidR="00896EC2" w:rsidRPr="00F338AB">
        <w:rPr>
          <w:rFonts w:eastAsia="MS Mincho" w:cstheme="minorHAnsi"/>
          <w:sz w:val="18"/>
          <w:szCs w:val="18"/>
          <w:lang w:eastAsia="ja-JP"/>
        </w:rPr>
        <w:t xml:space="preserve"> in comparison to the six membered pyridine</w:t>
      </w:r>
      <w:r w:rsidR="00A66A41" w:rsidRPr="00F338AB">
        <w:rPr>
          <w:rFonts w:eastAsia="MS Mincho" w:cstheme="minorHAnsi"/>
          <w:sz w:val="18"/>
          <w:szCs w:val="18"/>
          <w:lang w:eastAsia="ja-JP"/>
        </w:rPr>
        <w:t>,</w:t>
      </w:r>
      <w:r w:rsidR="00376676" w:rsidRPr="00F338AB">
        <w:rPr>
          <w:rFonts w:eastAsia="MS Mincho" w:cstheme="minorHAnsi"/>
          <w:sz w:val="18"/>
          <w:szCs w:val="18"/>
          <w:lang w:eastAsia="ja-JP"/>
        </w:rPr>
        <w:t xml:space="preserve"> </w:t>
      </w:r>
      <w:r w:rsidR="00A66A41" w:rsidRPr="00F338AB">
        <w:rPr>
          <w:rFonts w:eastAsia="MS Mincho" w:cstheme="minorHAnsi"/>
          <w:sz w:val="18"/>
          <w:szCs w:val="18"/>
          <w:lang w:eastAsia="ja-JP"/>
        </w:rPr>
        <w:t>a</w:t>
      </w:r>
      <w:r w:rsidR="00796135" w:rsidRPr="00F338AB">
        <w:rPr>
          <w:rFonts w:eastAsia="MS Mincho" w:cstheme="minorHAnsi"/>
          <w:sz w:val="18"/>
          <w:szCs w:val="18"/>
          <w:lang w:eastAsia="ja-JP"/>
        </w:rPr>
        <w:t>ltogether, stabilizing the SF states.</w:t>
      </w:r>
      <w:r w:rsidR="00635EC6" w:rsidRPr="00F338AB">
        <w:rPr>
          <w:rFonts w:eastAsia="MS Mincho" w:cstheme="minorHAnsi"/>
          <w:sz w:val="18"/>
          <w:szCs w:val="18"/>
          <w:lang w:eastAsia="ja-JP"/>
        </w:rPr>
        <w:t xml:space="preserve"> </w:t>
      </w:r>
    </w:p>
    <w:p w14:paraId="1DEF637A" w14:textId="2A3BF8F2" w:rsidR="00635EC6" w:rsidRPr="00F338AB" w:rsidRDefault="00635EC6" w:rsidP="00635EC6">
      <w:pPr>
        <w:spacing w:after="0" w:line="240" w:lineRule="atLeast"/>
        <w:jc w:val="both"/>
        <w:rPr>
          <w:rFonts w:eastAsia="MS Mincho" w:cstheme="minorHAnsi"/>
          <w:bCs/>
          <w:sz w:val="18"/>
          <w:szCs w:val="18"/>
          <w:lang w:eastAsia="ja-JP"/>
        </w:rPr>
      </w:pPr>
      <w:r w:rsidRPr="00F338AB">
        <w:rPr>
          <w:rFonts w:cs="Times New Roman"/>
          <w:bCs/>
          <w:w w:val="108"/>
          <w:sz w:val="18"/>
          <w:szCs w:val="18"/>
        </w:rPr>
        <w:t>The overall luminescence quantum yield (</w:t>
      </w:r>
      <w:r w:rsidRPr="00F338AB">
        <w:rPr>
          <w:rFonts w:cs="Times New Roman"/>
          <w:bCs/>
          <w:i/>
          <w:w w:val="108"/>
          <w:sz w:val="18"/>
          <w:szCs w:val="18"/>
        </w:rPr>
        <w:sym w:font="Symbol" w:char="F066"/>
      </w:r>
      <w:r w:rsidRPr="00F338AB">
        <w:rPr>
          <w:rFonts w:cs="Times New Roman"/>
          <w:bCs/>
          <w:w w:val="108"/>
          <w:sz w:val="18"/>
          <w:szCs w:val="18"/>
        </w:rPr>
        <w:t>) at room temperature in non-acidified acetonitrile after excitation at 480 nm reaches (</w:t>
      </w:r>
      <w:proofErr w:type="spellStart"/>
      <w:r w:rsidRPr="00F338AB">
        <w:rPr>
          <w:rFonts w:cs="Times New Roman"/>
          <w:bCs/>
          <w:w w:val="108"/>
          <w:sz w:val="18"/>
          <w:szCs w:val="18"/>
        </w:rPr>
        <w:t>i</w:t>
      </w:r>
      <w:proofErr w:type="spellEnd"/>
      <w:r w:rsidRPr="00F338AB">
        <w:rPr>
          <w:rFonts w:cs="Times New Roman"/>
          <w:bCs/>
          <w:w w:val="108"/>
          <w:sz w:val="18"/>
          <w:szCs w:val="18"/>
        </w:rPr>
        <w:t xml:space="preserve">) 9.2% (under </w:t>
      </w:r>
      <w:proofErr w:type="spellStart"/>
      <w:r w:rsidRPr="00F338AB">
        <w:rPr>
          <w:rFonts w:cs="Times New Roman"/>
          <w:bCs/>
          <w:w w:val="108"/>
          <w:sz w:val="18"/>
          <w:szCs w:val="18"/>
        </w:rPr>
        <w:t>Ar</w:t>
      </w:r>
      <w:proofErr w:type="spellEnd"/>
      <w:r w:rsidRPr="00F338AB">
        <w:rPr>
          <w:rFonts w:cs="Times New Roman"/>
          <w:bCs/>
          <w:w w:val="108"/>
          <w:sz w:val="18"/>
          <w:szCs w:val="18"/>
        </w:rPr>
        <w:t xml:space="preserve">) and 0.7% (under air) for </w:t>
      </w:r>
      <w:r w:rsidRPr="00F338AB">
        <w:rPr>
          <w:rFonts w:cs="Times New Roman"/>
          <w:b/>
          <w:w w:val="108"/>
          <w:sz w:val="18"/>
          <w:szCs w:val="18"/>
        </w:rPr>
        <w:t>1</w:t>
      </w:r>
      <w:r w:rsidRPr="00F338AB">
        <w:rPr>
          <w:rFonts w:cs="Times New Roman"/>
          <w:bCs/>
          <w:w w:val="108"/>
          <w:sz w:val="18"/>
          <w:szCs w:val="18"/>
        </w:rPr>
        <w:t xml:space="preserve">, (ii) 9.0% (under </w:t>
      </w:r>
      <w:proofErr w:type="spellStart"/>
      <w:r w:rsidRPr="00F338AB">
        <w:rPr>
          <w:rFonts w:cs="Times New Roman"/>
          <w:bCs/>
          <w:w w:val="108"/>
          <w:sz w:val="18"/>
          <w:szCs w:val="18"/>
        </w:rPr>
        <w:t>Ar</w:t>
      </w:r>
      <w:proofErr w:type="spellEnd"/>
      <w:r w:rsidRPr="00F338AB">
        <w:rPr>
          <w:rFonts w:cs="Times New Roman"/>
          <w:bCs/>
          <w:w w:val="108"/>
          <w:sz w:val="18"/>
          <w:szCs w:val="18"/>
        </w:rPr>
        <w:t xml:space="preserve">) and 1.2% (under air) for </w:t>
      </w:r>
      <w:r w:rsidRPr="00F338AB">
        <w:rPr>
          <w:rFonts w:cs="Times New Roman"/>
          <w:b/>
          <w:w w:val="108"/>
          <w:sz w:val="18"/>
          <w:szCs w:val="18"/>
        </w:rPr>
        <w:t>2</w:t>
      </w:r>
      <w:r w:rsidRPr="00F338AB">
        <w:rPr>
          <w:rFonts w:cs="Times New Roman"/>
          <w:bCs/>
          <w:w w:val="108"/>
          <w:sz w:val="18"/>
          <w:szCs w:val="18"/>
        </w:rPr>
        <w:t xml:space="preserve"> and 1.5% (under </w:t>
      </w:r>
      <w:proofErr w:type="spellStart"/>
      <w:r w:rsidRPr="00F338AB">
        <w:rPr>
          <w:rFonts w:cs="Times New Roman"/>
          <w:bCs/>
          <w:w w:val="108"/>
          <w:sz w:val="18"/>
          <w:szCs w:val="18"/>
        </w:rPr>
        <w:t>Ar</w:t>
      </w:r>
      <w:proofErr w:type="spellEnd"/>
      <w:r w:rsidRPr="00F338AB">
        <w:rPr>
          <w:rFonts w:cs="Times New Roman"/>
          <w:bCs/>
          <w:w w:val="108"/>
          <w:sz w:val="18"/>
          <w:szCs w:val="18"/>
        </w:rPr>
        <w:t xml:space="preserve">) and 0.7% (under air) for </w:t>
      </w:r>
      <w:r w:rsidRPr="00F338AB">
        <w:rPr>
          <w:rFonts w:cs="Times New Roman"/>
          <w:b/>
          <w:w w:val="108"/>
          <w:sz w:val="18"/>
          <w:szCs w:val="18"/>
        </w:rPr>
        <w:t>3</w:t>
      </w:r>
      <w:r w:rsidRPr="00F338AB">
        <w:rPr>
          <w:rFonts w:cs="Times New Roman"/>
          <w:bCs/>
          <w:w w:val="108"/>
          <w:sz w:val="18"/>
          <w:szCs w:val="18"/>
        </w:rPr>
        <w:t xml:space="preserve">. The obtained values for </w:t>
      </w:r>
      <w:r w:rsidRPr="00F338AB">
        <w:rPr>
          <w:rFonts w:cs="Times New Roman"/>
          <w:b/>
          <w:w w:val="108"/>
          <w:sz w:val="18"/>
          <w:szCs w:val="18"/>
        </w:rPr>
        <w:t>1</w:t>
      </w:r>
      <w:r w:rsidRPr="00F338AB">
        <w:rPr>
          <w:rFonts w:cs="Times New Roman"/>
          <w:bCs/>
          <w:w w:val="108"/>
          <w:sz w:val="18"/>
          <w:szCs w:val="18"/>
        </w:rPr>
        <w:t xml:space="preserve"> and </w:t>
      </w:r>
      <w:r w:rsidRPr="00F338AB">
        <w:rPr>
          <w:rFonts w:cs="Times New Roman"/>
          <w:b/>
          <w:w w:val="108"/>
          <w:sz w:val="18"/>
          <w:szCs w:val="18"/>
        </w:rPr>
        <w:t>2</w:t>
      </w:r>
      <w:r w:rsidRPr="00F338AB">
        <w:rPr>
          <w:rFonts w:cs="Times New Roman"/>
          <w:bCs/>
          <w:w w:val="108"/>
          <w:sz w:val="18"/>
          <w:szCs w:val="18"/>
        </w:rPr>
        <w:t xml:space="preserve"> represent substantial improvements compared to [Cr(</w:t>
      </w:r>
      <w:proofErr w:type="spellStart"/>
      <w:r w:rsidRPr="00F338AB">
        <w:rPr>
          <w:rFonts w:cs="Times New Roman"/>
          <w:bCs/>
          <w:w w:val="108"/>
          <w:sz w:val="18"/>
          <w:szCs w:val="18"/>
        </w:rPr>
        <w:t>bpmp</w:t>
      </w:r>
      <w:proofErr w:type="spellEnd"/>
      <w:r w:rsidRPr="00F338AB">
        <w:rPr>
          <w:rFonts w:cs="Times New Roman"/>
          <w:bCs/>
          <w:w w:val="108"/>
          <w:sz w:val="18"/>
          <w:szCs w:val="18"/>
        </w:rPr>
        <w:t>)</w:t>
      </w:r>
      <w:r w:rsidRPr="00F338AB">
        <w:rPr>
          <w:rFonts w:cs="Times New Roman"/>
          <w:bCs/>
          <w:w w:val="108"/>
          <w:sz w:val="18"/>
          <w:szCs w:val="18"/>
          <w:vertAlign w:val="subscript"/>
        </w:rPr>
        <w:t>2</w:t>
      </w:r>
      <w:r w:rsidRPr="00F338AB">
        <w:rPr>
          <w:rFonts w:cs="Times New Roman"/>
          <w:bCs/>
          <w:w w:val="108"/>
          <w:sz w:val="18"/>
          <w:szCs w:val="18"/>
        </w:rPr>
        <w:t>]</w:t>
      </w:r>
      <w:r w:rsidRPr="00F338AB">
        <w:rPr>
          <w:rFonts w:cs="Times New Roman"/>
          <w:bCs/>
          <w:w w:val="108"/>
          <w:sz w:val="18"/>
          <w:szCs w:val="18"/>
          <w:vertAlign w:val="superscript"/>
        </w:rPr>
        <w:t>3+</w:t>
      </w:r>
      <w:r w:rsidRPr="00F338AB">
        <w:rPr>
          <w:rFonts w:cs="Times New Roman"/>
          <w:bCs/>
          <w:w w:val="108"/>
          <w:sz w:val="18"/>
          <w:szCs w:val="18"/>
        </w:rPr>
        <w:t xml:space="preserve"> (</w:t>
      </w:r>
      <w:r w:rsidRPr="00F338AB">
        <w:rPr>
          <w:rFonts w:cs="Times New Roman"/>
          <w:bCs/>
          <w:i/>
          <w:w w:val="108"/>
          <w:sz w:val="18"/>
          <w:szCs w:val="18"/>
        </w:rPr>
        <w:sym w:font="Symbol" w:char="F066"/>
      </w:r>
      <w:r w:rsidRPr="00F338AB">
        <w:rPr>
          <w:rFonts w:cs="Times New Roman"/>
          <w:bCs/>
          <w:i/>
          <w:w w:val="108"/>
          <w:sz w:val="18"/>
          <w:szCs w:val="18"/>
        </w:rPr>
        <w:t xml:space="preserve"> = </w:t>
      </w:r>
      <w:r w:rsidRPr="00F338AB">
        <w:rPr>
          <w:rFonts w:cs="Times New Roman"/>
          <w:bCs/>
          <w:w w:val="108"/>
          <w:sz w:val="18"/>
          <w:szCs w:val="18"/>
        </w:rPr>
        <w:t>0.8%) which experiences quenching due to ground state deprotonation of the -CH</w:t>
      </w:r>
      <w:r w:rsidRPr="00F338AB">
        <w:rPr>
          <w:rFonts w:cs="Times New Roman"/>
          <w:bCs/>
          <w:w w:val="108"/>
          <w:sz w:val="18"/>
          <w:szCs w:val="18"/>
          <w:vertAlign w:val="subscript"/>
        </w:rPr>
        <w:t>2</w:t>
      </w:r>
      <w:r w:rsidRPr="00F338AB">
        <w:rPr>
          <w:rFonts w:cs="Times New Roman"/>
          <w:bCs/>
          <w:w w:val="108"/>
          <w:sz w:val="18"/>
          <w:szCs w:val="18"/>
        </w:rPr>
        <w:t>- moieties in pure acetonitrile.</w:t>
      </w:r>
      <w:r w:rsidRPr="00F338AB">
        <w:rPr>
          <w:rFonts w:cs="Times New Roman"/>
          <w:b/>
          <w:bCs/>
          <w:w w:val="108"/>
          <w:sz w:val="18"/>
          <w:szCs w:val="18"/>
        </w:rPr>
        <w:fldChar w:fldCharType="begin" w:fldLock="1"/>
      </w:r>
      <w:r w:rsidRPr="00F338AB">
        <w:rPr>
          <w:rFonts w:cs="Times New Roman"/>
          <w:bCs/>
          <w:w w:val="108"/>
          <w:sz w:val="18"/>
          <w:szCs w:val="18"/>
        </w:rPr>
        <w:instrText>ADDIN CSL_CITATION {"citationItems":[{"id":"ITEM-1","itemData":{"DOI":"10.1021/jacs.1c05971","author":[{"dropping-particle":"","family":"Reichenauer","given":"Florian","non-dropping-particle":"","parse-names":false,"suffix":""},{"dropping-particle":"","family":"Wang","given":"Cui","non-dropping-particle":"","parse-names":false,"suffix":""},{"dropping-particle":"","family":"Christoph","given":"F","non-dropping-particle":"","parse-names":false,"suffix":""},{"dropping-particle":"","family":"Boden","given":"Pit","non-dropping-particle":"","parse-names":false,"suffix":""},{"dropping-particle":"","family":"Ugur","given":"Naz","non-dropping-particle":"","parse-names":false,"suffix":""},{"dropping-particle":"","family":"Ricardo","given":"B","non-dropping-particle":"","parse-names":false,"suffix":""},{"dropping-particle":"","family":"Kalmbach","given":"Jens","non-dropping-particle":"","parse-names":false,"suffix":""},{"dropping-particle":"","family":"Carrella","given":"Luca M","non-dropping-particle":"","parse-names":false,"suffix":""},{"dropping-particle":"","family":"Rentschler","given":"Eva","non-dropping-particle":"","parse-names":false,"suffix":""},{"dropping-particle":"","family":"Ramanan","given":"Charusheela","non-dropping-particle":"","parse-names":false,"suffix":""},{"dropping-particle":"","family":"Niedner-schatteburg","given":"Gereon","non-dropping-particle":"","parse-names":false,"suffix":""},{"dropping-particle":"","family":"Gerhards","given":"Markus","non-dropping-particle":"","parse-names":false,"suffix":""},{"dropping-particle":"","family":"Seitz","given":"Michael","non-dropping-particle":"","parse-names":false,"suffix":""},{"dropping-particle":"","family":"Resch-genger","given":"Ute","non-dropping-particle":"","parse-names":false,"suffix":""},{"dropping-particle":"","family":"Heinze","given":"Katja","non-dropping-particle":"","parse-names":false,"suffix":""}],"container-title":"J. Am. Chem. Soc","id":"ITEM-1","issue":"11843-11855","issued":{"date-parts":[["2021"]]},"title":"Strongly Red-Emissive Molecular Ruby [Cr(bpmp) 2 ] 3+ Surpasses [Ru(bpy) 3 ] 2+","type":"article-journal","volume":"143"},"uris":["http://www.mendeley.com/documents/?uuid=9d14db5d-daf5-4448-872a-c5e2b9bd7aac"]}],"mendeley":{"formattedCitation":"&lt;sup&gt;44&lt;/sup&gt;","plainTextFormattedCitation":"44","previouslyFormattedCitation":"&lt;sup&gt;44&lt;/sup&gt;"},"properties":{"noteIndex":0},"schema":"https://github.com/citation-style-language/schema/raw/master/csl-citation.json"}</w:instrText>
      </w:r>
      <w:r w:rsidRPr="00F338AB">
        <w:rPr>
          <w:rFonts w:cs="Times New Roman"/>
          <w:b/>
          <w:bCs/>
          <w:w w:val="108"/>
          <w:sz w:val="18"/>
          <w:szCs w:val="18"/>
        </w:rPr>
        <w:fldChar w:fldCharType="separate"/>
      </w:r>
      <w:r w:rsidRPr="00F338AB">
        <w:rPr>
          <w:rFonts w:cs="Times New Roman"/>
          <w:bCs/>
          <w:noProof/>
          <w:w w:val="108"/>
          <w:sz w:val="18"/>
          <w:szCs w:val="18"/>
          <w:vertAlign w:val="superscript"/>
        </w:rPr>
        <w:t>44</w:t>
      </w:r>
      <w:r w:rsidRPr="00F338AB">
        <w:rPr>
          <w:rFonts w:cs="Times New Roman"/>
          <w:b/>
          <w:bCs/>
          <w:w w:val="108"/>
          <w:sz w:val="18"/>
          <w:szCs w:val="18"/>
        </w:rPr>
        <w:fldChar w:fldCharType="end"/>
      </w:r>
      <w:r w:rsidRPr="00F338AB">
        <w:rPr>
          <w:rFonts w:cs="Times New Roman"/>
          <w:bCs/>
          <w:w w:val="108"/>
          <w:sz w:val="18"/>
          <w:szCs w:val="18"/>
        </w:rPr>
        <w:t xml:space="preserve"> In acidic medium, complexes show a slight increase in luminescence quantum yields, in contrast to [Cr(</w:t>
      </w:r>
      <w:proofErr w:type="spellStart"/>
      <w:r w:rsidRPr="00F338AB">
        <w:rPr>
          <w:rFonts w:cs="Times New Roman"/>
          <w:bCs/>
          <w:w w:val="108"/>
          <w:sz w:val="18"/>
          <w:szCs w:val="18"/>
        </w:rPr>
        <w:t>bpmp</w:t>
      </w:r>
      <w:proofErr w:type="spellEnd"/>
      <w:r w:rsidRPr="00F338AB">
        <w:rPr>
          <w:rFonts w:cs="Times New Roman"/>
          <w:bCs/>
          <w:w w:val="108"/>
          <w:sz w:val="18"/>
          <w:szCs w:val="18"/>
        </w:rPr>
        <w:t>)</w:t>
      </w:r>
      <w:r w:rsidRPr="00F338AB">
        <w:rPr>
          <w:rFonts w:cs="Times New Roman"/>
          <w:bCs/>
          <w:w w:val="108"/>
          <w:sz w:val="18"/>
          <w:szCs w:val="18"/>
          <w:vertAlign w:val="subscript"/>
        </w:rPr>
        <w:t>2</w:t>
      </w:r>
      <w:r w:rsidRPr="00F338AB">
        <w:rPr>
          <w:rFonts w:cs="Times New Roman"/>
          <w:bCs/>
          <w:w w:val="108"/>
          <w:sz w:val="18"/>
          <w:szCs w:val="18"/>
        </w:rPr>
        <w:t>]</w:t>
      </w:r>
      <w:r w:rsidRPr="00F338AB">
        <w:rPr>
          <w:rFonts w:cs="Times New Roman"/>
          <w:bCs/>
          <w:w w:val="108"/>
          <w:sz w:val="18"/>
          <w:szCs w:val="18"/>
          <w:vertAlign w:val="superscript"/>
        </w:rPr>
        <w:t>3+</w:t>
      </w:r>
      <w:r w:rsidRPr="00F338AB">
        <w:rPr>
          <w:rFonts w:cs="Times New Roman"/>
          <w:bCs/>
          <w:w w:val="108"/>
          <w:sz w:val="18"/>
          <w:szCs w:val="18"/>
        </w:rPr>
        <w:t xml:space="preserve">, where a luminescence quantum yield of 11.4% is measured </w:t>
      </w:r>
      <w:r w:rsidRPr="00F338AB">
        <w:rPr>
          <w:rFonts w:cs="Times New Roman"/>
          <w:bCs/>
          <w:w w:val="108"/>
          <w:sz w:val="18"/>
          <w:szCs w:val="18"/>
        </w:rPr>
        <w:t>(Table 1). This highlights the weaker acidic nature of the CH</w:t>
      </w:r>
      <w:r w:rsidRPr="00F338AB">
        <w:rPr>
          <w:rFonts w:cs="Times New Roman"/>
          <w:bCs/>
          <w:w w:val="108"/>
          <w:sz w:val="18"/>
          <w:szCs w:val="18"/>
          <w:vertAlign w:val="subscript"/>
        </w:rPr>
        <w:t>2</w:t>
      </w:r>
      <w:r w:rsidRPr="00F338AB">
        <w:rPr>
          <w:rFonts w:cs="Times New Roman"/>
          <w:bCs/>
          <w:w w:val="108"/>
          <w:sz w:val="18"/>
          <w:szCs w:val="18"/>
        </w:rPr>
        <w:t xml:space="preserve"> bridges upon replacing the lateral pyridine substituents in </w:t>
      </w:r>
      <w:proofErr w:type="spellStart"/>
      <w:r w:rsidRPr="00F338AB">
        <w:rPr>
          <w:rFonts w:cs="Times New Roman"/>
          <w:bCs/>
          <w:w w:val="108"/>
          <w:sz w:val="18"/>
          <w:szCs w:val="18"/>
        </w:rPr>
        <w:t>bpmp</w:t>
      </w:r>
      <w:proofErr w:type="spellEnd"/>
      <w:r w:rsidRPr="00F338AB">
        <w:rPr>
          <w:rFonts w:cs="Times New Roman"/>
          <w:bCs/>
          <w:w w:val="108"/>
          <w:sz w:val="18"/>
          <w:szCs w:val="18"/>
        </w:rPr>
        <w:t xml:space="preserve"> </w:t>
      </w:r>
      <w:r w:rsidR="00BA733C" w:rsidRPr="00F338AB">
        <w:rPr>
          <w:rFonts w:cs="Times New Roman"/>
          <w:bCs/>
          <w:w w:val="108"/>
          <w:sz w:val="18"/>
          <w:szCs w:val="18"/>
        </w:rPr>
        <w:t xml:space="preserve">with </w:t>
      </w:r>
      <w:r w:rsidRPr="00F338AB">
        <w:rPr>
          <w:rFonts w:cs="Times New Roman"/>
          <w:bCs/>
          <w:w w:val="108"/>
          <w:sz w:val="18"/>
          <w:szCs w:val="18"/>
        </w:rPr>
        <w:t xml:space="preserve">pyrazole or indazole rings. For </w:t>
      </w:r>
      <w:r w:rsidRPr="00F338AB">
        <w:rPr>
          <w:rFonts w:cs="Times New Roman"/>
          <w:b/>
          <w:w w:val="108"/>
          <w:sz w:val="18"/>
          <w:szCs w:val="18"/>
        </w:rPr>
        <w:t>1</w:t>
      </w:r>
      <w:r w:rsidRPr="00F338AB">
        <w:rPr>
          <w:rFonts w:cs="Times New Roman"/>
          <w:bCs/>
          <w:w w:val="108"/>
          <w:sz w:val="18"/>
          <w:szCs w:val="18"/>
        </w:rPr>
        <w:t xml:space="preserve"> and </w:t>
      </w:r>
      <w:r w:rsidRPr="00F338AB">
        <w:rPr>
          <w:rFonts w:cs="Times New Roman"/>
          <w:b/>
          <w:w w:val="108"/>
          <w:sz w:val="18"/>
          <w:szCs w:val="18"/>
        </w:rPr>
        <w:t>2</w:t>
      </w:r>
      <w:r w:rsidRPr="00F338AB">
        <w:rPr>
          <w:rFonts w:cs="Times New Roman"/>
          <w:bCs/>
          <w:w w:val="108"/>
          <w:sz w:val="18"/>
          <w:szCs w:val="18"/>
        </w:rPr>
        <w:t>, the luminescence quantum yield is one order of magnitude higher compared to the structurally most closely related [Cr(</w:t>
      </w:r>
      <w:proofErr w:type="spellStart"/>
      <w:r w:rsidRPr="00F338AB">
        <w:rPr>
          <w:rFonts w:cs="Times New Roman"/>
          <w:bCs/>
          <w:w w:val="108"/>
          <w:sz w:val="18"/>
          <w:szCs w:val="18"/>
        </w:rPr>
        <w:t>btmp</w:t>
      </w:r>
      <w:proofErr w:type="spellEnd"/>
      <w:r w:rsidRPr="00F338AB">
        <w:rPr>
          <w:rFonts w:cs="Times New Roman"/>
          <w:bCs/>
          <w:w w:val="108"/>
          <w:sz w:val="18"/>
          <w:szCs w:val="18"/>
        </w:rPr>
        <w:t>)</w:t>
      </w:r>
      <w:r w:rsidRPr="00F338AB">
        <w:rPr>
          <w:rFonts w:cs="Times New Roman"/>
          <w:bCs/>
          <w:w w:val="108"/>
          <w:sz w:val="18"/>
          <w:szCs w:val="18"/>
          <w:vertAlign w:val="subscript"/>
        </w:rPr>
        <w:t>2</w:t>
      </w:r>
      <w:r w:rsidRPr="00F338AB">
        <w:rPr>
          <w:rFonts w:cs="Times New Roman"/>
          <w:bCs/>
          <w:w w:val="108"/>
          <w:sz w:val="18"/>
          <w:szCs w:val="18"/>
        </w:rPr>
        <w:t>]</w:t>
      </w:r>
      <w:r w:rsidRPr="00F338AB">
        <w:rPr>
          <w:rFonts w:cs="Times New Roman"/>
          <w:bCs/>
          <w:w w:val="108"/>
          <w:sz w:val="18"/>
          <w:szCs w:val="18"/>
          <w:vertAlign w:val="superscript"/>
        </w:rPr>
        <w:t>3+</w:t>
      </w:r>
      <w:r w:rsidRPr="00F338AB">
        <w:rPr>
          <w:rFonts w:cs="Times New Roman"/>
          <w:bCs/>
          <w:w w:val="108"/>
          <w:sz w:val="18"/>
          <w:szCs w:val="18"/>
        </w:rPr>
        <w:t xml:space="preserve"> complex in both non-acidic and acidic media (Table 1). The freely rotating </w:t>
      </w:r>
      <w:r w:rsidR="00BA733C" w:rsidRPr="00F338AB">
        <w:rPr>
          <w:rFonts w:cs="Times New Roman"/>
          <w:bCs/>
          <w:w w:val="108"/>
          <w:sz w:val="18"/>
          <w:szCs w:val="18"/>
        </w:rPr>
        <w:t xml:space="preserve">peripheral </w:t>
      </w:r>
      <w:r w:rsidRPr="00F338AB">
        <w:rPr>
          <w:rFonts w:cs="Times New Roman"/>
          <w:bCs/>
          <w:w w:val="108"/>
          <w:sz w:val="18"/>
          <w:szCs w:val="18"/>
        </w:rPr>
        <w:t>phenyl ring in the latter compound can likely activate additional nonradiative decay channels and could be responsible for its luminescence quenching.</w:t>
      </w:r>
      <w:r w:rsidRPr="00F338AB">
        <w:rPr>
          <w:rFonts w:cs="Times New Roman"/>
          <w:b/>
          <w:bCs/>
          <w:w w:val="108"/>
          <w:sz w:val="18"/>
          <w:szCs w:val="18"/>
        </w:rPr>
        <w:fldChar w:fldCharType="begin" w:fldLock="1"/>
      </w:r>
      <w:r w:rsidRPr="00F338AB">
        <w:rPr>
          <w:rFonts w:cs="Times New Roman"/>
          <w:bCs/>
          <w:w w:val="108"/>
          <w:sz w:val="18"/>
          <w:szCs w:val="18"/>
        </w:rPr>
        <w:instrText>ADDIN CSL_CITATION {"citationItems":[{"id":"ITEM-1","itemData":{"DOI":"10.1021/acs.jpcc.7b10466","ISSN":"19327455","abstract":"It is well-known that the fluorescence of a chromophore can be efficiently quenched by the free rotor effect, sometimes called intramolecular rotation (IMR), i.e. by a large-amplitude torsional motion. Using this effect, aggregation induced enhanced emission (AIE) and fluorescent molecular probes for viscosity measurements have been devised. However, the rotor effect on triplet excited states was rarely studied. Herein, with molecular rotors of Bodipy and diiodoBodipy, and by using steady state and time-resolved transient absorption/emission spectroscopies, we confirmed that the triplet excited state of the Bodipy chromophore is not quenched by IMR. This is in stark contrast to the fluorescence (singlet excited state), which is significantly quenched by IMR. This result is rather interesting since a long-lived excited state (triplet, 276 μs) is not quenched by the IMR, but the short-lived excited state (singlet, 3.8 ns) is quenched by the same IMR. The unquenched triplet excited state of the Bodipy was used for triplet-triplet annihilation upconversion, and the upconversion quantum yield is 6.3%.","author":[{"dropping-particle":"","family":"Lou","given":"Zhangrong","non-dropping-particle":"","parse-names":false,"suffix":""},{"dropping-particle":"","family":"Hou","given":"Yuqi","non-dropping-particle":"","parse-names":false,"suffix":""},{"dropping-particle":"","family":"Chen","given":"Kepeng","non-dropping-particle":"","parse-names":false,"suffix":""},{"dropping-particle":"","family":"Zhao","given":"Jianzhang","non-dropping-particle":"","parse-names":false,"suffix":""},{"dropping-particle":"","family":"Ji","given":"Shaomin","non-dropping-particle":"","parse-names":false,"suffix":""},{"dropping-particle":"","family":"Zhong","given":"Fangfang","non-dropping-particle":"","parse-names":false,"suffix":""},{"dropping-particle":"","family":"Dede","given":"Yavuz","non-dropping-particle":"","parse-names":false,"suffix":""},{"dropping-particle":"","family":"Dick","given":"Bernhard","non-dropping-particle":"","parse-names":false,"suffix":""}],"container-title":"Journal of Physical Chemistry C","id":"ITEM-1","issue":"1","issued":{"date-parts":[["2018"]]},"page":"185-193","title":"Different Quenching Effect of Intramolecular Rotation on the Singlet and Triplet Excited States of Bodipy","type":"article-journal","volume":"122"},"uris":["http://www.mendeley.com/documents/?uuid=6769a6fb-c91f-4b9c-9c6d-ff3763be46be"]}],"mendeley":{"formattedCitation":"&lt;sup&gt;59&lt;/sup&gt;","plainTextFormattedCitation":"59","previouslyFormattedCitation":"&lt;sup&gt;59&lt;/sup&gt;"},"properties":{"noteIndex":0},"schema":"https://github.com/citation-style-language/schema/raw/master/csl-citation.json"}</w:instrText>
      </w:r>
      <w:r w:rsidRPr="00F338AB">
        <w:rPr>
          <w:rFonts w:cs="Times New Roman"/>
          <w:b/>
          <w:bCs/>
          <w:w w:val="108"/>
          <w:sz w:val="18"/>
          <w:szCs w:val="18"/>
        </w:rPr>
        <w:fldChar w:fldCharType="separate"/>
      </w:r>
      <w:r w:rsidRPr="00F338AB">
        <w:rPr>
          <w:rFonts w:cs="Times New Roman"/>
          <w:bCs/>
          <w:noProof/>
          <w:w w:val="108"/>
          <w:sz w:val="18"/>
          <w:szCs w:val="18"/>
          <w:vertAlign w:val="superscript"/>
        </w:rPr>
        <w:t>59</w:t>
      </w:r>
      <w:r w:rsidRPr="00F338AB">
        <w:rPr>
          <w:rFonts w:cs="Times New Roman"/>
          <w:b/>
          <w:bCs/>
          <w:w w:val="108"/>
          <w:sz w:val="18"/>
          <w:szCs w:val="18"/>
        </w:rPr>
        <w:fldChar w:fldCharType="end"/>
      </w:r>
    </w:p>
    <w:p w14:paraId="5C16D5EF" w14:textId="6AC1B9DB" w:rsidR="00FD6B42" w:rsidRPr="00F338AB" w:rsidRDefault="00194AB6" w:rsidP="00072102">
      <w:pPr>
        <w:spacing w:after="0" w:line="240" w:lineRule="atLeast"/>
        <w:jc w:val="center"/>
        <w:rPr>
          <w:rFonts w:eastAsia="MS Mincho" w:cstheme="minorHAnsi"/>
          <w:b/>
          <w:bCs/>
          <w:sz w:val="16"/>
          <w:szCs w:val="16"/>
          <w:lang w:eastAsia="ja-JP"/>
        </w:rPr>
      </w:pPr>
      <w:r w:rsidRPr="00F338AB">
        <w:rPr>
          <w:noProof/>
        </w:rPr>
        <w:drawing>
          <wp:inline distT="0" distB="0" distL="0" distR="0" wp14:anchorId="2CEDE5D7" wp14:editId="4115B7DF">
            <wp:extent cx="2598597" cy="5761290"/>
            <wp:effectExtent l="0" t="0" r="0" b="0"/>
            <wp:docPr id="92856324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39572" cy="5852135"/>
                    </a:xfrm>
                    <a:prstGeom prst="rect">
                      <a:avLst/>
                    </a:prstGeom>
                    <a:noFill/>
                    <a:ln>
                      <a:noFill/>
                    </a:ln>
                  </pic:spPr>
                </pic:pic>
              </a:graphicData>
            </a:graphic>
          </wp:inline>
        </w:drawing>
      </w:r>
    </w:p>
    <w:p w14:paraId="508D899D" w14:textId="38301B83" w:rsidR="00E77C78" w:rsidRPr="00F338AB" w:rsidRDefault="00CC755C" w:rsidP="00D02A3E">
      <w:pPr>
        <w:spacing w:after="0" w:line="240" w:lineRule="atLeast"/>
        <w:jc w:val="both"/>
        <w:rPr>
          <w:rFonts w:eastAsia="MS Mincho" w:cstheme="minorHAnsi"/>
          <w:sz w:val="18"/>
          <w:szCs w:val="18"/>
          <w:lang w:eastAsia="ja-JP"/>
        </w:rPr>
      </w:pPr>
      <w:r w:rsidRPr="00F338AB">
        <w:rPr>
          <w:rFonts w:eastAsia="MS Mincho" w:cstheme="minorHAnsi"/>
          <w:b/>
          <w:bCs/>
          <w:sz w:val="16"/>
          <w:szCs w:val="16"/>
          <w:lang w:eastAsia="ja-JP"/>
        </w:rPr>
        <w:t>Figure 4.</w:t>
      </w:r>
      <w:r w:rsidRPr="00F338AB">
        <w:rPr>
          <w:rFonts w:eastAsia="MS Mincho" w:cstheme="minorHAnsi"/>
          <w:sz w:val="16"/>
          <w:szCs w:val="16"/>
          <w:lang w:eastAsia="ja-JP"/>
        </w:rPr>
        <w:t xml:space="preserve"> </w:t>
      </w:r>
      <w:r w:rsidR="00454698" w:rsidRPr="00F338AB">
        <w:rPr>
          <w:rFonts w:eastAsia="MS Mincho" w:cstheme="minorHAnsi"/>
          <w:sz w:val="16"/>
          <w:szCs w:val="16"/>
          <w:lang w:eastAsia="ja-JP"/>
        </w:rPr>
        <w:t>Schematic representation of the SF absorption and emission at 77K (right-hand side) and potential energy curves</w:t>
      </w:r>
      <w:r w:rsidR="00FD6B42" w:rsidRPr="00F338AB">
        <w:rPr>
          <w:rFonts w:eastAsia="MS Mincho" w:cstheme="minorHAnsi"/>
          <w:sz w:val="16"/>
          <w:szCs w:val="16"/>
          <w:lang w:eastAsia="ja-JP"/>
        </w:rPr>
        <w:t xml:space="preserve"> </w:t>
      </w:r>
      <w:r w:rsidR="00454698" w:rsidRPr="00F338AB">
        <w:rPr>
          <w:rFonts w:eastAsia="MS Mincho" w:cstheme="minorHAnsi"/>
          <w:sz w:val="16"/>
          <w:szCs w:val="16"/>
          <w:lang w:eastAsia="ja-JP"/>
        </w:rPr>
        <w:t xml:space="preserve">for the quartet ground and excited state, </w:t>
      </w:r>
      <w:r w:rsidR="00454698" w:rsidRPr="00F338AB">
        <w:rPr>
          <w:rFonts w:eastAsia="MS Mincho" w:cstheme="minorHAnsi"/>
          <w:sz w:val="16"/>
          <w:szCs w:val="16"/>
          <w:vertAlign w:val="superscript"/>
          <w:lang w:eastAsia="ja-JP"/>
        </w:rPr>
        <w:t>4</w:t>
      </w:r>
      <w:r w:rsidR="00454698" w:rsidRPr="00F338AB">
        <w:rPr>
          <w:rFonts w:eastAsia="MS Mincho" w:cstheme="minorHAnsi"/>
          <w:sz w:val="16"/>
          <w:szCs w:val="16"/>
          <w:lang w:eastAsia="ja-JP"/>
        </w:rPr>
        <w:t xml:space="preserve">A and </w:t>
      </w:r>
      <w:r w:rsidR="00454698" w:rsidRPr="00F338AB">
        <w:rPr>
          <w:rFonts w:eastAsia="MS Mincho" w:cstheme="minorHAnsi"/>
          <w:sz w:val="16"/>
          <w:szCs w:val="16"/>
          <w:vertAlign w:val="superscript"/>
          <w:lang w:eastAsia="ja-JP"/>
        </w:rPr>
        <w:t>4</w:t>
      </w:r>
      <w:r w:rsidR="00454698" w:rsidRPr="00F338AB">
        <w:rPr>
          <w:rFonts w:eastAsia="MS Mincho" w:cstheme="minorHAnsi"/>
          <w:sz w:val="16"/>
          <w:szCs w:val="16"/>
          <w:lang w:eastAsia="ja-JP"/>
        </w:rPr>
        <w:t>T</w:t>
      </w:r>
      <w:r w:rsidR="00454698" w:rsidRPr="00F338AB">
        <w:rPr>
          <w:rFonts w:eastAsia="MS Mincho" w:cstheme="minorHAnsi"/>
          <w:sz w:val="16"/>
          <w:szCs w:val="16"/>
          <w:vertAlign w:val="subscript"/>
          <w:lang w:eastAsia="ja-JP"/>
        </w:rPr>
        <w:t>2</w:t>
      </w:r>
      <w:r w:rsidR="0095335F" w:rsidRPr="00F338AB">
        <w:rPr>
          <w:rFonts w:eastAsia="MS Mincho" w:cstheme="minorHAnsi"/>
          <w:sz w:val="16"/>
          <w:szCs w:val="16"/>
          <w:lang w:eastAsia="ja-JP"/>
        </w:rPr>
        <w:t xml:space="preserve">, </w:t>
      </w:r>
      <w:r w:rsidR="00454698" w:rsidRPr="00F338AB">
        <w:rPr>
          <w:rFonts w:eastAsia="MS Mincho" w:cstheme="minorHAnsi"/>
          <w:sz w:val="16"/>
          <w:szCs w:val="16"/>
          <w:lang w:eastAsia="ja-JP"/>
        </w:rPr>
        <w:t xml:space="preserve">and the doublet excited state </w:t>
      </w:r>
      <w:r w:rsidR="00454698" w:rsidRPr="00F338AB">
        <w:rPr>
          <w:rFonts w:eastAsia="MS Mincho" w:cstheme="minorHAnsi"/>
          <w:sz w:val="16"/>
          <w:szCs w:val="16"/>
          <w:vertAlign w:val="superscript"/>
          <w:lang w:eastAsia="ja-JP"/>
        </w:rPr>
        <w:t>2</w:t>
      </w:r>
      <w:r w:rsidR="00454698" w:rsidRPr="00F338AB">
        <w:rPr>
          <w:rFonts w:eastAsia="MS Mincho" w:cstheme="minorHAnsi"/>
          <w:sz w:val="16"/>
          <w:szCs w:val="16"/>
          <w:lang w:eastAsia="ja-JP"/>
        </w:rPr>
        <w:t xml:space="preserve">E and </w:t>
      </w:r>
      <w:r w:rsidR="00454698" w:rsidRPr="00F338AB">
        <w:rPr>
          <w:rFonts w:eastAsia="MS Mincho" w:cstheme="minorHAnsi"/>
          <w:sz w:val="16"/>
          <w:szCs w:val="16"/>
          <w:vertAlign w:val="superscript"/>
          <w:lang w:eastAsia="ja-JP"/>
        </w:rPr>
        <w:t>2</w:t>
      </w:r>
      <w:r w:rsidR="00454698" w:rsidRPr="00F338AB">
        <w:rPr>
          <w:rFonts w:eastAsia="MS Mincho" w:cstheme="minorHAnsi"/>
          <w:sz w:val="16"/>
          <w:szCs w:val="16"/>
          <w:lang w:eastAsia="ja-JP"/>
        </w:rPr>
        <w:t>T</w:t>
      </w:r>
      <w:r w:rsidR="00454698" w:rsidRPr="00F338AB">
        <w:rPr>
          <w:rFonts w:eastAsia="MS Mincho" w:cstheme="minorHAnsi"/>
          <w:sz w:val="16"/>
          <w:szCs w:val="16"/>
          <w:vertAlign w:val="subscript"/>
          <w:lang w:eastAsia="ja-JP"/>
        </w:rPr>
        <w:t>1</w:t>
      </w:r>
      <w:r w:rsidR="00454698" w:rsidRPr="00F338AB">
        <w:rPr>
          <w:rFonts w:eastAsia="MS Mincho" w:cstheme="minorHAnsi"/>
          <w:sz w:val="16"/>
          <w:szCs w:val="16"/>
          <w:lang w:eastAsia="ja-JP"/>
        </w:rPr>
        <w:t>.</w:t>
      </w:r>
    </w:p>
    <w:p w14:paraId="36DD0EE7" w14:textId="3D0FC3B3" w:rsidR="00FD6B42" w:rsidRPr="00F338AB" w:rsidRDefault="00EF3661" w:rsidP="00D02A3E">
      <w:pPr>
        <w:spacing w:after="0" w:line="240" w:lineRule="atLeast"/>
        <w:jc w:val="both"/>
        <w:rPr>
          <w:rFonts w:cs="Times New Roman"/>
          <w:bCs/>
          <w:w w:val="108"/>
          <w:sz w:val="18"/>
          <w:szCs w:val="18"/>
        </w:rPr>
      </w:pPr>
      <w:r w:rsidRPr="00F338AB">
        <w:rPr>
          <w:rFonts w:cs="Times New Roman"/>
          <w:bCs/>
          <w:w w:val="108"/>
          <w:sz w:val="18"/>
          <w:szCs w:val="18"/>
        </w:rPr>
        <w:t xml:space="preserve">The excited state lifetimes under argon in neat acetonitrile at room temperature are 1231 </w:t>
      </w:r>
      <w:proofErr w:type="spellStart"/>
      <w:r w:rsidRPr="00F338AB">
        <w:rPr>
          <w:rFonts w:cs="Times New Roman"/>
          <w:bCs/>
          <w:w w:val="108"/>
          <w:sz w:val="18"/>
          <w:szCs w:val="18"/>
        </w:rPr>
        <w:t>μs</w:t>
      </w:r>
      <w:proofErr w:type="spellEnd"/>
      <w:r w:rsidRPr="00F338AB">
        <w:rPr>
          <w:rFonts w:cs="Times New Roman"/>
          <w:bCs/>
          <w:w w:val="108"/>
          <w:sz w:val="18"/>
          <w:szCs w:val="18"/>
        </w:rPr>
        <w:t xml:space="preserve"> for </w:t>
      </w:r>
      <w:r w:rsidRPr="00F338AB">
        <w:rPr>
          <w:rFonts w:cs="Times New Roman"/>
          <w:b/>
          <w:w w:val="108"/>
          <w:sz w:val="18"/>
          <w:szCs w:val="18"/>
        </w:rPr>
        <w:t>1</w:t>
      </w:r>
      <w:r w:rsidRPr="00F338AB">
        <w:rPr>
          <w:rFonts w:cs="Times New Roman"/>
          <w:bCs/>
          <w:w w:val="108"/>
          <w:sz w:val="18"/>
          <w:szCs w:val="18"/>
        </w:rPr>
        <w:t xml:space="preserve">, 313 </w:t>
      </w:r>
      <w:proofErr w:type="spellStart"/>
      <w:r w:rsidRPr="00F338AB">
        <w:rPr>
          <w:rFonts w:cs="Times New Roman"/>
          <w:bCs/>
          <w:w w:val="108"/>
          <w:sz w:val="18"/>
          <w:szCs w:val="18"/>
        </w:rPr>
        <w:t>μs</w:t>
      </w:r>
      <w:proofErr w:type="spellEnd"/>
      <w:r w:rsidRPr="00F338AB">
        <w:rPr>
          <w:rFonts w:cs="Times New Roman"/>
          <w:bCs/>
          <w:w w:val="108"/>
          <w:sz w:val="18"/>
          <w:szCs w:val="18"/>
        </w:rPr>
        <w:t xml:space="preserve"> for </w:t>
      </w:r>
      <w:r w:rsidRPr="00F338AB">
        <w:rPr>
          <w:rFonts w:cs="Times New Roman"/>
          <w:b/>
          <w:w w:val="108"/>
          <w:sz w:val="18"/>
          <w:szCs w:val="18"/>
        </w:rPr>
        <w:t>2</w:t>
      </w:r>
      <w:r w:rsidRPr="00F338AB">
        <w:rPr>
          <w:rFonts w:cs="Times New Roman"/>
          <w:bCs/>
          <w:w w:val="108"/>
          <w:sz w:val="18"/>
          <w:szCs w:val="18"/>
        </w:rPr>
        <w:t xml:space="preserve"> and 111 </w:t>
      </w:r>
      <w:proofErr w:type="spellStart"/>
      <w:r w:rsidRPr="00F338AB">
        <w:rPr>
          <w:rFonts w:cs="Times New Roman"/>
          <w:bCs/>
          <w:w w:val="108"/>
          <w:sz w:val="18"/>
          <w:szCs w:val="18"/>
        </w:rPr>
        <w:t>μs</w:t>
      </w:r>
      <w:proofErr w:type="spellEnd"/>
      <w:r w:rsidRPr="00F338AB">
        <w:rPr>
          <w:rFonts w:cs="Times New Roman"/>
          <w:bCs/>
          <w:w w:val="108"/>
          <w:sz w:val="18"/>
          <w:szCs w:val="18"/>
        </w:rPr>
        <w:t xml:space="preserve"> for </w:t>
      </w:r>
      <w:r w:rsidRPr="00F338AB">
        <w:rPr>
          <w:rFonts w:cs="Times New Roman"/>
          <w:b/>
          <w:w w:val="108"/>
          <w:sz w:val="18"/>
          <w:szCs w:val="18"/>
        </w:rPr>
        <w:t>3</w:t>
      </w:r>
      <w:r w:rsidRPr="00F338AB">
        <w:rPr>
          <w:rFonts w:cs="Times New Roman"/>
          <w:bCs/>
          <w:w w:val="108"/>
          <w:sz w:val="18"/>
          <w:szCs w:val="18"/>
        </w:rPr>
        <w:t xml:space="preserve"> (Fig. 2d, Fig. S12, S15 and S18), becoming slightly longer in acidic medium (Table 1). Under an ambient (aerated) atmosphere, the excited state lifetimes for the three complexes are considerably shortened (Fig. S13, S16 and S19), due to the quenching by atmospheric </w:t>
      </w:r>
      <w:r w:rsidRPr="00F338AB">
        <w:rPr>
          <w:rFonts w:cs="Times New Roman"/>
          <w:bCs/>
          <w:w w:val="108"/>
          <w:sz w:val="18"/>
          <w:szCs w:val="18"/>
          <w:vertAlign w:val="superscript"/>
        </w:rPr>
        <w:t>3</w:t>
      </w:r>
      <w:r w:rsidRPr="00F338AB">
        <w:rPr>
          <w:rFonts w:cs="Times New Roman"/>
          <w:bCs/>
          <w:w w:val="108"/>
          <w:sz w:val="18"/>
          <w:szCs w:val="18"/>
        </w:rPr>
        <w:t>O</w:t>
      </w:r>
      <w:r w:rsidRPr="00F338AB">
        <w:rPr>
          <w:rFonts w:cs="Times New Roman"/>
          <w:bCs/>
          <w:w w:val="108"/>
          <w:sz w:val="18"/>
          <w:szCs w:val="18"/>
          <w:vertAlign w:val="subscript"/>
        </w:rPr>
        <w:t>2</w:t>
      </w:r>
      <w:r w:rsidRPr="00F338AB">
        <w:rPr>
          <w:rFonts w:cs="Times New Roman"/>
          <w:bCs/>
          <w:w w:val="108"/>
          <w:sz w:val="18"/>
          <w:szCs w:val="18"/>
        </w:rPr>
        <w:t xml:space="preserve">, which generates the reactive </w:t>
      </w:r>
      <w:r w:rsidRPr="00F338AB">
        <w:rPr>
          <w:rFonts w:cs="Times New Roman"/>
          <w:bCs/>
          <w:w w:val="108"/>
          <w:sz w:val="18"/>
          <w:szCs w:val="18"/>
          <w:vertAlign w:val="superscript"/>
        </w:rPr>
        <w:t>1</w:t>
      </w:r>
      <w:r w:rsidRPr="00F338AB">
        <w:rPr>
          <w:rFonts w:cs="Times New Roman"/>
          <w:bCs/>
          <w:w w:val="108"/>
          <w:sz w:val="18"/>
          <w:szCs w:val="18"/>
        </w:rPr>
        <w:t>O</w:t>
      </w:r>
      <w:r w:rsidRPr="00F338AB">
        <w:rPr>
          <w:rFonts w:cs="Times New Roman"/>
          <w:bCs/>
          <w:w w:val="108"/>
          <w:sz w:val="18"/>
          <w:szCs w:val="18"/>
          <w:vertAlign w:val="subscript"/>
        </w:rPr>
        <w:t>2</w:t>
      </w:r>
      <w:r w:rsidRPr="00F338AB">
        <w:rPr>
          <w:rFonts w:cs="Times New Roman"/>
          <w:bCs/>
          <w:w w:val="108"/>
          <w:sz w:val="18"/>
          <w:szCs w:val="18"/>
        </w:rPr>
        <w:t xml:space="preserve"> </w:t>
      </w:r>
      <w:r w:rsidRPr="00F338AB">
        <w:rPr>
          <w:rFonts w:cs="Times New Roman"/>
          <w:bCs/>
          <w:w w:val="108"/>
          <w:sz w:val="18"/>
          <w:szCs w:val="18"/>
        </w:rPr>
        <w:lastRenderedPageBreak/>
        <w:t xml:space="preserve">species. </w:t>
      </w:r>
      <w:proofErr w:type="spellStart"/>
      <w:r w:rsidRPr="00F338AB">
        <w:rPr>
          <w:rFonts w:cs="Times New Roman"/>
          <w:bCs/>
          <w:i/>
          <w:iCs/>
          <w:w w:val="108"/>
          <w:sz w:val="18"/>
          <w:szCs w:val="18"/>
        </w:rPr>
        <w:t>k</w:t>
      </w:r>
      <w:r w:rsidRPr="00F338AB">
        <w:rPr>
          <w:rFonts w:cs="Times New Roman"/>
          <w:bCs/>
          <w:w w:val="108"/>
          <w:sz w:val="18"/>
          <w:szCs w:val="18"/>
          <w:vertAlign w:val="subscript"/>
        </w:rPr>
        <w:t>q</w:t>
      </w:r>
      <w:proofErr w:type="spellEnd"/>
      <w:r w:rsidRPr="00F338AB">
        <w:rPr>
          <w:rFonts w:cs="Times New Roman"/>
          <w:bCs/>
          <w:w w:val="108"/>
          <w:sz w:val="18"/>
          <w:szCs w:val="18"/>
        </w:rPr>
        <w:t xml:space="preserve"> values for energy transfer from doublet excited states to </w:t>
      </w:r>
      <w:r w:rsidRPr="00F338AB">
        <w:rPr>
          <w:rFonts w:cs="Times New Roman"/>
          <w:bCs/>
          <w:w w:val="108"/>
          <w:sz w:val="18"/>
          <w:szCs w:val="18"/>
          <w:vertAlign w:val="superscript"/>
        </w:rPr>
        <w:t>3</w:t>
      </w:r>
      <w:r w:rsidRPr="00F338AB">
        <w:rPr>
          <w:rFonts w:cs="Times New Roman"/>
          <w:bCs/>
          <w:w w:val="108"/>
          <w:sz w:val="18"/>
          <w:szCs w:val="18"/>
        </w:rPr>
        <w:t>O</w:t>
      </w:r>
      <w:r w:rsidRPr="00F338AB">
        <w:rPr>
          <w:rFonts w:cs="Times New Roman"/>
          <w:bCs/>
          <w:w w:val="108"/>
          <w:sz w:val="18"/>
          <w:szCs w:val="18"/>
          <w:vertAlign w:val="subscript"/>
        </w:rPr>
        <w:t>2</w:t>
      </w:r>
      <w:r w:rsidRPr="00F338AB">
        <w:rPr>
          <w:rFonts w:cs="Times New Roman"/>
          <w:bCs/>
          <w:w w:val="108"/>
          <w:sz w:val="18"/>
          <w:szCs w:val="18"/>
        </w:rPr>
        <w:t xml:space="preserve"> of 3.8</w:t>
      </w:r>
      <w:r w:rsidRPr="00F338AB">
        <w:rPr>
          <w:rFonts w:ascii="Cambria Math" w:hAnsi="Cambria Math" w:cs="Cambria Math"/>
          <w:bCs/>
          <w:w w:val="108"/>
          <w:sz w:val="18"/>
          <w:szCs w:val="18"/>
        </w:rPr>
        <w:t>⋅</w:t>
      </w:r>
      <w:r w:rsidRPr="00F338AB">
        <w:rPr>
          <w:rFonts w:cs="Times New Roman"/>
          <w:bCs/>
          <w:w w:val="108"/>
          <w:sz w:val="18"/>
          <w:szCs w:val="18"/>
        </w:rPr>
        <w:t>10</w:t>
      </w:r>
      <w:r w:rsidRPr="00F338AB">
        <w:rPr>
          <w:rFonts w:cs="Times New Roman"/>
          <w:bCs/>
          <w:w w:val="108"/>
          <w:sz w:val="18"/>
          <w:szCs w:val="18"/>
          <w:vertAlign w:val="superscript"/>
        </w:rPr>
        <w:t>7</w:t>
      </w:r>
      <w:r w:rsidRPr="00F338AB">
        <w:rPr>
          <w:rFonts w:cs="Times New Roman"/>
          <w:bCs/>
          <w:w w:val="108"/>
          <w:sz w:val="18"/>
          <w:szCs w:val="18"/>
        </w:rPr>
        <w:t xml:space="preserve"> M</w:t>
      </w:r>
      <w:r w:rsidRPr="00F338AB">
        <w:rPr>
          <w:rFonts w:cs="Times New Roman"/>
          <w:bCs/>
          <w:w w:val="108"/>
          <w:sz w:val="18"/>
          <w:szCs w:val="18"/>
          <w:vertAlign w:val="superscript"/>
        </w:rPr>
        <w:t>-1</w:t>
      </w:r>
      <w:r w:rsidRPr="00F338AB">
        <w:rPr>
          <w:rFonts w:cs="Times New Roman"/>
          <w:bCs/>
          <w:w w:val="108"/>
          <w:sz w:val="18"/>
          <w:szCs w:val="18"/>
        </w:rPr>
        <w:t>·s</w:t>
      </w:r>
      <w:r w:rsidRPr="00F338AB">
        <w:rPr>
          <w:rFonts w:cs="Times New Roman"/>
          <w:bCs/>
          <w:w w:val="108"/>
          <w:sz w:val="18"/>
          <w:szCs w:val="18"/>
          <w:vertAlign w:val="superscript"/>
        </w:rPr>
        <w:t>-1</w:t>
      </w:r>
      <w:r w:rsidRPr="00F338AB">
        <w:rPr>
          <w:rFonts w:cs="Times New Roman"/>
          <w:bCs/>
          <w:w w:val="108"/>
          <w:sz w:val="18"/>
          <w:szCs w:val="18"/>
        </w:rPr>
        <w:t>, 5.6</w:t>
      </w:r>
      <w:r w:rsidRPr="00F338AB">
        <w:rPr>
          <w:rFonts w:ascii="Cambria Math" w:hAnsi="Cambria Math" w:cs="Cambria Math"/>
          <w:bCs/>
          <w:w w:val="108"/>
          <w:sz w:val="18"/>
          <w:szCs w:val="18"/>
        </w:rPr>
        <w:t>⋅</w:t>
      </w:r>
      <w:r w:rsidRPr="00F338AB">
        <w:rPr>
          <w:rFonts w:cs="Times New Roman"/>
          <w:bCs/>
          <w:w w:val="108"/>
          <w:sz w:val="18"/>
          <w:szCs w:val="18"/>
        </w:rPr>
        <w:t>10</w:t>
      </w:r>
      <w:r w:rsidRPr="00F338AB">
        <w:rPr>
          <w:rFonts w:cs="Times New Roman"/>
          <w:bCs/>
          <w:w w:val="108"/>
          <w:sz w:val="18"/>
          <w:szCs w:val="18"/>
          <w:vertAlign w:val="superscript"/>
        </w:rPr>
        <w:t>7</w:t>
      </w:r>
      <w:r w:rsidRPr="00F338AB">
        <w:rPr>
          <w:rFonts w:cs="Times New Roman"/>
          <w:bCs/>
          <w:w w:val="108"/>
          <w:sz w:val="18"/>
          <w:szCs w:val="18"/>
        </w:rPr>
        <w:t xml:space="preserve"> M</w:t>
      </w:r>
      <w:r w:rsidRPr="00F338AB">
        <w:rPr>
          <w:rFonts w:cs="Times New Roman"/>
          <w:bCs/>
          <w:w w:val="108"/>
          <w:sz w:val="18"/>
          <w:szCs w:val="18"/>
          <w:vertAlign w:val="superscript"/>
        </w:rPr>
        <w:t>-1</w:t>
      </w:r>
      <w:r w:rsidRPr="00F338AB">
        <w:rPr>
          <w:rFonts w:cs="Times New Roman"/>
          <w:bCs/>
          <w:w w:val="108"/>
          <w:sz w:val="18"/>
          <w:szCs w:val="18"/>
        </w:rPr>
        <w:t>·s</w:t>
      </w:r>
      <w:r w:rsidRPr="00F338AB">
        <w:rPr>
          <w:rFonts w:cs="Times New Roman"/>
          <w:bCs/>
          <w:w w:val="108"/>
          <w:sz w:val="18"/>
          <w:szCs w:val="18"/>
          <w:vertAlign w:val="superscript"/>
        </w:rPr>
        <w:t>-1</w:t>
      </w:r>
      <w:r w:rsidRPr="00F338AB">
        <w:rPr>
          <w:rFonts w:cs="Times New Roman"/>
          <w:bCs/>
          <w:w w:val="108"/>
          <w:sz w:val="18"/>
          <w:szCs w:val="18"/>
        </w:rPr>
        <w:t xml:space="preserve"> and 6.4</w:t>
      </w:r>
      <w:r w:rsidRPr="00F338AB">
        <w:rPr>
          <w:rFonts w:ascii="Cambria Math" w:hAnsi="Cambria Math" w:cs="Cambria Math"/>
          <w:bCs/>
          <w:w w:val="108"/>
          <w:sz w:val="18"/>
          <w:szCs w:val="18"/>
        </w:rPr>
        <w:t>⋅</w:t>
      </w:r>
      <w:r w:rsidRPr="00F338AB">
        <w:rPr>
          <w:rFonts w:cs="Times New Roman"/>
          <w:bCs/>
          <w:w w:val="108"/>
          <w:sz w:val="18"/>
          <w:szCs w:val="18"/>
        </w:rPr>
        <w:t>10</w:t>
      </w:r>
      <w:r w:rsidRPr="00F338AB">
        <w:rPr>
          <w:rFonts w:cs="Times New Roman"/>
          <w:bCs/>
          <w:w w:val="108"/>
          <w:sz w:val="18"/>
          <w:szCs w:val="18"/>
          <w:vertAlign w:val="superscript"/>
        </w:rPr>
        <w:t>7</w:t>
      </w:r>
      <w:r w:rsidRPr="00F338AB">
        <w:rPr>
          <w:rFonts w:cs="Times New Roman"/>
          <w:bCs/>
          <w:w w:val="108"/>
          <w:sz w:val="18"/>
          <w:szCs w:val="18"/>
        </w:rPr>
        <w:t xml:space="preserve"> M</w:t>
      </w:r>
      <w:r w:rsidRPr="00F338AB">
        <w:rPr>
          <w:rFonts w:cs="Times New Roman"/>
          <w:bCs/>
          <w:w w:val="108"/>
          <w:sz w:val="18"/>
          <w:szCs w:val="18"/>
          <w:vertAlign w:val="superscript"/>
        </w:rPr>
        <w:t>-1</w:t>
      </w:r>
      <w:r w:rsidRPr="00F338AB">
        <w:rPr>
          <w:rFonts w:cs="Times New Roman"/>
          <w:bCs/>
          <w:w w:val="108"/>
          <w:sz w:val="18"/>
          <w:szCs w:val="18"/>
        </w:rPr>
        <w:t>·s</w:t>
      </w:r>
      <w:r w:rsidRPr="00F338AB">
        <w:rPr>
          <w:rFonts w:cs="Times New Roman"/>
          <w:bCs/>
          <w:w w:val="108"/>
          <w:sz w:val="18"/>
          <w:szCs w:val="18"/>
          <w:vertAlign w:val="superscript"/>
        </w:rPr>
        <w:t>-1</w:t>
      </w:r>
      <w:r w:rsidRPr="00F338AB">
        <w:rPr>
          <w:rFonts w:cs="Times New Roman"/>
          <w:bCs/>
          <w:w w:val="108"/>
          <w:sz w:val="18"/>
          <w:szCs w:val="18"/>
        </w:rPr>
        <w:t xml:space="preserve"> have been estimated for </w:t>
      </w:r>
      <w:r w:rsidRPr="00F338AB">
        <w:rPr>
          <w:rFonts w:cs="Times New Roman"/>
          <w:b/>
          <w:w w:val="108"/>
          <w:sz w:val="18"/>
          <w:szCs w:val="18"/>
        </w:rPr>
        <w:t>1</w:t>
      </w:r>
      <w:r w:rsidRPr="00F338AB">
        <w:rPr>
          <w:rFonts w:cs="Times New Roman"/>
          <w:bCs/>
          <w:w w:val="108"/>
          <w:sz w:val="18"/>
          <w:szCs w:val="18"/>
        </w:rPr>
        <w:t xml:space="preserve">, </w:t>
      </w:r>
      <w:r w:rsidRPr="00F338AB">
        <w:rPr>
          <w:rFonts w:cs="Times New Roman"/>
          <w:b/>
          <w:w w:val="108"/>
          <w:sz w:val="18"/>
          <w:szCs w:val="18"/>
        </w:rPr>
        <w:t>2</w:t>
      </w:r>
      <w:r w:rsidRPr="00F338AB">
        <w:rPr>
          <w:rFonts w:cs="Times New Roman"/>
          <w:bCs/>
          <w:w w:val="108"/>
          <w:sz w:val="18"/>
          <w:szCs w:val="18"/>
        </w:rPr>
        <w:t xml:space="preserve"> and </w:t>
      </w:r>
      <w:r w:rsidRPr="00F338AB">
        <w:rPr>
          <w:rFonts w:cs="Times New Roman"/>
          <w:b/>
          <w:w w:val="108"/>
          <w:sz w:val="18"/>
          <w:szCs w:val="18"/>
        </w:rPr>
        <w:t>3</w:t>
      </w:r>
      <w:r w:rsidRPr="00F338AB">
        <w:rPr>
          <w:rFonts w:cs="Times New Roman"/>
          <w:bCs/>
          <w:w w:val="108"/>
          <w:sz w:val="18"/>
          <w:szCs w:val="18"/>
        </w:rPr>
        <w:t xml:space="preserve"> respectively (see SI for details). These values are in line with those reported for related complexes.</w:t>
      </w:r>
      <w:r w:rsidRPr="00F338AB">
        <w:rPr>
          <w:rFonts w:cs="Times New Roman"/>
          <w:b/>
          <w:bCs/>
          <w:w w:val="108"/>
          <w:sz w:val="18"/>
          <w:szCs w:val="18"/>
        </w:rPr>
        <w:fldChar w:fldCharType="begin" w:fldLock="1"/>
      </w:r>
      <w:r w:rsidRPr="00F338AB">
        <w:rPr>
          <w:rFonts w:cs="Times New Roman"/>
          <w:bCs/>
          <w:w w:val="108"/>
          <w:sz w:val="18"/>
          <w:szCs w:val="18"/>
        </w:rPr>
        <w:instrText>ADDIN CSL_CITATION {"citationItems":[{"id":"ITEM-1","itemData":{"DOI":"10.1021/jacs.2c04465","ISSN":"15205126","PMID":"35913126","abstract":"The photoredox activity of well-known RuII complexes stems from metal-to-ligand charge transfer (MLCT) excited states, in which a ligand-based electron can initiate chemical reductions and a metal-centered hole can trigger oxidations. CrIII polypyridines show similar photoredox properties, although they have fundamentally different electronic structures. Their photoactive excited state is of spin-flip nature, differing from the electronic ground state merely by a change of one electron spin, but with otherwise identical d-orbital occupancy. We find that the driving-force dependence for photoinduced electron transfer from 10 different donors to a spin-flip excited state of a CrIII complex is very similar to that for a RuII polypyridine, and thereby validate the concept of estimating the redox potential of d3 spin-flip excited states in analogous manner as for the MLCT states of d6 compounds. Building on this insight, we use our CrIII complex for photocatalytic reactions not previously explored with this compound class, including the aerobic bromination of methoxyaryls, oxygenation of 1,1,2,2-tetraphenylethylene, aerobic hydroxylation of arylboronic acids, and the vinylation of N-phenyl pyrrolidine. This work contributes to understanding the fundamental photochemical properties of first-row transition-metal complexes in comparison to well-explored precious-metal-based photocatalysts.","author":[{"dropping-particle":"","family":"Bürgin","given":"Tobias H.","non-dropping-particle":"","parse-names":false,"suffix":""},{"dropping-particle":"","family":"Glaser","given":"Felix","non-dropping-particle":"","parse-names":false,"suffix":""},{"dropping-particle":"","family":"Wenger","given":"Oliver S.","non-dropping-particle":"","parse-names":false,"suffix":""}],"container-title":"Journal of the American Chemical Society","id":"ITEM-1","issue":"31","issued":{"date-parts":[["2022"]]},"page":"14181-14194","title":"Shedding Light on the Oxidizing Properties of Spin-Flip Excited States in a CrIIIPolypyridine Complex and Their Use in Photoredox Catalysis","type":"article-journal","volume":"144"},"uris":["http://www.mendeley.com/documents/?uuid=fbe305e7-c420-4cbc-b44e-77e962c8fbbd"]},{"id":"ITEM-2","itemData":{"DOI":"10.1021/jacs.3c01543","ISSN":"15205126","PMID":"37224437","abstract":"A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Society","id":"ITEM-2","issued":{"date-parts":[["2023"]]},"page":"12081-12092","title":"Direct Determination of the Rate of Intersystem Crossing in a Near-IR Luminescent Cr(III) Triazolyl Complex","type":"article-journal","volume":"145"},"uris":["http://www.mendeley.com/documents/?uuid=8c880c1f-848d-422a-bae8-b73fecd99327"]},{"id":"ITEM-3","itemData":{"DOI":"10.1002/anie.201504894","ISSN":"15213773","PMID":"26267153","abstract":"Bright, long-lived emission from first-row transition-metal complexes is very challenging to achieve. Herein, we present a new strategy relying on the rational tuning of energy levels. With the aid of the large N-Cr-N bite angle of the tridentate ligand ddpd (N,N′-dimethyl-N,N′-dipyridine-2-ylpyridine-2,6-diamine) and its strong σ-donating capabilities, a very large ligand-field splitting could be introduced in the chromium(III) complex [Cr(ddpd)2]3+, that shifts the deactivating and photoreactive 4T2 state well above the emitting 2E state. Prevention of back-intersystem crossing from the 2E to the 4T2 state enables exceptionally high near-infrared phosphorescence quantum yields and lifetimes for this 3d metal complex. The complex [Cr(ddpd)2](BF4)3 is highly water-soluble and very stable towards thermal and photo-induced substitution reactions and can be used for fluorescence intensity- and lifetime-based oxygen sensing in the NIR.","author":[{"dropping-particle":"","family":"Otto","given":"Sven","non-dropping-particle":"","parse-names":false,"suffix":""},{"dropping-particle":"","family":"Grabolle","given":"Markus","non-dropping-particle":"","parse-names":false,"suffix":""},{"dropping-particle":"","family":"Förster","given":"Christoph","non-dropping-particle":"","parse-names":false,"suffix":""},{"dropping-particle":"","family":"Kreitner","given":"Christoph","non-dropping-particle":"","parse-names":false,"suffix":""},{"dropping-particle":"","family":"Resch-Genger","given":"Ute","non-dropping-particle":"","parse-names":false,"suffix":""},{"dropping-particle":"","family":"Heinze","given":"Katja","non-dropping-particle":"","parse-names":false,"suffix":""}],"container-title":"Angew. Chem. Int. Ed.","id":"ITEM-3","issue":"39","issued":{"date-parts":[["2015"]]},"page":"11572-11576","title":"[Cr(ddpd)2]3+: A Molecular, Water-Soluble, Highly NIR-Emissive Ruby Analogue","type":"article-journal","volume":"54"},"uris":["http://www.mendeley.com/documents/?uuid=0a3706c5-a6de-47dd-9353-4dd84c29e580"]},{"id":"ITEM-4","itemData":{"DOI":"10.1021/jacs.1c05971","author":[{"dropping-particle":"","family":"Reichenauer","given":"Florian","non-dropping-particle":"","parse-names":false,"suffix":""},{"dropping-particle":"","family":"Wang","given":"Cui","non-dropping-particle":"","parse-names":false,"suffix":""},{"dropping-particle":"","family":"Christoph","given":"F","non-dropping-particle":"","parse-names":false,"suffix":""},{"dropping-particle":"","family":"Boden","given":"Pit","non-dropping-particle":"","parse-names":false,"suffix":""},{"dropping-particle":"","family":"Ugur","given":"Naz","non-dropping-particle":"","parse-names":false,"suffix":""},{"dropping-particle":"","family":"Ricardo","given":"B","non-dropping-particle":"","parse-names":false,"suffix":""},{"dropping-particle":"","family":"Kalmbach","given":"Jens","non-dropping-particle":"","parse-names":false,"suffix":""},{"dropping-particle":"","family":"Carrella","given":"Luca M","non-dropping-particle":"","parse-names":false,"suffix":""},{"dropping-particle":"","family":"Rentschler","given":"Eva","non-dropping-particle":"","parse-names":false,"suffix":""},{"dropping-particle":"","family":"Ramanan","given":"Charusheela","non-dropping-particle":"","parse-names":false,"suffix":""},{"dropping-particle":"","family":"Niedner-schatteburg","given":"Gereon","non-dropping-particle":"","parse-names":false,"suffix":""},{"dropping-particle":"","family":"Gerhards","given":"Markus","non-dropping-particle":"","parse-names":false,"suffix":""},{"dropping-particle":"","family":"Seitz","given":"Michael","non-dropping-particle":"","parse-names":false,"suffix":""},{"dropping-particle":"","family":"Resch-genger","given":"Ute","non-dropping-particle":"","parse-names":false,"suffix":""},{"dropping-particle":"","family":"Heinze","given":"Katja","non-dropping-particle":"","parse-names":false,"suffix":""}],"container-title":"J. Am. Chem. Soc","id":"ITEM-4","issue":"11843-11855","issued":{"date-parts":[["2021"]]},"title":"Strongly Red-Emissive Molecular Ruby [Cr(bpmp) 2 ] 3+ Surpasses [Ru(bpy) 3 ] 2+","type":"article-journal","volume":"143"},"uris":["http://www.mendeley.com/documents/?uuid=9d14db5d-daf5-4448-872a-c5e2b9bd7aac"]}],"mendeley":{"formattedCitation":"&lt;sup&gt;3,38,44,45&lt;/sup&gt;","plainTextFormattedCitation":"3,38,44,45","previouslyFormattedCitation":"&lt;sup&gt;3,38,44,45&lt;/sup&gt;"},"properties":{"noteIndex":0},"schema":"https://github.com/citation-style-language/schema/raw/master/csl-citation.json"}</w:instrText>
      </w:r>
      <w:r w:rsidRPr="00F338AB">
        <w:rPr>
          <w:rFonts w:cs="Times New Roman"/>
          <w:b/>
          <w:bCs/>
          <w:w w:val="108"/>
          <w:sz w:val="18"/>
          <w:szCs w:val="18"/>
        </w:rPr>
        <w:fldChar w:fldCharType="separate"/>
      </w:r>
      <w:r w:rsidRPr="00F338AB">
        <w:rPr>
          <w:rFonts w:cs="Times New Roman"/>
          <w:bCs/>
          <w:noProof/>
          <w:w w:val="108"/>
          <w:sz w:val="18"/>
          <w:szCs w:val="18"/>
          <w:vertAlign w:val="superscript"/>
        </w:rPr>
        <w:t>3,38,44,45</w:t>
      </w:r>
      <w:r w:rsidRPr="00F338AB">
        <w:rPr>
          <w:rFonts w:cs="Times New Roman"/>
          <w:b/>
          <w:bCs/>
          <w:w w:val="108"/>
          <w:sz w:val="18"/>
          <w:szCs w:val="18"/>
        </w:rPr>
        <w:fldChar w:fldCharType="end"/>
      </w:r>
      <w:r w:rsidRPr="00F338AB">
        <w:rPr>
          <w:rFonts w:cs="Times New Roman"/>
          <w:b/>
          <w:bCs/>
          <w:w w:val="108"/>
          <w:sz w:val="18"/>
          <w:szCs w:val="18"/>
        </w:rPr>
        <w:t xml:space="preserve"> </w:t>
      </w:r>
      <w:r w:rsidRPr="00F338AB">
        <w:rPr>
          <w:rFonts w:cs="Times New Roman"/>
          <w:bCs/>
          <w:w w:val="108"/>
          <w:sz w:val="18"/>
          <w:szCs w:val="18"/>
        </w:rPr>
        <w:t xml:space="preserve">The efficient </w:t>
      </w:r>
      <w:r w:rsidRPr="00F338AB">
        <w:rPr>
          <w:rFonts w:cs="Times New Roman"/>
          <w:bCs/>
          <w:w w:val="108"/>
          <w:sz w:val="18"/>
          <w:szCs w:val="18"/>
          <w:vertAlign w:val="superscript"/>
        </w:rPr>
        <w:t>1</w:t>
      </w:r>
      <w:r w:rsidRPr="00F338AB">
        <w:rPr>
          <w:rFonts w:cs="Times New Roman"/>
          <w:bCs/>
          <w:w w:val="108"/>
          <w:sz w:val="18"/>
          <w:szCs w:val="18"/>
        </w:rPr>
        <w:t>O</w:t>
      </w:r>
      <w:r w:rsidRPr="00F338AB">
        <w:rPr>
          <w:rFonts w:cs="Times New Roman"/>
          <w:bCs/>
          <w:w w:val="108"/>
          <w:sz w:val="18"/>
          <w:szCs w:val="18"/>
          <w:vertAlign w:val="subscript"/>
        </w:rPr>
        <w:t xml:space="preserve">2 </w:t>
      </w:r>
      <w:r w:rsidRPr="00F338AB">
        <w:rPr>
          <w:rFonts w:cs="Times New Roman"/>
          <w:bCs/>
          <w:w w:val="108"/>
          <w:sz w:val="18"/>
          <w:szCs w:val="18"/>
        </w:rPr>
        <w:t>generation has been demonstrated to be very useful in catalysis and for photodynamic therapy.</w:t>
      </w:r>
      <w:r w:rsidRPr="00F338AB">
        <w:rPr>
          <w:rFonts w:cs="Times New Roman"/>
          <w:b/>
          <w:bCs/>
          <w:w w:val="108"/>
          <w:sz w:val="18"/>
          <w:szCs w:val="18"/>
        </w:rPr>
        <w:fldChar w:fldCharType="begin" w:fldLock="1"/>
      </w:r>
      <w:r w:rsidRPr="00F338AB">
        <w:rPr>
          <w:rFonts w:cs="Times New Roman"/>
          <w:bCs/>
          <w:w w:val="108"/>
          <w:sz w:val="18"/>
          <w:szCs w:val="18"/>
        </w:rPr>
        <w:instrText>ADDIN CSL_CITATION {"citationItems":[{"id":"ITEM-1","itemData":{"DOI":"10.1016/j.ccr.2018.01.004","ISSN":"00108545","abstract":"Enabling strong and long-lived NIR emission from complexes with earth-abundant metal ions is exemplified by embedding chromium(III) in a very strong ligand field yielding the molecular ruby [Cr(ddpd)2]3+. This review aims at illustrating the main non-radiative decay pathways for electronically excited chromium(III) complexes, namely back-intersystem crossing, excited state distortion and multiphonon relaxation and at controlling these pathways by molecular design. The case study of [Cr(ddpd)2]3+ highlights recent successful design strategies and discusses first applications of the highly emissive 3d metal complex as optical sensor molecule and as photosensitizer.","author":[{"dropping-particle":"","family":"Otto","given":"Sven","non-dropping-particle":"","parse-names":false,"suffix":""},{"dropping-particle":"","family":"Dorn","given":"Matthias","non-dropping-particle":"","parse-names":false,"suffix":""},{"dropping-particle":"","family":"Förster","given":"Christoph","non-dropping-particle":"","parse-names":false,"suffix":""},{"dropping-particle":"","family":"Bauer","given":"Matthias","non-dropping-particle":"","parse-names":false,"suffix":""},{"dropping-particle":"","family":"Seitz","given":"Michael","non-dropping-particle":"","parse-names":false,"suffix":""},{"dropping-particle":"","family":"Heinze","given":"Katja","non-dropping-particle":"","parse-names":false,"suffix":""}],"container-title":"Coordination Chemistry Reviews","id":"ITEM-1","issued":{"date-parts":[["2018"]]},"page":"102-111","publisher":"Elsevier B.V.","title":"Understanding and exploiting long-lived near-infrared emission of a molecular ruby","type":"article-journal","volume":"359"},"uris":["http://www.mendeley.com/documents/?uuid=0181d22d-e9ec-4c3e-9afa-504288cf4dbd"]},{"id":"ITEM-2","itemData":{"DOI":"10.1021/jacs.2c04465","ISSN":"15205126","PMID":"35913126","abstract":"The photoredox activity of well-known RuII complexes stems from metal-to-ligand charge transfer (MLCT) excited states, in which a ligand-based electron can initiate chemical reductions and a metal-centered hole can trigger oxidations. CrIII polypyridines show similar photoredox properties, although they have fundamentally different electronic structures. Their photoactive excited state is of spin-flip nature, differing from the electronic ground state merely by a change of one electron spin, but with otherwise identical d-orbital occupancy. We find that the driving-force dependence for photoinduced electron transfer from 10 different donors to a spin-flip excited state of a CrIII complex is very similar to that for a RuII polypyridine, and thereby validate the concept of estimating the redox potential of d3 spin-flip excited states in analogous manner as for the MLCT states of d6 compounds. Building on this insight, we use our CrIII complex for photocatalytic reactions not previously explored with this compound class, including the aerobic bromination of methoxyaryls, oxygenation of 1,1,2,2-tetraphenylethylene, aerobic hydroxylation of arylboronic acids, and the vinylation of N-phenyl pyrrolidine. This work contributes to understanding the fundamental photochemical properties of first-row transition-metal complexes in comparison to well-explored precious-metal-based photocatalysts.","author":[{"dropping-particle":"","family":"Bürgin","given":"Tobias H.","non-dropping-particle":"","parse-names":false,"suffix":""},{"dropping-particle":"","family":"Glaser","given":"Felix","non-dropping-particle":"","parse-names":false,"suffix":""},{"dropping-particle":"","family":"Wenger","given":"Oliver S.","non-dropping-particle":"","parse-names":false,"suffix":""}],"container-title":"Journal of the American Chemical Society","id":"ITEM-2","issue":"31","issued":{"date-parts":[["2022"]]},"page":"14181-14194","title":"Shedding Light on the Oxidizing Properties of Spin-Flip Excited States in a CrIIIPolypyridine Complex and Their Use in Photoredox Catalysis","type":"article-journal","volume":"144"},"uris":["http://www.mendeley.com/documents/?uuid=fbe305e7-c420-4cbc-b44e-77e962c8fbbd"]},{"id":"ITEM-3","itemData":{"DOI":"10.3389/fchem.2022.887439","ISSN":"22962646","abstract":"The molecular ruby [Cr(tpe)2]3+ and the tris(bipyridine) chromium(III) complex [Cr(dmcbpy)3]3+ as well as the tris(bipyrazine)ruthenium(II) complex [Ru(bpz)3]2+ were employed in the visible light-induced radical cation [4+2] cycloaddition (tpe = 1,1,1-tris(pyrid-2-yl)ethane, dmcbpy = 4,4′-dimethoxycarbonyl-2,2′-bipyridine, bpz = 2,2′-bipyrazine), while [Cr(ddpd)2]3+ serves as a control system (ddpd = N,N′-dimethyl-N,N′-dipyridin-2-ylpyridine-2,6-diamine). Along with an updated mechanistic proposal for the CrIII driven catalytic cycle based on redox chemistry, Stern-Volmer analyses, UV/Vis/NIR spectroscopic and nanosecond laser flash photolysis studies, we demonstrate that the very weakly absorbing photocatalyst [Cr(tpe)2]3+ outcompetes [Cr(dmcbpy)3]3+ and even [Ru(bpz)3]2+ in particular at low catalyst loadings, which appears contradictory at first sight. The high photostability, the reversible redoxchemistry and the very long excited state lifetime account for the exceptional performance and even reusability of [Cr(tpe)2]3+ in this photoredox catalytic system.","author":[{"dropping-particle":"","family":"Sittel","given":"Steven","non-dropping-particle":"","parse-names":false,"suffix":""},{"dropping-particle":"","family":"Naumann","given":"Robert","non-dropping-particle":"","parse-names":false,"suffix":""},{"dropping-particle":"","family":"Heinze","given":"Katja","non-dropping-particle":"","parse-names":false,"suffix":""}],"container-title":"Frontiers in Chemistry","id":"ITEM-3","issued":{"date-parts":[["2022","4","7"]]},"page":"340","publisher":"Frontiers Media S.A.","title":"Molecular Rubies in Photoredox Catalysis","type":"article-journal","volume":"10"},"uris":["http://www.mendeley.com/documents/?uuid=d3eb99df-ac0e-33ee-9a0f-6a17c392ff4e"]},{"id":"ITEM-4","itemData":{"DOI":"10.1039/d1cs00609f","ISSN":"14604744","PMID":"35048929","abstract":"Photodynamic therapy (PDT) and photoactivated chemotherapy (PACT) are therapeutic techniques based on a photosensitizer (PS) and light. These techniques allow the spatial and temporal control of the activation of drugs with light. Transition metal complexes are attractive compounds as photoactivatable prodrugs since their excited states can be appropriately designed by subtle modifications of the ligands, the metal centre, or the oxidation state. However, most metal-based PSs contain heavy metals such as Ru, Os, Ir, Pt or Au, which are expensive and non-earth-abundant, contrary to first-row transition metals. In this context, the exploration of the photochemical properties of complexes based on first-row transition metals appears to be extremely promising. This did encourage several groups to develop promising PSs based on these metals. This review presents up-to-date state-of-the-art information on first-row-transition metal complexes, from titanium to zinc in regard to their application as PSs for phototherapeutic applications. This journal is","author":[{"dropping-particle":"","family":"Gourdon","given":"Lisa","non-dropping-particle":"","parse-names":false,"suffix":""},{"dropping-particle":"","family":"Cariou","given":"Kevin","non-dropping-particle":"","parse-names":false,"suffix":""},{"dropping-particle":"","family":"Gasser","given":"Gilles","non-dropping-particle":"","parse-names":false,"suffix":""}],"container-title":"Chemical Society Reviews","id":"ITEM-4","issue":"3","issued":{"date-parts":[["2022"]]},"page":"1167-1195","publisher":"Royal Society of Chemistry","title":"Phototherapeutic anticancer strategies with first-row transition metal complexes: A critical review","type":"article","volume":"51"},"uris":["http://www.mendeley.com/documents/?uuid=e4989663-7b46-4545-a9af-edc38d7eaaf3"]}],"mendeley":{"formattedCitation":"&lt;sup&gt;25,38,39,60&lt;/sup&gt;","plainTextFormattedCitation":"25,38,39,60","previouslyFormattedCitation":"&lt;sup&gt;25,38,39,60&lt;/sup&gt;"},"properties":{"noteIndex":0},"schema":"https://github.com/citation-style-language/schema/raw/master/csl-citation.json"}</w:instrText>
      </w:r>
      <w:r w:rsidRPr="00F338AB">
        <w:rPr>
          <w:rFonts w:cs="Times New Roman"/>
          <w:b/>
          <w:bCs/>
          <w:w w:val="108"/>
          <w:sz w:val="18"/>
          <w:szCs w:val="18"/>
        </w:rPr>
        <w:fldChar w:fldCharType="separate"/>
      </w:r>
      <w:r w:rsidRPr="00F338AB">
        <w:rPr>
          <w:rFonts w:cs="Times New Roman"/>
          <w:bCs/>
          <w:noProof/>
          <w:w w:val="108"/>
          <w:sz w:val="18"/>
          <w:szCs w:val="18"/>
          <w:vertAlign w:val="superscript"/>
        </w:rPr>
        <w:t>25,38,39,60</w:t>
      </w:r>
      <w:r w:rsidRPr="00F338AB">
        <w:rPr>
          <w:rFonts w:cs="Times New Roman"/>
          <w:b/>
          <w:bCs/>
          <w:w w:val="108"/>
          <w:sz w:val="18"/>
          <w:szCs w:val="18"/>
        </w:rPr>
        <w:fldChar w:fldCharType="end"/>
      </w:r>
      <w:r w:rsidRPr="00F338AB">
        <w:rPr>
          <w:rFonts w:cs="Times New Roman"/>
          <w:bCs/>
          <w:w w:val="108"/>
          <w:sz w:val="18"/>
          <w:szCs w:val="18"/>
        </w:rPr>
        <w:t xml:space="preserve"> In a rigid medium at 77 K (frozen acetonitrile solution), the excited-state lifetimes of 1500 </w:t>
      </w:r>
      <w:proofErr w:type="spellStart"/>
      <w:r w:rsidRPr="00F338AB">
        <w:rPr>
          <w:rFonts w:cs="Times New Roman"/>
          <w:bCs/>
          <w:w w:val="108"/>
          <w:sz w:val="18"/>
          <w:szCs w:val="18"/>
        </w:rPr>
        <w:t>μs</w:t>
      </w:r>
      <w:proofErr w:type="spellEnd"/>
      <w:r w:rsidRPr="00F338AB">
        <w:rPr>
          <w:rFonts w:cs="Times New Roman"/>
          <w:bCs/>
          <w:w w:val="108"/>
          <w:sz w:val="18"/>
          <w:szCs w:val="18"/>
        </w:rPr>
        <w:t xml:space="preserve"> for compound </w:t>
      </w:r>
      <w:r w:rsidRPr="00F338AB">
        <w:rPr>
          <w:rFonts w:cs="Times New Roman"/>
          <w:b/>
          <w:w w:val="108"/>
          <w:sz w:val="18"/>
          <w:szCs w:val="18"/>
        </w:rPr>
        <w:t>1</w:t>
      </w:r>
      <w:r w:rsidRPr="00F338AB">
        <w:rPr>
          <w:rFonts w:cs="Times New Roman"/>
          <w:bCs/>
          <w:w w:val="108"/>
          <w:sz w:val="18"/>
          <w:szCs w:val="18"/>
        </w:rPr>
        <w:t xml:space="preserve"> and 145 </w:t>
      </w:r>
      <w:proofErr w:type="spellStart"/>
      <w:r w:rsidRPr="00F338AB">
        <w:rPr>
          <w:rFonts w:cs="Times New Roman"/>
          <w:bCs/>
          <w:w w:val="108"/>
          <w:sz w:val="18"/>
          <w:szCs w:val="18"/>
        </w:rPr>
        <w:t>μs</w:t>
      </w:r>
      <w:proofErr w:type="spellEnd"/>
      <w:r w:rsidRPr="00F338AB">
        <w:rPr>
          <w:rFonts w:cs="Times New Roman"/>
          <w:bCs/>
          <w:w w:val="108"/>
          <w:sz w:val="18"/>
          <w:szCs w:val="18"/>
        </w:rPr>
        <w:t xml:space="preserve"> for compound </w:t>
      </w:r>
      <w:r w:rsidRPr="00F338AB">
        <w:rPr>
          <w:rFonts w:cs="Times New Roman"/>
          <w:b/>
          <w:w w:val="108"/>
          <w:sz w:val="18"/>
          <w:szCs w:val="18"/>
        </w:rPr>
        <w:t>3</w:t>
      </w:r>
      <w:r w:rsidRPr="00F338AB">
        <w:rPr>
          <w:rFonts w:cs="Times New Roman"/>
          <w:bCs/>
          <w:w w:val="108"/>
          <w:sz w:val="18"/>
          <w:szCs w:val="18"/>
        </w:rPr>
        <w:t xml:space="preserve"> are approximately 20% longer than the lifetimes observed at room temperature under deaerated conditions (Table 1, Fig. S14 and S20). For compound </w:t>
      </w:r>
      <w:r w:rsidRPr="00F338AB">
        <w:rPr>
          <w:rFonts w:cs="Times New Roman"/>
          <w:b/>
          <w:w w:val="108"/>
          <w:sz w:val="18"/>
          <w:szCs w:val="18"/>
        </w:rPr>
        <w:t>2</w:t>
      </w:r>
      <w:r w:rsidRPr="00F338AB">
        <w:rPr>
          <w:rFonts w:cs="Times New Roman"/>
          <w:bCs/>
          <w:w w:val="108"/>
          <w:sz w:val="18"/>
          <w:szCs w:val="18"/>
        </w:rPr>
        <w:t xml:space="preserve">, the excited state lifetime of 1064 </w:t>
      </w:r>
      <w:proofErr w:type="spellStart"/>
      <w:r w:rsidRPr="00F338AB">
        <w:rPr>
          <w:rFonts w:cs="Times New Roman"/>
          <w:bCs/>
          <w:w w:val="108"/>
          <w:sz w:val="18"/>
          <w:szCs w:val="18"/>
        </w:rPr>
        <w:t>μs</w:t>
      </w:r>
      <w:proofErr w:type="spellEnd"/>
      <w:r w:rsidRPr="00F338AB">
        <w:rPr>
          <w:rFonts w:cs="Times New Roman"/>
          <w:bCs/>
          <w:w w:val="108"/>
          <w:sz w:val="18"/>
          <w:szCs w:val="18"/>
        </w:rPr>
        <w:t xml:space="preserve"> at 77K represents a threefold increase relative to 293 K (Fig. S17), suggesting a significant and distinct thermally activated non- </w:t>
      </w:r>
      <w:r w:rsidR="00610CB5" w:rsidRPr="00F338AB">
        <w:rPr>
          <w:rFonts w:cs="Times New Roman"/>
          <w:bCs/>
          <w:w w:val="108"/>
          <w:sz w:val="18"/>
          <w:szCs w:val="18"/>
        </w:rPr>
        <w:t xml:space="preserve">radiative relaxation mechanism compared to the structurally similar compound </w:t>
      </w:r>
      <w:r w:rsidR="00610CB5" w:rsidRPr="00F338AB">
        <w:rPr>
          <w:rFonts w:cs="Times New Roman"/>
          <w:b/>
          <w:w w:val="108"/>
          <w:sz w:val="18"/>
          <w:szCs w:val="18"/>
        </w:rPr>
        <w:t>1</w:t>
      </w:r>
      <w:r w:rsidR="00610CB5" w:rsidRPr="00F338AB">
        <w:rPr>
          <w:rFonts w:cs="Times New Roman"/>
          <w:bCs/>
          <w:w w:val="108"/>
          <w:sz w:val="18"/>
          <w:szCs w:val="18"/>
        </w:rPr>
        <w:t xml:space="preserve">. This may be attributed to notable room temperature back-intersystem crossing, </w:t>
      </w:r>
      <w:r w:rsidR="00610CB5" w:rsidRPr="00F338AB">
        <w:rPr>
          <w:rFonts w:cs="Times New Roman"/>
          <w:bCs/>
          <w:w w:val="108"/>
          <w:sz w:val="18"/>
          <w:szCs w:val="18"/>
          <w:vertAlign w:val="superscript"/>
        </w:rPr>
        <w:t>2</w:t>
      </w:r>
      <w:r w:rsidR="00610CB5" w:rsidRPr="00F338AB">
        <w:rPr>
          <w:rFonts w:cs="Times New Roman"/>
          <w:bCs/>
          <w:w w:val="108"/>
          <w:sz w:val="18"/>
          <w:szCs w:val="18"/>
        </w:rPr>
        <w:t>MC→</w:t>
      </w:r>
      <w:r w:rsidR="00610CB5" w:rsidRPr="00F338AB">
        <w:rPr>
          <w:rFonts w:cs="Times New Roman"/>
          <w:bCs/>
          <w:w w:val="108"/>
          <w:sz w:val="18"/>
          <w:szCs w:val="18"/>
          <w:vertAlign w:val="superscript"/>
        </w:rPr>
        <w:t>4</w:t>
      </w:r>
      <w:r w:rsidR="00610CB5" w:rsidRPr="00F338AB">
        <w:rPr>
          <w:rFonts w:cs="Times New Roman"/>
          <w:bCs/>
          <w:w w:val="108"/>
          <w:sz w:val="18"/>
          <w:szCs w:val="18"/>
        </w:rPr>
        <w:t>T</w:t>
      </w:r>
      <w:r w:rsidR="00610CB5" w:rsidRPr="00F338AB">
        <w:rPr>
          <w:rFonts w:cs="Times New Roman"/>
          <w:bCs/>
          <w:w w:val="108"/>
          <w:sz w:val="18"/>
          <w:szCs w:val="18"/>
          <w:vertAlign w:val="subscript"/>
        </w:rPr>
        <w:t>2</w:t>
      </w:r>
      <w:r w:rsidR="00610CB5" w:rsidRPr="00F338AB">
        <w:rPr>
          <w:rFonts w:cs="Times New Roman"/>
          <w:bCs/>
          <w:w w:val="108"/>
          <w:sz w:val="18"/>
          <w:szCs w:val="18"/>
        </w:rPr>
        <w:t>, facilitated by the presence of heavy iodine atoms. This has been already observed in organic dyes and recently reported in chromium (III) complexes.</w:t>
      </w:r>
      <w:r w:rsidR="00610CB5" w:rsidRPr="00F338AB">
        <w:rPr>
          <w:rFonts w:cs="Times New Roman"/>
          <w:bCs/>
          <w:w w:val="108"/>
          <w:sz w:val="18"/>
          <w:szCs w:val="18"/>
        </w:rPr>
        <w:fldChar w:fldCharType="begin" w:fldLock="1"/>
      </w:r>
      <w:r w:rsidR="00610CB5" w:rsidRPr="00F338AB">
        <w:rPr>
          <w:rFonts w:cs="Times New Roman"/>
          <w:bCs/>
          <w:w w:val="108"/>
          <w:sz w:val="18"/>
          <w:szCs w:val="18"/>
        </w:rPr>
        <w:instrText xml:space="preserve">ADDIN CSL_CITATION {"citationItems":[{"id":"ITEM-1","itemData":{"DOI":"10.1039/d3sc02768f","ISSN":"20416539","abstract":"Metal-based photosensitizers commonly undergo quantitative intersystem crossing into photoactive triplet excited states. In contrast, organic photosensitizers often feature weak spin-orbit coupling and low intersystem crossing efficiencies, leading to photoactive singlet excited states. By modifying the well-known acridinium dyes, we obtained a new family of organic photocatalysts, the isoacridones, in which both singlet- and triplet-excited states are simultaneously photoactive. These new isoacridone dyes are synthetically readily accessible and show intersystem crossing efficiencies of up to 52%, forming microsecond-lived triplet excited states (T1), storing approximately 1.9 eV of energy. Their photoactive singlet excited states (S1) populated in parallel have only nanosecond lifetimes, but store </w:instrText>
      </w:r>
      <w:r w:rsidR="00610CB5" w:rsidRPr="00F338AB">
        <w:rPr>
          <w:rFonts w:ascii="Cambria Math" w:hAnsi="Cambria Math" w:cs="Cambria Math"/>
          <w:bCs/>
          <w:w w:val="108"/>
          <w:sz w:val="18"/>
          <w:szCs w:val="18"/>
        </w:rPr>
        <w:instrText>∼</w:instrText>
      </w:r>
      <w:r w:rsidR="00610CB5" w:rsidRPr="00F338AB">
        <w:rPr>
          <w:rFonts w:cs="Times New Roman"/>
          <w:bCs/>
          <w:w w:val="108"/>
          <w:sz w:val="18"/>
          <w:szCs w:val="18"/>
        </w:rPr>
        <w:instrText>0.4 eV more energy and act as strong oxidants. Consequently, the new isoacridone dyes are well suited for applications requiring parallel triplet-triplet energy transfer and photoinduced electron transfer elementary steps, which have become increasingly important in modern photocatalysis. In proof-of-principle experiments, the isoacridone dyes were employed for Birch-type arene reductions and C-C couplings via sensitization-initiated electron transfer, substituting the commonly used iridium or ruthenium based photocatalysts. Further, in combination with a pyrene-based annihilator, sensitized triplet-triplet annihilation upconversion was achieved in an all-organic system, where the upconversion quantum yield correlated with the intersystem crossing quantum yield of the photosensitizer. This work seems relevant in the greater contexts of developing new applications that utilize biphotonic photophysical and photochemical behavior within metal-free systems.","author":[{"dropping-particle":"","family":"Pfund","given":"Björn","non-dropping-particle":"","parse-names":false,"suffix":""},{"dropping-particle":"","family":"Hutskalova","given":"Valeriia","non-dropping-particle":"","parse-names":false,"suffix":""},{"dropping-particle":"","family":"Sparr","given":"Christof","non-dropping-particle":"","parse-names":false,"suffix":""},{"dropping-particle":"","family":"Wenger","given":"Oliver S.","non-dropping-particle":"","parse-names":false,"suffix":""}],"container-title":"Chemical Science","id":"ITEM-1","issue":"40","issued":{"date-parts":[["2023"]]},"page":"11180-11191","publisher":"Royal Society of Chemistry","title":"Isoacridone dyes with parallel reactivity from both singlet and triplet excited states for biphotonic catalysis and upconversion","type":"article-journal","volume":"14"},"uris":["http://www.mendeley.com/documents/?uuid=f8950909-1ffe-4143-bca2-7591a3b323fb"]},{"id":"ITEM-2","itemData":{"DOI":"10.1038/scientificamerican10271883-6511csupp","ISSN":"0036-8733","abstract":"A critical discussion is presented about the possible role of Pt-protein interactions in the mechanisms of action of platinum anticancer compounds. Although, since 40 years from its discovery, cisplatin and analogues are believed to exert their therapeutic effects via direct interactions with nucleic acids, several proteins/enzymes have recently appeared to be involved in the compounds’ overall pharmacological and toxicological profiles, apart from classical serum transport proteins and metal detoxification systems. As an example, the emerging role of zinc finger proteins is noteworthy in the activity of platinum drugs. Moreover, the pursuit of novel platinum candidates that selectively target enzymes is now the subject of intense investigation in medicinal bioinorganic chemistry and chemical biology. An overview is presented of the most representative studies in the field, with particular focus on the characterization of the Pt-protein interactions at a molecular level, using different biophysical and analytical methods. Key","author":[{"dropping-particle":"","family":"Reichenauer","given":"Florian","non-dropping-particle":"","parse-names":false,"suffix":""},{"dropping-particle":"","family":"Naumann","given":"Robert","non-dropping-particle":"","parse-names":false,"suffix":""},{"dropping-particle":"","family":"Förster","given":"Christoph","non-dropping-particle":"","parse-names":false,"suffix":""},{"dropping-particle":"","family":"Kitzmann","given":"Winald R.","non-dropping-particle":"","parse-names":false,"suffix":""},{"dropping-particle":"","family":"Reponen","given":"Antti-Pekka M.","non-dropping-particle":"","parse-names":false,"suffix":""},{"dropping-particle":"","family":"Feldmannb","given":"b Sascha","non-dropping-particle":"","parse-names":false,"suffix":""},{"dropping-particle":"","family":"Heinze","given":"Katja","non-dropping-particle":"","parse-names":false,"suffix":""}],"container-title":"Chemical Science","id":"ITEM-2","issued":{"date-parts":[["2024"]]},"title":"Bridge Editing of Spin-Flip Emitters gives Insight into Excited State Energies and Dynamics","type":"article-journal"},"uris":["http://www.mendeley.com/documents/?uuid=1010ad8f-dc13-4688-9aac-9bec2d603d70"]}],"mendeley":{"formattedCitation":"&lt;sup&gt;61,62&lt;/sup&gt;","plainTextFormattedCitation":"61,62","previouslyFormattedCitation":"&lt;sup&gt;61,62&lt;/sup&gt;"},"properties":{"noteIndex":0},"schema":"https://github.com/citation-style-language/schema/raw/master/csl-citation.json"}</w:instrText>
      </w:r>
      <w:r w:rsidR="00610CB5" w:rsidRPr="00F338AB">
        <w:rPr>
          <w:rFonts w:cs="Times New Roman"/>
          <w:bCs/>
          <w:w w:val="108"/>
          <w:sz w:val="18"/>
          <w:szCs w:val="18"/>
        </w:rPr>
        <w:fldChar w:fldCharType="separate"/>
      </w:r>
      <w:r w:rsidR="00610CB5" w:rsidRPr="00F338AB">
        <w:rPr>
          <w:rFonts w:cs="Times New Roman"/>
          <w:bCs/>
          <w:noProof/>
          <w:w w:val="108"/>
          <w:sz w:val="18"/>
          <w:szCs w:val="18"/>
          <w:vertAlign w:val="superscript"/>
        </w:rPr>
        <w:t>61,62</w:t>
      </w:r>
      <w:r w:rsidR="00610CB5" w:rsidRPr="00F338AB">
        <w:rPr>
          <w:rFonts w:cs="Times New Roman"/>
          <w:bCs/>
          <w:w w:val="108"/>
          <w:sz w:val="18"/>
          <w:szCs w:val="18"/>
        </w:rPr>
        <w:fldChar w:fldCharType="end"/>
      </w:r>
      <w:r w:rsidR="00610CB5" w:rsidRPr="00F338AB">
        <w:rPr>
          <w:rFonts w:cs="Times New Roman"/>
          <w:bCs/>
          <w:w w:val="108"/>
          <w:sz w:val="18"/>
          <w:szCs w:val="18"/>
        </w:rPr>
        <w:t xml:space="preserve">The similar luminescence quantum yields of the compounds </w:t>
      </w:r>
      <w:r w:rsidR="00610CB5" w:rsidRPr="00F338AB">
        <w:rPr>
          <w:rFonts w:cs="Times New Roman"/>
          <w:b/>
          <w:w w:val="108"/>
          <w:sz w:val="18"/>
          <w:szCs w:val="18"/>
        </w:rPr>
        <w:t>1</w:t>
      </w:r>
      <w:r w:rsidR="00610CB5" w:rsidRPr="00F338AB">
        <w:rPr>
          <w:rFonts w:cs="Times New Roman"/>
          <w:bCs/>
          <w:w w:val="108"/>
          <w:sz w:val="18"/>
          <w:szCs w:val="18"/>
        </w:rPr>
        <w:t xml:space="preserve"> and </w:t>
      </w:r>
      <w:r w:rsidR="00610CB5" w:rsidRPr="00F338AB">
        <w:rPr>
          <w:rFonts w:cs="Times New Roman"/>
          <w:b/>
          <w:w w:val="108"/>
          <w:sz w:val="18"/>
          <w:szCs w:val="18"/>
        </w:rPr>
        <w:t>2</w:t>
      </w:r>
      <w:r w:rsidR="00610CB5" w:rsidRPr="00F338AB">
        <w:rPr>
          <w:rFonts w:cs="Times New Roman"/>
          <w:bCs/>
          <w:w w:val="108"/>
          <w:sz w:val="18"/>
          <w:szCs w:val="18"/>
        </w:rPr>
        <w:t xml:space="preserve"> (</w:t>
      </w:r>
      <w:r w:rsidR="00610CB5" w:rsidRPr="00F338AB">
        <w:rPr>
          <w:rFonts w:cs="Times New Roman"/>
          <w:bCs/>
          <w:i/>
          <w:iCs/>
          <w:w w:val="108"/>
          <w:sz w:val="18"/>
          <w:szCs w:val="18"/>
        </w:rPr>
        <w:sym w:font="Symbol" w:char="F07E"/>
      </w:r>
      <w:r w:rsidR="00610CB5" w:rsidRPr="00F338AB">
        <w:rPr>
          <w:rFonts w:cs="Times New Roman"/>
          <w:bCs/>
          <w:w w:val="108"/>
          <w:sz w:val="18"/>
          <w:szCs w:val="18"/>
        </w:rPr>
        <w:t xml:space="preserve"> 9.0% in non-acidic media) contrast with the shorter excited-state lifetime measured, in going from </w:t>
      </w:r>
      <w:r w:rsidR="00610CB5" w:rsidRPr="00F338AB">
        <w:rPr>
          <w:rFonts w:cs="Times New Roman"/>
          <w:b/>
          <w:w w:val="108"/>
          <w:sz w:val="18"/>
          <w:szCs w:val="18"/>
        </w:rPr>
        <w:t>1</w:t>
      </w:r>
      <w:r w:rsidR="00610CB5" w:rsidRPr="00F338AB">
        <w:rPr>
          <w:rFonts w:cs="Times New Roman"/>
          <w:bCs/>
          <w:w w:val="108"/>
          <w:sz w:val="18"/>
          <w:szCs w:val="18"/>
        </w:rPr>
        <w:t xml:space="preserve"> to </w:t>
      </w:r>
      <w:r w:rsidR="00610CB5" w:rsidRPr="00F338AB">
        <w:rPr>
          <w:rFonts w:cs="Times New Roman"/>
          <w:b/>
          <w:w w:val="108"/>
          <w:sz w:val="18"/>
          <w:szCs w:val="18"/>
        </w:rPr>
        <w:t>2</w:t>
      </w:r>
      <w:r w:rsidR="00610CB5" w:rsidRPr="00F338AB">
        <w:rPr>
          <w:rFonts w:cs="Times New Roman"/>
          <w:bCs/>
          <w:w w:val="108"/>
          <w:sz w:val="18"/>
          <w:szCs w:val="18"/>
        </w:rPr>
        <w:t xml:space="preserve">, highlighting a concomitant increase of the deactivation rate constants for the spin-flip emission in complex </w:t>
      </w:r>
      <w:r w:rsidR="00610CB5" w:rsidRPr="00F338AB">
        <w:rPr>
          <w:rFonts w:cs="Times New Roman"/>
          <w:b/>
          <w:w w:val="108"/>
          <w:sz w:val="18"/>
          <w:szCs w:val="18"/>
        </w:rPr>
        <w:t>2</w:t>
      </w:r>
      <w:r w:rsidR="00610CB5" w:rsidRPr="00F338AB">
        <w:rPr>
          <w:rFonts w:cs="Times New Roman"/>
          <w:bCs/>
          <w:w w:val="108"/>
          <w:sz w:val="18"/>
          <w:szCs w:val="18"/>
        </w:rPr>
        <w:t xml:space="preserve"> (Fig. 2d). The radiative rate for the low energy </w:t>
      </w:r>
      <w:r w:rsidR="00610CB5" w:rsidRPr="00F338AB">
        <w:rPr>
          <w:rFonts w:cs="Times New Roman"/>
          <w:bCs/>
          <w:w w:val="108"/>
          <w:sz w:val="18"/>
          <w:szCs w:val="18"/>
          <w:vertAlign w:val="superscript"/>
        </w:rPr>
        <w:t>2</w:t>
      </w:r>
      <w:r w:rsidR="00610CB5" w:rsidRPr="00F338AB">
        <w:rPr>
          <w:rFonts w:cs="Times New Roman"/>
          <w:bCs/>
          <w:w w:val="108"/>
          <w:sz w:val="18"/>
          <w:szCs w:val="18"/>
        </w:rPr>
        <w:t xml:space="preserve">MC excited state, </w:t>
      </w:r>
      <w:proofErr w:type="spellStart"/>
      <w:r w:rsidR="00610CB5" w:rsidRPr="00F338AB">
        <w:rPr>
          <w:rFonts w:cs="Times New Roman"/>
          <w:bCs/>
          <w:i/>
          <w:iCs/>
          <w:w w:val="108"/>
          <w:sz w:val="18"/>
          <w:szCs w:val="18"/>
        </w:rPr>
        <w:t>k</w:t>
      </w:r>
      <w:r w:rsidR="00635350" w:rsidRPr="00F338AB">
        <w:rPr>
          <w:rFonts w:cs="Times New Roman"/>
          <w:bCs/>
          <w:w w:val="108"/>
          <w:sz w:val="18"/>
          <w:szCs w:val="18"/>
          <w:vertAlign w:val="subscript"/>
        </w:rPr>
        <w:t>Cr,</w:t>
      </w:r>
      <w:r w:rsidR="00610CB5" w:rsidRPr="00F338AB">
        <w:rPr>
          <w:rFonts w:cs="Times New Roman"/>
          <w:bCs/>
          <w:w w:val="108"/>
          <w:sz w:val="18"/>
          <w:szCs w:val="18"/>
          <w:vertAlign w:val="subscript"/>
        </w:rPr>
        <w:t>rad</w:t>
      </w:r>
      <w:proofErr w:type="spellEnd"/>
      <m:oMath>
        <m:r>
          <m:rPr>
            <m:sty m:val="bi"/>
          </m:rPr>
          <w:rPr>
            <w:rFonts w:ascii="Cambria Math" w:hAnsi="Cambria Math" w:cs="Times New Roman"/>
            <w:w w:val="108"/>
            <w:sz w:val="18"/>
            <w:szCs w:val="18"/>
          </w:rPr>
          <m:t>,</m:t>
        </m:r>
      </m:oMath>
      <w:r w:rsidR="00610CB5" w:rsidRPr="00F338AB">
        <w:rPr>
          <w:rFonts w:cs="Times New Roman"/>
          <w:bCs/>
          <w:w w:val="108"/>
          <w:sz w:val="18"/>
          <w:szCs w:val="18"/>
        </w:rPr>
        <w:t xml:space="preserve"> has been estimated assuming that the intersystem crossing </w:t>
      </w:r>
      <w:r w:rsidR="00610CB5" w:rsidRPr="00F338AB">
        <w:rPr>
          <w:rFonts w:cs="Times New Roman"/>
          <w:bCs/>
          <w:w w:val="108"/>
          <w:sz w:val="18"/>
          <w:szCs w:val="18"/>
        </w:rPr>
        <w:t xml:space="preserve">between the </w:t>
      </w:r>
      <w:r w:rsidR="00610CB5" w:rsidRPr="00F338AB">
        <w:rPr>
          <w:rFonts w:cs="Times New Roman"/>
          <w:bCs/>
          <w:w w:val="108"/>
          <w:sz w:val="18"/>
          <w:szCs w:val="18"/>
          <w:vertAlign w:val="superscript"/>
        </w:rPr>
        <w:t>4</w:t>
      </w:r>
      <w:r w:rsidR="00610CB5" w:rsidRPr="00F338AB">
        <w:rPr>
          <w:rFonts w:cs="Times New Roman"/>
          <w:bCs/>
          <w:w w:val="108"/>
          <w:sz w:val="18"/>
          <w:szCs w:val="18"/>
        </w:rPr>
        <w:t xml:space="preserve">MC and </w:t>
      </w:r>
      <w:r w:rsidR="00610CB5" w:rsidRPr="00F338AB">
        <w:rPr>
          <w:rFonts w:cs="Times New Roman"/>
          <w:bCs/>
          <w:w w:val="108"/>
          <w:sz w:val="18"/>
          <w:szCs w:val="18"/>
          <w:vertAlign w:val="superscript"/>
        </w:rPr>
        <w:t>2</w:t>
      </w:r>
      <w:r w:rsidR="00610CB5" w:rsidRPr="00F338AB">
        <w:rPr>
          <w:rFonts w:cs="Times New Roman"/>
          <w:bCs/>
          <w:w w:val="108"/>
          <w:sz w:val="18"/>
          <w:szCs w:val="18"/>
        </w:rPr>
        <w:t xml:space="preserve">MC states is close to unity (i.e. </w:t>
      </w:r>
      <w:r w:rsidR="00610CB5" w:rsidRPr="00F338AB">
        <w:rPr>
          <w:rFonts w:cs="Times New Roman"/>
          <w:bCs/>
          <w:w w:val="108"/>
          <w:sz w:val="18"/>
          <w:szCs w:val="18"/>
        </w:rPr>
        <w:sym w:font="Symbol" w:char="F068"/>
      </w:r>
      <w:r w:rsidR="00610CB5" w:rsidRPr="00F338AB">
        <w:rPr>
          <w:rFonts w:cs="Times New Roman"/>
          <w:bCs/>
          <w:w w:val="108"/>
          <w:sz w:val="18"/>
          <w:szCs w:val="18"/>
        </w:rPr>
        <w:t>=1 in Eq.1).</w:t>
      </w:r>
      <w:r w:rsidR="00610CB5" w:rsidRPr="00F338AB">
        <w:rPr>
          <w:rFonts w:cs="Times New Roman"/>
          <w:b/>
          <w:bCs/>
          <w:w w:val="108"/>
          <w:sz w:val="18"/>
          <w:szCs w:val="18"/>
        </w:rPr>
        <w:fldChar w:fldCharType="begin" w:fldLock="1"/>
      </w:r>
      <w:r w:rsidR="00610CB5" w:rsidRPr="00F338AB">
        <w:rPr>
          <w:rFonts w:cs="Times New Roman"/>
          <w:bCs/>
          <w:w w:val="108"/>
          <w:sz w:val="18"/>
          <w:szCs w:val="18"/>
        </w:rPr>
        <w:instrText>ADDIN CSL_CITATION {"citationItems":[{"id":"ITEM-1","itemData":{"DOI":"10.3390/molecules28041668","ISSN":"14203049","PMID":"36838661","abstract":"The introduction of strong-field ligands can enable luminescence in first-row transition-metal complexes. In this way, earth-abundant near-infrared emitters can be obtained using early 3d metals. A prime example is the molecular ruby [Cr(ddpd)2]3+ (ddpd = N,N′-dimethyl-N,N′-dipyridin-2-ylpyridine-2,6-diamine) that can achieve high phosphorescence quantum yields at room temperature in aqueous solution. To understand these remarkable properties, here, we simulate its photodynamics in water using trajectory surface hopping on linear vibronic coupling potentials parametrized from multiconfigurational CASSCF/CASPT2 calculations. We find that after excitation to the second absorption band, a relaxation cascade through metal-centered states occurs. After an initial back-and-forth intersystem crossing with higher-lying doublet states, the complex relaxes through a manifold of quartet metal-centered states to the low-lying doublet metal-centered states which are responsible for the experimentally observed emission. These electronic processes are driven by an elongation of the Cr–ligand bond lengths as well as the twisting motion of the trans-coordinated pyridine units in the ddpd ligands. The low-lying doublet states are reached within 1–2 ps and are close in geometry to the doublet minima, thus explaining the high phosphorescence quantum yield of the molecular ruby [Cr(ddpd)2]3+.","author":[{"dropping-particle":"","family":"Zobel","given":"J. Patrick","non-dropping-particle":"","parse-names":false,"suffix":""},{"dropping-particle":"","family":"Radatz","given":"Hanna","non-dropping-particle":"","parse-names":false,"suffix":""},{"dropping-particle":"","family":"González","given":"Leticia","non-dropping-particle":"","parse-names":false,"suffix":""}],"container-title":"Molecules","id":"ITEM-1","issue":"4","issued":{"date-parts":[["2023"]]},"title":"Photodynamics of the Molecular Ruby [Cr(ddpd)2]3+","type":"article-journal","volume":"28"},"uris":["http://www.mendeley.com/documents/?uuid=4e378ba6-59f8-4bee-9125-8a173901f049"]},{"id":"ITEM-2","itemData":{"DOI":"10.1021/jacs.1c05971","author":[{"dropping-particle":"","family":"Reichenauer","given":"Florian","non-dropping-particle":"","parse-names":false,"suffix":""},{"dropping-particle":"","family":"Wang","given":"Cui","non-dropping-particle":"","parse-names":false,"suffix":""},{"dropping-particle":"","family":"Christoph","given":"F","non-dropping-particle":"","parse-names":false,"suffix":""},{"dropping-particle":"","family":"Boden","given":"Pit","non-dropping-particle":"","parse-names":false,"suffix":""},{"dropping-particle":"","family":"Ugur","given":"Naz","non-dropping-particle":"","parse-names":false,"suffix":""},{"dropping-particle":"","family":"Ricardo","given":"B","non-dropping-particle":"","parse-names":false,"suffix":""},{"dropping-particle":"","family":"Kalmbach","given":"Jens","non-dropping-particle":"","parse-names":false,"suffix":""},{"dropping-particle":"","family":"Carrella","given":"Luca M","non-dropping-particle":"","parse-names":false,"suffix":""},{"dropping-particle":"","family":"Rentschler","given":"Eva","non-dropping-particle":"","parse-names":false,"suffix":""},{"dropping-particle":"","family":"Ramanan","given":"Charusheela","non-dropping-particle":"","parse-names":false,"suffix":""},{"dropping-particle":"","family":"Niedner-schatteburg","given":"Gereon","non-dropping-particle":"","parse-names":false,"suffix":""},{"dropping-particle":"","family":"Gerhards","given":"Markus","non-dropping-particle":"","parse-names":false,"suffix":""},{"dropping-particle":"","family":"Seitz","given":"Michael","non-dropping-particle":"","parse-names":false,"suffix":""},{"dropping-particle":"","family":"Resch-genger","given":"Ute","non-dropping-particle":"","parse-names":false,"suffix":""},{"dropping-particle":"","family":"Heinze","given":"Katja","non-dropping-particle":"","parse-names":false,"suffix":""}],"container-title":"J. Am. Chem. Soc","id":"ITEM-2","issue":"11843-11855","issued":{"date-parts":[["2021"]]},"title":"Strongly Red-Emissive Molecular Ruby [Cr(bpmp) 2 ] 3+ Surpasses [Ru(bpy) 3 ] 2+","type":"article-journal","volume":"143"},"uris":["http://www.mendeley.com/documents/?uuid=9d14db5d-daf5-4448-872a-c5e2b9bd7aac"]},{"id":"ITEM-3","itemData":{"DOI":"10.1021/jacs.3c01543","ISSN":"15205126","PMID":"37224437","abstract":"A detailed understanding of the dynamics of photoinduced processes occurring in the electronic excited state is essential in informing the rational design of photoactive transition-metal complexes. Here, the rate of intersystem crossing in a Cr(III)-centered spin-flip emitter is directly determined through the use of ultrafast broadband fluorescence upconversion spectroscopy (FLUPS). In this contribution, we combine 1,2,3-triazole-based ligands with a Cr(III) center and report the solution-stable complex [Cr(btmp)2]3+ (btmp = 2,6-bis(4-phenyl-1,2,3-triazol-1-yl-methyl)pyridine) (13+), which displays near-infrared (NIR) luminescence at 760 nm (τ = 13.7 μs, ϕ = 0.1%) in fluid solution. The excited-state properties of 13+ are probed in detail through a combination of ultrafast transient absorption (TA) and femtosecond-to-picosecond FLUPS. Although TA spectroscopy allows us to observe the evolution of phosphorescent excited states within the doublet manifold, more significantly and for the first time for a complex of Cr(III), we utilize FLUPS to capture the short-lived fluorescence from initially populated quartet excited states immediately prior to the intersystem crossing process. The decay of fluorescence from the low-lying 4MC state therefore allows us to assign a value of (823 fs)−1 to the rate of intersystem crossing. Importantly, the sensitivity of FLUPS to only luminescent states allows us to disentangle the rate of intersystem crossing from other closely associated excited-state events, something which has not been possible in the spectroscopic studies previously reported for luminescent Cr(III) systems.","author":[{"dropping-particle":"","family":"Jones","given":"Robert W","non-dropping-particle":"","parse-names":false,"suffix":""},{"dropping-particle":"","family":"Auty","given":"Alexander J","non-dropping-particle":"","parse-names":false,"suffix":""},{"dropping-particle":"","family":"Wu","given":"Guanzhi","non-dropping-particle":"","parse-names":false,"suffix":""},{"dropping-particle":"","family":"Persson","given":"Petter","non-dropping-particle":"","parse-names":false,"suffix":""},{"dropping-particle":"V","family":"Appleby","given":"Martin","non-dropping-particle":"","parse-names":false,"suffix":""},{"dropping-particle":"","family":"Chekulaev","given":"Dimitri","non-dropping-particle":"","parse-names":false,"suffix":""},{"dropping-particle":"","family":"Rice","given":"Craig R","non-dropping-particle":"","parse-names":false,"suffix":""},{"dropping-particle":"","family":"Weinstein","given":"Julia A","non-dropping-particle":"","parse-names":false,"suffix":""},{"dropping-particle":"","family":"Elliott","given":"Paul I.P.","non-dropping-particle":"","parse-names":false,"suffix":""},{"dropping-particle":"","family":"Scattergood","given":"Paul A","non-dropping-particle":"","parse-names":false,"suffix":""}],"container-title":"Journal of the American Chemical Society","id":"ITEM-3","issued":{"date-parts":[["2023"]]},"page":"12081-12092","title":"Direct Determination of the Rate of Intersystem Crossing in a Near-IR Luminescent Cr(III) Triazolyl Complex","type":"article-journal","volume":"145"},"uris":["http://www.mendeley.com/documents/?uuid=8c880c1f-848d-422a-bae8-b73fecd99327"]}],"mendeley":{"formattedCitation":"&lt;sup&gt;44,45,63&lt;/sup&gt;","plainTextFormattedCitation":"44,45,63","previouslyFormattedCitation":"&lt;sup&gt;44,45,63&lt;/sup&gt;"},"properties":{"noteIndex":0},"schema":"https://github.com/citation-style-language/schema/raw/master/csl-citation.json"}</w:instrText>
      </w:r>
      <w:r w:rsidR="00610CB5" w:rsidRPr="00F338AB">
        <w:rPr>
          <w:rFonts w:cs="Times New Roman"/>
          <w:b/>
          <w:bCs/>
          <w:w w:val="108"/>
          <w:sz w:val="18"/>
          <w:szCs w:val="18"/>
        </w:rPr>
        <w:fldChar w:fldCharType="separate"/>
      </w:r>
      <w:r w:rsidR="00610CB5" w:rsidRPr="00F338AB">
        <w:rPr>
          <w:rFonts w:cs="Times New Roman"/>
          <w:bCs/>
          <w:noProof/>
          <w:w w:val="108"/>
          <w:sz w:val="18"/>
          <w:szCs w:val="18"/>
          <w:vertAlign w:val="superscript"/>
        </w:rPr>
        <w:t>44,45,63</w:t>
      </w:r>
      <w:r w:rsidR="00610CB5" w:rsidRPr="00F338AB">
        <w:rPr>
          <w:rFonts w:cs="Times New Roman"/>
          <w:b/>
          <w:bCs/>
          <w:w w:val="108"/>
          <w:sz w:val="18"/>
          <w:szCs w:val="18"/>
        </w:rPr>
        <w:fldChar w:fldCharType="end"/>
      </w:r>
      <w:r w:rsidR="00610CB5" w:rsidRPr="00F338AB">
        <w:rPr>
          <w:rFonts w:cs="Times New Roman"/>
          <w:bCs/>
          <w:w w:val="108"/>
          <w:sz w:val="18"/>
          <w:szCs w:val="18"/>
        </w:rPr>
        <w:t xml:space="preserve"> The computed values of 74 s</w:t>
      </w:r>
      <w:r w:rsidR="00610CB5" w:rsidRPr="00F338AB">
        <w:rPr>
          <w:rFonts w:cs="Times New Roman"/>
          <w:bCs/>
          <w:w w:val="108"/>
          <w:sz w:val="18"/>
          <w:szCs w:val="18"/>
          <w:vertAlign w:val="superscript"/>
        </w:rPr>
        <w:t>−1</w:t>
      </w:r>
      <w:r w:rsidR="00610CB5" w:rsidRPr="00F338AB">
        <w:rPr>
          <w:rFonts w:cs="Times New Roman"/>
          <w:bCs/>
          <w:w w:val="108"/>
          <w:sz w:val="18"/>
          <w:szCs w:val="18"/>
        </w:rPr>
        <w:t xml:space="preserve"> and 135 s</w:t>
      </w:r>
      <w:r w:rsidR="00610CB5" w:rsidRPr="00F338AB">
        <w:rPr>
          <w:rFonts w:cs="Times New Roman"/>
          <w:bCs/>
          <w:w w:val="108"/>
          <w:sz w:val="18"/>
          <w:szCs w:val="18"/>
          <w:vertAlign w:val="superscript"/>
        </w:rPr>
        <w:t>-1</w:t>
      </w:r>
      <w:r w:rsidR="00610CB5" w:rsidRPr="00F338AB">
        <w:rPr>
          <w:rFonts w:cs="Times New Roman"/>
          <w:bCs/>
          <w:w w:val="108"/>
          <w:sz w:val="18"/>
          <w:szCs w:val="18"/>
        </w:rPr>
        <w:t xml:space="preserve"> for </w:t>
      </w:r>
      <w:r w:rsidR="00610CB5" w:rsidRPr="00F338AB">
        <w:rPr>
          <w:rFonts w:cs="Times New Roman"/>
          <w:b/>
          <w:w w:val="108"/>
          <w:sz w:val="18"/>
          <w:szCs w:val="18"/>
        </w:rPr>
        <w:t>1</w:t>
      </w:r>
      <w:r w:rsidR="00610CB5" w:rsidRPr="00F338AB">
        <w:rPr>
          <w:rFonts w:cs="Times New Roman"/>
          <w:bCs/>
          <w:w w:val="108"/>
          <w:sz w:val="18"/>
          <w:szCs w:val="18"/>
        </w:rPr>
        <w:t xml:space="preserve"> and </w:t>
      </w:r>
      <w:r w:rsidR="00610CB5" w:rsidRPr="00F338AB">
        <w:rPr>
          <w:rFonts w:cs="Times New Roman"/>
          <w:b/>
          <w:w w:val="108"/>
          <w:sz w:val="18"/>
          <w:szCs w:val="18"/>
        </w:rPr>
        <w:t>3</w:t>
      </w:r>
      <w:r w:rsidR="00610CB5" w:rsidRPr="00F338AB">
        <w:rPr>
          <w:rFonts w:cs="Times New Roman"/>
          <w:bCs/>
          <w:w w:val="108"/>
          <w:sz w:val="18"/>
          <w:szCs w:val="18"/>
        </w:rPr>
        <w:t xml:space="preserve"> are larger than those found in [Cr(</w:t>
      </w:r>
      <w:proofErr w:type="spellStart"/>
      <w:r w:rsidR="00610CB5" w:rsidRPr="00F338AB">
        <w:rPr>
          <w:rFonts w:cs="Times New Roman"/>
          <w:bCs/>
          <w:w w:val="108"/>
          <w:sz w:val="18"/>
          <w:szCs w:val="18"/>
        </w:rPr>
        <w:t>tpe</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2</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w:t>
      </w:r>
      <w:proofErr w:type="spellStart"/>
      <w:r w:rsidR="00610CB5" w:rsidRPr="00F338AB">
        <w:rPr>
          <w:rFonts w:cs="Times New Roman"/>
          <w:bCs/>
          <w:i/>
          <w:iCs/>
          <w:w w:val="108"/>
          <w:sz w:val="18"/>
          <w:szCs w:val="18"/>
        </w:rPr>
        <w:t>k</w:t>
      </w:r>
      <w:r w:rsidR="00610CB5" w:rsidRPr="00F338AB">
        <w:rPr>
          <w:rFonts w:cs="Times New Roman"/>
          <w:bCs/>
          <w:w w:val="108"/>
          <w:sz w:val="18"/>
          <w:szCs w:val="18"/>
          <w:vertAlign w:val="subscript"/>
        </w:rPr>
        <w:t>Cr,rad</w:t>
      </w:r>
      <w:proofErr w:type="spellEnd"/>
      <w:r w:rsidR="00610CB5" w:rsidRPr="00F338AB">
        <w:rPr>
          <w:rFonts w:cs="Times New Roman"/>
          <w:bCs/>
          <w:w w:val="108"/>
          <w:sz w:val="18"/>
          <w:szCs w:val="18"/>
          <w:vertAlign w:val="subscript"/>
        </w:rPr>
        <w:t xml:space="preserve"> </w:t>
      </w:r>
      <w:r w:rsidR="00610CB5" w:rsidRPr="00F338AB">
        <w:rPr>
          <w:rFonts w:cs="Times New Roman"/>
          <w:bCs/>
          <w:w w:val="108"/>
          <w:sz w:val="18"/>
          <w:szCs w:val="18"/>
        </w:rPr>
        <w:t>= 23-18 s</w:t>
      </w:r>
      <w:r w:rsidR="00610CB5" w:rsidRPr="00F338AB">
        <w:rPr>
          <w:rFonts w:cs="Times New Roman"/>
          <w:bCs/>
          <w:w w:val="108"/>
          <w:sz w:val="18"/>
          <w:szCs w:val="18"/>
          <w:vertAlign w:val="superscript"/>
        </w:rPr>
        <w:t>-1</w:t>
      </w:r>
      <w:r w:rsidR="00610CB5" w:rsidRPr="00F338AB">
        <w:rPr>
          <w:rFonts w:cs="Times New Roman"/>
          <w:bCs/>
          <w:w w:val="108"/>
          <w:sz w:val="18"/>
          <w:szCs w:val="18"/>
        </w:rPr>
        <w:t>), [Cr(CN)</w:t>
      </w:r>
      <w:r w:rsidR="00610CB5" w:rsidRPr="00F338AB">
        <w:rPr>
          <w:rFonts w:cs="Times New Roman"/>
          <w:bCs/>
          <w:w w:val="108"/>
          <w:sz w:val="18"/>
          <w:szCs w:val="18"/>
          <w:vertAlign w:val="subscript"/>
        </w:rPr>
        <w:t>6</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w:t>
      </w:r>
      <w:proofErr w:type="spellStart"/>
      <w:r w:rsidR="00610CB5" w:rsidRPr="00F338AB">
        <w:rPr>
          <w:rFonts w:cs="Times New Roman"/>
          <w:bCs/>
          <w:i/>
          <w:iCs/>
          <w:w w:val="108"/>
          <w:sz w:val="18"/>
          <w:szCs w:val="18"/>
        </w:rPr>
        <w:t>k</w:t>
      </w:r>
      <w:r w:rsidR="00610CB5" w:rsidRPr="00F338AB">
        <w:rPr>
          <w:rFonts w:cs="Times New Roman"/>
          <w:bCs/>
          <w:w w:val="108"/>
          <w:sz w:val="18"/>
          <w:szCs w:val="18"/>
          <w:vertAlign w:val="subscript"/>
        </w:rPr>
        <w:t>Cr,rad</w:t>
      </w:r>
      <w:proofErr w:type="spellEnd"/>
      <w:r w:rsidR="00610CB5" w:rsidRPr="00F338AB">
        <w:rPr>
          <w:rFonts w:cs="Times New Roman"/>
          <w:bCs/>
          <w:w w:val="108"/>
          <w:sz w:val="18"/>
          <w:szCs w:val="18"/>
          <w:vertAlign w:val="subscript"/>
        </w:rPr>
        <w:t xml:space="preserve"> </w:t>
      </w:r>
      <w:r w:rsidR="00610CB5" w:rsidRPr="00F338AB">
        <w:rPr>
          <w:rFonts w:cs="Times New Roman"/>
          <w:bCs/>
          <w:w w:val="108"/>
          <w:sz w:val="18"/>
          <w:szCs w:val="18"/>
        </w:rPr>
        <w:t>= 25 s</w:t>
      </w:r>
      <w:r w:rsidR="00610CB5" w:rsidRPr="00F338AB">
        <w:rPr>
          <w:rFonts w:cs="Times New Roman"/>
          <w:bCs/>
          <w:w w:val="108"/>
          <w:sz w:val="18"/>
          <w:szCs w:val="18"/>
          <w:vertAlign w:val="superscript"/>
        </w:rPr>
        <w:t>-1</w:t>
      </w:r>
      <w:r w:rsidR="00610CB5" w:rsidRPr="00F338AB">
        <w:rPr>
          <w:rFonts w:cs="Times New Roman"/>
          <w:bCs/>
          <w:w w:val="108"/>
          <w:sz w:val="18"/>
          <w:szCs w:val="18"/>
        </w:rPr>
        <w:t>) and [Cr(</w:t>
      </w:r>
      <w:proofErr w:type="spellStart"/>
      <w:r w:rsidR="00610CB5" w:rsidRPr="00F338AB">
        <w:rPr>
          <w:rFonts w:cs="Times New Roman"/>
          <w:bCs/>
          <w:w w:val="108"/>
          <w:sz w:val="18"/>
          <w:szCs w:val="18"/>
        </w:rPr>
        <w:t>phen</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3</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w:t>
      </w:r>
      <w:proofErr w:type="spellStart"/>
      <w:r w:rsidR="00610CB5" w:rsidRPr="00F338AB">
        <w:rPr>
          <w:rFonts w:cs="Times New Roman"/>
          <w:bCs/>
          <w:i/>
          <w:iCs/>
          <w:w w:val="108"/>
          <w:sz w:val="18"/>
          <w:szCs w:val="18"/>
        </w:rPr>
        <w:t>k</w:t>
      </w:r>
      <w:r w:rsidR="00610CB5" w:rsidRPr="00F338AB">
        <w:rPr>
          <w:rFonts w:cs="Times New Roman"/>
          <w:bCs/>
          <w:w w:val="108"/>
          <w:sz w:val="18"/>
          <w:szCs w:val="18"/>
          <w:vertAlign w:val="subscript"/>
        </w:rPr>
        <w:t>Cr,rad</w:t>
      </w:r>
      <w:proofErr w:type="spellEnd"/>
      <w:r w:rsidR="00610CB5" w:rsidRPr="00F338AB">
        <w:rPr>
          <w:rFonts w:cs="Times New Roman"/>
          <w:bCs/>
          <w:w w:val="108"/>
          <w:sz w:val="18"/>
          <w:szCs w:val="18"/>
        </w:rPr>
        <w:t xml:space="preserve"> = 32-43 s</w:t>
      </w:r>
      <w:r w:rsidR="00610CB5" w:rsidRPr="00F338AB">
        <w:rPr>
          <w:rFonts w:cs="Times New Roman"/>
          <w:bCs/>
          <w:w w:val="108"/>
          <w:sz w:val="18"/>
          <w:szCs w:val="18"/>
          <w:vertAlign w:val="superscript"/>
        </w:rPr>
        <w:t>-1</w:t>
      </w:r>
      <w:r w:rsidR="00610CB5" w:rsidRPr="00F338AB">
        <w:rPr>
          <w:rFonts w:cs="Times New Roman"/>
          <w:bCs/>
          <w:w w:val="108"/>
          <w:sz w:val="18"/>
          <w:szCs w:val="18"/>
        </w:rPr>
        <w:t>), and similar to the related complexes such as [Cr(</w:t>
      </w:r>
      <w:proofErr w:type="spellStart"/>
      <w:r w:rsidR="00610CB5" w:rsidRPr="00F338AB">
        <w:rPr>
          <w:rFonts w:cs="Times New Roman"/>
          <w:bCs/>
          <w:w w:val="108"/>
          <w:sz w:val="18"/>
          <w:szCs w:val="18"/>
        </w:rPr>
        <w:t>dqp</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2</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w:t>
      </w:r>
      <w:proofErr w:type="spellStart"/>
      <w:r w:rsidR="00610CB5" w:rsidRPr="00F338AB">
        <w:rPr>
          <w:rFonts w:cs="Times New Roman"/>
          <w:bCs/>
          <w:i/>
          <w:iCs/>
          <w:w w:val="108"/>
          <w:sz w:val="18"/>
          <w:szCs w:val="18"/>
        </w:rPr>
        <w:t>k</w:t>
      </w:r>
      <w:r w:rsidR="00610CB5" w:rsidRPr="00F338AB">
        <w:rPr>
          <w:rFonts w:cs="Times New Roman"/>
          <w:bCs/>
          <w:w w:val="108"/>
          <w:sz w:val="18"/>
          <w:szCs w:val="18"/>
          <w:vertAlign w:val="subscript"/>
        </w:rPr>
        <w:t>Cr,rad</w:t>
      </w:r>
      <w:proofErr w:type="spellEnd"/>
      <w:r w:rsidR="00610CB5" w:rsidRPr="00F338AB">
        <w:rPr>
          <w:rFonts w:cs="Times New Roman"/>
          <w:bCs/>
          <w:w w:val="108"/>
          <w:sz w:val="18"/>
          <w:szCs w:val="18"/>
        </w:rPr>
        <w:t xml:space="preserve"> = 29-98 s</w:t>
      </w:r>
      <w:r w:rsidR="00610CB5" w:rsidRPr="00F338AB">
        <w:rPr>
          <w:rFonts w:cs="Times New Roman"/>
          <w:bCs/>
          <w:w w:val="108"/>
          <w:sz w:val="18"/>
          <w:szCs w:val="18"/>
          <w:vertAlign w:val="superscript"/>
        </w:rPr>
        <w:t>-1</w:t>
      </w:r>
      <w:r w:rsidR="00610CB5" w:rsidRPr="00F338AB">
        <w:rPr>
          <w:rFonts w:cs="Times New Roman"/>
          <w:bCs/>
          <w:w w:val="108"/>
          <w:sz w:val="18"/>
          <w:szCs w:val="18"/>
        </w:rPr>
        <w:t>) and [Cr(</w:t>
      </w:r>
      <w:proofErr w:type="spellStart"/>
      <w:r w:rsidR="00610CB5" w:rsidRPr="00F338AB">
        <w:rPr>
          <w:rFonts w:cs="Times New Roman"/>
          <w:bCs/>
          <w:w w:val="108"/>
          <w:sz w:val="18"/>
          <w:szCs w:val="18"/>
        </w:rPr>
        <w:t>ddpd</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2</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w:t>
      </w:r>
      <w:proofErr w:type="spellStart"/>
      <w:r w:rsidR="00610CB5" w:rsidRPr="00F338AB">
        <w:rPr>
          <w:rFonts w:cs="Times New Roman"/>
          <w:bCs/>
          <w:i/>
          <w:iCs/>
          <w:w w:val="108"/>
          <w:sz w:val="18"/>
          <w:szCs w:val="18"/>
        </w:rPr>
        <w:t>k</w:t>
      </w:r>
      <w:r w:rsidR="00610CB5" w:rsidRPr="00F338AB">
        <w:rPr>
          <w:rFonts w:cs="Times New Roman"/>
          <w:bCs/>
          <w:w w:val="108"/>
          <w:sz w:val="18"/>
          <w:szCs w:val="18"/>
          <w:vertAlign w:val="subscript"/>
        </w:rPr>
        <w:t>Cr,rad</w:t>
      </w:r>
      <w:proofErr w:type="spellEnd"/>
      <w:r w:rsidR="00610CB5" w:rsidRPr="00F338AB">
        <w:rPr>
          <w:rFonts w:cs="Times New Roman"/>
          <w:bCs/>
          <w:w w:val="108"/>
          <w:sz w:val="18"/>
          <w:szCs w:val="18"/>
        </w:rPr>
        <w:t xml:space="preserve"> = 135 s</w:t>
      </w:r>
      <w:r w:rsidR="00610CB5" w:rsidRPr="00F338AB">
        <w:rPr>
          <w:rFonts w:cs="Times New Roman"/>
          <w:bCs/>
          <w:w w:val="108"/>
          <w:sz w:val="18"/>
          <w:szCs w:val="18"/>
          <w:vertAlign w:val="superscript"/>
        </w:rPr>
        <w:t>-1</w:t>
      </w:r>
      <w:r w:rsidR="00610CB5" w:rsidRPr="00F338AB">
        <w:rPr>
          <w:rFonts w:cs="Times New Roman"/>
          <w:bCs/>
          <w:w w:val="108"/>
          <w:sz w:val="18"/>
          <w:szCs w:val="18"/>
        </w:rPr>
        <w:t xml:space="preserve">). For </w:t>
      </w:r>
      <w:r w:rsidR="00610CB5" w:rsidRPr="00F338AB">
        <w:rPr>
          <w:rFonts w:cs="Times New Roman"/>
          <w:b/>
          <w:w w:val="108"/>
          <w:sz w:val="18"/>
          <w:szCs w:val="18"/>
        </w:rPr>
        <w:t>2</w:t>
      </w:r>
      <w:r w:rsidR="00610CB5" w:rsidRPr="00F338AB">
        <w:rPr>
          <w:rFonts w:cs="Times New Roman"/>
          <w:bCs/>
          <w:w w:val="108"/>
          <w:sz w:val="18"/>
          <w:szCs w:val="18"/>
        </w:rPr>
        <w:t>, a value of 271 s</w:t>
      </w:r>
      <w:r w:rsidR="00610CB5" w:rsidRPr="00F338AB">
        <w:rPr>
          <w:rFonts w:cs="Times New Roman"/>
          <w:bCs/>
          <w:w w:val="108"/>
          <w:sz w:val="18"/>
          <w:szCs w:val="18"/>
          <w:vertAlign w:val="superscript"/>
        </w:rPr>
        <w:t>−1</w:t>
      </w:r>
      <w:r w:rsidR="00610CB5" w:rsidRPr="00F338AB">
        <w:rPr>
          <w:rFonts w:cs="Times New Roman"/>
          <w:bCs/>
          <w:w w:val="108"/>
          <w:sz w:val="18"/>
          <w:szCs w:val="18"/>
        </w:rPr>
        <w:t xml:space="preserve"> has been calculated, which is significantly larger compared to the  [Cr(</w:t>
      </w:r>
      <w:proofErr w:type="spellStart"/>
      <w:r w:rsidR="00610CB5" w:rsidRPr="00F338AB">
        <w:rPr>
          <w:rFonts w:cs="Times New Roman"/>
          <w:bCs/>
          <w:w w:val="108"/>
          <w:sz w:val="18"/>
          <w:szCs w:val="18"/>
        </w:rPr>
        <w:t>dqp</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2</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and [Cr(</w:t>
      </w:r>
      <w:proofErr w:type="spellStart"/>
      <w:r w:rsidR="00610CB5" w:rsidRPr="00F338AB">
        <w:rPr>
          <w:rFonts w:cs="Times New Roman"/>
          <w:bCs/>
          <w:w w:val="108"/>
          <w:sz w:val="18"/>
          <w:szCs w:val="18"/>
        </w:rPr>
        <w:t>ddpd</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2</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and the closet structurally related [Cr(</w:t>
      </w:r>
      <w:proofErr w:type="spellStart"/>
      <w:r w:rsidR="00610CB5" w:rsidRPr="00F338AB">
        <w:rPr>
          <w:rFonts w:cs="Times New Roman"/>
          <w:bCs/>
          <w:w w:val="108"/>
          <w:sz w:val="18"/>
          <w:szCs w:val="18"/>
        </w:rPr>
        <w:t>bpmp</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2</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(131 s</w:t>
      </w:r>
      <w:r w:rsidR="00610CB5" w:rsidRPr="00F338AB">
        <w:rPr>
          <w:rFonts w:cs="Times New Roman"/>
          <w:bCs/>
          <w:w w:val="108"/>
          <w:sz w:val="18"/>
          <w:szCs w:val="18"/>
          <w:vertAlign w:val="superscript"/>
        </w:rPr>
        <w:t>-1</w:t>
      </w:r>
      <w:r w:rsidR="00610CB5" w:rsidRPr="00F338AB">
        <w:rPr>
          <w:rFonts w:cs="Times New Roman"/>
          <w:bCs/>
          <w:w w:val="108"/>
          <w:sz w:val="18"/>
          <w:szCs w:val="18"/>
        </w:rPr>
        <w:t>) and [Cr(</w:t>
      </w:r>
      <w:proofErr w:type="spellStart"/>
      <w:r w:rsidR="00610CB5" w:rsidRPr="00F338AB">
        <w:rPr>
          <w:rFonts w:cs="Times New Roman"/>
          <w:bCs/>
          <w:w w:val="108"/>
          <w:sz w:val="18"/>
          <w:szCs w:val="18"/>
        </w:rPr>
        <w:t>btmp</w:t>
      </w:r>
      <w:proofErr w:type="spellEnd"/>
      <w:r w:rsidR="00610CB5" w:rsidRPr="00F338AB">
        <w:rPr>
          <w:rFonts w:cs="Times New Roman"/>
          <w:bCs/>
          <w:w w:val="108"/>
          <w:sz w:val="18"/>
          <w:szCs w:val="18"/>
        </w:rPr>
        <w:t>)</w:t>
      </w:r>
      <w:r w:rsidR="00610CB5" w:rsidRPr="00F338AB">
        <w:rPr>
          <w:rFonts w:cs="Times New Roman"/>
          <w:bCs/>
          <w:w w:val="108"/>
          <w:sz w:val="18"/>
          <w:szCs w:val="18"/>
          <w:vertAlign w:val="subscript"/>
        </w:rPr>
        <w:t>2</w:t>
      </w:r>
      <w:r w:rsidR="00610CB5" w:rsidRPr="00F338AB">
        <w:rPr>
          <w:rFonts w:cs="Times New Roman"/>
          <w:bCs/>
          <w:w w:val="108"/>
          <w:sz w:val="18"/>
          <w:szCs w:val="18"/>
        </w:rPr>
        <w:t>]</w:t>
      </w:r>
      <w:r w:rsidR="00610CB5" w:rsidRPr="00F338AB">
        <w:rPr>
          <w:rFonts w:cs="Times New Roman"/>
          <w:bCs/>
          <w:w w:val="108"/>
          <w:sz w:val="18"/>
          <w:szCs w:val="18"/>
          <w:vertAlign w:val="superscript"/>
        </w:rPr>
        <w:t>3+</w:t>
      </w:r>
      <w:r w:rsidR="00610CB5" w:rsidRPr="00F338AB">
        <w:rPr>
          <w:rFonts w:cs="Times New Roman"/>
          <w:bCs/>
          <w:w w:val="108"/>
          <w:sz w:val="18"/>
          <w:szCs w:val="18"/>
        </w:rPr>
        <w:t xml:space="preserve"> (88 s</w:t>
      </w:r>
      <w:r w:rsidR="00610CB5" w:rsidRPr="00F338AB">
        <w:rPr>
          <w:rFonts w:cs="Times New Roman"/>
          <w:bCs/>
          <w:w w:val="108"/>
          <w:sz w:val="18"/>
          <w:szCs w:val="18"/>
          <w:vertAlign w:val="superscript"/>
        </w:rPr>
        <w:t>-1</w:t>
      </w:r>
      <w:r w:rsidR="00610CB5" w:rsidRPr="00F338AB">
        <w:rPr>
          <w:rFonts w:cs="Times New Roman"/>
          <w:bCs/>
          <w:w w:val="108"/>
          <w:sz w:val="18"/>
          <w:szCs w:val="18"/>
        </w:rPr>
        <w:t xml:space="preserve">) complexes as well as in compounds </w:t>
      </w:r>
      <w:r w:rsidR="00610CB5" w:rsidRPr="00F338AB">
        <w:rPr>
          <w:rFonts w:cs="Times New Roman"/>
          <w:b/>
          <w:w w:val="108"/>
          <w:sz w:val="18"/>
          <w:szCs w:val="18"/>
        </w:rPr>
        <w:t>1</w:t>
      </w:r>
      <w:r w:rsidR="00610CB5" w:rsidRPr="00F338AB">
        <w:rPr>
          <w:rFonts w:cs="Times New Roman"/>
          <w:bCs/>
          <w:w w:val="108"/>
          <w:sz w:val="18"/>
          <w:szCs w:val="18"/>
        </w:rPr>
        <w:t xml:space="preserve"> and </w:t>
      </w:r>
      <w:r w:rsidR="00610CB5" w:rsidRPr="00F338AB">
        <w:rPr>
          <w:rFonts w:cs="Times New Roman"/>
          <w:b/>
          <w:w w:val="108"/>
          <w:sz w:val="18"/>
          <w:szCs w:val="18"/>
        </w:rPr>
        <w:t>2</w:t>
      </w:r>
      <w:r w:rsidR="00610CB5" w:rsidRPr="00F338AB">
        <w:rPr>
          <w:rFonts w:cs="Times New Roman"/>
          <w:bCs/>
          <w:w w:val="108"/>
          <w:sz w:val="18"/>
          <w:szCs w:val="18"/>
        </w:rPr>
        <w:t xml:space="preserve">. This observable increase of the radiative excited-state decay rate constant is consistent with the increased oscillator strength </w:t>
      </w:r>
      <w:r w:rsidR="00635350" w:rsidRPr="00F338AB">
        <w:rPr>
          <w:rFonts w:cs="Times New Roman"/>
          <w:bCs/>
          <w:w w:val="108"/>
          <w:sz w:val="18"/>
          <w:szCs w:val="18"/>
        </w:rPr>
        <w:t xml:space="preserve">of </w:t>
      </w:r>
      <w:r w:rsidR="00610CB5" w:rsidRPr="00F338AB">
        <w:rPr>
          <w:rFonts w:cs="Times New Roman"/>
          <w:bCs/>
          <w:w w:val="108"/>
          <w:sz w:val="18"/>
          <w:szCs w:val="18"/>
        </w:rPr>
        <w:t xml:space="preserve">the spin-flip transition in </w:t>
      </w:r>
      <w:r w:rsidR="00610CB5" w:rsidRPr="00F338AB">
        <w:rPr>
          <w:rFonts w:cs="Times New Roman"/>
          <w:b/>
          <w:w w:val="108"/>
          <w:sz w:val="18"/>
          <w:szCs w:val="18"/>
        </w:rPr>
        <w:t xml:space="preserve">2 </w:t>
      </w:r>
      <w:r w:rsidR="00610CB5" w:rsidRPr="00F338AB">
        <w:rPr>
          <w:rFonts w:cs="Times New Roman"/>
          <w:bCs/>
          <w:w w:val="108"/>
          <w:sz w:val="18"/>
          <w:szCs w:val="18"/>
        </w:rPr>
        <w:t xml:space="preserve">in solution and solid state (Fig. 3 and Fig. S8). </w:t>
      </w:r>
      <w:bookmarkStart w:id="15" w:name="_Hlk141712483"/>
      <w:bookmarkStart w:id="16" w:name="_Hlk140826790"/>
      <w:r w:rsidR="00610CB5" w:rsidRPr="00F338AB">
        <w:rPr>
          <w:rFonts w:cs="Times New Roman"/>
          <w:bCs/>
          <w:w w:val="108"/>
          <w:sz w:val="18"/>
          <w:szCs w:val="18"/>
        </w:rPr>
        <w:t xml:space="preserve">The non-radiative de-excitation pathways of </w:t>
      </w:r>
      <w:r w:rsidR="00610CB5" w:rsidRPr="00F338AB">
        <w:rPr>
          <w:rFonts w:cs="Times New Roman"/>
          <w:bCs/>
          <w:w w:val="108"/>
          <w:sz w:val="18"/>
          <w:szCs w:val="18"/>
          <w:vertAlign w:val="superscript"/>
        </w:rPr>
        <w:t>2</w:t>
      </w:r>
      <w:r w:rsidR="00610CB5" w:rsidRPr="00F338AB">
        <w:rPr>
          <w:rFonts w:cs="Times New Roman"/>
          <w:bCs/>
          <w:w w:val="108"/>
          <w:sz w:val="18"/>
          <w:szCs w:val="18"/>
        </w:rPr>
        <w:t>MC are independently evaluated by the non-radiative rate constants (</w:t>
      </w:r>
      <w:proofErr w:type="spellStart"/>
      <w:r w:rsidR="00610CB5" w:rsidRPr="00F338AB">
        <w:rPr>
          <w:rFonts w:cs="Times New Roman"/>
          <w:bCs/>
          <w:i/>
          <w:iCs/>
          <w:w w:val="108"/>
          <w:sz w:val="18"/>
          <w:szCs w:val="18"/>
        </w:rPr>
        <w:t>k</w:t>
      </w:r>
      <w:r w:rsidR="00610CB5" w:rsidRPr="00F338AB">
        <w:rPr>
          <w:rFonts w:cs="Times New Roman"/>
          <w:bCs/>
          <w:w w:val="108"/>
          <w:sz w:val="18"/>
          <w:szCs w:val="18"/>
          <w:vertAlign w:val="subscript"/>
        </w:rPr>
        <w:t>nonrad</w:t>
      </w:r>
      <w:proofErr w:type="spellEnd"/>
      <w:r w:rsidR="00610CB5" w:rsidRPr="00F338AB">
        <w:rPr>
          <w:rFonts w:cs="Times New Roman"/>
          <w:bCs/>
          <w:w w:val="108"/>
          <w:sz w:val="18"/>
          <w:szCs w:val="18"/>
        </w:rPr>
        <w:t>) amounting in deaerated solutions to 738(50) s</w:t>
      </w:r>
      <w:r w:rsidR="00610CB5" w:rsidRPr="00F338AB">
        <w:rPr>
          <w:rFonts w:cs="Times New Roman"/>
          <w:bCs/>
          <w:w w:val="108"/>
          <w:sz w:val="18"/>
          <w:szCs w:val="18"/>
          <w:vertAlign w:val="superscript"/>
        </w:rPr>
        <w:t>−1</w:t>
      </w:r>
      <w:r w:rsidR="00610CB5" w:rsidRPr="00F338AB">
        <w:rPr>
          <w:rFonts w:cs="Times New Roman"/>
          <w:bCs/>
          <w:w w:val="108"/>
          <w:sz w:val="18"/>
          <w:szCs w:val="18"/>
        </w:rPr>
        <w:t xml:space="preserve"> and 2900(250) s</w:t>
      </w:r>
      <w:r w:rsidR="00610CB5" w:rsidRPr="00F338AB">
        <w:rPr>
          <w:rFonts w:cs="Times New Roman"/>
          <w:bCs/>
          <w:w w:val="108"/>
          <w:sz w:val="18"/>
          <w:szCs w:val="18"/>
          <w:vertAlign w:val="superscript"/>
        </w:rPr>
        <w:t>−1</w:t>
      </w:r>
      <w:r w:rsidR="00610CB5" w:rsidRPr="00F338AB">
        <w:rPr>
          <w:rFonts w:cs="Times New Roman"/>
          <w:bCs/>
          <w:w w:val="108"/>
          <w:sz w:val="18"/>
          <w:szCs w:val="18"/>
        </w:rPr>
        <w:t xml:space="preserve"> for </w:t>
      </w:r>
      <w:r w:rsidR="00610CB5" w:rsidRPr="00F338AB">
        <w:rPr>
          <w:rFonts w:cs="Times New Roman"/>
          <w:b/>
          <w:w w:val="108"/>
          <w:sz w:val="18"/>
          <w:szCs w:val="18"/>
        </w:rPr>
        <w:t>1</w:t>
      </w:r>
      <w:r w:rsidR="00610CB5" w:rsidRPr="00F338AB">
        <w:rPr>
          <w:rFonts w:cs="Times New Roman"/>
          <w:bCs/>
          <w:w w:val="108"/>
          <w:sz w:val="18"/>
          <w:szCs w:val="18"/>
        </w:rPr>
        <w:t xml:space="preserve"> and </w:t>
      </w:r>
      <w:r w:rsidR="00610CB5" w:rsidRPr="00F338AB">
        <w:rPr>
          <w:rFonts w:cs="Times New Roman"/>
          <w:b/>
          <w:w w:val="108"/>
          <w:sz w:val="18"/>
          <w:szCs w:val="18"/>
        </w:rPr>
        <w:t>2</w:t>
      </w:r>
      <w:r w:rsidR="00610CB5" w:rsidRPr="00F338AB">
        <w:rPr>
          <w:rFonts w:cs="Times New Roman"/>
          <w:bCs/>
          <w:w w:val="108"/>
          <w:sz w:val="18"/>
          <w:szCs w:val="18"/>
        </w:rPr>
        <w:t xml:space="preserve"> respectively.</w:t>
      </w:r>
      <w:bookmarkEnd w:id="15"/>
      <w:bookmarkEnd w:id="16"/>
    </w:p>
    <w:p w14:paraId="59AA26B9" w14:textId="77777777" w:rsidR="00610CB5" w:rsidRPr="00F338AB" w:rsidRDefault="00610CB5" w:rsidP="00610CB5">
      <w:pPr>
        <w:spacing w:after="0" w:line="240" w:lineRule="atLeast"/>
        <w:jc w:val="both"/>
        <w:rPr>
          <w:rFonts w:eastAsia="MS Mincho" w:cstheme="minorHAnsi"/>
          <w:sz w:val="18"/>
          <w:szCs w:val="18"/>
          <w:lang w:eastAsia="ja-JP"/>
        </w:rPr>
      </w:pPr>
      <w:bookmarkStart w:id="17" w:name="_Hlk140827199"/>
      <w:r w:rsidRPr="00F338AB">
        <w:rPr>
          <w:rFonts w:cs="Times New Roman"/>
          <w:bCs/>
          <w:w w:val="108"/>
          <w:sz w:val="18"/>
          <w:szCs w:val="18"/>
        </w:rPr>
        <w:t>Thus, the positive effect of heavy atoms on the radiative excited-state decay rate constant is balanced by a concomitant increase of the non-radiative de-excitation pathways,</w:t>
      </w:r>
      <w:bookmarkEnd w:id="17"/>
      <w:r w:rsidRPr="00F338AB">
        <w:rPr>
          <w:rFonts w:cs="Times New Roman"/>
          <w:bCs/>
          <w:w w:val="108"/>
          <w:sz w:val="18"/>
          <w:szCs w:val="18"/>
        </w:rPr>
        <w:t xml:space="preserve"> such as the thermally assisted back intersystem crossing. Moreover, the enhanced spin-orbit coupling will also favour vibrationally-induced nonradiative decay between strongly coupled potential energy surfaces, in other words, between the excited state and ground state.</w:t>
      </w:r>
      <w:r w:rsidRPr="00F338AB">
        <w:rPr>
          <w:rFonts w:cs="Times New Roman"/>
          <w:bCs/>
          <w:w w:val="108"/>
          <w:sz w:val="18"/>
          <w:szCs w:val="18"/>
        </w:rPr>
        <w:fldChar w:fldCharType="begin" w:fldLock="1"/>
      </w:r>
      <w:r w:rsidRPr="00F338AB">
        <w:rPr>
          <w:rFonts w:cs="Times New Roman"/>
          <w:bCs/>
          <w:w w:val="108"/>
          <w:sz w:val="18"/>
          <w:szCs w:val="18"/>
        </w:rPr>
        <w:instrText>ADDIN CSL_CITATION {"citationItems":[{"id":"ITEM-1","itemData":{"author":[{"dropping-particle":"","family":"Ting","given":"Chen-Hanson","non-dropping-particle":"","parse-names":false,"suffix":""}],"container-title":"Photochemistry and photobiology","id":"ITEM-1","issue":"1","issued":{"date-parts":[["1969"]]},"page":"17-31","title":"THEORY ON THE RADIATIONLESS TRANSITIONS IN LARGE POLYATOMIC MOLECULES","type":"article-journal","volume":"9"},"uris":["http://www.mendeley.com/documents/?uuid=b40a75cf-9b77-4d2b-8a87-09fae0a32055"]}],"mendeley":{"formattedCitation":"&lt;sup&gt;64&lt;/sup&gt;","plainTextFormattedCitation":"64","previouslyFormattedCitation":"&lt;sup&gt;64&lt;/sup&gt;"},"properties":{"noteIndex":0},"schema":"https://github.com/citation-style-language/schema/raw/master/csl-citation.json"}</w:instrText>
      </w:r>
      <w:r w:rsidRPr="00F338AB">
        <w:rPr>
          <w:rFonts w:cs="Times New Roman"/>
          <w:bCs/>
          <w:w w:val="108"/>
          <w:sz w:val="18"/>
          <w:szCs w:val="18"/>
        </w:rPr>
        <w:fldChar w:fldCharType="separate"/>
      </w:r>
      <w:r w:rsidRPr="00F338AB">
        <w:rPr>
          <w:rFonts w:cs="Times New Roman"/>
          <w:bCs/>
          <w:noProof/>
          <w:w w:val="108"/>
          <w:sz w:val="18"/>
          <w:szCs w:val="18"/>
          <w:vertAlign w:val="superscript"/>
        </w:rPr>
        <w:t>64</w:t>
      </w:r>
      <w:r w:rsidRPr="00F338AB">
        <w:rPr>
          <w:rFonts w:cs="Times New Roman"/>
          <w:bCs/>
          <w:w w:val="108"/>
          <w:sz w:val="18"/>
          <w:szCs w:val="18"/>
        </w:rPr>
        <w:fldChar w:fldCharType="end"/>
      </w:r>
    </w:p>
    <w:p w14:paraId="0A90709E" w14:textId="77777777" w:rsidR="00610CB5" w:rsidRPr="00F338AB" w:rsidRDefault="00610CB5" w:rsidP="00D02A3E">
      <w:pPr>
        <w:spacing w:after="0" w:line="240" w:lineRule="atLeast"/>
        <w:jc w:val="both"/>
        <w:rPr>
          <w:rFonts w:eastAsia="MS Mincho" w:cstheme="minorHAnsi"/>
          <w:sz w:val="18"/>
          <w:szCs w:val="18"/>
          <w:lang w:eastAsia="ja-JP"/>
        </w:rPr>
      </w:pPr>
    </w:p>
    <w:p w14:paraId="49456C05" w14:textId="77777777" w:rsidR="00610CB5" w:rsidRPr="00F338AB" w:rsidRDefault="00610CB5" w:rsidP="00D02A3E">
      <w:pPr>
        <w:spacing w:after="0" w:line="240" w:lineRule="atLeast"/>
        <w:jc w:val="both"/>
        <w:rPr>
          <w:rFonts w:eastAsia="MS Mincho" w:cstheme="minorHAnsi"/>
          <w:sz w:val="18"/>
          <w:szCs w:val="18"/>
          <w:lang w:eastAsia="ja-JP"/>
        </w:rPr>
        <w:sectPr w:rsidR="00610CB5" w:rsidRPr="00F338AB" w:rsidSect="00B82DA3">
          <w:type w:val="continuous"/>
          <w:pgSz w:w="11907" w:h="16840" w:code="9"/>
          <w:pgMar w:top="1009" w:right="851" w:bottom="1758" w:left="851" w:header="851" w:footer="1049" w:gutter="0"/>
          <w:cols w:num="2" w:space="227"/>
          <w:titlePg/>
          <w:docGrid w:linePitch="360"/>
        </w:sectPr>
      </w:pPr>
    </w:p>
    <w:p w14:paraId="160DBE76" w14:textId="77777777" w:rsidR="00610CB5" w:rsidRPr="00F338AB" w:rsidRDefault="00610CB5" w:rsidP="00D02A3E">
      <w:pPr>
        <w:spacing w:after="0" w:line="240" w:lineRule="atLeast"/>
        <w:jc w:val="both"/>
        <w:rPr>
          <w:rFonts w:eastAsia="MS Mincho" w:cstheme="minorHAnsi"/>
          <w:b/>
          <w:bCs/>
          <w:sz w:val="18"/>
          <w:szCs w:val="18"/>
          <w:lang w:eastAsia="ja-JP"/>
        </w:rPr>
      </w:pPr>
    </w:p>
    <w:p w14:paraId="659F41A0" w14:textId="77777777" w:rsidR="007401EC" w:rsidRPr="00F338AB" w:rsidRDefault="007401EC" w:rsidP="00D02A3E">
      <w:pPr>
        <w:spacing w:after="0" w:line="240" w:lineRule="atLeast"/>
        <w:jc w:val="both"/>
        <w:rPr>
          <w:rFonts w:eastAsia="MS Mincho" w:cstheme="minorHAnsi"/>
          <w:b/>
          <w:bCs/>
          <w:sz w:val="18"/>
          <w:szCs w:val="18"/>
          <w:lang w:eastAsia="ja-JP"/>
        </w:rPr>
      </w:pPr>
    </w:p>
    <w:p w14:paraId="0FE18B80" w14:textId="797F56E6" w:rsidR="00EE4C61" w:rsidRPr="00F338AB" w:rsidRDefault="004E12F3" w:rsidP="00D02A3E">
      <w:pPr>
        <w:spacing w:after="0" w:line="240" w:lineRule="atLeast"/>
        <w:jc w:val="both"/>
        <w:rPr>
          <w:rFonts w:eastAsia="MS Mincho" w:cstheme="minorHAnsi"/>
          <w:sz w:val="18"/>
          <w:szCs w:val="18"/>
          <w:lang w:eastAsia="ja-JP"/>
        </w:rPr>
      </w:pPr>
      <w:r w:rsidRPr="00F338AB">
        <w:rPr>
          <w:rFonts w:eastAsia="MS Mincho" w:cstheme="minorHAnsi"/>
          <w:b/>
          <w:bCs/>
          <w:sz w:val="18"/>
          <w:szCs w:val="18"/>
          <w:lang w:eastAsia="ja-JP"/>
        </w:rPr>
        <w:t>Table 1.</w:t>
      </w:r>
      <w:r w:rsidRPr="00F338AB">
        <w:rPr>
          <w:rFonts w:eastAsia="MS Mincho" w:cstheme="minorHAnsi"/>
          <w:sz w:val="18"/>
          <w:szCs w:val="18"/>
          <w:lang w:eastAsia="ja-JP"/>
        </w:rPr>
        <w:t xml:space="preserve"> Photophysical parameters of the 1, 2 and 3.</w:t>
      </w:r>
    </w:p>
    <w:tbl>
      <w:tblPr>
        <w:tblW w:w="10147" w:type="dxa"/>
        <w:tblLayout w:type="fixed"/>
        <w:tblLook w:val="01E0" w:firstRow="1" w:lastRow="1" w:firstColumn="1" w:lastColumn="1" w:noHBand="0" w:noVBand="0"/>
      </w:tblPr>
      <w:tblGrid>
        <w:gridCol w:w="2438"/>
        <w:gridCol w:w="964"/>
        <w:gridCol w:w="1276"/>
        <w:gridCol w:w="992"/>
        <w:gridCol w:w="1418"/>
        <w:gridCol w:w="1235"/>
        <w:gridCol w:w="1824"/>
      </w:tblGrid>
      <w:tr w:rsidR="00FB40CC" w:rsidRPr="00F338AB" w14:paraId="2298D389" w14:textId="703349BB" w:rsidTr="003E36BF">
        <w:trPr>
          <w:trHeight w:val="596"/>
        </w:trPr>
        <w:tc>
          <w:tcPr>
            <w:tcW w:w="2438" w:type="dxa"/>
            <w:tcBorders>
              <w:top w:val="single" w:sz="8" w:space="0" w:color="000000"/>
              <w:bottom w:val="single" w:sz="8" w:space="0" w:color="000000"/>
            </w:tcBorders>
            <w:vAlign w:val="center"/>
          </w:tcPr>
          <w:p w14:paraId="7D92D0FE"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bookmarkStart w:id="18" w:name="_Hlk141715322"/>
            <w:r w:rsidRPr="00F338AB">
              <w:rPr>
                <w:rFonts w:ascii="Arial" w:eastAsia="MS Mincho" w:hAnsi="Arial" w:cs="Times New Roman"/>
                <w:sz w:val="14"/>
                <w:szCs w:val="14"/>
                <w:lang w:eastAsia="ja-JP"/>
              </w:rPr>
              <w:t>Complex</w:t>
            </w:r>
          </w:p>
        </w:tc>
        <w:tc>
          <w:tcPr>
            <w:tcW w:w="964" w:type="dxa"/>
            <w:tcBorders>
              <w:top w:val="single" w:sz="8" w:space="0" w:color="000000"/>
              <w:bottom w:val="single" w:sz="8" w:space="0" w:color="000000"/>
            </w:tcBorders>
          </w:tcPr>
          <w:p w14:paraId="6670EAAD" w14:textId="03BEDEC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Cambria Math" w:eastAsia="Times New Roman" w:hAnsi="Cambria Math" w:cs="Times New Roman"/>
                <w:sz w:val="14"/>
                <w:szCs w:val="14"/>
                <w:lang w:val="de-CH" w:eastAsia="ja-JP"/>
              </w:rPr>
            </w:pPr>
            <w:r w:rsidRPr="00F338AB">
              <w:rPr>
                <w:rFonts w:ascii="Cambria Math" w:eastAsia="Times New Roman" w:hAnsi="Cambria Math" w:cs="Times New Roman"/>
                <w:sz w:val="14"/>
                <w:szCs w:val="14"/>
                <w:lang w:eastAsia="ja-JP"/>
              </w:rPr>
              <w:sym w:font="Symbol" w:char="F06C"/>
            </w:r>
            <w:r w:rsidRPr="00F338AB">
              <w:rPr>
                <w:rFonts w:ascii="Cambria Math" w:eastAsia="Times New Roman" w:hAnsi="Cambria Math" w:cs="Times New Roman"/>
                <w:sz w:val="14"/>
                <w:szCs w:val="14"/>
                <w:vertAlign w:val="subscript"/>
                <w:lang w:val="de-CH" w:eastAsia="ja-JP"/>
              </w:rPr>
              <w:t>abs</w:t>
            </w:r>
            <w:r w:rsidRPr="00F338AB">
              <w:rPr>
                <w:rFonts w:ascii="Cambria Math" w:eastAsia="Times New Roman" w:hAnsi="Cambria Math" w:cs="Times New Roman"/>
                <w:sz w:val="14"/>
                <w:szCs w:val="14"/>
                <w:lang w:val="de-CH" w:eastAsia="ja-JP"/>
              </w:rPr>
              <w:t>/</w:t>
            </w:r>
            <w:r w:rsidRPr="00F338AB">
              <w:rPr>
                <w:rFonts w:ascii="Cambria Math" w:eastAsia="Times New Roman" w:hAnsi="Cambria Math" w:cs="Times New Roman"/>
                <w:i/>
                <w:iCs/>
                <w:sz w:val="14"/>
                <w:szCs w:val="14"/>
                <w:lang w:val="de-CH" w:eastAsia="ja-JP"/>
              </w:rPr>
              <w:t>E</w:t>
            </w:r>
            <w:r w:rsidRPr="00F338AB">
              <w:rPr>
                <w:rFonts w:ascii="Cambria Math" w:eastAsia="Times New Roman" w:hAnsi="Cambria Math" w:cs="Times New Roman"/>
                <w:sz w:val="14"/>
                <w:szCs w:val="14"/>
                <w:lang w:val="de-CH" w:eastAsia="ja-JP"/>
              </w:rPr>
              <w:t>(</w:t>
            </w:r>
            <w:r w:rsidRPr="00F338AB">
              <w:rPr>
                <w:rFonts w:ascii="Cambria Math" w:eastAsia="Times New Roman" w:hAnsi="Cambria Math" w:cs="Times New Roman"/>
                <w:sz w:val="14"/>
                <w:szCs w:val="14"/>
                <w:vertAlign w:val="superscript"/>
                <w:lang w:val="de-CH" w:eastAsia="ja-JP"/>
              </w:rPr>
              <w:t>2</w:t>
            </w:r>
            <w:r w:rsidRPr="00F338AB">
              <w:rPr>
                <w:rFonts w:ascii="Cambria Math" w:eastAsia="Times New Roman" w:hAnsi="Cambria Math" w:cs="Times New Roman"/>
                <w:sz w:val="14"/>
                <w:szCs w:val="14"/>
                <w:lang w:val="de-CH" w:eastAsia="ja-JP"/>
              </w:rPr>
              <w:t>MC)</w:t>
            </w:r>
          </w:p>
          <w:p w14:paraId="4DB11D30" w14:textId="14E7DD72"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Cambria Math" w:eastAsia="Times New Roman" w:hAnsi="Cambria Math" w:cs="Times New Roman"/>
                <w:sz w:val="14"/>
                <w:szCs w:val="14"/>
                <w:lang w:val="de-CH" w:eastAsia="ja-JP"/>
              </w:rPr>
            </w:pPr>
            <w:r w:rsidRPr="00F338AB">
              <w:rPr>
                <w:rFonts w:ascii="Cambria Math" w:eastAsia="Times New Roman" w:hAnsi="Cambria Math" w:cs="Times New Roman"/>
                <w:sz w:val="14"/>
                <w:szCs w:val="14"/>
                <w:lang w:val="de-CH" w:eastAsia="ja-JP"/>
              </w:rPr>
              <w:t>(nm/cm</w:t>
            </w:r>
            <w:r w:rsidRPr="00F338AB">
              <w:rPr>
                <w:rFonts w:ascii="Cambria Math" w:eastAsia="Times New Roman" w:hAnsi="Cambria Math" w:cs="Times New Roman"/>
                <w:sz w:val="14"/>
                <w:szCs w:val="14"/>
                <w:vertAlign w:val="superscript"/>
                <w:lang w:val="de-CH" w:eastAsia="ja-JP"/>
              </w:rPr>
              <w:t>-1</w:t>
            </w:r>
            <w:r w:rsidRPr="00F338AB">
              <w:rPr>
                <w:rFonts w:ascii="Cambria Math" w:eastAsia="Times New Roman" w:hAnsi="Cambria Math" w:cs="Times New Roman"/>
                <w:sz w:val="14"/>
                <w:szCs w:val="14"/>
                <w:lang w:val="de-CH" w:eastAsia="ja-JP"/>
              </w:rPr>
              <w:t>)</w:t>
            </w:r>
          </w:p>
        </w:tc>
        <w:tc>
          <w:tcPr>
            <w:tcW w:w="1276" w:type="dxa"/>
            <w:tcBorders>
              <w:top w:val="single" w:sz="8" w:space="0" w:color="000000"/>
              <w:bottom w:val="single" w:sz="8" w:space="0" w:color="000000"/>
            </w:tcBorders>
          </w:tcPr>
          <w:p w14:paraId="04689205" w14:textId="45F1D82E"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Cambria Math" w:eastAsia="Times New Roman" w:hAnsi="Cambria Math" w:cs="Times New Roman"/>
                <w:sz w:val="14"/>
                <w:szCs w:val="14"/>
                <w:vertAlign w:val="subscript"/>
                <w:lang w:eastAsia="ja-JP"/>
              </w:rPr>
            </w:pPr>
            <w:r w:rsidRPr="00F338AB">
              <w:rPr>
                <w:rFonts w:ascii="Cambria Math" w:eastAsia="Times New Roman" w:hAnsi="Cambria Math" w:cs="Times New Roman"/>
                <w:sz w:val="14"/>
                <w:szCs w:val="14"/>
                <w:lang w:eastAsia="ja-JP"/>
              </w:rPr>
              <w:sym w:font="Symbol" w:char="F06C"/>
            </w:r>
            <w:proofErr w:type="spellStart"/>
            <w:r w:rsidRPr="00F338AB">
              <w:rPr>
                <w:rFonts w:ascii="Cambria Math" w:eastAsia="Times New Roman" w:hAnsi="Cambria Math" w:cs="Times New Roman"/>
                <w:sz w:val="14"/>
                <w:szCs w:val="14"/>
                <w:vertAlign w:val="subscript"/>
                <w:lang w:eastAsia="ja-JP"/>
              </w:rPr>
              <w:t>em</w:t>
            </w:r>
            <w:proofErr w:type="spellEnd"/>
            <w:r w:rsidRPr="00F338AB">
              <w:rPr>
                <w:rFonts w:ascii="Cambria Math" w:eastAsia="Times New Roman" w:hAnsi="Cambria Math" w:cs="Times New Roman"/>
                <w:sz w:val="14"/>
                <w:szCs w:val="14"/>
                <w:lang w:eastAsia="ja-JP"/>
              </w:rPr>
              <w:t>/</w:t>
            </w:r>
            <w:r w:rsidRPr="00F338AB">
              <w:rPr>
                <w:rFonts w:ascii="Cambria Math" w:eastAsia="Times New Roman" w:hAnsi="Cambria Math" w:cs="Times New Roman"/>
                <w:i/>
                <w:iCs/>
                <w:sz w:val="14"/>
                <w:szCs w:val="14"/>
                <w:lang w:eastAsia="ja-JP"/>
              </w:rPr>
              <w:t>E</w:t>
            </w:r>
            <w:r w:rsidRPr="00F338AB">
              <w:rPr>
                <w:rFonts w:ascii="Cambria Math" w:eastAsia="Times New Roman" w:hAnsi="Cambria Math" w:cs="Times New Roman"/>
                <w:sz w:val="14"/>
                <w:szCs w:val="14"/>
                <w:lang w:eastAsia="ja-JP"/>
              </w:rPr>
              <w:t>(</w:t>
            </w:r>
            <w:r w:rsidRPr="00F338AB">
              <w:rPr>
                <w:rFonts w:ascii="Cambria Math" w:eastAsia="Times New Roman" w:hAnsi="Cambria Math" w:cs="Times New Roman"/>
                <w:sz w:val="14"/>
                <w:szCs w:val="14"/>
                <w:vertAlign w:val="superscript"/>
                <w:lang w:eastAsia="ja-JP"/>
              </w:rPr>
              <w:t>2</w:t>
            </w:r>
            <w:r w:rsidRPr="00F338AB">
              <w:rPr>
                <w:rFonts w:ascii="Cambria Math" w:eastAsia="Times New Roman" w:hAnsi="Cambria Math" w:cs="Times New Roman"/>
                <w:sz w:val="14"/>
                <w:szCs w:val="14"/>
                <w:lang w:eastAsia="ja-JP"/>
              </w:rPr>
              <w:t>MC)</w:t>
            </w:r>
          </w:p>
          <w:p w14:paraId="3AB6731A" w14:textId="723F89B9"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Calibri" w:eastAsia="Times New Roman" w:hAnsi="Calibri" w:cs="Times New Roman"/>
                <w:sz w:val="14"/>
                <w:szCs w:val="14"/>
                <w:lang w:eastAsia="ja-JP"/>
              </w:rPr>
            </w:pPr>
            <w:r w:rsidRPr="00F338AB">
              <w:rPr>
                <w:rFonts w:ascii="Cambria Math" w:eastAsia="Times New Roman" w:hAnsi="Cambria Math" w:cs="Times New Roman"/>
                <w:sz w:val="14"/>
                <w:szCs w:val="14"/>
                <w:lang w:eastAsia="ja-JP"/>
              </w:rPr>
              <w:t>(nm/cm</w:t>
            </w:r>
            <w:r w:rsidRPr="00F338AB">
              <w:rPr>
                <w:rFonts w:ascii="Cambria Math" w:eastAsia="Times New Roman" w:hAnsi="Cambria Math" w:cs="Times New Roman"/>
                <w:sz w:val="14"/>
                <w:szCs w:val="14"/>
                <w:vertAlign w:val="superscript"/>
                <w:lang w:eastAsia="ja-JP"/>
              </w:rPr>
              <w:t>-1</w:t>
            </w:r>
            <w:r w:rsidRPr="00F338AB">
              <w:rPr>
                <w:rFonts w:ascii="Cambria Math" w:eastAsia="Times New Roman" w:hAnsi="Cambria Math" w:cs="Times New Roman"/>
                <w:sz w:val="14"/>
                <w:szCs w:val="14"/>
                <w:lang w:eastAsia="ja-JP"/>
              </w:rPr>
              <w:t>)</w:t>
            </w:r>
          </w:p>
        </w:tc>
        <w:tc>
          <w:tcPr>
            <w:tcW w:w="992" w:type="dxa"/>
            <w:tcBorders>
              <w:top w:val="single" w:sz="8" w:space="0" w:color="000000"/>
              <w:bottom w:val="single" w:sz="8" w:space="0" w:color="000000"/>
            </w:tcBorders>
            <w:vAlign w:val="center"/>
          </w:tcPr>
          <w:p w14:paraId="062A0AA2" w14:textId="7944236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m:oMath>
              <m:r>
                <w:rPr>
                  <w:rFonts w:ascii="Cambria Math" w:eastAsia="MS Mincho" w:hAnsi="Cambria Math" w:cs="Times New Roman"/>
                  <w:i/>
                  <w:sz w:val="14"/>
                  <w:szCs w:val="14"/>
                  <w:lang w:eastAsia="ja-JP"/>
                </w:rPr>
                <w:sym w:font="Symbol" w:char="F066"/>
              </m:r>
              <m:r>
                <w:rPr>
                  <w:rFonts w:ascii="Cambria Math" w:eastAsia="MS Mincho" w:hAnsi="Cambria Math" w:cs="Times New Roman"/>
                  <w:sz w:val="14"/>
                  <w:szCs w:val="14"/>
                  <w:lang w:eastAsia="ja-JP"/>
                </w:rPr>
                <m:t xml:space="preserve"> (</m:t>
              </m:r>
            </m:oMath>
            <w:r w:rsidRPr="00F338AB">
              <w:rPr>
                <w:rFonts w:ascii="Arial" w:eastAsia="MS Mincho" w:hAnsi="Arial" w:cs="Times New Roman"/>
                <w:sz w:val="14"/>
                <w:szCs w:val="14"/>
                <w:lang w:eastAsia="ja-JP"/>
              </w:rPr>
              <w:t>%)</w:t>
            </w:r>
          </w:p>
        </w:tc>
        <w:tc>
          <w:tcPr>
            <w:tcW w:w="1418" w:type="dxa"/>
            <w:tcBorders>
              <w:top w:val="single" w:sz="8" w:space="0" w:color="000000"/>
              <w:bottom w:val="single" w:sz="8" w:space="0" w:color="000000"/>
            </w:tcBorders>
            <w:vAlign w:val="center"/>
          </w:tcPr>
          <w:p w14:paraId="15E6AA7E"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Symbol" w:eastAsia="MS Mincho" w:hAnsi="Symbol" w:cs="Times New Roman"/>
                <w:i/>
                <w:iCs/>
                <w:sz w:val="14"/>
                <w:szCs w:val="14"/>
                <w:lang w:eastAsia="ja-JP"/>
              </w:rPr>
              <w:t></w:t>
            </w:r>
            <w:proofErr w:type="spellStart"/>
            <w:r w:rsidRPr="00F338AB">
              <w:rPr>
                <w:rFonts w:ascii="Arial" w:eastAsia="MS Mincho" w:hAnsi="Arial" w:cs="Times New Roman"/>
                <w:sz w:val="14"/>
                <w:szCs w:val="14"/>
                <w:vertAlign w:val="subscript"/>
                <w:lang w:eastAsia="ja-JP"/>
              </w:rPr>
              <w:t>obs</w:t>
            </w:r>
            <w:proofErr w:type="spellEnd"/>
            <w:r w:rsidRPr="00F338AB">
              <w:rPr>
                <w:rFonts w:ascii="Arial" w:eastAsia="MS Mincho" w:hAnsi="Arial" w:cs="Times New Roman"/>
                <w:sz w:val="14"/>
                <w:szCs w:val="14"/>
                <w:vertAlign w:val="subscript"/>
                <w:lang w:eastAsia="ja-JP"/>
              </w:rPr>
              <w:t xml:space="preserve"> </w:t>
            </w:r>
            <w:r w:rsidRPr="00F338AB">
              <w:rPr>
                <w:rFonts w:ascii="Arial" w:eastAsia="MS Mincho" w:hAnsi="Arial" w:cs="Times New Roman"/>
                <w:sz w:val="14"/>
                <w:szCs w:val="14"/>
                <w:lang w:eastAsia="ja-JP"/>
              </w:rPr>
              <w:t>(</w:t>
            </w:r>
            <w:proofErr w:type="spellStart"/>
            <w:r w:rsidRPr="00F338AB">
              <w:rPr>
                <w:rFonts w:ascii="Arial" w:eastAsia="MS Mincho" w:hAnsi="Arial" w:cs="Times New Roman"/>
                <w:sz w:val="14"/>
                <w:szCs w:val="14"/>
                <w:lang w:eastAsia="ja-JP"/>
              </w:rPr>
              <w:t>μ</w:t>
            </w:r>
            <w:proofErr w:type="gramStart"/>
            <w:r w:rsidRPr="00F338AB">
              <w:rPr>
                <w:rFonts w:ascii="Arial" w:eastAsia="MS Mincho" w:hAnsi="Arial" w:cs="Times New Roman"/>
                <w:sz w:val="14"/>
                <w:szCs w:val="14"/>
                <w:lang w:eastAsia="ja-JP"/>
              </w:rPr>
              <w:t>s</w:t>
            </w:r>
            <w:proofErr w:type="spellEnd"/>
            <w:r w:rsidRPr="00F338AB">
              <w:rPr>
                <w:rFonts w:ascii="Arial" w:eastAsia="MS Mincho" w:hAnsi="Arial" w:cs="Times New Roman"/>
                <w:sz w:val="14"/>
                <w:szCs w:val="14"/>
                <w:lang w:eastAsia="ja-JP"/>
              </w:rPr>
              <w:t>)</w:t>
            </w:r>
            <w:r w:rsidRPr="00F338AB">
              <w:rPr>
                <w:rFonts w:ascii="Arial" w:eastAsia="MS Mincho" w:hAnsi="Arial" w:cs="Times New Roman"/>
                <w:sz w:val="14"/>
                <w:szCs w:val="14"/>
                <w:vertAlign w:val="superscript"/>
                <w:lang w:eastAsia="ja-JP"/>
              </w:rPr>
              <w:t>[</w:t>
            </w:r>
            <w:proofErr w:type="gramEnd"/>
            <w:r w:rsidRPr="00F338AB">
              <w:rPr>
                <w:rFonts w:ascii="Arial" w:eastAsia="MS Mincho" w:hAnsi="Arial" w:cs="Times New Roman"/>
                <w:sz w:val="14"/>
                <w:szCs w:val="14"/>
                <w:vertAlign w:val="superscript"/>
                <w:lang w:eastAsia="ja-JP"/>
              </w:rPr>
              <w:t>b]</w:t>
            </w:r>
          </w:p>
        </w:tc>
        <w:tc>
          <w:tcPr>
            <w:tcW w:w="1235" w:type="dxa"/>
            <w:tcBorders>
              <w:top w:val="single" w:sz="8" w:space="0" w:color="000000"/>
              <w:bottom w:val="single" w:sz="8" w:space="0" w:color="000000"/>
            </w:tcBorders>
            <w:vAlign w:val="center"/>
          </w:tcPr>
          <w:p w14:paraId="79F77C29" w14:textId="01348274" w:rsidR="0074296D" w:rsidRPr="00F338AB" w:rsidRDefault="00FB40CC" w:rsidP="0074296D">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vertAlign w:val="superscript"/>
                <w:lang w:eastAsia="ja-JP"/>
              </w:rPr>
            </w:pPr>
            <w:r w:rsidRPr="00F338AB">
              <w:rPr>
                <w:rFonts w:ascii="Symbol" w:eastAsia="MS Mincho" w:hAnsi="Symbol" w:cs="Times New Roman"/>
                <w:i/>
                <w:iCs/>
                <w:sz w:val="14"/>
                <w:szCs w:val="14"/>
                <w:lang w:eastAsia="ja-JP"/>
              </w:rPr>
              <w:t></w:t>
            </w:r>
            <w:proofErr w:type="spellStart"/>
            <w:r w:rsidRPr="00F338AB">
              <w:rPr>
                <w:rFonts w:ascii="Arial" w:eastAsia="MS Mincho" w:hAnsi="Arial" w:cs="Times New Roman"/>
                <w:sz w:val="14"/>
                <w:szCs w:val="14"/>
                <w:vertAlign w:val="subscript"/>
                <w:lang w:eastAsia="ja-JP"/>
              </w:rPr>
              <w:t>obs</w:t>
            </w:r>
            <w:proofErr w:type="spellEnd"/>
            <w:r w:rsidRPr="00F338AB">
              <w:rPr>
                <w:rFonts w:ascii="Arial" w:eastAsia="MS Mincho" w:hAnsi="Arial" w:cs="Times New Roman"/>
                <w:sz w:val="14"/>
                <w:szCs w:val="14"/>
                <w:vertAlign w:val="subscript"/>
                <w:lang w:eastAsia="ja-JP"/>
              </w:rPr>
              <w:t xml:space="preserve"> </w:t>
            </w:r>
            <w:r w:rsidRPr="00F338AB">
              <w:rPr>
                <w:rFonts w:ascii="Arial" w:eastAsia="MS Mincho" w:hAnsi="Arial" w:cs="Times New Roman"/>
                <w:sz w:val="14"/>
                <w:szCs w:val="14"/>
                <w:lang w:eastAsia="ja-JP"/>
              </w:rPr>
              <w:t>(</w:t>
            </w:r>
            <w:proofErr w:type="spellStart"/>
            <w:r w:rsidRPr="00F338AB">
              <w:rPr>
                <w:rFonts w:ascii="Arial" w:eastAsia="MS Mincho" w:hAnsi="Arial" w:cs="Times New Roman"/>
                <w:sz w:val="14"/>
                <w:szCs w:val="14"/>
                <w:lang w:eastAsia="ja-JP"/>
              </w:rPr>
              <w:t>μs</w:t>
            </w:r>
            <w:proofErr w:type="spellEnd"/>
            <w:r w:rsidRPr="00F338AB">
              <w:rPr>
                <w:rFonts w:ascii="Arial" w:eastAsia="MS Mincho" w:hAnsi="Arial" w:cs="Times New Roman"/>
                <w:sz w:val="14"/>
                <w:szCs w:val="14"/>
                <w:lang w:eastAsia="ja-JP"/>
              </w:rPr>
              <w:t>) 77K</w:t>
            </w:r>
          </w:p>
        </w:tc>
        <w:tc>
          <w:tcPr>
            <w:tcW w:w="1824" w:type="dxa"/>
            <w:tcBorders>
              <w:top w:val="single" w:sz="8" w:space="0" w:color="000000"/>
              <w:bottom w:val="single" w:sz="8" w:space="0" w:color="000000"/>
            </w:tcBorders>
            <w:vAlign w:val="center"/>
          </w:tcPr>
          <w:p w14:paraId="7DAD3AE8" w14:textId="1B305AF6" w:rsidR="00FB40CC" w:rsidRPr="00F338AB" w:rsidRDefault="00DA5DC2"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m:oMath>
              <m:sSub>
                <m:sSubPr>
                  <m:ctrlPr>
                    <w:rPr>
                      <w:rFonts w:ascii="Cambria Math" w:eastAsia="MS Mincho" w:hAnsi="Cambria Math" w:cs="Times New Roman"/>
                      <w:i/>
                      <w:sz w:val="14"/>
                      <w:szCs w:val="14"/>
                      <w:lang w:eastAsia="ja-JP"/>
                    </w:rPr>
                  </m:ctrlPr>
                </m:sSubPr>
                <m:e>
                  <m:r>
                    <w:rPr>
                      <w:rFonts w:ascii="Cambria Math" w:eastAsia="MS Mincho" w:hAnsi="Cambria Math" w:cs="Times New Roman"/>
                      <w:sz w:val="14"/>
                      <w:szCs w:val="14"/>
                      <w:lang w:eastAsia="ja-JP"/>
                    </w:rPr>
                    <m:t>k</m:t>
                  </m:r>
                  <m:ctrlPr>
                    <w:rPr>
                      <w:rFonts w:ascii="Cambria Math" w:eastAsia="MS Mincho" w:hAnsi="Cambria Math" w:cs="Times New Roman"/>
                      <w:sz w:val="14"/>
                      <w:szCs w:val="14"/>
                      <w:lang w:eastAsia="ja-JP"/>
                    </w:rPr>
                  </m:ctrlPr>
                </m:e>
                <m:sub>
                  <m:r>
                    <w:rPr>
                      <w:rFonts w:ascii="Cambria Math" w:eastAsia="MS Mincho" w:hAnsi="Cambria Math" w:cs="Times New Roman"/>
                      <w:sz w:val="14"/>
                      <w:szCs w:val="14"/>
                      <w:lang w:eastAsia="ja-JP"/>
                    </w:rPr>
                    <m:t>rad</m:t>
                  </m:r>
                  <m:ctrlPr>
                    <w:rPr>
                      <w:rFonts w:ascii="Cambria Math" w:eastAsia="MS Mincho" w:hAnsi="Cambria Math" w:cs="Times New Roman"/>
                      <w:sz w:val="14"/>
                      <w:szCs w:val="14"/>
                      <w:lang w:eastAsia="ja-JP"/>
                    </w:rPr>
                  </m:ctrlPr>
                </m:sub>
              </m:sSub>
            </m:oMath>
            <w:r w:rsidR="0074296D" w:rsidRPr="00F338AB">
              <w:rPr>
                <w:rFonts w:ascii="Arial" w:eastAsia="MS Mincho" w:hAnsi="Arial" w:cs="Times New Roman"/>
                <w:sz w:val="14"/>
                <w:szCs w:val="14"/>
                <w:vertAlign w:val="superscript"/>
                <w:lang w:eastAsia="ja-JP"/>
              </w:rPr>
              <w:t>e</w:t>
            </w:r>
            <w:r w:rsidR="00FB40CC" w:rsidRPr="00F338AB">
              <w:rPr>
                <w:rFonts w:ascii="Arial" w:eastAsia="MS Mincho" w:hAnsi="Arial" w:cs="Times New Roman"/>
                <w:sz w:val="14"/>
                <w:szCs w:val="14"/>
                <w:lang w:eastAsia="ja-JP"/>
              </w:rPr>
              <w:t>/</w:t>
            </w:r>
            <m:oMath>
              <m:sSub>
                <m:sSubPr>
                  <m:ctrlPr>
                    <w:rPr>
                      <w:rFonts w:ascii="Cambria Math" w:eastAsia="MS Mincho" w:hAnsi="Cambria Math" w:cs="Times New Roman"/>
                      <w:i/>
                      <w:sz w:val="14"/>
                      <w:szCs w:val="14"/>
                      <w:lang w:eastAsia="ja-JP"/>
                    </w:rPr>
                  </m:ctrlPr>
                </m:sSubPr>
                <m:e>
                  <m:r>
                    <w:rPr>
                      <w:rFonts w:ascii="Cambria Math" w:eastAsia="MS Mincho" w:hAnsi="Cambria Math" w:cs="Times New Roman"/>
                      <w:sz w:val="14"/>
                      <w:szCs w:val="14"/>
                      <w:lang w:eastAsia="ja-JP"/>
                    </w:rPr>
                    <m:t>k</m:t>
                  </m:r>
                  <m:ctrlPr>
                    <w:rPr>
                      <w:rFonts w:ascii="Cambria Math" w:eastAsia="MS Mincho" w:hAnsi="Cambria Math" w:cs="Times New Roman"/>
                      <w:sz w:val="14"/>
                      <w:szCs w:val="14"/>
                      <w:lang w:eastAsia="ja-JP"/>
                    </w:rPr>
                  </m:ctrlPr>
                </m:e>
                <m:sub>
                  <m:r>
                    <w:rPr>
                      <w:rFonts w:ascii="Cambria Math" w:eastAsia="MS Mincho" w:hAnsi="Cambria Math" w:cs="Times New Roman"/>
                      <w:sz w:val="14"/>
                      <w:szCs w:val="14"/>
                      <w:lang w:eastAsia="ja-JP"/>
                    </w:rPr>
                    <m:t>nrad</m:t>
                  </m:r>
                  <m:ctrlPr>
                    <w:rPr>
                      <w:rFonts w:ascii="Cambria Math" w:eastAsia="MS Mincho" w:hAnsi="Cambria Math" w:cs="Times New Roman"/>
                      <w:sz w:val="14"/>
                      <w:szCs w:val="14"/>
                      <w:lang w:eastAsia="ja-JP"/>
                    </w:rPr>
                  </m:ctrlPr>
                </m:sub>
              </m:sSub>
            </m:oMath>
          </w:p>
          <w:p w14:paraId="71911ECF" w14:textId="79B9C1BA"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Calibri" w:eastAsia="Calibri" w:hAnsi="Calibri" w:cs="Times New Roman"/>
                <w:sz w:val="14"/>
                <w:szCs w:val="14"/>
                <w:lang w:eastAsia="ja-JP"/>
              </w:rPr>
            </w:pPr>
            <w:r w:rsidRPr="00F338AB">
              <w:rPr>
                <w:rFonts w:ascii="Arial" w:eastAsia="MS Mincho" w:hAnsi="Arial" w:cs="Times New Roman"/>
                <w:sz w:val="14"/>
                <w:szCs w:val="14"/>
                <w:lang w:eastAsia="ja-JP"/>
              </w:rPr>
              <w:t>(s</w:t>
            </w:r>
            <w:r w:rsidRPr="00F338AB">
              <w:rPr>
                <w:rFonts w:ascii="Arial" w:eastAsia="MS Mincho" w:hAnsi="Arial" w:cs="Times New Roman"/>
                <w:sz w:val="14"/>
                <w:szCs w:val="14"/>
                <w:vertAlign w:val="superscript"/>
                <w:lang w:eastAsia="ja-JP"/>
              </w:rPr>
              <w:t>-1</w:t>
            </w:r>
            <w:r w:rsidRPr="00F338AB">
              <w:rPr>
                <w:rFonts w:ascii="Arial" w:eastAsia="MS Mincho" w:hAnsi="Arial" w:cs="Times New Roman"/>
                <w:sz w:val="14"/>
                <w:szCs w:val="14"/>
                <w:lang w:eastAsia="ja-JP"/>
              </w:rPr>
              <w:t>)</w:t>
            </w:r>
          </w:p>
        </w:tc>
      </w:tr>
      <w:tr w:rsidR="00FB40CC" w:rsidRPr="00F338AB" w14:paraId="651BCB10" w14:textId="77C80058" w:rsidTr="003E36BF">
        <w:trPr>
          <w:trHeight w:val="650"/>
        </w:trPr>
        <w:tc>
          <w:tcPr>
            <w:tcW w:w="2438" w:type="dxa"/>
            <w:tcBorders>
              <w:top w:val="single" w:sz="8" w:space="0" w:color="000000"/>
            </w:tcBorders>
            <w:vAlign w:val="center"/>
          </w:tcPr>
          <w:p w14:paraId="5BF7E6F7"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r w:rsidRPr="00F338AB">
              <w:rPr>
                <w:rFonts w:ascii="Arial" w:eastAsia="MS Mincho" w:hAnsi="Arial" w:cs="Times New Roman"/>
                <w:b/>
                <w:bCs/>
                <w:sz w:val="14"/>
                <w:szCs w:val="14"/>
                <w:lang w:eastAsia="ja-JP"/>
              </w:rPr>
              <w:t>1 - [</w:t>
            </w:r>
            <w:proofErr w:type="gramStart"/>
            <w:r w:rsidRPr="00F338AB">
              <w:rPr>
                <w:rFonts w:ascii="Arial" w:eastAsia="MS Mincho" w:hAnsi="Arial" w:cs="Times New Roman"/>
                <w:b/>
                <w:bCs/>
                <w:sz w:val="14"/>
                <w:szCs w:val="14"/>
                <w:lang w:eastAsia="ja-JP"/>
              </w:rPr>
              <w:t>Cr(</w:t>
            </w:r>
            <w:proofErr w:type="spellStart"/>
            <w:proofErr w:type="gramEnd"/>
            <w:r w:rsidRPr="00F338AB">
              <w:rPr>
                <w:rFonts w:ascii="Arial" w:eastAsia="MS Mincho" w:hAnsi="Arial" w:cs="Times New Roman"/>
                <w:b/>
                <w:bCs/>
                <w:sz w:val="14"/>
                <w:szCs w:val="14"/>
                <w:lang w:eastAsia="ja-JP"/>
              </w:rPr>
              <w:t>Mebipzp</w:t>
            </w:r>
            <w:proofErr w:type="spellEnd"/>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bscript"/>
                <w:lang w:eastAsia="ja-JP"/>
              </w:rPr>
              <w:t>2</w:t>
            </w:r>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perscript"/>
                <w:lang w:eastAsia="ja-JP"/>
              </w:rPr>
              <w:t>3+</w:t>
            </w:r>
          </w:p>
          <w:p w14:paraId="50647469"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Arial"/>
                <w:b/>
                <w:bCs/>
                <w:sz w:val="14"/>
                <w:szCs w:val="14"/>
                <w:lang w:eastAsia="ja-JP"/>
              </w:rPr>
            </w:pPr>
            <w:r w:rsidRPr="00F338AB">
              <w:rPr>
                <w:rFonts w:ascii="Arial" w:eastAsia="MS Mincho" w:hAnsi="Arial" w:cs="Times New Roman"/>
                <w:b/>
                <w:bCs/>
                <w:sz w:val="14"/>
                <w:szCs w:val="14"/>
                <w:lang w:eastAsia="ja-JP"/>
              </w:rPr>
              <w:t xml:space="preserve">1 </w:t>
            </w:r>
            <w:r w:rsidRPr="00F338AB">
              <w:rPr>
                <w:rFonts w:ascii="Arial" w:eastAsia="MS Mincho" w:hAnsi="Arial" w:cs="Arial"/>
                <w:b/>
                <w:bCs/>
                <w:sz w:val="14"/>
                <w:szCs w:val="14"/>
                <w:lang w:eastAsia="ja-JP"/>
              </w:rPr>
              <w:t>- acidic conditions</w:t>
            </w:r>
          </w:p>
        </w:tc>
        <w:tc>
          <w:tcPr>
            <w:tcW w:w="964" w:type="dxa"/>
            <w:tcBorders>
              <w:top w:val="single" w:sz="8" w:space="0" w:color="000000"/>
            </w:tcBorders>
            <w:vAlign w:val="center"/>
          </w:tcPr>
          <w:p w14:paraId="4F6925C0" w14:textId="4D4054C2"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738/13550</w:t>
            </w:r>
          </w:p>
        </w:tc>
        <w:tc>
          <w:tcPr>
            <w:tcW w:w="1276" w:type="dxa"/>
            <w:tcBorders>
              <w:top w:val="single" w:sz="8" w:space="0" w:color="000000"/>
            </w:tcBorders>
            <w:vAlign w:val="center"/>
          </w:tcPr>
          <w:p w14:paraId="38D2C274" w14:textId="60EE710D"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741/13500</w:t>
            </w:r>
          </w:p>
        </w:tc>
        <w:tc>
          <w:tcPr>
            <w:tcW w:w="992" w:type="dxa"/>
            <w:tcBorders>
              <w:top w:val="single" w:sz="8" w:space="0" w:color="000000"/>
            </w:tcBorders>
            <w:vAlign w:val="center"/>
          </w:tcPr>
          <w:p w14:paraId="087A9B9C" w14:textId="460F1B02"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9.2</w:t>
            </w:r>
            <w:r w:rsidR="0074296D" w:rsidRPr="00F338AB">
              <w:rPr>
                <w:rFonts w:ascii="Arial" w:eastAsia="MS Mincho" w:hAnsi="Arial" w:cs="Times New Roman"/>
                <w:sz w:val="14"/>
                <w:szCs w:val="14"/>
                <w:vertAlign w:val="superscript"/>
                <w:lang w:eastAsia="ja-JP"/>
              </w:rPr>
              <w:t>a</w:t>
            </w:r>
          </w:p>
          <w:p w14:paraId="62B05D60" w14:textId="4C8BE77B"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11.0</w:t>
            </w:r>
            <w:r w:rsidR="0074296D" w:rsidRPr="00F338AB">
              <w:rPr>
                <w:rFonts w:ascii="Arial" w:eastAsia="MS Mincho" w:hAnsi="Arial" w:cs="Times New Roman"/>
                <w:sz w:val="14"/>
                <w:szCs w:val="14"/>
                <w:vertAlign w:val="superscript"/>
                <w:lang w:eastAsia="ja-JP"/>
              </w:rPr>
              <w:t>a</w:t>
            </w:r>
          </w:p>
        </w:tc>
        <w:tc>
          <w:tcPr>
            <w:tcW w:w="1418" w:type="dxa"/>
            <w:tcBorders>
              <w:top w:val="single" w:sz="8" w:space="0" w:color="000000"/>
            </w:tcBorders>
            <w:vAlign w:val="center"/>
          </w:tcPr>
          <w:p w14:paraId="22FB2470" w14:textId="3145412E"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1231</w:t>
            </w:r>
            <w:proofErr w:type="gramStart"/>
            <w:r w:rsidR="0074296D" w:rsidRPr="00F338AB">
              <w:rPr>
                <w:rFonts w:ascii="Arial" w:eastAsia="MS Mincho" w:hAnsi="Arial" w:cs="Times New Roman"/>
                <w:sz w:val="14"/>
                <w:szCs w:val="14"/>
                <w:vertAlign w:val="superscript"/>
                <w:lang w:eastAsia="ja-JP"/>
              </w:rPr>
              <w:t>b,c</w:t>
            </w:r>
            <w:proofErr w:type="gramEnd"/>
            <w:r w:rsidRPr="00F338AB">
              <w:rPr>
                <w:rFonts w:ascii="Arial" w:eastAsia="MS Mincho" w:hAnsi="Arial" w:cs="Times New Roman"/>
                <w:sz w:val="14"/>
                <w:szCs w:val="14"/>
                <w:lang w:eastAsia="ja-JP"/>
              </w:rPr>
              <w:t>/1264</w:t>
            </w:r>
            <w:r w:rsidRPr="00F338AB">
              <w:rPr>
                <w:rFonts w:ascii="Arial" w:eastAsia="MS Mincho" w:hAnsi="Arial" w:cs="Times New Roman"/>
                <w:sz w:val="14"/>
                <w:szCs w:val="14"/>
                <w:vertAlign w:val="superscript"/>
                <w:lang w:eastAsia="ja-JP"/>
              </w:rPr>
              <w:t>d</w:t>
            </w:r>
          </w:p>
          <w:p w14:paraId="17B19A22"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1500</w:t>
            </w:r>
          </w:p>
        </w:tc>
        <w:tc>
          <w:tcPr>
            <w:tcW w:w="1235" w:type="dxa"/>
            <w:tcBorders>
              <w:top w:val="single" w:sz="8" w:space="0" w:color="000000"/>
            </w:tcBorders>
            <w:vAlign w:val="center"/>
          </w:tcPr>
          <w:p w14:paraId="1372BBBB" w14:textId="0D045BE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1500</w:t>
            </w:r>
          </w:p>
        </w:tc>
        <w:tc>
          <w:tcPr>
            <w:tcW w:w="1824" w:type="dxa"/>
            <w:tcBorders>
              <w:top w:val="single" w:sz="8" w:space="0" w:color="000000"/>
            </w:tcBorders>
            <w:vAlign w:val="center"/>
          </w:tcPr>
          <w:p w14:paraId="30877BD7" w14:textId="7E9ED726"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74/738</w:t>
            </w:r>
          </w:p>
        </w:tc>
      </w:tr>
      <w:tr w:rsidR="00FB40CC" w:rsidRPr="00F338AB" w14:paraId="42557CD9" w14:textId="0977287A" w:rsidTr="003E36BF">
        <w:trPr>
          <w:trHeight w:val="643"/>
        </w:trPr>
        <w:tc>
          <w:tcPr>
            <w:tcW w:w="2438" w:type="dxa"/>
            <w:vAlign w:val="center"/>
          </w:tcPr>
          <w:p w14:paraId="764A0671"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r w:rsidRPr="00F338AB">
              <w:rPr>
                <w:rFonts w:ascii="Arial" w:eastAsia="MS Mincho" w:hAnsi="Arial" w:cs="Times New Roman"/>
                <w:b/>
                <w:bCs/>
                <w:sz w:val="14"/>
                <w:szCs w:val="14"/>
                <w:lang w:eastAsia="ja-JP"/>
              </w:rPr>
              <w:t>2 - [</w:t>
            </w:r>
            <w:proofErr w:type="gramStart"/>
            <w:r w:rsidRPr="00F338AB">
              <w:rPr>
                <w:rFonts w:ascii="Arial" w:eastAsia="MS Mincho" w:hAnsi="Arial" w:cs="Times New Roman"/>
                <w:b/>
                <w:bCs/>
                <w:sz w:val="14"/>
                <w:szCs w:val="14"/>
                <w:lang w:eastAsia="ja-JP"/>
              </w:rPr>
              <w:t>Cr(</w:t>
            </w:r>
            <w:proofErr w:type="spellStart"/>
            <w:proofErr w:type="gramEnd"/>
            <w:r w:rsidRPr="00F338AB">
              <w:rPr>
                <w:rFonts w:ascii="Arial" w:eastAsia="MS Mincho" w:hAnsi="Arial" w:cs="Times New Roman"/>
                <w:b/>
                <w:bCs/>
                <w:sz w:val="14"/>
                <w:szCs w:val="14"/>
                <w:lang w:eastAsia="ja-JP"/>
              </w:rPr>
              <w:t>IMebipzp</w:t>
            </w:r>
            <w:proofErr w:type="spellEnd"/>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bscript"/>
                <w:lang w:eastAsia="ja-JP"/>
              </w:rPr>
              <w:t>2</w:t>
            </w:r>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perscript"/>
                <w:lang w:eastAsia="ja-JP"/>
              </w:rPr>
              <w:t>3+</w:t>
            </w:r>
          </w:p>
          <w:p w14:paraId="10E610E5"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r w:rsidRPr="00F338AB">
              <w:rPr>
                <w:rFonts w:ascii="Arial" w:eastAsia="MS Mincho" w:hAnsi="Arial" w:cs="Times New Roman"/>
                <w:b/>
                <w:bCs/>
                <w:sz w:val="14"/>
                <w:szCs w:val="14"/>
                <w:lang w:eastAsia="ja-JP"/>
              </w:rPr>
              <w:t>2</w:t>
            </w:r>
            <w:r w:rsidRPr="00F338AB">
              <w:rPr>
                <w:rFonts w:ascii="Arial" w:eastAsia="MS Mincho" w:hAnsi="Arial" w:cs="Arial"/>
                <w:b/>
                <w:bCs/>
                <w:sz w:val="14"/>
                <w:szCs w:val="14"/>
                <w:lang w:eastAsia="ja-JP"/>
              </w:rPr>
              <w:t xml:space="preserve"> - acidic conditions</w:t>
            </w:r>
            <w:r w:rsidRPr="00F338AB">
              <w:rPr>
                <w:rFonts w:ascii="Arial" w:eastAsia="MS Mincho" w:hAnsi="Arial" w:cs="Times New Roman"/>
                <w:b/>
                <w:bCs/>
                <w:sz w:val="14"/>
                <w:szCs w:val="14"/>
                <w:lang w:eastAsia="ja-JP"/>
              </w:rPr>
              <w:t xml:space="preserve"> </w:t>
            </w:r>
          </w:p>
        </w:tc>
        <w:tc>
          <w:tcPr>
            <w:tcW w:w="964" w:type="dxa"/>
            <w:vAlign w:val="center"/>
          </w:tcPr>
          <w:p w14:paraId="3CD7D5B9" w14:textId="2EF5300D"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742/13477</w:t>
            </w:r>
          </w:p>
        </w:tc>
        <w:tc>
          <w:tcPr>
            <w:tcW w:w="1276" w:type="dxa"/>
            <w:vAlign w:val="center"/>
          </w:tcPr>
          <w:p w14:paraId="6522CDC6" w14:textId="0128B13D"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746/13404</w:t>
            </w:r>
          </w:p>
        </w:tc>
        <w:tc>
          <w:tcPr>
            <w:tcW w:w="992" w:type="dxa"/>
            <w:vAlign w:val="center"/>
          </w:tcPr>
          <w:p w14:paraId="033D01B2" w14:textId="2E3C25AA"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9.0</w:t>
            </w:r>
            <w:r w:rsidR="0074296D" w:rsidRPr="00F338AB">
              <w:rPr>
                <w:rFonts w:ascii="Arial" w:eastAsia="MS Mincho" w:hAnsi="Arial" w:cs="Times New Roman"/>
                <w:sz w:val="14"/>
                <w:szCs w:val="14"/>
                <w:vertAlign w:val="superscript"/>
                <w:lang w:eastAsia="ja-JP"/>
              </w:rPr>
              <w:t>a</w:t>
            </w:r>
          </w:p>
          <w:p w14:paraId="5676B832" w14:textId="547DA54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9.5</w:t>
            </w:r>
            <w:r w:rsidR="0074296D" w:rsidRPr="00F338AB">
              <w:rPr>
                <w:rFonts w:ascii="Arial" w:eastAsia="MS Mincho" w:hAnsi="Arial" w:cs="Times New Roman"/>
                <w:sz w:val="14"/>
                <w:szCs w:val="14"/>
                <w:vertAlign w:val="superscript"/>
                <w:lang w:eastAsia="ja-JP"/>
              </w:rPr>
              <w:t>a</w:t>
            </w:r>
          </w:p>
        </w:tc>
        <w:tc>
          <w:tcPr>
            <w:tcW w:w="1418" w:type="dxa"/>
            <w:vAlign w:val="center"/>
          </w:tcPr>
          <w:p w14:paraId="2385284A" w14:textId="234D2135"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313</w:t>
            </w:r>
            <w:proofErr w:type="gramStart"/>
            <w:r w:rsidR="0074296D" w:rsidRPr="00F338AB">
              <w:rPr>
                <w:rFonts w:ascii="Arial" w:eastAsia="MS Mincho" w:hAnsi="Arial" w:cs="Times New Roman"/>
                <w:sz w:val="14"/>
                <w:szCs w:val="14"/>
                <w:vertAlign w:val="superscript"/>
                <w:lang w:eastAsia="ja-JP"/>
              </w:rPr>
              <w:t>b,c</w:t>
            </w:r>
            <w:proofErr w:type="gramEnd"/>
            <w:r w:rsidRPr="00F338AB">
              <w:rPr>
                <w:rFonts w:ascii="Arial" w:eastAsia="MS Mincho" w:hAnsi="Arial" w:cs="Times New Roman"/>
                <w:sz w:val="14"/>
                <w:szCs w:val="14"/>
                <w:lang w:eastAsia="ja-JP"/>
              </w:rPr>
              <w:t>/380</w:t>
            </w:r>
            <w:r w:rsidRPr="00F338AB">
              <w:rPr>
                <w:rFonts w:ascii="Arial" w:eastAsia="MS Mincho" w:hAnsi="Arial" w:cs="Times New Roman"/>
                <w:sz w:val="14"/>
                <w:szCs w:val="14"/>
                <w:vertAlign w:val="superscript"/>
                <w:lang w:eastAsia="ja-JP"/>
              </w:rPr>
              <w:t>d</w:t>
            </w:r>
          </w:p>
          <w:p w14:paraId="46676C5C"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350</w:t>
            </w:r>
          </w:p>
        </w:tc>
        <w:tc>
          <w:tcPr>
            <w:tcW w:w="1235" w:type="dxa"/>
            <w:vAlign w:val="center"/>
          </w:tcPr>
          <w:p w14:paraId="08B4D839" w14:textId="41281A03"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1063</w:t>
            </w:r>
          </w:p>
        </w:tc>
        <w:tc>
          <w:tcPr>
            <w:tcW w:w="1824" w:type="dxa"/>
            <w:vAlign w:val="center"/>
          </w:tcPr>
          <w:p w14:paraId="112DAB1D" w14:textId="2EB0C4FE"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287/2900</w:t>
            </w:r>
          </w:p>
        </w:tc>
      </w:tr>
      <w:tr w:rsidR="00FB40CC" w:rsidRPr="00F338AB" w14:paraId="5BFB9321" w14:textId="50293F3C" w:rsidTr="003E36BF">
        <w:trPr>
          <w:trHeight w:val="643"/>
        </w:trPr>
        <w:tc>
          <w:tcPr>
            <w:tcW w:w="2438" w:type="dxa"/>
            <w:vAlign w:val="center"/>
          </w:tcPr>
          <w:p w14:paraId="64A374B6" w14:textId="204CAEFF"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r w:rsidRPr="00F338AB">
              <w:rPr>
                <w:rFonts w:ascii="Arial" w:eastAsia="MS Mincho" w:hAnsi="Arial" w:cs="Times New Roman"/>
                <w:b/>
                <w:bCs/>
                <w:sz w:val="14"/>
                <w:szCs w:val="14"/>
                <w:lang w:eastAsia="ja-JP"/>
              </w:rPr>
              <w:t xml:space="preserve"> 3 - [Cr(</w:t>
            </w:r>
            <w:proofErr w:type="spellStart"/>
            <w:r w:rsidRPr="00F338AB">
              <w:rPr>
                <w:rFonts w:ascii="Arial" w:eastAsia="MS Mincho" w:hAnsi="Arial" w:cs="Times New Roman"/>
                <w:b/>
                <w:bCs/>
                <w:sz w:val="14"/>
                <w:szCs w:val="14"/>
                <w:lang w:eastAsia="ja-JP"/>
              </w:rPr>
              <w:t>bip</w:t>
            </w:r>
            <w:proofErr w:type="spellEnd"/>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bscript"/>
                <w:lang w:eastAsia="ja-JP"/>
              </w:rPr>
              <w:t>2</w:t>
            </w:r>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perscript"/>
                <w:lang w:eastAsia="ja-JP"/>
              </w:rPr>
              <w:t>3+</w:t>
            </w:r>
          </w:p>
          <w:p w14:paraId="6DC148D3"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r w:rsidRPr="00F338AB">
              <w:rPr>
                <w:rFonts w:ascii="Arial" w:eastAsia="MS Mincho" w:hAnsi="Arial" w:cs="Times New Roman"/>
                <w:b/>
                <w:bCs/>
                <w:sz w:val="14"/>
                <w:szCs w:val="14"/>
                <w:lang w:eastAsia="ja-JP"/>
              </w:rPr>
              <w:t>3</w:t>
            </w:r>
            <w:r w:rsidRPr="00F338AB">
              <w:rPr>
                <w:rFonts w:ascii="Arial" w:eastAsia="MS Mincho" w:hAnsi="Arial" w:cs="Arial"/>
                <w:b/>
                <w:bCs/>
                <w:sz w:val="14"/>
                <w:szCs w:val="14"/>
                <w:lang w:eastAsia="ja-JP"/>
              </w:rPr>
              <w:t xml:space="preserve"> - acidic conditions</w:t>
            </w:r>
          </w:p>
        </w:tc>
        <w:tc>
          <w:tcPr>
            <w:tcW w:w="964" w:type="dxa"/>
            <w:vAlign w:val="center"/>
          </w:tcPr>
          <w:p w14:paraId="095D8AA0" w14:textId="0ABE37F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773/12940</w:t>
            </w:r>
          </w:p>
        </w:tc>
        <w:tc>
          <w:tcPr>
            <w:tcW w:w="1276" w:type="dxa"/>
            <w:vAlign w:val="center"/>
          </w:tcPr>
          <w:p w14:paraId="2B13B745" w14:textId="3F2F019C"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830/12048</w:t>
            </w:r>
          </w:p>
        </w:tc>
        <w:tc>
          <w:tcPr>
            <w:tcW w:w="992" w:type="dxa"/>
            <w:vAlign w:val="center"/>
          </w:tcPr>
          <w:p w14:paraId="2E6AAC35" w14:textId="733A694F"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1.5</w:t>
            </w:r>
            <w:r w:rsidR="0074296D" w:rsidRPr="00F338AB">
              <w:rPr>
                <w:rFonts w:ascii="Arial" w:eastAsia="MS Mincho" w:hAnsi="Arial" w:cs="Times New Roman"/>
                <w:sz w:val="14"/>
                <w:szCs w:val="14"/>
                <w:vertAlign w:val="superscript"/>
                <w:lang w:eastAsia="ja-JP"/>
              </w:rPr>
              <w:t>a</w:t>
            </w:r>
          </w:p>
          <w:p w14:paraId="4D5D346F" w14:textId="22E6F7B5"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1.5</w:t>
            </w:r>
            <w:r w:rsidR="0074296D" w:rsidRPr="00F338AB">
              <w:rPr>
                <w:rFonts w:ascii="Arial" w:eastAsia="MS Mincho" w:hAnsi="Arial" w:cs="Times New Roman"/>
                <w:sz w:val="14"/>
                <w:szCs w:val="14"/>
                <w:vertAlign w:val="superscript"/>
                <w:lang w:eastAsia="ja-JP"/>
              </w:rPr>
              <w:t>a</w:t>
            </w:r>
          </w:p>
        </w:tc>
        <w:tc>
          <w:tcPr>
            <w:tcW w:w="1418" w:type="dxa"/>
            <w:vAlign w:val="center"/>
          </w:tcPr>
          <w:p w14:paraId="0BB17599" w14:textId="1F1B8E98"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111</w:t>
            </w:r>
            <w:proofErr w:type="gramStart"/>
            <w:r w:rsidR="0074296D" w:rsidRPr="00F338AB">
              <w:rPr>
                <w:rFonts w:ascii="Arial" w:eastAsia="MS Mincho" w:hAnsi="Arial" w:cs="Times New Roman"/>
                <w:sz w:val="14"/>
                <w:szCs w:val="14"/>
                <w:vertAlign w:val="superscript"/>
                <w:lang w:eastAsia="ja-JP"/>
              </w:rPr>
              <w:t>b,c</w:t>
            </w:r>
            <w:proofErr w:type="gramEnd"/>
            <w:r w:rsidRPr="00F338AB">
              <w:rPr>
                <w:rFonts w:ascii="Arial" w:eastAsia="MS Mincho" w:hAnsi="Arial" w:cs="Times New Roman"/>
                <w:sz w:val="14"/>
                <w:szCs w:val="14"/>
                <w:lang w:eastAsia="ja-JP"/>
              </w:rPr>
              <w:t>/110</w:t>
            </w:r>
            <w:r w:rsidRPr="00F338AB">
              <w:rPr>
                <w:rFonts w:ascii="Arial" w:eastAsia="MS Mincho" w:hAnsi="Arial" w:cs="Times New Roman"/>
                <w:sz w:val="14"/>
                <w:szCs w:val="14"/>
                <w:vertAlign w:val="superscript"/>
                <w:lang w:eastAsia="ja-JP"/>
              </w:rPr>
              <w:t>d</w:t>
            </w:r>
          </w:p>
          <w:p w14:paraId="31F917F2"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110</w:t>
            </w:r>
          </w:p>
        </w:tc>
        <w:tc>
          <w:tcPr>
            <w:tcW w:w="1235" w:type="dxa"/>
            <w:vAlign w:val="center"/>
          </w:tcPr>
          <w:p w14:paraId="3C185C95" w14:textId="232531A0"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145</w:t>
            </w:r>
          </w:p>
        </w:tc>
        <w:tc>
          <w:tcPr>
            <w:tcW w:w="1824" w:type="dxa"/>
            <w:vAlign w:val="center"/>
          </w:tcPr>
          <w:p w14:paraId="42C770C0" w14:textId="4E82053C"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135/8873</w:t>
            </w:r>
          </w:p>
        </w:tc>
      </w:tr>
      <w:tr w:rsidR="00FB40CC" w:rsidRPr="00F338AB" w14:paraId="11E25AF1" w14:textId="1581E9C7" w:rsidTr="003E36BF">
        <w:trPr>
          <w:trHeight w:val="410"/>
        </w:trPr>
        <w:tc>
          <w:tcPr>
            <w:tcW w:w="2438" w:type="dxa"/>
            <w:vAlign w:val="center"/>
          </w:tcPr>
          <w:p w14:paraId="5D483885"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bookmarkStart w:id="19" w:name="_Hlk141717821"/>
            <w:r w:rsidRPr="00F338AB">
              <w:rPr>
                <w:rFonts w:ascii="Arial" w:eastAsia="MS Mincho" w:hAnsi="Arial" w:cs="Times New Roman"/>
                <w:b/>
                <w:bCs/>
                <w:sz w:val="14"/>
                <w:szCs w:val="14"/>
                <w:lang w:eastAsia="ja-JP"/>
              </w:rPr>
              <w:t>[Cr(</w:t>
            </w:r>
            <w:proofErr w:type="spellStart"/>
            <w:r w:rsidRPr="00F338AB">
              <w:rPr>
                <w:rFonts w:ascii="Arial" w:eastAsia="MS Mincho" w:hAnsi="Arial" w:cs="Times New Roman"/>
                <w:b/>
                <w:bCs/>
                <w:sz w:val="14"/>
                <w:szCs w:val="14"/>
                <w:lang w:eastAsia="ja-JP"/>
              </w:rPr>
              <w:t>bpmp</w:t>
            </w:r>
            <w:proofErr w:type="spellEnd"/>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bscript"/>
                <w:lang w:eastAsia="ja-JP"/>
              </w:rPr>
              <w:t>2</w:t>
            </w:r>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perscript"/>
                <w:lang w:eastAsia="ja-JP"/>
              </w:rPr>
              <w:t>3+</w:t>
            </w:r>
            <w:r w:rsidRPr="00F338AB">
              <w:rPr>
                <w:rFonts w:ascii="Arial" w:eastAsia="MS Mincho" w:hAnsi="Arial" w:cs="Times New Roman"/>
                <w:b/>
                <w:bCs/>
                <w:sz w:val="14"/>
                <w:szCs w:val="14"/>
                <w:lang w:eastAsia="ja-JP"/>
              </w:rPr>
              <w:t xml:space="preserve"> </w:t>
            </w:r>
            <w:bookmarkEnd w:id="19"/>
            <w:r w:rsidRPr="00F338AB">
              <w:rPr>
                <w:rFonts w:ascii="Arial" w:eastAsia="MS Mincho" w:hAnsi="Arial" w:cs="Times New Roman"/>
                <w:b/>
                <w:bCs/>
                <w:sz w:val="14"/>
                <w:szCs w:val="14"/>
                <w:lang w:eastAsia="ja-JP"/>
              </w:rPr>
              <w:t>(3)</w:t>
            </w:r>
            <w:r w:rsidRPr="00F338AB">
              <w:rPr>
                <w:rFonts w:ascii="Arial" w:eastAsia="MS Mincho" w:hAnsi="Arial" w:cs="Times New Roman"/>
                <w:b/>
                <w:bCs/>
                <w:sz w:val="14"/>
                <w:szCs w:val="14"/>
                <w:vertAlign w:val="superscript"/>
                <w:lang w:eastAsia="ja-JP"/>
              </w:rPr>
              <w:t>36</w:t>
            </w:r>
          </w:p>
          <w:p w14:paraId="36AD36DC"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r w:rsidRPr="00F338AB">
              <w:rPr>
                <w:rFonts w:ascii="Arial" w:eastAsia="MS Mincho" w:hAnsi="Arial" w:cs="Times New Roman"/>
                <w:b/>
                <w:bCs/>
                <w:sz w:val="14"/>
                <w:szCs w:val="14"/>
                <w:lang w:eastAsia="ja-JP"/>
              </w:rPr>
              <w:t>3</w:t>
            </w:r>
            <w:r w:rsidRPr="00F338AB">
              <w:rPr>
                <w:rFonts w:ascii="Arial" w:eastAsia="MS Mincho" w:hAnsi="Arial" w:cs="Arial"/>
                <w:b/>
                <w:bCs/>
                <w:sz w:val="14"/>
                <w:szCs w:val="14"/>
                <w:lang w:eastAsia="ja-JP"/>
              </w:rPr>
              <w:t xml:space="preserve"> - acidic conditions</w:t>
            </w:r>
            <w:r w:rsidRPr="00F338AB">
              <w:rPr>
                <w:rFonts w:ascii="Arial" w:eastAsia="MS Mincho" w:hAnsi="Arial" w:cs="Times New Roman"/>
                <w:b/>
                <w:bCs/>
                <w:sz w:val="14"/>
                <w:szCs w:val="14"/>
                <w:lang w:eastAsia="ja-JP"/>
              </w:rPr>
              <w:t xml:space="preserve"> </w:t>
            </w:r>
          </w:p>
        </w:tc>
        <w:tc>
          <w:tcPr>
            <w:tcW w:w="964" w:type="dxa"/>
            <w:vAlign w:val="center"/>
          </w:tcPr>
          <w:p w14:paraId="4B9A1489" w14:textId="28CA141F"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706/14164</w:t>
            </w:r>
          </w:p>
        </w:tc>
        <w:tc>
          <w:tcPr>
            <w:tcW w:w="1276" w:type="dxa"/>
            <w:vAlign w:val="center"/>
          </w:tcPr>
          <w:p w14:paraId="2E1E6905" w14:textId="649BE481"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709/14100</w:t>
            </w:r>
          </w:p>
        </w:tc>
        <w:tc>
          <w:tcPr>
            <w:tcW w:w="992" w:type="dxa"/>
            <w:vAlign w:val="center"/>
          </w:tcPr>
          <w:p w14:paraId="5FAFA926"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0.8</w:t>
            </w:r>
          </w:p>
          <w:p w14:paraId="70F909D1"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11.4</w:t>
            </w:r>
          </w:p>
        </w:tc>
        <w:tc>
          <w:tcPr>
            <w:tcW w:w="1418" w:type="dxa"/>
            <w:vAlign w:val="center"/>
          </w:tcPr>
          <w:p w14:paraId="1CFA902A"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840</w:t>
            </w:r>
          </w:p>
          <w:p w14:paraId="53794AD6" w14:textId="77777777"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1290</w:t>
            </w:r>
          </w:p>
        </w:tc>
        <w:tc>
          <w:tcPr>
            <w:tcW w:w="1235" w:type="dxa"/>
            <w:vAlign w:val="center"/>
          </w:tcPr>
          <w:p w14:paraId="6F38DAB1" w14:textId="656570E4" w:rsidR="00FB40CC" w:rsidRPr="00F338AB" w:rsidRDefault="003E36BF"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w:t>
            </w:r>
          </w:p>
        </w:tc>
        <w:tc>
          <w:tcPr>
            <w:tcW w:w="1824" w:type="dxa"/>
            <w:vAlign w:val="center"/>
          </w:tcPr>
          <w:p w14:paraId="64457877" w14:textId="6D2D76EC" w:rsidR="00FB40CC" w:rsidRPr="00F338AB" w:rsidRDefault="00FB40CC" w:rsidP="00FB40CC">
            <w:pPr>
              <w:pBdr>
                <w:top w:val="single" w:sz="4" w:space="4" w:color="FFFFFF"/>
                <w:left w:val="single" w:sz="4" w:space="4" w:color="FFFFFF"/>
                <w:bottom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88/686</w:t>
            </w:r>
          </w:p>
        </w:tc>
      </w:tr>
      <w:tr w:rsidR="00FB40CC" w:rsidRPr="00F338AB" w14:paraId="11FBF544" w14:textId="6CD573EF" w:rsidTr="003E36BF">
        <w:trPr>
          <w:trHeight w:val="410"/>
        </w:trPr>
        <w:tc>
          <w:tcPr>
            <w:tcW w:w="2438" w:type="dxa"/>
            <w:tcBorders>
              <w:bottom w:val="single" w:sz="4" w:space="0" w:color="auto"/>
            </w:tcBorders>
            <w:vAlign w:val="center"/>
          </w:tcPr>
          <w:p w14:paraId="33C79BAE"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bookmarkStart w:id="20" w:name="_Hlk141717839"/>
            <w:r w:rsidRPr="00F338AB">
              <w:rPr>
                <w:rFonts w:ascii="Arial" w:eastAsia="MS Mincho" w:hAnsi="Arial" w:cs="Times New Roman"/>
                <w:b/>
                <w:bCs/>
                <w:sz w:val="14"/>
                <w:szCs w:val="14"/>
                <w:lang w:eastAsia="ja-JP"/>
              </w:rPr>
              <w:t>[Cr(</w:t>
            </w:r>
            <w:proofErr w:type="spellStart"/>
            <w:r w:rsidRPr="00F338AB">
              <w:rPr>
                <w:rFonts w:ascii="Arial" w:eastAsia="MS Mincho" w:hAnsi="Arial" w:cs="Times New Roman"/>
                <w:b/>
                <w:bCs/>
                <w:sz w:val="14"/>
                <w:szCs w:val="14"/>
                <w:lang w:eastAsia="ja-JP"/>
              </w:rPr>
              <w:t>btmp</w:t>
            </w:r>
            <w:proofErr w:type="spellEnd"/>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bscript"/>
                <w:lang w:eastAsia="ja-JP"/>
              </w:rPr>
              <w:t>2</w:t>
            </w:r>
            <w:r w:rsidRPr="00F338AB">
              <w:rPr>
                <w:rFonts w:ascii="Arial" w:eastAsia="MS Mincho" w:hAnsi="Arial" w:cs="Times New Roman"/>
                <w:b/>
                <w:bCs/>
                <w:sz w:val="14"/>
                <w:szCs w:val="14"/>
                <w:lang w:eastAsia="ja-JP"/>
              </w:rPr>
              <w:t>]</w:t>
            </w:r>
            <w:r w:rsidRPr="00F338AB">
              <w:rPr>
                <w:rFonts w:ascii="Arial" w:eastAsia="MS Mincho" w:hAnsi="Arial" w:cs="Times New Roman"/>
                <w:b/>
                <w:bCs/>
                <w:sz w:val="14"/>
                <w:szCs w:val="14"/>
                <w:vertAlign w:val="superscript"/>
                <w:lang w:eastAsia="ja-JP"/>
              </w:rPr>
              <w:t xml:space="preserve">3+ </w:t>
            </w:r>
            <w:bookmarkEnd w:id="20"/>
            <w:r w:rsidRPr="00F338AB">
              <w:rPr>
                <w:rFonts w:ascii="Arial" w:eastAsia="MS Mincho" w:hAnsi="Arial" w:cs="Times New Roman"/>
                <w:b/>
                <w:bCs/>
                <w:sz w:val="14"/>
                <w:szCs w:val="14"/>
                <w:lang w:eastAsia="ja-JP"/>
              </w:rPr>
              <w:t>(4)</w:t>
            </w:r>
            <w:r w:rsidRPr="00F338AB">
              <w:rPr>
                <w:rFonts w:ascii="Arial" w:eastAsia="MS Mincho" w:hAnsi="Arial" w:cs="Times New Roman"/>
                <w:b/>
                <w:bCs/>
                <w:sz w:val="14"/>
                <w:szCs w:val="14"/>
                <w:vertAlign w:val="superscript"/>
                <w:lang w:eastAsia="ja-JP"/>
              </w:rPr>
              <w:t>37</w:t>
            </w:r>
          </w:p>
          <w:p w14:paraId="0BAC2AAC"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b/>
                <w:bCs/>
                <w:sz w:val="14"/>
                <w:szCs w:val="14"/>
                <w:lang w:eastAsia="ja-JP"/>
              </w:rPr>
            </w:pPr>
            <w:r w:rsidRPr="00F338AB">
              <w:rPr>
                <w:rFonts w:ascii="Arial" w:eastAsia="MS Mincho" w:hAnsi="Arial" w:cs="Times New Roman"/>
                <w:b/>
                <w:bCs/>
                <w:sz w:val="14"/>
                <w:szCs w:val="14"/>
                <w:lang w:eastAsia="ja-JP"/>
              </w:rPr>
              <w:t>4</w:t>
            </w:r>
            <w:r w:rsidRPr="00F338AB">
              <w:rPr>
                <w:rFonts w:ascii="Arial" w:eastAsia="MS Mincho" w:hAnsi="Arial" w:cs="Arial"/>
                <w:b/>
                <w:bCs/>
                <w:sz w:val="14"/>
                <w:szCs w:val="14"/>
                <w:lang w:eastAsia="ja-JP"/>
              </w:rPr>
              <w:t xml:space="preserve"> - acidic conditions</w:t>
            </w:r>
            <w:r w:rsidRPr="00F338AB">
              <w:rPr>
                <w:rFonts w:ascii="Arial" w:eastAsia="MS Mincho" w:hAnsi="Arial" w:cs="Times New Roman"/>
                <w:b/>
                <w:bCs/>
                <w:sz w:val="14"/>
                <w:szCs w:val="14"/>
                <w:lang w:eastAsia="ja-JP"/>
              </w:rPr>
              <w:t xml:space="preserve"> </w:t>
            </w:r>
          </w:p>
          <w:p w14:paraId="66EDAE65" w14:textId="77777777" w:rsidR="00FB40CC" w:rsidRPr="00F338AB" w:rsidRDefault="00FB40CC" w:rsidP="00FB40CC">
            <w:pPr>
              <w:pBdr>
                <w:top w:val="single" w:sz="4" w:space="4" w:color="FFFFFF"/>
                <w:left w:val="single" w:sz="4" w:space="4" w:color="FFFFFF"/>
                <w:right w:val="single" w:sz="4" w:space="4" w:color="FFFFFF"/>
              </w:pBdr>
              <w:spacing w:after="0" w:line="240" w:lineRule="atLeast"/>
              <w:rPr>
                <w:rFonts w:ascii="Arial" w:eastAsia="MS Mincho" w:hAnsi="Arial" w:cs="Times New Roman"/>
                <w:b/>
                <w:bCs/>
                <w:sz w:val="14"/>
                <w:szCs w:val="14"/>
                <w:lang w:eastAsia="ja-JP"/>
              </w:rPr>
            </w:pPr>
          </w:p>
        </w:tc>
        <w:tc>
          <w:tcPr>
            <w:tcW w:w="964" w:type="dxa"/>
            <w:tcBorders>
              <w:bottom w:val="single" w:sz="4" w:space="0" w:color="auto"/>
            </w:tcBorders>
            <w:vAlign w:val="center"/>
          </w:tcPr>
          <w:p w14:paraId="7382022D" w14:textId="5D986506"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w:t>
            </w:r>
          </w:p>
        </w:tc>
        <w:tc>
          <w:tcPr>
            <w:tcW w:w="1276" w:type="dxa"/>
            <w:tcBorders>
              <w:bottom w:val="single" w:sz="4" w:space="0" w:color="auto"/>
            </w:tcBorders>
            <w:vAlign w:val="center"/>
          </w:tcPr>
          <w:p w14:paraId="47485572" w14:textId="7112A648"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760/13157</w:t>
            </w:r>
          </w:p>
        </w:tc>
        <w:tc>
          <w:tcPr>
            <w:tcW w:w="992" w:type="dxa"/>
            <w:tcBorders>
              <w:bottom w:val="single" w:sz="4" w:space="0" w:color="auto"/>
            </w:tcBorders>
            <w:vAlign w:val="center"/>
          </w:tcPr>
          <w:p w14:paraId="3D02E0D0" w14:textId="11B9A5E9"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0.27</w:t>
            </w:r>
          </w:p>
          <w:p w14:paraId="327762B5" w14:textId="1A1E963E"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0.54</w:t>
            </w:r>
          </w:p>
        </w:tc>
        <w:tc>
          <w:tcPr>
            <w:tcW w:w="1418" w:type="dxa"/>
            <w:tcBorders>
              <w:bottom w:val="single" w:sz="4" w:space="0" w:color="auto"/>
            </w:tcBorders>
            <w:vAlign w:val="center"/>
          </w:tcPr>
          <w:p w14:paraId="291276BF"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37.9</w:t>
            </w:r>
          </w:p>
          <w:p w14:paraId="446251AE"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r w:rsidRPr="00F338AB">
              <w:rPr>
                <w:rFonts w:ascii="Arial" w:eastAsia="MS Mincho" w:hAnsi="Arial" w:cs="Times New Roman"/>
                <w:sz w:val="14"/>
                <w:szCs w:val="14"/>
                <w:lang w:eastAsia="ja-JP"/>
              </w:rPr>
              <w:t>41.5</w:t>
            </w:r>
          </w:p>
        </w:tc>
        <w:tc>
          <w:tcPr>
            <w:tcW w:w="1235" w:type="dxa"/>
            <w:tcBorders>
              <w:bottom w:val="single" w:sz="4" w:space="0" w:color="auto"/>
            </w:tcBorders>
            <w:vAlign w:val="center"/>
          </w:tcPr>
          <w:p w14:paraId="0AE46751"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p>
          <w:p w14:paraId="775C3F80" w14:textId="22A5E29C" w:rsidR="00FB40CC" w:rsidRPr="00F338AB" w:rsidRDefault="003E36BF"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i/>
                <w:iCs/>
                <w:sz w:val="14"/>
                <w:szCs w:val="14"/>
                <w:vertAlign w:val="superscript"/>
                <w:lang w:eastAsia="ja-JP"/>
              </w:rPr>
            </w:pPr>
            <w:r w:rsidRPr="00F338AB">
              <w:rPr>
                <w:rFonts w:ascii="Arial" w:eastAsia="MS Mincho" w:hAnsi="Arial" w:cs="Times New Roman"/>
                <w:sz w:val="14"/>
                <w:szCs w:val="14"/>
                <w:lang w:eastAsia="ja-JP"/>
              </w:rPr>
              <w:t>782</w:t>
            </w:r>
          </w:p>
          <w:p w14:paraId="28FD10BB"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p>
        </w:tc>
        <w:tc>
          <w:tcPr>
            <w:tcW w:w="1824" w:type="dxa"/>
            <w:tcBorders>
              <w:bottom w:val="single" w:sz="4" w:space="0" w:color="auto"/>
            </w:tcBorders>
            <w:vAlign w:val="center"/>
          </w:tcPr>
          <w:p w14:paraId="061A2FA9"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p>
          <w:p w14:paraId="35A32CC1" w14:textId="3473A600"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i/>
                <w:iCs/>
                <w:sz w:val="14"/>
                <w:szCs w:val="14"/>
                <w:vertAlign w:val="superscript"/>
                <w:lang w:eastAsia="ja-JP"/>
              </w:rPr>
            </w:pPr>
            <w:r w:rsidRPr="00F338AB">
              <w:rPr>
                <w:rFonts w:ascii="Arial" w:eastAsia="MS Mincho" w:hAnsi="Arial" w:cs="Times New Roman"/>
                <w:sz w:val="14"/>
                <w:szCs w:val="14"/>
                <w:lang w:eastAsia="ja-JP"/>
              </w:rPr>
              <w:t>131/24000</w:t>
            </w:r>
          </w:p>
          <w:p w14:paraId="102145E7" w14:textId="77777777" w:rsidR="00FB40CC" w:rsidRPr="00F338AB" w:rsidRDefault="00FB40CC" w:rsidP="00FB40CC">
            <w:pPr>
              <w:pBdr>
                <w:top w:val="single" w:sz="4" w:space="4" w:color="FFFFFF"/>
                <w:left w:val="single" w:sz="4" w:space="4" w:color="FFFFFF"/>
                <w:right w:val="single" w:sz="4" w:space="4" w:color="FFFFFF"/>
              </w:pBdr>
              <w:spacing w:after="0" w:line="240" w:lineRule="atLeast"/>
              <w:jc w:val="center"/>
              <w:rPr>
                <w:rFonts w:ascii="Arial" w:eastAsia="MS Mincho" w:hAnsi="Arial" w:cs="Times New Roman"/>
                <w:sz w:val="14"/>
                <w:szCs w:val="14"/>
                <w:lang w:eastAsia="ja-JP"/>
              </w:rPr>
            </w:pPr>
          </w:p>
        </w:tc>
      </w:tr>
    </w:tbl>
    <w:bookmarkEnd w:id="18"/>
    <w:p w14:paraId="62F8FBF2" w14:textId="03BF6EB0" w:rsidR="00EE4C61" w:rsidRPr="00F338AB" w:rsidRDefault="004E12F3" w:rsidP="004E12F3">
      <w:pPr>
        <w:pBdr>
          <w:top w:val="single" w:sz="4" w:space="4" w:color="FFFFFF"/>
          <w:left w:val="single" w:sz="4" w:space="4" w:color="FFFFFF"/>
          <w:bottom w:val="single" w:sz="4" w:space="4" w:color="FFFFFF"/>
          <w:right w:val="single" w:sz="4" w:space="4" w:color="FFFFFF"/>
        </w:pBdr>
        <w:spacing w:before="60" w:after="60" w:line="240" w:lineRule="atLeast"/>
        <w:jc w:val="both"/>
        <w:rPr>
          <w:rFonts w:ascii="Arial" w:eastAsia="MS Mincho" w:hAnsi="Arial" w:cs="Times New Roman"/>
          <w:sz w:val="14"/>
          <w:szCs w:val="14"/>
          <w:lang w:eastAsia="ja-JP"/>
        </w:rPr>
      </w:pPr>
      <w:r w:rsidRPr="00F338AB">
        <w:rPr>
          <w:rFonts w:ascii="Arial" w:eastAsia="MS Mincho" w:hAnsi="Arial" w:cs="Times New Roman"/>
          <w:sz w:val="14"/>
          <w:szCs w:val="14"/>
          <w:lang w:eastAsia="ja-JP"/>
        </w:rPr>
        <w:t xml:space="preserve">[a] Emission quantum yield measured by using an integration sphere upon excitation at 480 nm in deaerated acetonitrile at room temperature. [b] Emission lifetime measured in deaerated acetonitrile solution at r.t and upon excitation at 480 nm. </w:t>
      </w:r>
      <w:r w:rsidR="00287649" w:rsidRPr="00F338AB">
        <w:rPr>
          <w:rFonts w:ascii="Arial" w:eastAsia="MS Mincho" w:hAnsi="Arial" w:cs="Times New Roman"/>
          <w:sz w:val="14"/>
          <w:szCs w:val="14"/>
          <w:lang w:eastAsia="ja-JP"/>
        </w:rPr>
        <w:t xml:space="preserve">[c] Excited state lifetime obtained by time-correlated single photon counting (TCSPC) </w:t>
      </w:r>
      <w:r w:rsidR="0074296D" w:rsidRPr="00F338AB">
        <w:rPr>
          <w:rFonts w:ascii="Arial" w:eastAsia="MS Mincho" w:hAnsi="Arial" w:cs="Times New Roman"/>
          <w:sz w:val="14"/>
          <w:szCs w:val="14"/>
          <w:lang w:eastAsia="ja-JP"/>
        </w:rPr>
        <w:t xml:space="preserve">technique. </w:t>
      </w:r>
      <w:r w:rsidR="00287649" w:rsidRPr="00F338AB">
        <w:rPr>
          <w:rFonts w:ascii="Arial" w:eastAsia="MS Mincho" w:hAnsi="Arial" w:cs="Times New Roman"/>
          <w:sz w:val="14"/>
          <w:szCs w:val="14"/>
          <w:lang w:eastAsia="ja-JP"/>
        </w:rPr>
        <w:t>[d</w:t>
      </w:r>
      <w:r w:rsidR="0074296D" w:rsidRPr="00F338AB">
        <w:rPr>
          <w:rFonts w:ascii="Arial" w:eastAsia="MS Mincho" w:hAnsi="Arial" w:cs="Times New Roman"/>
          <w:sz w:val="14"/>
          <w:szCs w:val="14"/>
          <w:lang w:eastAsia="ja-JP"/>
        </w:rPr>
        <w:t>]</w:t>
      </w:r>
      <w:r w:rsidR="00287649" w:rsidRPr="00F338AB">
        <w:rPr>
          <w:rFonts w:ascii="Arial" w:eastAsia="MS Mincho" w:hAnsi="Arial" w:cs="Times New Roman"/>
          <w:sz w:val="14"/>
          <w:szCs w:val="14"/>
          <w:lang w:eastAsia="ja-JP"/>
        </w:rPr>
        <w:t xml:space="preserve"> Excited state lifetime obtained through the transient absorption experiments </w:t>
      </w:r>
      <w:r w:rsidRPr="00F338AB">
        <w:rPr>
          <w:rFonts w:ascii="Arial" w:eastAsia="MS Mincho" w:hAnsi="Arial" w:cs="Times New Roman"/>
          <w:sz w:val="14"/>
          <w:szCs w:val="14"/>
          <w:lang w:eastAsia="ja-JP"/>
        </w:rPr>
        <w:t>[</w:t>
      </w:r>
      <w:r w:rsidR="00287649" w:rsidRPr="00F338AB">
        <w:rPr>
          <w:rFonts w:ascii="Arial" w:eastAsia="MS Mincho" w:hAnsi="Arial" w:cs="Times New Roman"/>
          <w:sz w:val="14"/>
          <w:szCs w:val="14"/>
          <w:lang w:eastAsia="ja-JP"/>
        </w:rPr>
        <w:t>e</w:t>
      </w:r>
      <w:r w:rsidRPr="00F338AB">
        <w:rPr>
          <w:rFonts w:ascii="Arial" w:eastAsia="MS Mincho" w:hAnsi="Arial" w:cs="Times New Roman"/>
          <w:sz w:val="14"/>
          <w:szCs w:val="14"/>
          <w:lang w:eastAsia="ja-JP"/>
        </w:rPr>
        <w:t xml:space="preserve">] </w:t>
      </w:r>
      <m:oMath>
        <m:sSub>
          <m:sSubPr>
            <m:ctrlPr>
              <w:rPr>
                <w:rFonts w:ascii="Cambria Math" w:eastAsia="MS Mincho" w:hAnsi="Cambria Math" w:cs="Times New Roman"/>
                <w:i/>
                <w:sz w:val="14"/>
                <w:szCs w:val="14"/>
                <w:lang w:eastAsia="ja-JP"/>
              </w:rPr>
            </m:ctrlPr>
          </m:sSubPr>
          <m:e>
            <m:r>
              <w:rPr>
                <w:rFonts w:ascii="Cambria Math" w:eastAsia="MS Mincho" w:hAnsi="Cambria Math" w:cs="Times New Roman"/>
                <w:sz w:val="14"/>
                <w:szCs w:val="14"/>
                <w:lang w:eastAsia="ja-JP"/>
              </w:rPr>
              <m:t>k</m:t>
            </m:r>
          </m:e>
          <m:sub>
            <m:r>
              <w:rPr>
                <w:rFonts w:ascii="Cambria Math" w:eastAsia="MS Mincho" w:hAnsi="Cambria Math" w:cs="Times New Roman"/>
                <w:sz w:val="14"/>
                <w:szCs w:val="14"/>
                <w:lang w:eastAsia="ja-JP"/>
              </w:rPr>
              <m:t>rad</m:t>
            </m:r>
          </m:sub>
        </m:sSub>
        <m:r>
          <w:rPr>
            <w:rFonts w:ascii="Cambria Math" w:eastAsia="MS Mincho" w:hAnsi="Cambria Math" w:cs="Times New Roman"/>
            <w:sz w:val="14"/>
            <w:szCs w:val="14"/>
            <w:lang w:eastAsia="ja-JP"/>
          </w:rPr>
          <m:t>=Φ/</m:t>
        </m:r>
        <m:sSub>
          <m:sSubPr>
            <m:ctrlPr>
              <w:rPr>
                <w:rFonts w:ascii="Cambria Math" w:eastAsia="MS Mincho" w:hAnsi="Cambria Math" w:cs="Times New Roman"/>
                <w:sz w:val="14"/>
                <w:szCs w:val="14"/>
                <w:vertAlign w:val="subscript"/>
                <w:lang w:eastAsia="ja-JP"/>
              </w:rPr>
            </m:ctrlPr>
          </m:sSubPr>
          <m:e>
            <m:r>
              <w:rPr>
                <w:rFonts w:ascii="Cambria Math" w:eastAsia="MS Mincho" w:hAnsi="Cambria Math" w:cs="Times New Roman"/>
                <w:i/>
                <w:sz w:val="14"/>
                <w:szCs w:val="14"/>
                <w:vertAlign w:val="subscript"/>
                <w:lang w:eastAsia="ja-JP"/>
              </w:rPr>
              <w:sym w:font="Symbol" w:char="F074"/>
            </m:r>
          </m:e>
          <m:sub>
            <m:r>
              <w:rPr>
                <w:rFonts w:ascii="Cambria Math" w:eastAsia="MS Mincho" w:hAnsi="Cambria Math" w:cs="Times New Roman"/>
                <w:sz w:val="14"/>
                <w:szCs w:val="14"/>
                <w:vertAlign w:val="subscript"/>
                <w:lang w:eastAsia="ja-JP"/>
              </w:rPr>
              <m:t>obs</m:t>
            </m:r>
          </m:sub>
        </m:sSub>
      </m:oMath>
      <w:r w:rsidR="006F4F36" w:rsidRPr="00F338AB">
        <w:rPr>
          <w:rFonts w:ascii="Arial" w:eastAsia="MS Mincho" w:hAnsi="Arial" w:cs="Times New Roman"/>
          <w:sz w:val="14"/>
          <w:szCs w:val="14"/>
          <w:lang w:eastAsia="ja-JP"/>
        </w:rPr>
        <w:t xml:space="preserve"> assuming the ISC = 1</w:t>
      </w:r>
      <w:r w:rsidR="0074296D" w:rsidRPr="00F338AB">
        <w:rPr>
          <w:rFonts w:ascii="Arial" w:eastAsia="MS Mincho" w:hAnsi="Arial" w:cs="Times New Roman"/>
          <w:sz w:val="14"/>
          <w:szCs w:val="14"/>
          <w:lang w:eastAsia="ja-JP"/>
        </w:rPr>
        <w:t>.</w:t>
      </w:r>
    </w:p>
    <w:p w14:paraId="5988C40A" w14:textId="77777777" w:rsidR="00EE4C61" w:rsidRPr="00F338AB" w:rsidRDefault="00EE4C61" w:rsidP="00D02A3E">
      <w:pPr>
        <w:spacing w:after="0" w:line="240" w:lineRule="atLeast"/>
        <w:jc w:val="both"/>
        <w:rPr>
          <w:rFonts w:eastAsia="MS Mincho" w:cstheme="minorHAnsi"/>
          <w:sz w:val="18"/>
          <w:szCs w:val="18"/>
          <w:lang w:eastAsia="ja-JP"/>
        </w:rPr>
        <w:sectPr w:rsidR="00EE4C61" w:rsidRPr="00F338AB" w:rsidSect="00EE4C61">
          <w:type w:val="continuous"/>
          <w:pgSz w:w="11907" w:h="16840" w:code="9"/>
          <w:pgMar w:top="1009" w:right="851" w:bottom="1758" w:left="851" w:header="851" w:footer="1049" w:gutter="0"/>
          <w:cols w:space="227"/>
          <w:titlePg/>
          <w:docGrid w:linePitch="360"/>
        </w:sectPr>
      </w:pPr>
    </w:p>
    <w:bookmarkEnd w:id="11"/>
    <w:bookmarkEnd w:id="12"/>
    <w:p w14:paraId="756DB9B4" w14:textId="3192C3EC" w:rsidR="009238A8" w:rsidRPr="00F338AB" w:rsidRDefault="009238A8" w:rsidP="004C58D1">
      <w:pPr>
        <w:spacing w:after="0" w:line="240" w:lineRule="atLeast"/>
        <w:jc w:val="both"/>
        <w:rPr>
          <w:rFonts w:cs="Times New Roman"/>
          <w:bCs/>
          <w:w w:val="108"/>
          <w:sz w:val="18"/>
          <w:szCs w:val="18"/>
        </w:rPr>
      </w:pPr>
      <w:r w:rsidRPr="00F338AB">
        <w:rPr>
          <w:rFonts w:cs="Times New Roman"/>
          <w:bCs/>
          <w:w w:val="108"/>
          <w:sz w:val="18"/>
          <w:szCs w:val="18"/>
        </w:rPr>
        <w:t xml:space="preserve">Nanosecond UV-vis transient absorption (TA) spectroscopy was further used to probe the photophysical properties of the doublet spin-flip excited states. Spectra for </w:t>
      </w:r>
      <w:r w:rsidRPr="00F338AB">
        <w:rPr>
          <w:rFonts w:cs="Times New Roman"/>
          <w:b/>
          <w:w w:val="108"/>
          <w:sz w:val="18"/>
          <w:szCs w:val="18"/>
        </w:rPr>
        <w:t>1</w:t>
      </w:r>
      <w:r w:rsidR="00FB6C4E" w:rsidRPr="00F338AB">
        <w:rPr>
          <w:rFonts w:cs="Times New Roman"/>
          <w:bCs/>
          <w:w w:val="108"/>
          <w:sz w:val="18"/>
          <w:szCs w:val="18"/>
        </w:rPr>
        <w:t xml:space="preserve"> and</w:t>
      </w:r>
      <w:r w:rsidRPr="00F338AB">
        <w:rPr>
          <w:rFonts w:cs="Times New Roman"/>
          <w:bCs/>
          <w:w w:val="108"/>
          <w:sz w:val="18"/>
          <w:szCs w:val="18"/>
        </w:rPr>
        <w:t xml:space="preserve"> </w:t>
      </w:r>
      <w:r w:rsidRPr="00F338AB">
        <w:rPr>
          <w:rFonts w:cs="Times New Roman"/>
          <w:b/>
          <w:w w:val="108"/>
          <w:sz w:val="18"/>
          <w:szCs w:val="18"/>
        </w:rPr>
        <w:t>2</w:t>
      </w:r>
      <w:r w:rsidR="002E1840" w:rsidRPr="00F338AB">
        <w:rPr>
          <w:rFonts w:cs="Times New Roman"/>
          <w:bCs/>
          <w:w w:val="108"/>
          <w:sz w:val="18"/>
          <w:szCs w:val="18"/>
        </w:rPr>
        <w:t xml:space="preserve"> </w:t>
      </w:r>
      <w:r w:rsidRPr="00F338AB">
        <w:rPr>
          <w:rFonts w:cs="Times New Roman"/>
          <w:bCs/>
          <w:w w:val="108"/>
          <w:sz w:val="18"/>
          <w:szCs w:val="18"/>
        </w:rPr>
        <w:t xml:space="preserve">were recorded in acetonitrile at room temperature following excitation at 355 nm (30 </w:t>
      </w:r>
      <w:proofErr w:type="spellStart"/>
      <w:r w:rsidRPr="00F338AB">
        <w:rPr>
          <w:rFonts w:cs="Times New Roman"/>
          <w:bCs/>
          <w:w w:val="108"/>
          <w:sz w:val="18"/>
          <w:szCs w:val="18"/>
        </w:rPr>
        <w:t>mJ</w:t>
      </w:r>
      <w:proofErr w:type="spellEnd"/>
      <w:r w:rsidRPr="00F338AB">
        <w:rPr>
          <w:rFonts w:cs="Times New Roman"/>
          <w:bCs/>
          <w:w w:val="108"/>
          <w:sz w:val="18"/>
          <w:szCs w:val="18"/>
        </w:rPr>
        <w:t xml:space="preserve"> pulses, ca. 10 ns duration)</w:t>
      </w:r>
      <w:r w:rsidR="00FB6C4E" w:rsidRPr="00F338AB">
        <w:rPr>
          <w:rFonts w:cs="Times New Roman"/>
          <w:bCs/>
          <w:w w:val="108"/>
          <w:sz w:val="18"/>
          <w:szCs w:val="18"/>
        </w:rPr>
        <w:t xml:space="preserve"> and for </w:t>
      </w:r>
      <w:r w:rsidR="00FB6C4E" w:rsidRPr="00F338AB">
        <w:rPr>
          <w:rFonts w:cs="Times New Roman"/>
          <w:b/>
          <w:w w:val="108"/>
          <w:sz w:val="18"/>
          <w:szCs w:val="18"/>
        </w:rPr>
        <w:t>3</w:t>
      </w:r>
      <w:r w:rsidR="00FB6C4E" w:rsidRPr="00F338AB">
        <w:rPr>
          <w:rFonts w:cs="Times New Roman"/>
          <w:bCs/>
          <w:w w:val="108"/>
          <w:sz w:val="18"/>
          <w:szCs w:val="18"/>
        </w:rPr>
        <w:t xml:space="preserve"> at 450 nm </w:t>
      </w:r>
      <w:r w:rsidR="00FB6C4E" w:rsidRPr="00F338AB">
        <w:rPr>
          <w:sz w:val="18"/>
          <w:szCs w:val="18"/>
        </w:rPr>
        <w:t xml:space="preserve">(13 </w:t>
      </w:r>
      <w:proofErr w:type="spellStart"/>
      <w:r w:rsidR="00FB6C4E" w:rsidRPr="00F338AB">
        <w:rPr>
          <w:sz w:val="18"/>
          <w:szCs w:val="18"/>
        </w:rPr>
        <w:t>mJ</w:t>
      </w:r>
      <w:proofErr w:type="spellEnd"/>
      <w:r w:rsidR="00FB6C4E" w:rsidRPr="00F338AB">
        <w:rPr>
          <w:sz w:val="18"/>
          <w:szCs w:val="18"/>
        </w:rPr>
        <w:t xml:space="preserve"> per pulse)</w:t>
      </w:r>
      <w:r w:rsidRPr="00F338AB">
        <w:rPr>
          <w:rFonts w:cs="Times New Roman"/>
          <w:bCs/>
          <w:w w:val="108"/>
          <w:sz w:val="18"/>
          <w:szCs w:val="18"/>
        </w:rPr>
        <w:t xml:space="preserve">. The TA spectrum of complex </w:t>
      </w:r>
      <w:r w:rsidRPr="00F338AB">
        <w:rPr>
          <w:rFonts w:cs="Times New Roman"/>
          <w:b/>
          <w:w w:val="108"/>
          <w:sz w:val="18"/>
          <w:szCs w:val="18"/>
        </w:rPr>
        <w:t>1</w:t>
      </w:r>
      <w:r w:rsidRPr="00F338AB">
        <w:rPr>
          <w:rFonts w:cs="Times New Roman"/>
          <w:bCs/>
          <w:w w:val="108"/>
          <w:sz w:val="18"/>
          <w:szCs w:val="18"/>
        </w:rPr>
        <w:t xml:space="preserve"> </w:t>
      </w:r>
      <w:r w:rsidR="008C62B5" w:rsidRPr="00F338AB">
        <w:rPr>
          <w:rFonts w:cs="Times New Roman"/>
          <w:bCs/>
          <w:w w:val="108"/>
          <w:sz w:val="18"/>
          <w:szCs w:val="18"/>
        </w:rPr>
        <w:t>features</w:t>
      </w:r>
      <w:r w:rsidRPr="00F338AB">
        <w:rPr>
          <w:rFonts w:cs="Times New Roman"/>
          <w:bCs/>
          <w:w w:val="108"/>
          <w:sz w:val="18"/>
          <w:szCs w:val="18"/>
        </w:rPr>
        <w:t xml:space="preserve"> broad excited state absorption (ESA) bands with maxima at 410 nm and 515 nm and a ground state bleach (GSB) of the charge transfer band at 300 nm. Similarly, for complex </w:t>
      </w:r>
      <w:r w:rsidRPr="00F338AB">
        <w:rPr>
          <w:rFonts w:cs="Times New Roman"/>
          <w:b/>
          <w:w w:val="108"/>
          <w:sz w:val="18"/>
          <w:szCs w:val="18"/>
        </w:rPr>
        <w:t>2</w:t>
      </w:r>
      <w:r w:rsidRPr="00F338AB">
        <w:rPr>
          <w:rFonts w:cs="Times New Roman"/>
          <w:bCs/>
          <w:w w:val="108"/>
          <w:sz w:val="18"/>
          <w:szCs w:val="18"/>
        </w:rPr>
        <w:t xml:space="preserve">, excited state absorption bands at 450 nm and 650 nm, as well as a ground state bleach at 350 nm, are observed. </w:t>
      </w:r>
      <w:r w:rsidR="0021470F" w:rsidRPr="00F338AB">
        <w:rPr>
          <w:rFonts w:cs="Times New Roman"/>
          <w:bCs/>
          <w:w w:val="108"/>
          <w:sz w:val="18"/>
          <w:szCs w:val="18"/>
        </w:rPr>
        <w:t>In compound</w:t>
      </w:r>
      <w:r w:rsidR="008C62B5" w:rsidRPr="00F338AB">
        <w:rPr>
          <w:rFonts w:cs="Times New Roman"/>
          <w:bCs/>
          <w:w w:val="108"/>
          <w:sz w:val="18"/>
          <w:szCs w:val="18"/>
        </w:rPr>
        <w:t xml:space="preserve"> </w:t>
      </w:r>
      <w:r w:rsidR="008C62B5" w:rsidRPr="00F338AB">
        <w:rPr>
          <w:rFonts w:cs="Times New Roman"/>
          <w:b/>
          <w:w w:val="108"/>
          <w:sz w:val="18"/>
          <w:szCs w:val="18"/>
        </w:rPr>
        <w:t>3</w:t>
      </w:r>
      <w:r w:rsidR="008C62B5" w:rsidRPr="00F338AB">
        <w:rPr>
          <w:rFonts w:cs="Times New Roman"/>
          <w:bCs/>
          <w:w w:val="108"/>
          <w:sz w:val="18"/>
          <w:szCs w:val="18"/>
        </w:rPr>
        <w:t xml:space="preserve">, the ESA bands at 510 and 660 nm, and the ground state </w:t>
      </w:r>
      <w:r w:rsidR="008C62B5" w:rsidRPr="00F338AB">
        <w:rPr>
          <w:rFonts w:cs="Times New Roman"/>
          <w:bCs/>
          <w:w w:val="108"/>
          <w:sz w:val="18"/>
          <w:szCs w:val="18"/>
        </w:rPr>
        <w:lastRenderedPageBreak/>
        <w:t xml:space="preserve">bleach at 380 nm. In </w:t>
      </w:r>
      <w:r w:rsidR="00881E4D" w:rsidRPr="00F338AB">
        <w:rPr>
          <w:rFonts w:cs="Times New Roman"/>
          <w:bCs/>
          <w:w w:val="108"/>
          <w:sz w:val="18"/>
          <w:szCs w:val="18"/>
        </w:rPr>
        <w:t>all</w:t>
      </w:r>
      <w:r w:rsidR="008C62B5" w:rsidRPr="00F338AB">
        <w:rPr>
          <w:rFonts w:cs="Times New Roman"/>
          <w:bCs/>
          <w:w w:val="108"/>
          <w:sz w:val="18"/>
          <w:szCs w:val="18"/>
        </w:rPr>
        <w:t xml:space="preserve"> cases, the ESA bands are tentatively attributed to electronic transitions from the </w:t>
      </w:r>
      <w:r w:rsidR="008C62B5" w:rsidRPr="00F338AB">
        <w:rPr>
          <w:rFonts w:cs="Times New Roman"/>
          <w:bCs/>
          <w:w w:val="108"/>
          <w:sz w:val="18"/>
          <w:szCs w:val="18"/>
          <w:vertAlign w:val="superscript"/>
        </w:rPr>
        <w:t>2</w:t>
      </w:r>
      <w:r w:rsidR="008C62B5" w:rsidRPr="00F338AB">
        <w:rPr>
          <w:rFonts w:cs="Times New Roman"/>
          <w:bCs/>
          <w:w w:val="108"/>
          <w:sz w:val="18"/>
          <w:szCs w:val="18"/>
        </w:rPr>
        <w:t>E/</w:t>
      </w:r>
      <w:r w:rsidR="008C62B5" w:rsidRPr="00F338AB">
        <w:rPr>
          <w:rFonts w:cs="Times New Roman"/>
          <w:bCs/>
          <w:w w:val="108"/>
          <w:sz w:val="18"/>
          <w:szCs w:val="18"/>
          <w:vertAlign w:val="superscript"/>
        </w:rPr>
        <w:t>2</w:t>
      </w:r>
      <w:r w:rsidR="008C62B5" w:rsidRPr="00F338AB">
        <w:rPr>
          <w:rFonts w:cs="Times New Roman"/>
          <w:bCs/>
          <w:w w:val="108"/>
          <w:sz w:val="18"/>
          <w:szCs w:val="18"/>
        </w:rPr>
        <w:t>T</w:t>
      </w:r>
      <w:r w:rsidR="008C62B5" w:rsidRPr="00F338AB">
        <w:rPr>
          <w:rFonts w:cs="Times New Roman"/>
          <w:bCs/>
          <w:w w:val="108"/>
          <w:sz w:val="18"/>
          <w:szCs w:val="18"/>
          <w:vertAlign w:val="subscript"/>
        </w:rPr>
        <w:t>1</w:t>
      </w:r>
      <w:r w:rsidR="008C62B5" w:rsidRPr="00F338AB">
        <w:rPr>
          <w:rFonts w:cs="Times New Roman"/>
          <w:bCs/>
          <w:w w:val="108"/>
          <w:sz w:val="18"/>
          <w:szCs w:val="18"/>
        </w:rPr>
        <w:t xml:space="preserve"> states to higher-lying doublet excited states, most likely of charge transfer character. </w:t>
      </w:r>
      <w:r w:rsidRPr="00F338AB">
        <w:rPr>
          <w:rFonts w:cs="Times New Roman"/>
          <w:bCs/>
          <w:w w:val="108"/>
          <w:sz w:val="18"/>
          <w:szCs w:val="18"/>
        </w:rPr>
        <w:t>ESA lifetimes are consistent with the observed luminescence lifetimes (Table 1</w:t>
      </w:r>
      <w:r w:rsidR="00881E4D" w:rsidRPr="00F338AB">
        <w:rPr>
          <w:rFonts w:cs="Times New Roman"/>
          <w:bCs/>
          <w:w w:val="108"/>
          <w:sz w:val="18"/>
          <w:szCs w:val="18"/>
        </w:rPr>
        <w:t>, Figure 4</w:t>
      </w:r>
      <w:r w:rsidRPr="00F338AB">
        <w:rPr>
          <w:rFonts w:cs="Times New Roman"/>
          <w:bCs/>
          <w:w w:val="108"/>
          <w:sz w:val="18"/>
          <w:szCs w:val="18"/>
        </w:rPr>
        <w:t xml:space="preserve">). Complex </w:t>
      </w:r>
      <w:r w:rsidRPr="00F338AB">
        <w:rPr>
          <w:rFonts w:cs="Times New Roman"/>
          <w:b/>
          <w:w w:val="108"/>
          <w:sz w:val="18"/>
          <w:szCs w:val="18"/>
        </w:rPr>
        <w:t>2</w:t>
      </w:r>
      <w:r w:rsidRPr="00F338AB">
        <w:rPr>
          <w:rFonts w:cs="Times New Roman"/>
          <w:bCs/>
          <w:w w:val="108"/>
          <w:sz w:val="18"/>
          <w:szCs w:val="18"/>
        </w:rPr>
        <w:t xml:space="preserve">, with </w:t>
      </w:r>
      <w:r w:rsidR="003B3F9D" w:rsidRPr="00F338AB">
        <w:rPr>
          <w:rFonts w:cs="Times New Roman"/>
          <w:bCs/>
          <w:w w:val="108"/>
          <w:sz w:val="18"/>
          <w:szCs w:val="18"/>
        </w:rPr>
        <w:t>iodine</w:t>
      </w:r>
      <w:r w:rsidRPr="00F338AB">
        <w:rPr>
          <w:rFonts w:cs="Times New Roman"/>
          <w:bCs/>
          <w:w w:val="108"/>
          <w:sz w:val="18"/>
          <w:szCs w:val="18"/>
        </w:rPr>
        <w:t xml:space="preserve">-substituents, exhibits a three-fold decrease in the lifetime relative to </w:t>
      </w:r>
      <w:r w:rsidRPr="00F338AB">
        <w:rPr>
          <w:rFonts w:cs="Times New Roman"/>
          <w:b/>
          <w:w w:val="108"/>
          <w:sz w:val="18"/>
          <w:szCs w:val="18"/>
        </w:rPr>
        <w:t>1</w:t>
      </w:r>
      <w:r w:rsidRPr="00F338AB">
        <w:rPr>
          <w:rFonts w:cs="Times New Roman"/>
          <w:bCs/>
          <w:w w:val="108"/>
          <w:sz w:val="18"/>
          <w:szCs w:val="18"/>
        </w:rPr>
        <w:t>, consistent with the luminescence lifetime experiments performed under identical conditions. Collectively, the photoluminescence decay and transient UV-</w:t>
      </w:r>
      <w:proofErr w:type="gramStart"/>
      <w:r w:rsidRPr="00F338AB">
        <w:rPr>
          <w:rFonts w:cs="Times New Roman"/>
          <w:bCs/>
          <w:w w:val="108"/>
          <w:sz w:val="18"/>
          <w:szCs w:val="18"/>
        </w:rPr>
        <w:t>Vis</w:t>
      </w:r>
      <w:proofErr w:type="gramEnd"/>
      <w:r w:rsidRPr="00F338AB">
        <w:rPr>
          <w:rFonts w:cs="Times New Roman"/>
          <w:bCs/>
          <w:w w:val="108"/>
          <w:sz w:val="18"/>
          <w:szCs w:val="18"/>
        </w:rPr>
        <w:t xml:space="preserve"> absorption data support the hypothesis of a heavy atom effect, which accelerates radiative </w:t>
      </w:r>
      <w:r w:rsidRPr="00F338AB">
        <w:rPr>
          <w:rFonts w:cs="Times New Roman"/>
          <w:bCs/>
          <w:w w:val="108"/>
          <w:sz w:val="18"/>
          <w:szCs w:val="18"/>
          <w:vertAlign w:val="superscript"/>
        </w:rPr>
        <w:t>2</w:t>
      </w:r>
      <w:r w:rsidRPr="00F338AB">
        <w:rPr>
          <w:rFonts w:cs="Times New Roman"/>
          <w:bCs/>
          <w:w w:val="108"/>
          <w:sz w:val="18"/>
          <w:szCs w:val="18"/>
        </w:rPr>
        <w:t>MC excited state decay.</w:t>
      </w:r>
    </w:p>
    <w:p w14:paraId="3B90CF61" w14:textId="5DF30F2A" w:rsidR="00AA4F8E" w:rsidRPr="00F338AB" w:rsidRDefault="00EE021B" w:rsidP="00972975">
      <w:pPr>
        <w:spacing w:after="0" w:line="240" w:lineRule="atLeast"/>
        <w:jc w:val="both"/>
        <w:rPr>
          <w:rFonts w:ascii="Arial" w:eastAsia="MS Mincho" w:hAnsi="Arial" w:cs="Times New Roman"/>
          <w:sz w:val="14"/>
          <w:szCs w:val="14"/>
          <w:lang w:eastAsia="ja-JP"/>
        </w:rPr>
      </w:pPr>
      <w:r w:rsidRPr="00F338AB">
        <w:rPr>
          <w:noProof/>
        </w:rPr>
        <w:drawing>
          <wp:inline distT="0" distB="0" distL="0" distR="0" wp14:anchorId="7A810EE6" wp14:editId="587884EC">
            <wp:extent cx="3168015" cy="3298825"/>
            <wp:effectExtent l="0" t="0" r="0" b="0"/>
            <wp:docPr id="13115960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68015" cy="3298825"/>
                    </a:xfrm>
                    <a:prstGeom prst="rect">
                      <a:avLst/>
                    </a:prstGeom>
                    <a:noFill/>
                    <a:ln>
                      <a:noFill/>
                    </a:ln>
                  </pic:spPr>
                </pic:pic>
              </a:graphicData>
            </a:graphic>
          </wp:inline>
        </w:drawing>
      </w:r>
    </w:p>
    <w:p w14:paraId="73E0708A" w14:textId="372748CA" w:rsidR="00FB6C4E" w:rsidRPr="00F338AB" w:rsidRDefault="00AA4F8E" w:rsidP="0021470F">
      <w:pPr>
        <w:pStyle w:val="RSCB02ArticleText"/>
        <w:rPr>
          <w:sz w:val="16"/>
          <w:szCs w:val="16"/>
        </w:rPr>
      </w:pPr>
      <w:r w:rsidRPr="00F338AB">
        <w:rPr>
          <w:b/>
          <w:bCs/>
          <w:sz w:val="16"/>
          <w:szCs w:val="16"/>
        </w:rPr>
        <w:t xml:space="preserve">Figure </w:t>
      </w:r>
      <w:r w:rsidR="00881E4D" w:rsidRPr="00F338AB">
        <w:rPr>
          <w:b/>
          <w:bCs/>
          <w:sz w:val="16"/>
          <w:szCs w:val="16"/>
        </w:rPr>
        <w:t>4</w:t>
      </w:r>
      <w:r w:rsidRPr="00F338AB">
        <w:rPr>
          <w:sz w:val="16"/>
          <w:szCs w:val="16"/>
        </w:rPr>
        <w:t>.</w:t>
      </w:r>
      <w:r w:rsidR="00C61071" w:rsidRPr="00F338AB">
        <w:rPr>
          <w:sz w:val="16"/>
          <w:szCs w:val="16"/>
        </w:rPr>
        <w:t xml:space="preserve"> </w:t>
      </w:r>
      <w:r w:rsidR="00EE021B" w:rsidRPr="00F338AB">
        <w:rPr>
          <w:sz w:val="16"/>
          <w:szCs w:val="16"/>
        </w:rPr>
        <w:t xml:space="preserve">a) and b) Transient absorption spectra of compounds </w:t>
      </w:r>
      <w:r w:rsidR="00EE021B" w:rsidRPr="00F338AB">
        <w:rPr>
          <w:b/>
          <w:bCs/>
          <w:sz w:val="16"/>
          <w:szCs w:val="16"/>
        </w:rPr>
        <w:t>1</w:t>
      </w:r>
      <w:r w:rsidR="00EE021B" w:rsidRPr="00F338AB">
        <w:rPr>
          <w:sz w:val="16"/>
          <w:szCs w:val="16"/>
        </w:rPr>
        <w:t xml:space="preserve">, </w:t>
      </w:r>
      <w:r w:rsidR="00EE021B" w:rsidRPr="00F338AB">
        <w:rPr>
          <w:b/>
          <w:bCs/>
          <w:sz w:val="16"/>
          <w:szCs w:val="16"/>
        </w:rPr>
        <w:t>2</w:t>
      </w:r>
      <w:r w:rsidR="00EE021B" w:rsidRPr="00F338AB">
        <w:rPr>
          <w:sz w:val="16"/>
          <w:szCs w:val="16"/>
        </w:rPr>
        <w:t xml:space="preserve"> and </w:t>
      </w:r>
      <w:r w:rsidR="00EE021B" w:rsidRPr="00F338AB">
        <w:rPr>
          <w:b/>
          <w:bCs/>
          <w:sz w:val="16"/>
          <w:szCs w:val="16"/>
        </w:rPr>
        <w:t>3</w:t>
      </w:r>
      <w:r w:rsidR="00EE021B" w:rsidRPr="00F338AB">
        <w:rPr>
          <w:sz w:val="16"/>
          <w:szCs w:val="16"/>
        </w:rPr>
        <w:t xml:space="preserve"> upon excitation at 355 nm </w:t>
      </w:r>
      <w:r w:rsidR="00EE021B" w:rsidRPr="00F338AB">
        <w:rPr>
          <w:bCs/>
          <w:sz w:val="16"/>
          <w:szCs w:val="16"/>
        </w:rPr>
        <w:t xml:space="preserve">(30 </w:t>
      </w:r>
      <w:proofErr w:type="spellStart"/>
      <w:r w:rsidR="00EE021B" w:rsidRPr="00F338AB">
        <w:rPr>
          <w:bCs/>
          <w:sz w:val="16"/>
          <w:szCs w:val="16"/>
        </w:rPr>
        <w:t>mJ</w:t>
      </w:r>
      <w:proofErr w:type="spellEnd"/>
      <w:r w:rsidR="00EE021B" w:rsidRPr="00F338AB">
        <w:rPr>
          <w:bCs/>
          <w:sz w:val="16"/>
          <w:szCs w:val="16"/>
        </w:rPr>
        <w:t xml:space="preserve"> pulses, ca. 10 ns duration) </w:t>
      </w:r>
      <w:r w:rsidR="00EE021B" w:rsidRPr="00F338AB">
        <w:rPr>
          <w:sz w:val="16"/>
          <w:szCs w:val="16"/>
        </w:rPr>
        <w:t xml:space="preserve">for </w:t>
      </w:r>
      <w:r w:rsidR="00EE021B" w:rsidRPr="00F338AB">
        <w:rPr>
          <w:b/>
          <w:bCs/>
          <w:sz w:val="16"/>
          <w:szCs w:val="16"/>
        </w:rPr>
        <w:t>1</w:t>
      </w:r>
      <w:r w:rsidR="00EE021B" w:rsidRPr="00F338AB">
        <w:rPr>
          <w:sz w:val="16"/>
          <w:szCs w:val="16"/>
        </w:rPr>
        <w:t xml:space="preserve"> and </w:t>
      </w:r>
      <w:r w:rsidR="00EE021B" w:rsidRPr="00F338AB">
        <w:rPr>
          <w:b/>
          <w:bCs/>
          <w:sz w:val="16"/>
          <w:szCs w:val="16"/>
        </w:rPr>
        <w:t>2</w:t>
      </w:r>
      <w:r w:rsidR="00EE021B" w:rsidRPr="00F338AB">
        <w:rPr>
          <w:sz w:val="16"/>
          <w:szCs w:val="16"/>
        </w:rPr>
        <w:t xml:space="preserve">, and at 450 nm (13 </w:t>
      </w:r>
      <w:proofErr w:type="spellStart"/>
      <w:r w:rsidR="00EE021B" w:rsidRPr="00F338AB">
        <w:rPr>
          <w:sz w:val="16"/>
          <w:szCs w:val="16"/>
        </w:rPr>
        <w:t>mJ</w:t>
      </w:r>
      <w:proofErr w:type="spellEnd"/>
      <w:r w:rsidR="00EE021B" w:rsidRPr="00F338AB">
        <w:rPr>
          <w:sz w:val="16"/>
          <w:szCs w:val="16"/>
        </w:rPr>
        <w:t xml:space="preserve"> per pulse) for </w:t>
      </w:r>
      <w:r w:rsidR="00EE021B" w:rsidRPr="00F338AB">
        <w:rPr>
          <w:b/>
          <w:bCs/>
          <w:sz w:val="16"/>
          <w:szCs w:val="16"/>
        </w:rPr>
        <w:t>3</w:t>
      </w:r>
      <w:r w:rsidR="00EE021B" w:rsidRPr="00F338AB">
        <w:rPr>
          <w:sz w:val="16"/>
          <w:szCs w:val="16"/>
        </w:rPr>
        <w:t xml:space="preserve"> with nanosecond pulses in deaerated acetonitrile solution at room temperature, time-integrated over 1 </w:t>
      </w:r>
      <w:proofErr w:type="spellStart"/>
      <w:r w:rsidR="00EE021B" w:rsidRPr="00F338AB">
        <w:rPr>
          <w:sz w:val="16"/>
          <w:szCs w:val="16"/>
        </w:rPr>
        <w:t>μs</w:t>
      </w:r>
      <w:proofErr w:type="spellEnd"/>
      <w:r w:rsidR="00EE021B" w:rsidRPr="00F338AB">
        <w:rPr>
          <w:sz w:val="16"/>
          <w:szCs w:val="16"/>
        </w:rPr>
        <w:t>.  c) 410 nm, d) 450 nm and e) 520 nm decays of the normalized ESA bands for the three compounds.</w:t>
      </w:r>
    </w:p>
    <w:p w14:paraId="3C6CBFD5" w14:textId="77777777" w:rsidR="0083720F" w:rsidRPr="00F338AB" w:rsidRDefault="0083720F" w:rsidP="0083720F">
      <w:pPr>
        <w:pStyle w:val="RSCB04AHeadingSection"/>
      </w:pPr>
      <w:r w:rsidRPr="00F338AB">
        <w:t>Conclusions</w:t>
      </w:r>
    </w:p>
    <w:p w14:paraId="0E021DC8" w14:textId="661CF96B" w:rsidR="00D60138" w:rsidRPr="00F338AB" w:rsidRDefault="00026ECA" w:rsidP="00026ECA">
      <w:pPr>
        <w:pStyle w:val="RSCB04AHeadingSection"/>
        <w:spacing w:before="0"/>
        <w:jc w:val="both"/>
        <w:rPr>
          <w:rFonts w:cs="Times New Roman"/>
          <w:b w:val="0"/>
          <w:bCs/>
          <w:w w:val="108"/>
          <w:sz w:val="18"/>
          <w:szCs w:val="18"/>
        </w:rPr>
      </w:pPr>
      <w:r w:rsidRPr="00F338AB">
        <w:rPr>
          <w:rFonts w:cs="Times New Roman"/>
          <w:b w:val="0"/>
          <w:bCs/>
          <w:w w:val="108"/>
          <w:sz w:val="18"/>
          <w:szCs w:val="18"/>
        </w:rPr>
        <w:t>In conclusion, the straightforward synthesis of the [</w:t>
      </w:r>
      <w:proofErr w:type="gramStart"/>
      <w:r w:rsidRPr="00F338AB">
        <w:rPr>
          <w:rFonts w:cs="Times New Roman"/>
          <w:b w:val="0"/>
          <w:bCs/>
          <w:w w:val="108"/>
          <w:sz w:val="18"/>
          <w:szCs w:val="18"/>
        </w:rPr>
        <w:t>Cr(</w:t>
      </w:r>
      <w:proofErr w:type="spellStart"/>
      <w:proofErr w:type="gramEnd"/>
      <w:r w:rsidRPr="00F338AB">
        <w:rPr>
          <w:rFonts w:cs="Times New Roman"/>
          <w:b w:val="0"/>
          <w:bCs/>
          <w:w w:val="108"/>
          <w:sz w:val="18"/>
          <w:szCs w:val="18"/>
        </w:rPr>
        <w:t>Mebipzp</w:t>
      </w:r>
      <w:proofErr w:type="spellEnd"/>
      <w:r w:rsidRPr="00F338AB">
        <w:rPr>
          <w:rFonts w:cs="Times New Roman"/>
          <w:b w:val="0"/>
          <w:bCs/>
          <w:w w:val="108"/>
          <w:sz w:val="18"/>
          <w:szCs w:val="18"/>
        </w:rPr>
        <w:t>)₂]³⁺ (</w:t>
      </w:r>
      <w:r w:rsidRPr="00F338AB">
        <w:rPr>
          <w:rFonts w:cs="Times New Roman"/>
          <w:w w:val="108"/>
          <w:sz w:val="18"/>
          <w:szCs w:val="18"/>
        </w:rPr>
        <w:t>1</w:t>
      </w:r>
      <w:r w:rsidRPr="00F338AB">
        <w:rPr>
          <w:rFonts w:cs="Times New Roman"/>
          <w:b w:val="0"/>
          <w:bCs/>
          <w:w w:val="108"/>
          <w:sz w:val="18"/>
          <w:szCs w:val="18"/>
        </w:rPr>
        <w:t>), [Cr(</w:t>
      </w:r>
      <w:proofErr w:type="spellStart"/>
      <w:r w:rsidRPr="00F338AB">
        <w:rPr>
          <w:rFonts w:cs="Times New Roman"/>
          <w:b w:val="0"/>
          <w:bCs/>
          <w:w w:val="108"/>
          <w:sz w:val="18"/>
          <w:szCs w:val="18"/>
        </w:rPr>
        <w:t>IMebipzp</w:t>
      </w:r>
      <w:proofErr w:type="spellEnd"/>
      <w:r w:rsidRPr="00F338AB">
        <w:rPr>
          <w:rFonts w:cs="Times New Roman"/>
          <w:b w:val="0"/>
          <w:bCs/>
          <w:w w:val="108"/>
          <w:sz w:val="18"/>
          <w:szCs w:val="18"/>
        </w:rPr>
        <w:t>)₂]³⁺ (</w:t>
      </w:r>
      <w:r w:rsidRPr="00F338AB">
        <w:rPr>
          <w:rFonts w:cs="Times New Roman"/>
          <w:w w:val="108"/>
          <w:sz w:val="18"/>
          <w:szCs w:val="18"/>
        </w:rPr>
        <w:t>2</w:t>
      </w:r>
      <w:r w:rsidRPr="00F338AB">
        <w:rPr>
          <w:rFonts w:cs="Times New Roman"/>
          <w:b w:val="0"/>
          <w:bCs/>
          <w:w w:val="108"/>
          <w:sz w:val="18"/>
          <w:szCs w:val="18"/>
        </w:rPr>
        <w:t>), and [Cr(</w:t>
      </w:r>
      <w:proofErr w:type="spellStart"/>
      <w:r w:rsidRPr="00F338AB">
        <w:rPr>
          <w:rFonts w:cs="Times New Roman"/>
          <w:b w:val="0"/>
          <w:bCs/>
          <w:w w:val="108"/>
          <w:sz w:val="18"/>
          <w:szCs w:val="18"/>
        </w:rPr>
        <w:t>bip</w:t>
      </w:r>
      <w:proofErr w:type="spellEnd"/>
      <w:r w:rsidRPr="00F338AB">
        <w:rPr>
          <w:rFonts w:cs="Times New Roman"/>
          <w:b w:val="0"/>
          <w:bCs/>
          <w:w w:val="108"/>
          <w:sz w:val="18"/>
          <w:szCs w:val="18"/>
        </w:rPr>
        <w:t>*)₂]³⁺ (</w:t>
      </w:r>
      <w:r w:rsidRPr="00F338AB">
        <w:rPr>
          <w:rFonts w:cs="Times New Roman"/>
          <w:w w:val="108"/>
          <w:sz w:val="18"/>
          <w:szCs w:val="18"/>
        </w:rPr>
        <w:t>3</w:t>
      </w:r>
      <w:r w:rsidRPr="00F338AB">
        <w:rPr>
          <w:rFonts w:cs="Times New Roman"/>
          <w:b w:val="0"/>
          <w:bCs/>
          <w:w w:val="108"/>
          <w:sz w:val="18"/>
          <w:szCs w:val="18"/>
        </w:rPr>
        <w:t xml:space="preserve">) complexes provides a simple route to substitute widely used saturated pyridine ligands with more versatile pyrazole and indazole heterocycles. The distinct bonding interactions introduced by the pyrazole/indazole and pyridine moieties induce significant energetic splitting of the lowest-lying doublet excited states, leading to a more pronounced distortion of the </w:t>
      </w:r>
      <w:r w:rsidRPr="00F338AB">
        <w:rPr>
          <w:rFonts w:cs="Times New Roman"/>
          <w:b w:val="0"/>
          <w:bCs/>
          <w:w w:val="108"/>
          <w:sz w:val="18"/>
          <w:szCs w:val="18"/>
          <w:vertAlign w:val="superscript"/>
        </w:rPr>
        <w:t>2</w:t>
      </w:r>
      <w:r w:rsidRPr="00F338AB">
        <w:rPr>
          <w:rFonts w:cs="Times New Roman"/>
          <w:b w:val="0"/>
          <w:bCs/>
          <w:w w:val="108"/>
          <w:sz w:val="18"/>
          <w:szCs w:val="18"/>
        </w:rPr>
        <w:t xml:space="preserve">MC states relative to the electronic ground state. This results in broader emission profiles and unusually large Stokes shifts for the spin-flip transitions. Despite the broader emission spectrum, the </w:t>
      </w:r>
      <w:r w:rsidR="00EE021B" w:rsidRPr="00F338AB">
        <w:rPr>
          <w:rFonts w:cs="Times New Roman"/>
          <w:b w:val="0"/>
          <w:bCs/>
          <w:w w:val="108"/>
          <w:sz w:val="18"/>
          <w:szCs w:val="18"/>
        </w:rPr>
        <w:t xml:space="preserve">luminescence </w:t>
      </w:r>
      <w:r w:rsidRPr="00F338AB">
        <w:rPr>
          <w:rFonts w:cs="Times New Roman"/>
          <w:b w:val="0"/>
          <w:bCs/>
          <w:w w:val="108"/>
          <w:sz w:val="18"/>
          <w:szCs w:val="18"/>
        </w:rPr>
        <w:t xml:space="preserve">quantum yields of compounds </w:t>
      </w:r>
      <w:r w:rsidRPr="00F338AB">
        <w:rPr>
          <w:rFonts w:cs="Times New Roman"/>
          <w:w w:val="108"/>
          <w:sz w:val="18"/>
          <w:szCs w:val="18"/>
        </w:rPr>
        <w:t>1</w:t>
      </w:r>
      <w:r w:rsidRPr="00F338AB">
        <w:rPr>
          <w:rFonts w:cs="Times New Roman"/>
          <w:b w:val="0"/>
          <w:bCs/>
          <w:w w:val="108"/>
          <w:sz w:val="18"/>
          <w:szCs w:val="18"/>
        </w:rPr>
        <w:t xml:space="preserve"> and </w:t>
      </w:r>
      <w:r w:rsidRPr="00F338AB">
        <w:rPr>
          <w:rFonts w:cs="Times New Roman"/>
          <w:w w:val="108"/>
          <w:sz w:val="18"/>
          <w:szCs w:val="18"/>
        </w:rPr>
        <w:t>2</w:t>
      </w:r>
      <w:r w:rsidRPr="00F338AB">
        <w:rPr>
          <w:rFonts w:cs="Times New Roman"/>
          <w:b w:val="0"/>
          <w:bCs/>
          <w:w w:val="108"/>
          <w:sz w:val="18"/>
          <w:szCs w:val="18"/>
        </w:rPr>
        <w:t xml:space="preserve"> (9-11% in deaerated solution), are among the largest reported for </w:t>
      </w:r>
      <w:proofErr w:type="gramStart"/>
      <w:r w:rsidRPr="00F338AB">
        <w:rPr>
          <w:rFonts w:cs="Times New Roman"/>
          <w:b w:val="0"/>
          <w:bCs/>
          <w:w w:val="108"/>
          <w:sz w:val="18"/>
          <w:szCs w:val="18"/>
        </w:rPr>
        <w:t>Cr(</w:t>
      </w:r>
      <w:proofErr w:type="gramEnd"/>
      <w:r w:rsidRPr="00F338AB">
        <w:rPr>
          <w:rFonts w:cs="Times New Roman"/>
          <w:b w:val="0"/>
          <w:bCs/>
          <w:w w:val="108"/>
          <w:sz w:val="18"/>
          <w:szCs w:val="18"/>
        </w:rPr>
        <w:t>III) molecular rubies. Notably, the incorporation of iodine</w:t>
      </w:r>
      <w:r w:rsidR="00E77A60" w:rsidRPr="00F338AB">
        <w:rPr>
          <w:rFonts w:cs="Times New Roman"/>
          <w:b w:val="0"/>
          <w:bCs/>
          <w:w w:val="108"/>
          <w:sz w:val="18"/>
          <w:szCs w:val="18"/>
        </w:rPr>
        <w:t xml:space="preserve"> substituents</w:t>
      </w:r>
      <w:r w:rsidRPr="00F338AB">
        <w:rPr>
          <w:rFonts w:cs="Times New Roman"/>
          <w:b w:val="0"/>
          <w:bCs/>
          <w:w w:val="108"/>
          <w:sz w:val="18"/>
          <w:szCs w:val="18"/>
        </w:rPr>
        <w:t xml:space="preserve"> in complex </w:t>
      </w:r>
      <w:r w:rsidRPr="00F338AB">
        <w:rPr>
          <w:rFonts w:cs="Times New Roman"/>
          <w:w w:val="108"/>
          <w:sz w:val="18"/>
          <w:szCs w:val="18"/>
        </w:rPr>
        <w:t>2</w:t>
      </w:r>
      <w:r w:rsidRPr="00F338AB">
        <w:rPr>
          <w:rFonts w:cs="Times New Roman"/>
          <w:b w:val="0"/>
          <w:bCs/>
          <w:w w:val="108"/>
          <w:sz w:val="18"/>
          <w:szCs w:val="18"/>
        </w:rPr>
        <w:t xml:space="preserve"> improves the spin-orbit coupling via the heavy atom effect</w:t>
      </w:r>
      <w:r w:rsidR="00E77A60" w:rsidRPr="00F338AB">
        <w:rPr>
          <w:rFonts w:cs="Times New Roman"/>
          <w:b w:val="0"/>
          <w:bCs/>
          <w:w w:val="108"/>
          <w:sz w:val="18"/>
          <w:szCs w:val="18"/>
        </w:rPr>
        <w:t xml:space="preserve">. This </w:t>
      </w:r>
      <w:r w:rsidRPr="00F338AB">
        <w:rPr>
          <w:rFonts w:cs="Times New Roman"/>
          <w:b w:val="0"/>
          <w:bCs/>
          <w:w w:val="108"/>
          <w:sz w:val="18"/>
          <w:szCs w:val="18"/>
        </w:rPr>
        <w:t>significantly increase</w:t>
      </w:r>
      <w:r w:rsidR="00E77A60" w:rsidRPr="00F338AB">
        <w:rPr>
          <w:rFonts w:cs="Times New Roman"/>
          <w:b w:val="0"/>
          <w:bCs/>
          <w:w w:val="108"/>
          <w:sz w:val="18"/>
          <w:szCs w:val="18"/>
        </w:rPr>
        <w:t>s</w:t>
      </w:r>
      <w:r w:rsidRPr="00F338AB">
        <w:rPr>
          <w:rFonts w:cs="Times New Roman"/>
          <w:b w:val="0"/>
          <w:bCs/>
          <w:w w:val="108"/>
          <w:sz w:val="18"/>
          <w:szCs w:val="18"/>
        </w:rPr>
        <w:t xml:space="preserve"> </w:t>
      </w:r>
      <w:r w:rsidR="00E77A60" w:rsidRPr="00F338AB">
        <w:rPr>
          <w:rFonts w:cs="Times New Roman"/>
          <w:b w:val="0"/>
          <w:bCs/>
          <w:w w:val="108"/>
          <w:sz w:val="18"/>
          <w:szCs w:val="18"/>
        </w:rPr>
        <w:t>(</w:t>
      </w:r>
      <w:proofErr w:type="spellStart"/>
      <w:r w:rsidR="00E77A60" w:rsidRPr="00F338AB">
        <w:rPr>
          <w:rFonts w:cs="Times New Roman"/>
          <w:b w:val="0"/>
          <w:bCs/>
          <w:w w:val="108"/>
          <w:sz w:val="18"/>
          <w:szCs w:val="18"/>
        </w:rPr>
        <w:t>i</w:t>
      </w:r>
      <w:proofErr w:type="spellEnd"/>
      <w:r w:rsidR="00E77A60" w:rsidRPr="00F338AB">
        <w:rPr>
          <w:rFonts w:cs="Times New Roman"/>
          <w:b w:val="0"/>
          <w:bCs/>
          <w:w w:val="108"/>
          <w:sz w:val="18"/>
          <w:szCs w:val="18"/>
        </w:rPr>
        <w:t xml:space="preserve">) </w:t>
      </w:r>
      <w:r w:rsidRPr="00F338AB">
        <w:rPr>
          <w:rFonts w:cs="Times New Roman"/>
          <w:b w:val="0"/>
          <w:bCs/>
          <w:w w:val="108"/>
          <w:sz w:val="18"/>
          <w:szCs w:val="18"/>
        </w:rPr>
        <w:t>the oscillator strength (</w:t>
      </w:r>
      <w:r w:rsidRPr="00F338AB">
        <w:rPr>
          <w:rFonts w:cs="Times New Roman"/>
          <w:b w:val="0"/>
          <w:bCs/>
          <w:i/>
          <w:iCs/>
          <w:w w:val="108"/>
          <w:sz w:val="18"/>
          <w:szCs w:val="18"/>
        </w:rPr>
        <w:t>f</w:t>
      </w:r>
      <w:r w:rsidRPr="00F338AB">
        <w:rPr>
          <w:rFonts w:cs="Times New Roman"/>
          <w:b w:val="0"/>
          <w:bCs/>
          <w:w w:val="108"/>
          <w:sz w:val="18"/>
          <w:szCs w:val="18"/>
        </w:rPr>
        <w:t>)</w:t>
      </w:r>
      <w:r w:rsidR="00E77A60" w:rsidRPr="00F338AB">
        <w:rPr>
          <w:rFonts w:cs="Times New Roman"/>
          <w:b w:val="0"/>
          <w:bCs/>
          <w:w w:val="108"/>
          <w:sz w:val="18"/>
          <w:szCs w:val="18"/>
        </w:rPr>
        <w:t>, (ii)</w:t>
      </w:r>
      <w:r w:rsidRPr="00F338AB">
        <w:rPr>
          <w:rFonts w:cs="Times New Roman"/>
          <w:b w:val="0"/>
          <w:bCs/>
          <w:w w:val="108"/>
          <w:sz w:val="18"/>
          <w:szCs w:val="18"/>
        </w:rPr>
        <w:t xml:space="preserve"> both the radiative and non-radiative rate constants for the</w:t>
      </w:r>
      <w:r w:rsidR="00E67993" w:rsidRPr="00F338AB">
        <w:rPr>
          <w:rFonts w:cs="Times New Roman"/>
          <w:b w:val="0"/>
          <w:bCs/>
          <w:w w:val="108"/>
          <w:sz w:val="18"/>
          <w:szCs w:val="18"/>
        </w:rPr>
        <w:t xml:space="preserve"> </w:t>
      </w:r>
      <w:r w:rsidRPr="00F338AB">
        <w:rPr>
          <w:rFonts w:cs="Times New Roman"/>
          <w:b w:val="0"/>
          <w:bCs/>
          <w:w w:val="108"/>
          <w:sz w:val="18"/>
          <w:szCs w:val="18"/>
          <w:vertAlign w:val="superscript"/>
        </w:rPr>
        <w:t>2</w:t>
      </w:r>
      <w:r w:rsidRPr="00F338AB">
        <w:rPr>
          <w:rFonts w:cs="Times New Roman"/>
          <w:b w:val="0"/>
          <w:bCs/>
          <w:w w:val="108"/>
          <w:sz w:val="18"/>
          <w:szCs w:val="18"/>
        </w:rPr>
        <w:t>MC ↔</w:t>
      </w:r>
      <w:r w:rsidRPr="00F338AB">
        <w:rPr>
          <w:rFonts w:cs="Times New Roman"/>
          <w:b w:val="0"/>
          <w:bCs/>
          <w:w w:val="108"/>
          <w:sz w:val="18"/>
          <w:szCs w:val="18"/>
          <w:vertAlign w:val="superscript"/>
        </w:rPr>
        <w:t>4</w:t>
      </w:r>
      <w:r w:rsidRPr="00F338AB">
        <w:rPr>
          <w:rFonts w:cs="Times New Roman"/>
          <w:b w:val="0"/>
          <w:bCs/>
          <w:w w:val="108"/>
          <w:sz w:val="18"/>
          <w:szCs w:val="18"/>
        </w:rPr>
        <w:t>A</w:t>
      </w:r>
      <w:r w:rsidRPr="00F338AB">
        <w:rPr>
          <w:rFonts w:cs="Times New Roman"/>
          <w:b w:val="0"/>
          <w:bCs/>
          <w:w w:val="108"/>
          <w:sz w:val="18"/>
          <w:szCs w:val="18"/>
          <w:vertAlign w:val="subscript"/>
        </w:rPr>
        <w:t>2</w:t>
      </w:r>
      <w:r w:rsidRPr="00F338AB">
        <w:rPr>
          <w:rFonts w:cs="Times New Roman"/>
          <w:b w:val="0"/>
          <w:bCs/>
          <w:w w:val="108"/>
          <w:sz w:val="18"/>
          <w:szCs w:val="18"/>
        </w:rPr>
        <w:t xml:space="preserve"> transition and </w:t>
      </w:r>
      <w:r w:rsidR="00E77A60" w:rsidRPr="00F338AB">
        <w:rPr>
          <w:rFonts w:cs="Times New Roman"/>
          <w:b w:val="0"/>
          <w:bCs/>
          <w:w w:val="108"/>
          <w:sz w:val="18"/>
          <w:szCs w:val="18"/>
        </w:rPr>
        <w:t xml:space="preserve">(iii) </w:t>
      </w:r>
      <w:r w:rsidRPr="00F338AB">
        <w:rPr>
          <w:rFonts w:cs="Times New Roman"/>
          <w:b w:val="0"/>
          <w:bCs/>
          <w:w w:val="108"/>
          <w:sz w:val="18"/>
          <w:szCs w:val="18"/>
        </w:rPr>
        <w:t>facilitate</w:t>
      </w:r>
      <w:r w:rsidR="00E77A60" w:rsidRPr="00F338AB">
        <w:rPr>
          <w:rFonts w:cs="Times New Roman"/>
          <w:b w:val="0"/>
          <w:bCs/>
          <w:w w:val="108"/>
          <w:sz w:val="18"/>
          <w:szCs w:val="18"/>
        </w:rPr>
        <w:t>s</w:t>
      </w:r>
      <w:r w:rsidRPr="00F338AB">
        <w:rPr>
          <w:rFonts w:cs="Times New Roman"/>
          <w:b w:val="0"/>
          <w:bCs/>
          <w:w w:val="108"/>
          <w:sz w:val="18"/>
          <w:szCs w:val="18"/>
        </w:rPr>
        <w:t xml:space="preserve"> the room temperature back-intersystem crossing. </w:t>
      </w:r>
      <w:r w:rsidR="00493B47" w:rsidRPr="00F338AB">
        <w:rPr>
          <w:rFonts w:cs="Times New Roman"/>
          <w:b w:val="0"/>
          <w:bCs/>
          <w:w w:val="108"/>
          <w:sz w:val="18"/>
          <w:szCs w:val="18"/>
        </w:rPr>
        <w:t xml:space="preserve">Finally, the substitution of distal methyl-pyrazole rings with indazole in compound </w:t>
      </w:r>
      <w:r w:rsidR="00493B47" w:rsidRPr="00F338AB">
        <w:rPr>
          <w:rFonts w:cs="Times New Roman"/>
          <w:w w:val="108"/>
          <w:sz w:val="18"/>
          <w:szCs w:val="18"/>
        </w:rPr>
        <w:t>3</w:t>
      </w:r>
      <w:r w:rsidR="00493B47" w:rsidRPr="00F338AB">
        <w:rPr>
          <w:rFonts w:cs="Times New Roman"/>
          <w:b w:val="0"/>
          <w:bCs/>
          <w:w w:val="108"/>
          <w:sz w:val="18"/>
          <w:szCs w:val="18"/>
        </w:rPr>
        <w:t xml:space="preserve"> induces a significant bathochromic shift in the spin-flip emission to 830 nm (12000 cm⁻¹), highlighting the impact of the extended π-system and increased covalent bond character of the indazole ligand. These findings reveal an underexplored approach for tuning deactivation pathways and emission energies while maintaining high quantum yields and long-lived excited states, offering exciting opportunities for the development of advanced molecular rubies with tailored photophysical properties.</w:t>
      </w:r>
      <w:r w:rsidRPr="00F338AB">
        <w:rPr>
          <w:rFonts w:cs="Times New Roman"/>
          <w:b w:val="0"/>
          <w:bCs/>
          <w:w w:val="108"/>
          <w:sz w:val="18"/>
          <w:szCs w:val="18"/>
        </w:rPr>
        <w:t xml:space="preserve"> </w:t>
      </w:r>
    </w:p>
    <w:p w14:paraId="7CC1A49F" w14:textId="77777777" w:rsidR="00D04E6B" w:rsidRPr="00F338AB" w:rsidRDefault="001925B0" w:rsidP="00BC424C">
      <w:pPr>
        <w:widowControl w:val="0"/>
        <w:autoSpaceDE w:val="0"/>
        <w:autoSpaceDN w:val="0"/>
        <w:adjustRightInd w:val="0"/>
        <w:spacing w:before="400" w:after="80" w:line="240" w:lineRule="auto"/>
        <w:ind w:left="640" w:hanging="640"/>
        <w:rPr>
          <w:b/>
          <w:bCs/>
        </w:rPr>
      </w:pPr>
      <w:r w:rsidRPr="00F338AB">
        <w:rPr>
          <w:b/>
          <w:bCs/>
        </w:rPr>
        <w:t>Author Contributions</w:t>
      </w:r>
    </w:p>
    <w:p w14:paraId="32110BED" w14:textId="77777777" w:rsidR="00881E4D" w:rsidRPr="00F338AB" w:rsidRDefault="00881E4D" w:rsidP="00881E4D">
      <w:pPr>
        <w:pStyle w:val="RSCB04AHeadingSection"/>
      </w:pPr>
      <w:r w:rsidRPr="00F338AB">
        <w:t>Acknowledgements</w:t>
      </w:r>
    </w:p>
    <w:p w14:paraId="4F4976CD" w14:textId="4C45C57F" w:rsidR="00C008FC" w:rsidRPr="00F338AB" w:rsidRDefault="00881E4D" w:rsidP="00F338AB">
      <w:pPr>
        <w:pStyle w:val="FlushLeft"/>
        <w:spacing w:line="240" w:lineRule="auto"/>
        <w:rPr>
          <w:rStyle w:val="TMSRMN"/>
          <w:rFonts w:eastAsiaTheme="minorHAnsi" w:cstheme="minorBidi"/>
          <w:b/>
          <w:noProof w:val="0"/>
          <w:color w:val="000000"/>
          <w:szCs w:val="22"/>
        </w:rPr>
      </w:pPr>
      <w:r w:rsidRPr="00F338AB">
        <w:rPr>
          <w:bCs/>
          <w:w w:val="108"/>
          <w:sz w:val="18"/>
          <w:szCs w:val="18"/>
        </w:rPr>
        <w:t>The authors acknowledge the funding received from the grant TED2021.129598A.I00 funded by MCIN/ AEI/10.13039/501100011033 and by European Union NextGenerationEU/PRTR and Junta de Andalucía. This work was financially supported by Ministerio de Ciencia e Innovación (PGC2018 102052-B-C21) MCIN/AEI/10.13039/501100011033/ FEDER ‘‘Una manera de hacer Europa’’, Junta de Andalucía (FQM-195, projects I + D + i A-FQM-172-UGR18 and B.FQM.328.UGR20) and the University of Granada. J. R. J. acknowledge the Juan de la Cierva Incorporation grant IJC2020-044040-I funded by MCIN/AEI/10.13039/501100011033 and by European Union NextGenerationEU/PRTR.</w:t>
      </w:r>
      <w:r w:rsidR="00280FD0" w:rsidRPr="00F338AB">
        <w:rPr>
          <w:sz w:val="18"/>
          <w:szCs w:val="18"/>
        </w:rPr>
        <w:t xml:space="preserve"> </w:t>
      </w:r>
      <w:r w:rsidR="00280FD0" w:rsidRPr="00F338AB">
        <w:rPr>
          <w:bCs/>
          <w:w w:val="108"/>
          <w:sz w:val="18"/>
          <w:szCs w:val="18"/>
        </w:rPr>
        <w:t>P.S.-A. thanks Juan de la Cierva Grant JDC2022-048964-I funded by MICIU/AEI/10.13039/501100011033 and by “European Union NextGenerationEU/PRTR”.</w:t>
      </w:r>
      <w:r w:rsidRPr="00F338AB">
        <w:rPr>
          <w:bCs/>
          <w:w w:val="108"/>
          <w:sz w:val="18"/>
          <w:szCs w:val="18"/>
        </w:rPr>
        <w:t xml:space="preserve"> </w:t>
      </w:r>
      <w:r w:rsidRPr="00F338AB">
        <w:rPr>
          <w:bCs/>
          <w:w w:val="108"/>
          <w:sz w:val="18"/>
          <w:szCs w:val="18"/>
          <w:lang w:val="es-ES"/>
        </w:rPr>
        <w:t xml:space="preserve">We thank Centro de Servicios de Informática y Redes de Comunicaciones (CSIRC), Universidad de Granada, for providing the computing time. </w:t>
      </w:r>
      <w:r w:rsidRPr="00F338AB">
        <w:rPr>
          <w:bCs/>
          <w:w w:val="108"/>
          <w:sz w:val="18"/>
          <w:szCs w:val="18"/>
        </w:rPr>
        <w:t>This work made use of the infrastructure services provided by S3IT (</w:t>
      </w:r>
      <w:hyperlink r:id="rId24" w:history="1">
        <w:r w:rsidRPr="00F338AB">
          <w:rPr>
            <w:bCs/>
            <w:w w:val="108"/>
            <w:sz w:val="18"/>
            <w:szCs w:val="18"/>
          </w:rPr>
          <w:t>www.s3it.uzh.ch</w:t>
        </w:r>
      </w:hyperlink>
      <w:r w:rsidRPr="00F338AB">
        <w:rPr>
          <w:bCs/>
          <w:w w:val="108"/>
          <w:sz w:val="18"/>
          <w:szCs w:val="18"/>
        </w:rPr>
        <w:t>), the Service and Support for Science IT team at the University of Zurich. The authors would like to thank the S3IT team for their support.</w:t>
      </w:r>
      <w:r w:rsidR="00C008FC" w:rsidRPr="00F338AB">
        <w:rPr>
          <w:bCs/>
          <w:w w:val="108"/>
          <w:sz w:val="18"/>
          <w:szCs w:val="18"/>
        </w:rPr>
        <w:t xml:space="preserve"> M.P., B.D., J.R.J and C.P. </w:t>
      </w:r>
      <w:r w:rsidR="00C008FC" w:rsidRPr="00F338AB">
        <w:rPr>
          <w:rStyle w:val="TMSRMN"/>
          <w:rFonts w:cstheme="minorBidi"/>
          <w:noProof w:val="0"/>
          <w:sz w:val="18"/>
          <w:szCs w:val="18"/>
        </w:rPr>
        <w:t xml:space="preserve">were supported through grants from the Swiss National Science Foundation </w:t>
      </w:r>
      <w:r w:rsidR="00C008FC" w:rsidRPr="00F338AB">
        <w:rPr>
          <w:noProof w:val="0"/>
          <w:sz w:val="18"/>
          <w:szCs w:val="18"/>
        </w:rPr>
        <w:t>(grant 200020_207313).</w:t>
      </w:r>
    </w:p>
    <w:p w14:paraId="4DE9419C" w14:textId="4CA04B12" w:rsidR="0083720F" w:rsidRPr="00F338AB" w:rsidRDefault="0083720F" w:rsidP="00BC424C">
      <w:pPr>
        <w:widowControl w:val="0"/>
        <w:autoSpaceDE w:val="0"/>
        <w:autoSpaceDN w:val="0"/>
        <w:adjustRightInd w:val="0"/>
        <w:spacing w:before="400" w:after="80" w:line="240" w:lineRule="auto"/>
        <w:ind w:left="640" w:hanging="640"/>
        <w:rPr>
          <w:b/>
          <w:bCs/>
          <w:lang w:val="de-CH"/>
        </w:rPr>
      </w:pPr>
      <w:r w:rsidRPr="00F338AB">
        <w:rPr>
          <w:b/>
          <w:bCs/>
          <w:lang w:val="de-CH"/>
        </w:rPr>
        <w:t>References</w:t>
      </w:r>
    </w:p>
    <w:p w14:paraId="6636360D" w14:textId="62A258A6" w:rsidR="005631DC" w:rsidRPr="00F338AB" w:rsidRDefault="00BC424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fldChar w:fldCharType="begin" w:fldLock="1"/>
      </w:r>
      <w:r w:rsidRPr="00F338AB">
        <w:rPr>
          <w:lang w:val="de-CH"/>
        </w:rPr>
        <w:instrText xml:space="preserve">ADDIN Mendeley Bibliography CSL_BIBLIOGRAPHY </w:instrText>
      </w:r>
      <w:r w:rsidRPr="00F338AB">
        <w:fldChar w:fldCharType="separate"/>
      </w:r>
      <w:r w:rsidR="005631DC" w:rsidRPr="00F338AB">
        <w:rPr>
          <w:rFonts w:ascii="Calibri" w:hAnsi="Calibri" w:cs="Calibri"/>
          <w:noProof/>
          <w:sz w:val="18"/>
          <w:lang w:val="de-CH"/>
        </w:rPr>
        <w:t>1</w:t>
      </w:r>
      <w:r w:rsidR="005631DC" w:rsidRPr="00F338AB">
        <w:rPr>
          <w:rFonts w:ascii="Calibri" w:hAnsi="Calibri" w:cs="Calibri"/>
          <w:noProof/>
          <w:sz w:val="18"/>
          <w:lang w:val="de-CH"/>
        </w:rPr>
        <w:tab/>
        <w:t xml:space="preserve">C. Förster and K. Heinze, </w:t>
      </w:r>
      <w:r w:rsidR="005631DC" w:rsidRPr="00F338AB">
        <w:rPr>
          <w:rFonts w:ascii="Calibri" w:hAnsi="Calibri" w:cs="Calibri"/>
          <w:i/>
          <w:iCs/>
          <w:noProof/>
          <w:sz w:val="18"/>
          <w:lang w:val="de-CH"/>
        </w:rPr>
        <w:t>Chem. Soc. Rev.</w:t>
      </w:r>
      <w:r w:rsidR="005631DC" w:rsidRPr="00F338AB">
        <w:rPr>
          <w:rFonts w:ascii="Calibri" w:hAnsi="Calibri" w:cs="Calibri"/>
          <w:noProof/>
          <w:sz w:val="18"/>
          <w:lang w:val="de-CH"/>
        </w:rPr>
        <w:t xml:space="preserve">, 2020, </w:t>
      </w:r>
      <w:r w:rsidR="005631DC" w:rsidRPr="00F338AB">
        <w:rPr>
          <w:rFonts w:ascii="Calibri" w:hAnsi="Calibri" w:cs="Calibri"/>
          <w:b/>
          <w:bCs/>
          <w:noProof/>
          <w:sz w:val="18"/>
          <w:lang w:val="de-CH"/>
        </w:rPr>
        <w:t>49</w:t>
      </w:r>
      <w:r w:rsidR="005631DC" w:rsidRPr="00F338AB">
        <w:rPr>
          <w:rFonts w:ascii="Calibri" w:hAnsi="Calibri" w:cs="Calibri"/>
          <w:noProof/>
          <w:sz w:val="18"/>
          <w:lang w:val="de-CH"/>
        </w:rPr>
        <w:t>, 1057–1070.</w:t>
      </w:r>
    </w:p>
    <w:p w14:paraId="48C47D85"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2</w:t>
      </w:r>
      <w:r w:rsidRPr="00F338AB">
        <w:rPr>
          <w:rFonts w:ascii="Calibri" w:hAnsi="Calibri" w:cs="Calibri"/>
          <w:noProof/>
          <w:sz w:val="18"/>
          <w:lang w:val="de-CH"/>
        </w:rPr>
        <w:tab/>
        <w:t xml:space="preserve">O. S. Wenger, </w:t>
      </w:r>
      <w:r w:rsidRPr="00F338AB">
        <w:rPr>
          <w:rFonts w:ascii="Calibri" w:hAnsi="Calibri" w:cs="Calibri"/>
          <w:i/>
          <w:iCs/>
          <w:noProof/>
          <w:sz w:val="18"/>
          <w:lang w:val="de-CH"/>
        </w:rPr>
        <w:t>J. Am. Chem. Soc.</w:t>
      </w:r>
      <w:r w:rsidRPr="00F338AB">
        <w:rPr>
          <w:rFonts w:ascii="Calibri" w:hAnsi="Calibri" w:cs="Calibri"/>
          <w:noProof/>
          <w:sz w:val="18"/>
          <w:lang w:val="de-CH"/>
        </w:rPr>
        <w:t xml:space="preserve">, 2018, </w:t>
      </w:r>
      <w:r w:rsidRPr="00F338AB">
        <w:rPr>
          <w:rFonts w:ascii="Calibri" w:hAnsi="Calibri" w:cs="Calibri"/>
          <w:b/>
          <w:bCs/>
          <w:noProof/>
          <w:sz w:val="18"/>
          <w:lang w:val="de-CH"/>
        </w:rPr>
        <w:t>140</w:t>
      </w:r>
      <w:r w:rsidRPr="00F338AB">
        <w:rPr>
          <w:rFonts w:ascii="Calibri" w:hAnsi="Calibri" w:cs="Calibri"/>
          <w:noProof/>
          <w:sz w:val="18"/>
          <w:lang w:val="de-CH"/>
        </w:rPr>
        <w:t>, 13522–13533.</w:t>
      </w:r>
    </w:p>
    <w:p w14:paraId="35102744"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3</w:t>
      </w:r>
      <w:r w:rsidRPr="00F338AB">
        <w:rPr>
          <w:rFonts w:ascii="Calibri" w:hAnsi="Calibri" w:cs="Calibri"/>
          <w:noProof/>
          <w:sz w:val="18"/>
          <w:lang w:val="de-CH"/>
        </w:rPr>
        <w:tab/>
        <w:t xml:space="preserve">S. Otto, M. Grabolle, C. Förster, C. Kreitner, U. Resch-Genger and K. Heinze, </w:t>
      </w:r>
      <w:r w:rsidRPr="00F338AB">
        <w:rPr>
          <w:rFonts w:ascii="Calibri" w:hAnsi="Calibri" w:cs="Calibri"/>
          <w:i/>
          <w:iCs/>
          <w:noProof/>
          <w:sz w:val="18"/>
          <w:lang w:val="de-CH"/>
        </w:rPr>
        <w:t>Angew. Chem. Int. Ed.</w:t>
      </w:r>
      <w:r w:rsidRPr="00F338AB">
        <w:rPr>
          <w:rFonts w:ascii="Calibri" w:hAnsi="Calibri" w:cs="Calibri"/>
          <w:noProof/>
          <w:sz w:val="18"/>
          <w:lang w:val="de-CH"/>
        </w:rPr>
        <w:t xml:space="preserve">, 2015, </w:t>
      </w:r>
      <w:r w:rsidRPr="00F338AB">
        <w:rPr>
          <w:rFonts w:ascii="Calibri" w:hAnsi="Calibri" w:cs="Calibri"/>
          <w:b/>
          <w:bCs/>
          <w:noProof/>
          <w:sz w:val="18"/>
          <w:lang w:val="de-CH"/>
        </w:rPr>
        <w:t>54</w:t>
      </w:r>
      <w:r w:rsidRPr="00F338AB">
        <w:rPr>
          <w:rFonts w:ascii="Calibri" w:hAnsi="Calibri" w:cs="Calibri"/>
          <w:noProof/>
          <w:sz w:val="18"/>
          <w:lang w:val="de-CH"/>
        </w:rPr>
        <w:t>, 11572–11576.</w:t>
      </w:r>
    </w:p>
    <w:p w14:paraId="47BF2E46"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4</w:t>
      </w:r>
      <w:r w:rsidRPr="00F338AB">
        <w:rPr>
          <w:rFonts w:ascii="Calibri" w:hAnsi="Calibri" w:cs="Calibri"/>
          <w:noProof/>
          <w:sz w:val="18"/>
          <w:lang w:val="de-CH"/>
        </w:rPr>
        <w:tab/>
        <w:t xml:space="preserve">J. Steube, A. Kruse, O. S. Bokareva, T. Reuter, S. Demeshko, R. Schoch, M. A. Argüello Cordero, A. Krishna, S. Hohloch, F. Meyer, K. Heinze, O. Kühn, S. Lochbrunner and M. Bauer, </w:t>
      </w:r>
      <w:r w:rsidRPr="00F338AB">
        <w:rPr>
          <w:rFonts w:ascii="Calibri" w:hAnsi="Calibri" w:cs="Calibri"/>
          <w:i/>
          <w:iCs/>
          <w:noProof/>
          <w:sz w:val="18"/>
          <w:lang w:val="de-CH"/>
        </w:rPr>
        <w:t>Nat. Chem.</w:t>
      </w:r>
      <w:r w:rsidRPr="00F338AB">
        <w:rPr>
          <w:rFonts w:ascii="Calibri" w:hAnsi="Calibri" w:cs="Calibri"/>
          <w:noProof/>
          <w:sz w:val="18"/>
          <w:lang w:val="de-CH"/>
        </w:rPr>
        <w:t>, , DOI:10.1038/s41557-023-01137-w.</w:t>
      </w:r>
    </w:p>
    <w:p w14:paraId="0C5F13B7"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5</w:t>
      </w:r>
      <w:r w:rsidRPr="00F338AB">
        <w:rPr>
          <w:rFonts w:ascii="Calibri" w:hAnsi="Calibri" w:cs="Calibri"/>
          <w:noProof/>
          <w:sz w:val="18"/>
          <w:lang w:val="de-CH"/>
        </w:rPr>
        <w:tab/>
        <w:t xml:space="preserve">K. S. Kjær, N. Kaul, O. Prakash, P. Chábera, N. W. Rosemann, A. Honarfar, O. Gordivska, L. A. Fredin, K. E. Bergquist, L. Häggström, T. Ericsson, L. Lindh, A. Yartsev, S. Styring, P. Huang, J. Uhlig, J. Bendix, D. Strand, V. Sundström, P. Persson, R. Lomoth and K. Wärnmark, </w:t>
      </w:r>
      <w:r w:rsidRPr="00F338AB">
        <w:rPr>
          <w:rFonts w:ascii="Calibri" w:hAnsi="Calibri" w:cs="Calibri"/>
          <w:i/>
          <w:iCs/>
          <w:noProof/>
          <w:sz w:val="18"/>
          <w:lang w:val="de-CH"/>
        </w:rPr>
        <w:lastRenderedPageBreak/>
        <w:t>Science (80-. ).</w:t>
      </w:r>
      <w:r w:rsidRPr="00F338AB">
        <w:rPr>
          <w:rFonts w:ascii="Calibri" w:hAnsi="Calibri" w:cs="Calibri"/>
          <w:noProof/>
          <w:sz w:val="18"/>
          <w:lang w:val="de-CH"/>
        </w:rPr>
        <w:t xml:space="preserve">, 2019, </w:t>
      </w:r>
      <w:r w:rsidRPr="00F338AB">
        <w:rPr>
          <w:rFonts w:ascii="Calibri" w:hAnsi="Calibri" w:cs="Calibri"/>
          <w:b/>
          <w:bCs/>
          <w:noProof/>
          <w:sz w:val="18"/>
          <w:lang w:val="de-CH"/>
        </w:rPr>
        <w:t>363</w:t>
      </w:r>
      <w:r w:rsidRPr="00F338AB">
        <w:rPr>
          <w:rFonts w:ascii="Calibri" w:hAnsi="Calibri" w:cs="Calibri"/>
          <w:noProof/>
          <w:sz w:val="18"/>
          <w:lang w:val="de-CH"/>
        </w:rPr>
        <w:t>, 249–253.</w:t>
      </w:r>
    </w:p>
    <w:p w14:paraId="3684169E"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6</w:t>
      </w:r>
      <w:r w:rsidRPr="00F338AB">
        <w:rPr>
          <w:rFonts w:ascii="Calibri" w:hAnsi="Calibri" w:cs="Calibri"/>
          <w:noProof/>
          <w:sz w:val="18"/>
          <w:lang w:val="de-CH"/>
        </w:rPr>
        <w:tab/>
        <w:t xml:space="preserve">P. Chábera, Y. Liu, O. Prakash, E. Thyrhaug, A. El Nahhas, A. Honarfar, S. Essén, L. A. Fredin, T. C. B. Harlang, K. S. Kjær, K. Handrup, F. Ericson, H. Tatsuno, K. Morgan, J. Schnadt, L. Häggström, T. Ericsson, A. Sobkowiak, S. Lidin, P. Huang, S. Styring, J. Uhlig, J. Bendix, R. Lomoth, V. Sundström, P. Persson and K. Wärnmark, </w:t>
      </w:r>
      <w:r w:rsidRPr="00F338AB">
        <w:rPr>
          <w:rFonts w:ascii="Calibri" w:hAnsi="Calibri" w:cs="Calibri"/>
          <w:i/>
          <w:iCs/>
          <w:noProof/>
          <w:sz w:val="18"/>
          <w:lang w:val="de-CH"/>
        </w:rPr>
        <w:t>Nature</w:t>
      </w:r>
      <w:r w:rsidRPr="00F338AB">
        <w:rPr>
          <w:rFonts w:ascii="Calibri" w:hAnsi="Calibri" w:cs="Calibri"/>
          <w:noProof/>
          <w:sz w:val="18"/>
          <w:lang w:val="de-CH"/>
        </w:rPr>
        <w:t xml:space="preserve">, 2017, </w:t>
      </w:r>
      <w:r w:rsidRPr="00F338AB">
        <w:rPr>
          <w:rFonts w:ascii="Calibri" w:hAnsi="Calibri" w:cs="Calibri"/>
          <w:b/>
          <w:bCs/>
          <w:noProof/>
          <w:sz w:val="18"/>
          <w:lang w:val="de-CH"/>
        </w:rPr>
        <w:t>543</w:t>
      </w:r>
      <w:r w:rsidRPr="00F338AB">
        <w:rPr>
          <w:rFonts w:ascii="Calibri" w:hAnsi="Calibri" w:cs="Calibri"/>
          <w:noProof/>
          <w:sz w:val="18"/>
          <w:lang w:val="de-CH"/>
        </w:rPr>
        <w:t>, 695–699.</w:t>
      </w:r>
    </w:p>
    <w:p w14:paraId="04647BA7"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es-ES"/>
        </w:rPr>
        <w:t>7</w:t>
      </w:r>
      <w:r w:rsidRPr="00F338AB">
        <w:rPr>
          <w:rFonts w:ascii="Calibri" w:hAnsi="Calibri" w:cs="Calibri"/>
          <w:noProof/>
          <w:sz w:val="18"/>
          <w:lang w:val="es-ES"/>
        </w:rPr>
        <w:tab/>
        <w:t xml:space="preserve">Y. Ye, P. Garrido-Barros, J. Wellauer, C. M. Cruz, R. Lescouëzec, O. S. Wenger, J. M. Herrera and J.-R. Jiménez, </w:t>
      </w:r>
      <w:r w:rsidRPr="00F338AB">
        <w:rPr>
          <w:rFonts w:ascii="Calibri" w:hAnsi="Calibri" w:cs="Calibri"/>
          <w:i/>
          <w:iCs/>
          <w:noProof/>
          <w:sz w:val="18"/>
          <w:lang w:val="es-ES"/>
        </w:rPr>
        <w:t xml:space="preserve">J. Am. </w:t>
      </w:r>
      <w:r w:rsidRPr="00F338AB">
        <w:rPr>
          <w:rFonts w:ascii="Calibri" w:hAnsi="Calibri" w:cs="Calibri"/>
          <w:i/>
          <w:iCs/>
          <w:noProof/>
          <w:sz w:val="18"/>
          <w:lang w:val="de-CH"/>
        </w:rPr>
        <w:t>Chem. Soc.</w:t>
      </w:r>
      <w:r w:rsidRPr="00F338AB">
        <w:rPr>
          <w:rFonts w:ascii="Calibri" w:hAnsi="Calibri" w:cs="Calibri"/>
          <w:noProof/>
          <w:sz w:val="18"/>
          <w:lang w:val="de-CH"/>
        </w:rPr>
        <w:t xml:space="preserve">, 2024, </w:t>
      </w:r>
      <w:r w:rsidRPr="00F338AB">
        <w:rPr>
          <w:rFonts w:ascii="Calibri" w:hAnsi="Calibri" w:cs="Calibri"/>
          <w:b/>
          <w:bCs/>
          <w:noProof/>
          <w:sz w:val="18"/>
          <w:lang w:val="de-CH"/>
        </w:rPr>
        <w:t>146</w:t>
      </w:r>
      <w:r w:rsidRPr="00F338AB">
        <w:rPr>
          <w:rFonts w:ascii="Calibri" w:hAnsi="Calibri" w:cs="Calibri"/>
          <w:noProof/>
          <w:sz w:val="18"/>
          <w:lang w:val="de-CH"/>
        </w:rPr>
        <w:t>, 954–960.</w:t>
      </w:r>
    </w:p>
    <w:p w14:paraId="1DE8576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8</w:t>
      </w:r>
      <w:r w:rsidRPr="00F338AB">
        <w:rPr>
          <w:rFonts w:ascii="Calibri" w:hAnsi="Calibri" w:cs="Calibri"/>
          <w:noProof/>
          <w:sz w:val="18"/>
          <w:lang w:val="de-CH"/>
        </w:rPr>
        <w:tab/>
        <w:t xml:space="preserve">N. Sinha, C. Wegeberg, D. Häussinger, A. Prescimone and O. S. Wenger, </w:t>
      </w:r>
      <w:r w:rsidRPr="00F338AB">
        <w:rPr>
          <w:rFonts w:ascii="Calibri" w:hAnsi="Calibri" w:cs="Calibri"/>
          <w:i/>
          <w:iCs/>
          <w:noProof/>
          <w:sz w:val="18"/>
          <w:lang w:val="de-CH"/>
        </w:rPr>
        <w:t>Nat. Chem.</w:t>
      </w:r>
      <w:r w:rsidRPr="00F338AB">
        <w:rPr>
          <w:rFonts w:ascii="Calibri" w:hAnsi="Calibri" w:cs="Calibri"/>
          <w:noProof/>
          <w:sz w:val="18"/>
          <w:lang w:val="de-CH"/>
        </w:rPr>
        <w:t xml:space="preserve">, 2023, </w:t>
      </w:r>
      <w:r w:rsidRPr="00F338AB">
        <w:rPr>
          <w:rFonts w:ascii="Calibri" w:hAnsi="Calibri" w:cs="Calibri"/>
          <w:b/>
          <w:bCs/>
          <w:noProof/>
          <w:sz w:val="18"/>
          <w:lang w:val="de-CH"/>
        </w:rPr>
        <w:t>15</w:t>
      </w:r>
      <w:r w:rsidRPr="00F338AB">
        <w:rPr>
          <w:rFonts w:ascii="Calibri" w:hAnsi="Calibri" w:cs="Calibri"/>
          <w:noProof/>
          <w:sz w:val="18"/>
          <w:lang w:val="de-CH"/>
        </w:rPr>
        <w:t>, 1730–1736.</w:t>
      </w:r>
    </w:p>
    <w:p w14:paraId="756D40C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9</w:t>
      </w:r>
      <w:r w:rsidRPr="00F338AB">
        <w:rPr>
          <w:rFonts w:ascii="Calibri" w:hAnsi="Calibri" w:cs="Calibri"/>
          <w:noProof/>
          <w:sz w:val="18"/>
          <w:lang w:val="de-CH"/>
        </w:rPr>
        <w:tab/>
        <w:t xml:space="preserve">N. Sinha and O. S. Wenger, </w:t>
      </w:r>
      <w:r w:rsidRPr="00F338AB">
        <w:rPr>
          <w:rFonts w:ascii="Calibri" w:hAnsi="Calibri" w:cs="Calibri"/>
          <w:i/>
          <w:iCs/>
          <w:noProof/>
          <w:sz w:val="18"/>
          <w:lang w:val="de-CH"/>
        </w:rPr>
        <w:t>J. Am. Chem. Soc.</w:t>
      </w:r>
      <w:r w:rsidRPr="00F338AB">
        <w:rPr>
          <w:rFonts w:ascii="Calibri" w:hAnsi="Calibri" w:cs="Calibri"/>
          <w:noProof/>
          <w:sz w:val="18"/>
          <w:lang w:val="de-CH"/>
        </w:rPr>
        <w:t xml:space="preserve">, 2023, </w:t>
      </w:r>
      <w:r w:rsidRPr="00F338AB">
        <w:rPr>
          <w:rFonts w:ascii="Calibri" w:hAnsi="Calibri" w:cs="Calibri"/>
          <w:b/>
          <w:bCs/>
          <w:noProof/>
          <w:sz w:val="18"/>
          <w:lang w:val="de-CH"/>
        </w:rPr>
        <w:t>145</w:t>
      </w:r>
      <w:r w:rsidRPr="00F338AB">
        <w:rPr>
          <w:rFonts w:ascii="Calibri" w:hAnsi="Calibri" w:cs="Calibri"/>
          <w:noProof/>
          <w:sz w:val="18"/>
          <w:lang w:val="de-CH"/>
        </w:rPr>
        <w:t>, 4903–4920.</w:t>
      </w:r>
    </w:p>
    <w:p w14:paraId="7B5A63D6"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10</w:t>
      </w:r>
      <w:r w:rsidRPr="00F338AB">
        <w:rPr>
          <w:rFonts w:ascii="Calibri" w:hAnsi="Calibri" w:cs="Calibri"/>
          <w:noProof/>
          <w:sz w:val="18"/>
          <w:lang w:val="de-CH"/>
        </w:rPr>
        <w:tab/>
        <w:t xml:space="preserve">C. Wegeberg and O. S. Wenger, </w:t>
      </w:r>
      <w:r w:rsidRPr="00F338AB">
        <w:rPr>
          <w:rFonts w:ascii="Calibri" w:hAnsi="Calibri" w:cs="Calibri"/>
          <w:i/>
          <w:iCs/>
          <w:noProof/>
          <w:sz w:val="18"/>
          <w:lang w:val="de-CH"/>
        </w:rPr>
        <w:t>JACS Au</w:t>
      </w:r>
      <w:r w:rsidRPr="00F338AB">
        <w:rPr>
          <w:rFonts w:ascii="Calibri" w:hAnsi="Calibri" w:cs="Calibri"/>
          <w:noProof/>
          <w:sz w:val="18"/>
          <w:lang w:val="de-CH"/>
        </w:rPr>
        <w:t>, 2021, 1, 1860–1876.</w:t>
      </w:r>
    </w:p>
    <w:p w14:paraId="55B4F144"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de-CH"/>
        </w:rPr>
        <w:t>11</w:t>
      </w:r>
      <w:r w:rsidRPr="00F338AB">
        <w:rPr>
          <w:rFonts w:ascii="Calibri" w:hAnsi="Calibri" w:cs="Calibri"/>
          <w:noProof/>
          <w:sz w:val="18"/>
          <w:lang w:val="de-CH"/>
        </w:rPr>
        <w:tab/>
        <w:t xml:space="preserve">S. Kaufhold, N. W. Rosemann, P. Chábera, L. Lindh, I. Bolaño Losada, J. Uhlig, T. Pascher, D. Strand, K. Wärnmark, A. Yartsev and P. Persson, </w:t>
      </w:r>
      <w:r w:rsidRPr="00F338AB">
        <w:rPr>
          <w:rFonts w:ascii="Calibri" w:hAnsi="Calibri" w:cs="Calibri"/>
          <w:i/>
          <w:iCs/>
          <w:noProof/>
          <w:sz w:val="18"/>
          <w:lang w:val="de-CH"/>
        </w:rPr>
        <w:t xml:space="preserve">J. Am. </w:t>
      </w:r>
      <w:r w:rsidRPr="00F338AB">
        <w:rPr>
          <w:rFonts w:ascii="Calibri" w:hAnsi="Calibri" w:cs="Calibri"/>
          <w:i/>
          <w:iCs/>
          <w:noProof/>
          <w:sz w:val="18"/>
        </w:rPr>
        <w:t>Chem. Soc.</w:t>
      </w:r>
      <w:r w:rsidRPr="00F338AB">
        <w:rPr>
          <w:rFonts w:ascii="Calibri" w:hAnsi="Calibri" w:cs="Calibri"/>
          <w:noProof/>
          <w:sz w:val="18"/>
        </w:rPr>
        <w:t xml:space="preserve">, 2021, </w:t>
      </w:r>
      <w:r w:rsidRPr="00F338AB">
        <w:rPr>
          <w:rFonts w:ascii="Calibri" w:hAnsi="Calibri" w:cs="Calibri"/>
          <w:b/>
          <w:bCs/>
          <w:noProof/>
          <w:sz w:val="18"/>
        </w:rPr>
        <w:t>143</w:t>
      </w:r>
      <w:r w:rsidRPr="00F338AB">
        <w:rPr>
          <w:rFonts w:ascii="Calibri" w:hAnsi="Calibri" w:cs="Calibri"/>
          <w:noProof/>
          <w:sz w:val="18"/>
        </w:rPr>
        <w:t>, 1307–1312.</w:t>
      </w:r>
    </w:p>
    <w:p w14:paraId="1998A688"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rPr>
        <w:t>12</w:t>
      </w:r>
      <w:r w:rsidRPr="00F338AB">
        <w:rPr>
          <w:rFonts w:ascii="Calibri" w:hAnsi="Calibri" w:cs="Calibri"/>
          <w:noProof/>
          <w:sz w:val="18"/>
        </w:rPr>
        <w:tab/>
        <w:t xml:space="preserve">A. K. Pal, C. Li, G. S. Hanan and E. Zysman‐Colman, </w:t>
      </w:r>
      <w:r w:rsidRPr="00F338AB">
        <w:rPr>
          <w:rFonts w:ascii="Calibri" w:hAnsi="Calibri" w:cs="Calibri"/>
          <w:i/>
          <w:iCs/>
          <w:noProof/>
          <w:sz w:val="18"/>
        </w:rPr>
        <w:t xml:space="preserve">Angew. </w:t>
      </w:r>
      <w:r w:rsidRPr="00F338AB">
        <w:rPr>
          <w:rFonts w:ascii="Calibri" w:hAnsi="Calibri" w:cs="Calibri"/>
          <w:i/>
          <w:iCs/>
          <w:noProof/>
          <w:sz w:val="18"/>
          <w:lang w:val="de-CH"/>
        </w:rPr>
        <w:t>Chemie</w:t>
      </w:r>
      <w:r w:rsidRPr="00F338AB">
        <w:rPr>
          <w:rFonts w:ascii="Calibri" w:hAnsi="Calibri" w:cs="Calibri"/>
          <w:noProof/>
          <w:sz w:val="18"/>
          <w:lang w:val="de-CH"/>
        </w:rPr>
        <w:t xml:space="preserve">, 2018, </w:t>
      </w:r>
      <w:r w:rsidRPr="00F338AB">
        <w:rPr>
          <w:rFonts w:ascii="Calibri" w:hAnsi="Calibri" w:cs="Calibri"/>
          <w:b/>
          <w:bCs/>
          <w:noProof/>
          <w:sz w:val="18"/>
          <w:lang w:val="de-CH"/>
        </w:rPr>
        <w:t>130</w:t>
      </w:r>
      <w:r w:rsidRPr="00F338AB">
        <w:rPr>
          <w:rFonts w:ascii="Calibri" w:hAnsi="Calibri" w:cs="Calibri"/>
          <w:noProof/>
          <w:sz w:val="18"/>
          <w:lang w:val="de-CH"/>
        </w:rPr>
        <w:t>, 8159–8163.</w:t>
      </w:r>
    </w:p>
    <w:p w14:paraId="1039674E"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13</w:t>
      </w:r>
      <w:r w:rsidRPr="00F338AB">
        <w:rPr>
          <w:rFonts w:ascii="Calibri" w:hAnsi="Calibri" w:cs="Calibri"/>
          <w:noProof/>
          <w:sz w:val="18"/>
          <w:lang w:val="de-CH"/>
        </w:rPr>
        <w:tab/>
        <w:t xml:space="preserve">M. Dorn, J. Kalmbach, P. Boden, A. Päpcke, S. Gómez, C. Förster, F. Kuczelinis, L. M. Carrella, L. A. Büldt, N. H. Bings, E. Rentschler, S. Lochbrunner, L. González, M. Gerhards, M. Seitz and K. Heinze, </w:t>
      </w:r>
      <w:r w:rsidRPr="00F338AB">
        <w:rPr>
          <w:rFonts w:ascii="Calibri" w:hAnsi="Calibri" w:cs="Calibri"/>
          <w:i/>
          <w:iCs/>
          <w:noProof/>
          <w:sz w:val="18"/>
          <w:lang w:val="de-CH"/>
        </w:rPr>
        <w:t>J. Am. Chem. Soc.</w:t>
      </w:r>
      <w:r w:rsidRPr="00F338AB">
        <w:rPr>
          <w:rFonts w:ascii="Calibri" w:hAnsi="Calibri" w:cs="Calibri"/>
          <w:noProof/>
          <w:sz w:val="18"/>
          <w:lang w:val="de-CH"/>
        </w:rPr>
        <w:t xml:space="preserve">, 2020, </w:t>
      </w:r>
      <w:r w:rsidRPr="00F338AB">
        <w:rPr>
          <w:rFonts w:ascii="Calibri" w:hAnsi="Calibri" w:cs="Calibri"/>
          <w:b/>
          <w:bCs/>
          <w:noProof/>
          <w:sz w:val="18"/>
          <w:lang w:val="de-CH"/>
        </w:rPr>
        <w:t>142</w:t>
      </w:r>
      <w:r w:rsidRPr="00F338AB">
        <w:rPr>
          <w:rFonts w:ascii="Calibri" w:hAnsi="Calibri" w:cs="Calibri"/>
          <w:noProof/>
          <w:sz w:val="18"/>
          <w:lang w:val="de-CH"/>
        </w:rPr>
        <w:t>, 7947–7955.</w:t>
      </w:r>
    </w:p>
    <w:p w14:paraId="053CE226"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14</w:t>
      </w:r>
      <w:r w:rsidRPr="00F338AB">
        <w:rPr>
          <w:rFonts w:ascii="Calibri" w:hAnsi="Calibri" w:cs="Calibri"/>
          <w:noProof/>
          <w:sz w:val="18"/>
          <w:lang w:val="de-CH"/>
        </w:rPr>
        <w:tab/>
        <w:t xml:space="preserve">P. Herr, C. Kerzig, C. B. Larsen, D. Häussinger and O. S. Wenger, </w:t>
      </w:r>
      <w:r w:rsidRPr="00F338AB">
        <w:rPr>
          <w:rFonts w:ascii="Calibri" w:hAnsi="Calibri" w:cs="Calibri"/>
          <w:i/>
          <w:iCs/>
          <w:noProof/>
          <w:sz w:val="18"/>
          <w:lang w:val="de-CH"/>
        </w:rPr>
        <w:t>Nat. Chem.</w:t>
      </w:r>
      <w:r w:rsidRPr="00F338AB">
        <w:rPr>
          <w:rFonts w:ascii="Calibri" w:hAnsi="Calibri" w:cs="Calibri"/>
          <w:noProof/>
          <w:sz w:val="18"/>
          <w:lang w:val="de-CH"/>
        </w:rPr>
        <w:t xml:space="preserve">, 2021, </w:t>
      </w:r>
      <w:r w:rsidRPr="00F338AB">
        <w:rPr>
          <w:rFonts w:ascii="Calibri" w:hAnsi="Calibri" w:cs="Calibri"/>
          <w:b/>
          <w:bCs/>
          <w:noProof/>
          <w:sz w:val="18"/>
          <w:lang w:val="de-CH"/>
        </w:rPr>
        <w:t>13</w:t>
      </w:r>
      <w:r w:rsidRPr="00F338AB">
        <w:rPr>
          <w:rFonts w:ascii="Calibri" w:hAnsi="Calibri" w:cs="Calibri"/>
          <w:noProof/>
          <w:sz w:val="18"/>
          <w:lang w:val="de-CH"/>
        </w:rPr>
        <w:t>, 956–962.</w:t>
      </w:r>
    </w:p>
    <w:p w14:paraId="0BBC71DF"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15</w:t>
      </w:r>
      <w:r w:rsidRPr="00F338AB">
        <w:rPr>
          <w:rFonts w:ascii="Calibri" w:hAnsi="Calibri" w:cs="Calibri"/>
          <w:noProof/>
          <w:sz w:val="18"/>
          <w:lang w:val="de-CH"/>
        </w:rPr>
        <w:tab/>
        <w:t xml:space="preserve">L. A. Büldt, X. Guo, R. Vogel, A. Prescimone and O. S. Wenger, </w:t>
      </w:r>
      <w:r w:rsidRPr="00F338AB">
        <w:rPr>
          <w:rFonts w:ascii="Calibri" w:hAnsi="Calibri" w:cs="Calibri"/>
          <w:i/>
          <w:iCs/>
          <w:noProof/>
          <w:sz w:val="18"/>
          <w:lang w:val="de-CH"/>
        </w:rPr>
        <w:t>J. Am. Chem. Soc.</w:t>
      </w:r>
      <w:r w:rsidRPr="00F338AB">
        <w:rPr>
          <w:rFonts w:ascii="Calibri" w:hAnsi="Calibri" w:cs="Calibri"/>
          <w:noProof/>
          <w:sz w:val="18"/>
          <w:lang w:val="de-CH"/>
        </w:rPr>
        <w:t xml:space="preserve">, 2017, </w:t>
      </w:r>
      <w:r w:rsidRPr="00F338AB">
        <w:rPr>
          <w:rFonts w:ascii="Calibri" w:hAnsi="Calibri" w:cs="Calibri"/>
          <w:b/>
          <w:bCs/>
          <w:noProof/>
          <w:sz w:val="18"/>
          <w:lang w:val="de-CH"/>
        </w:rPr>
        <w:t>139</w:t>
      </w:r>
      <w:r w:rsidRPr="00F338AB">
        <w:rPr>
          <w:rFonts w:ascii="Calibri" w:hAnsi="Calibri" w:cs="Calibri"/>
          <w:noProof/>
          <w:sz w:val="18"/>
          <w:lang w:val="de-CH"/>
        </w:rPr>
        <w:t>, 985–992.</w:t>
      </w:r>
    </w:p>
    <w:p w14:paraId="576935FA"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16</w:t>
      </w:r>
      <w:r w:rsidRPr="00F338AB">
        <w:rPr>
          <w:rFonts w:ascii="Calibri" w:hAnsi="Calibri" w:cs="Calibri"/>
          <w:noProof/>
          <w:sz w:val="18"/>
          <w:lang w:val="de-CH"/>
        </w:rPr>
        <w:tab/>
        <w:t xml:space="preserve">B. C. Paulus, K. C. Nielsen, C. R. Tichnell, M. C. Carey and J. K. McCusker, </w:t>
      </w:r>
      <w:r w:rsidRPr="00F338AB">
        <w:rPr>
          <w:rFonts w:ascii="Calibri" w:hAnsi="Calibri" w:cs="Calibri"/>
          <w:i/>
          <w:iCs/>
          <w:noProof/>
          <w:sz w:val="18"/>
          <w:lang w:val="de-CH"/>
        </w:rPr>
        <w:t>J. Am. Chem. Soc.</w:t>
      </w:r>
      <w:r w:rsidRPr="00F338AB">
        <w:rPr>
          <w:rFonts w:ascii="Calibri" w:hAnsi="Calibri" w:cs="Calibri"/>
          <w:noProof/>
          <w:sz w:val="18"/>
          <w:lang w:val="de-CH"/>
        </w:rPr>
        <w:t xml:space="preserve">, 2021, </w:t>
      </w:r>
      <w:r w:rsidRPr="00F338AB">
        <w:rPr>
          <w:rFonts w:ascii="Calibri" w:hAnsi="Calibri" w:cs="Calibri"/>
          <w:b/>
          <w:bCs/>
          <w:noProof/>
          <w:sz w:val="18"/>
          <w:lang w:val="de-CH"/>
        </w:rPr>
        <w:t>143</w:t>
      </w:r>
      <w:r w:rsidRPr="00F338AB">
        <w:rPr>
          <w:rFonts w:ascii="Calibri" w:hAnsi="Calibri" w:cs="Calibri"/>
          <w:noProof/>
          <w:sz w:val="18"/>
          <w:lang w:val="de-CH"/>
        </w:rPr>
        <w:t>, 8086–8098.</w:t>
      </w:r>
    </w:p>
    <w:p w14:paraId="7A4899F9"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fr-CH"/>
        </w:rPr>
      </w:pPr>
      <w:r w:rsidRPr="00F338AB">
        <w:rPr>
          <w:rFonts w:ascii="Calibri" w:hAnsi="Calibri" w:cs="Calibri"/>
          <w:noProof/>
          <w:sz w:val="18"/>
          <w:lang w:val="de-CH"/>
        </w:rPr>
        <w:t>17</w:t>
      </w:r>
      <w:r w:rsidRPr="00F338AB">
        <w:rPr>
          <w:rFonts w:ascii="Calibri" w:hAnsi="Calibri" w:cs="Calibri"/>
          <w:noProof/>
          <w:sz w:val="18"/>
          <w:lang w:val="de-CH"/>
        </w:rPr>
        <w:tab/>
        <w:t xml:space="preserve">J. R. Jiménez, B. Doistau, C. M. Cruz, C. Besnard, J. M. Cuerva, A. G. Campaña and C. Piguet, </w:t>
      </w:r>
      <w:r w:rsidRPr="00F338AB">
        <w:rPr>
          <w:rFonts w:ascii="Calibri" w:hAnsi="Calibri" w:cs="Calibri"/>
          <w:i/>
          <w:iCs/>
          <w:noProof/>
          <w:sz w:val="18"/>
          <w:lang w:val="de-CH"/>
        </w:rPr>
        <w:t xml:space="preserve">J. Am. </w:t>
      </w:r>
      <w:r w:rsidRPr="00F338AB">
        <w:rPr>
          <w:rFonts w:ascii="Calibri" w:hAnsi="Calibri" w:cs="Calibri"/>
          <w:i/>
          <w:iCs/>
          <w:noProof/>
          <w:sz w:val="18"/>
          <w:lang w:val="fr-CH"/>
        </w:rPr>
        <w:t>Chem. Soc.</w:t>
      </w:r>
      <w:r w:rsidRPr="00F338AB">
        <w:rPr>
          <w:rFonts w:ascii="Calibri" w:hAnsi="Calibri" w:cs="Calibri"/>
          <w:noProof/>
          <w:sz w:val="18"/>
          <w:lang w:val="fr-CH"/>
        </w:rPr>
        <w:t xml:space="preserve">, 2019, </w:t>
      </w:r>
      <w:r w:rsidRPr="00F338AB">
        <w:rPr>
          <w:rFonts w:ascii="Calibri" w:hAnsi="Calibri" w:cs="Calibri"/>
          <w:b/>
          <w:bCs/>
          <w:noProof/>
          <w:sz w:val="18"/>
          <w:lang w:val="fr-CH"/>
        </w:rPr>
        <w:t>141</w:t>
      </w:r>
      <w:r w:rsidRPr="00F338AB">
        <w:rPr>
          <w:rFonts w:ascii="Calibri" w:hAnsi="Calibri" w:cs="Calibri"/>
          <w:noProof/>
          <w:sz w:val="18"/>
          <w:lang w:val="fr-CH"/>
        </w:rPr>
        <w:t>, 13244–13252.</w:t>
      </w:r>
    </w:p>
    <w:p w14:paraId="4E47E3B6"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fr-CH"/>
        </w:rPr>
        <w:t>18</w:t>
      </w:r>
      <w:r w:rsidRPr="00F338AB">
        <w:rPr>
          <w:rFonts w:ascii="Calibri" w:hAnsi="Calibri" w:cs="Calibri"/>
          <w:noProof/>
          <w:sz w:val="18"/>
          <w:lang w:val="fr-CH"/>
        </w:rPr>
        <w:tab/>
        <w:t xml:space="preserve">J. R. Jiménez, B. Doistau, M. Poncet and C. Piguet, </w:t>
      </w:r>
      <w:r w:rsidRPr="00F338AB">
        <w:rPr>
          <w:rFonts w:ascii="Calibri" w:hAnsi="Calibri" w:cs="Calibri"/>
          <w:i/>
          <w:iCs/>
          <w:noProof/>
          <w:sz w:val="18"/>
          <w:lang w:val="fr-CH"/>
        </w:rPr>
        <w:t xml:space="preserve">Coord. </w:t>
      </w:r>
      <w:r w:rsidRPr="00F338AB">
        <w:rPr>
          <w:rFonts w:ascii="Calibri" w:hAnsi="Calibri" w:cs="Calibri"/>
          <w:i/>
          <w:iCs/>
          <w:noProof/>
          <w:sz w:val="18"/>
        </w:rPr>
        <w:t>Chem. Rev.</w:t>
      </w:r>
      <w:r w:rsidRPr="00F338AB">
        <w:rPr>
          <w:rFonts w:ascii="Calibri" w:hAnsi="Calibri" w:cs="Calibri"/>
          <w:noProof/>
          <w:sz w:val="18"/>
        </w:rPr>
        <w:t>, 2021, 434.</w:t>
      </w:r>
    </w:p>
    <w:p w14:paraId="36F79981"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19</w:t>
      </w:r>
      <w:r w:rsidRPr="00F338AB">
        <w:rPr>
          <w:rFonts w:ascii="Calibri" w:hAnsi="Calibri" w:cs="Calibri"/>
          <w:noProof/>
          <w:sz w:val="18"/>
        </w:rPr>
        <w:tab/>
        <w:t xml:space="preserve">E. C. Constable, C. E. Housecroft, M. Neuburger, J. Schönle and J. A. Zampese, </w:t>
      </w:r>
      <w:r w:rsidRPr="00F338AB">
        <w:rPr>
          <w:rFonts w:ascii="Calibri" w:hAnsi="Calibri" w:cs="Calibri"/>
          <w:i/>
          <w:iCs/>
          <w:noProof/>
          <w:sz w:val="18"/>
        </w:rPr>
        <w:t>Dalt. Trans.</w:t>
      </w:r>
      <w:r w:rsidRPr="00F338AB">
        <w:rPr>
          <w:rFonts w:ascii="Calibri" w:hAnsi="Calibri" w:cs="Calibri"/>
          <w:noProof/>
          <w:sz w:val="18"/>
        </w:rPr>
        <w:t xml:space="preserve">, 2014, </w:t>
      </w:r>
      <w:r w:rsidRPr="00F338AB">
        <w:rPr>
          <w:rFonts w:ascii="Calibri" w:hAnsi="Calibri" w:cs="Calibri"/>
          <w:b/>
          <w:bCs/>
          <w:noProof/>
          <w:sz w:val="18"/>
        </w:rPr>
        <w:t>43</w:t>
      </w:r>
      <w:r w:rsidRPr="00F338AB">
        <w:rPr>
          <w:rFonts w:ascii="Calibri" w:hAnsi="Calibri" w:cs="Calibri"/>
          <w:noProof/>
          <w:sz w:val="18"/>
        </w:rPr>
        <w:t>, 7227–7235.</w:t>
      </w:r>
    </w:p>
    <w:p w14:paraId="53C8C247"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20</w:t>
      </w:r>
      <w:r w:rsidRPr="00F338AB">
        <w:rPr>
          <w:rFonts w:ascii="Calibri" w:hAnsi="Calibri" w:cs="Calibri"/>
          <w:noProof/>
          <w:sz w:val="18"/>
        </w:rPr>
        <w:tab/>
        <w:t xml:space="preserve">T. H. Maiman, </w:t>
      </w:r>
      <w:r w:rsidRPr="00F338AB">
        <w:rPr>
          <w:rFonts w:ascii="Calibri" w:hAnsi="Calibri" w:cs="Calibri"/>
          <w:i/>
          <w:iCs/>
          <w:noProof/>
          <w:sz w:val="18"/>
        </w:rPr>
        <w:t>Nature</w:t>
      </w:r>
      <w:r w:rsidRPr="00F338AB">
        <w:rPr>
          <w:rFonts w:ascii="Calibri" w:hAnsi="Calibri" w:cs="Calibri"/>
          <w:noProof/>
          <w:sz w:val="18"/>
        </w:rPr>
        <w:t xml:space="preserve">, 1960, </w:t>
      </w:r>
      <w:r w:rsidRPr="00F338AB">
        <w:rPr>
          <w:rFonts w:ascii="Calibri" w:hAnsi="Calibri" w:cs="Calibri"/>
          <w:b/>
          <w:bCs/>
          <w:noProof/>
          <w:sz w:val="18"/>
        </w:rPr>
        <w:t>187</w:t>
      </w:r>
      <w:r w:rsidRPr="00F338AB">
        <w:rPr>
          <w:rFonts w:ascii="Calibri" w:hAnsi="Calibri" w:cs="Calibri"/>
          <w:noProof/>
          <w:sz w:val="18"/>
        </w:rPr>
        <w:t>, 493–494.</w:t>
      </w:r>
    </w:p>
    <w:p w14:paraId="57D20485"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fr-CH"/>
        </w:rPr>
      </w:pPr>
      <w:r w:rsidRPr="00F338AB">
        <w:rPr>
          <w:rFonts w:ascii="Calibri" w:hAnsi="Calibri" w:cs="Calibri"/>
          <w:noProof/>
          <w:sz w:val="18"/>
          <w:lang w:val="de-CH"/>
        </w:rPr>
        <w:t>21</w:t>
      </w:r>
      <w:r w:rsidRPr="00F338AB">
        <w:rPr>
          <w:rFonts w:ascii="Calibri" w:hAnsi="Calibri" w:cs="Calibri"/>
          <w:noProof/>
          <w:sz w:val="18"/>
          <w:lang w:val="de-CH"/>
        </w:rPr>
        <w:tab/>
        <w:t xml:space="preserve">W. R. Kitzmann, J. Moll and K. Heinze, </w:t>
      </w:r>
      <w:r w:rsidRPr="00F338AB">
        <w:rPr>
          <w:rFonts w:ascii="Calibri" w:hAnsi="Calibri" w:cs="Calibri"/>
          <w:i/>
          <w:iCs/>
          <w:noProof/>
          <w:sz w:val="18"/>
          <w:lang w:val="de-CH"/>
        </w:rPr>
        <w:t xml:space="preserve">Photochem. </w:t>
      </w:r>
      <w:r w:rsidRPr="00F338AB">
        <w:rPr>
          <w:rFonts w:ascii="Calibri" w:hAnsi="Calibri" w:cs="Calibri"/>
          <w:i/>
          <w:iCs/>
          <w:noProof/>
          <w:sz w:val="18"/>
          <w:lang w:val="fr-CH"/>
        </w:rPr>
        <w:t>Photobiol. Sci.</w:t>
      </w:r>
      <w:r w:rsidRPr="00F338AB">
        <w:rPr>
          <w:rFonts w:ascii="Calibri" w:hAnsi="Calibri" w:cs="Calibri"/>
          <w:noProof/>
          <w:sz w:val="18"/>
          <w:lang w:val="fr-CH"/>
        </w:rPr>
        <w:t>, 2022, 21, 1309–1331.</w:t>
      </w:r>
    </w:p>
    <w:p w14:paraId="2F043D48"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fr-CH"/>
        </w:rPr>
        <w:t>22</w:t>
      </w:r>
      <w:r w:rsidRPr="00F338AB">
        <w:rPr>
          <w:rFonts w:ascii="Calibri" w:hAnsi="Calibri" w:cs="Calibri"/>
          <w:noProof/>
          <w:sz w:val="18"/>
          <w:lang w:val="fr-CH"/>
        </w:rPr>
        <w:tab/>
        <w:t xml:space="preserve">B. Doistau, J. R. Jiménez, S. Guerra, C. Besnard and C. Piguet, </w:t>
      </w:r>
      <w:r w:rsidRPr="00F338AB">
        <w:rPr>
          <w:rFonts w:ascii="Calibri" w:hAnsi="Calibri" w:cs="Calibri"/>
          <w:i/>
          <w:iCs/>
          <w:noProof/>
          <w:sz w:val="18"/>
          <w:lang w:val="fr-CH"/>
        </w:rPr>
        <w:t xml:space="preserve">Inorg. </w:t>
      </w:r>
      <w:r w:rsidRPr="00F338AB">
        <w:rPr>
          <w:rFonts w:ascii="Calibri" w:hAnsi="Calibri" w:cs="Calibri"/>
          <w:i/>
          <w:iCs/>
          <w:noProof/>
          <w:sz w:val="18"/>
        </w:rPr>
        <w:t>Chem.</w:t>
      </w:r>
      <w:r w:rsidRPr="00F338AB">
        <w:rPr>
          <w:rFonts w:ascii="Calibri" w:hAnsi="Calibri" w:cs="Calibri"/>
          <w:noProof/>
          <w:sz w:val="18"/>
        </w:rPr>
        <w:t xml:space="preserve">, 2020, </w:t>
      </w:r>
      <w:r w:rsidRPr="00F338AB">
        <w:rPr>
          <w:rFonts w:ascii="Calibri" w:hAnsi="Calibri" w:cs="Calibri"/>
          <w:b/>
          <w:bCs/>
          <w:noProof/>
          <w:sz w:val="18"/>
        </w:rPr>
        <w:t>59</w:t>
      </w:r>
      <w:r w:rsidRPr="00F338AB">
        <w:rPr>
          <w:rFonts w:ascii="Calibri" w:hAnsi="Calibri" w:cs="Calibri"/>
          <w:noProof/>
          <w:sz w:val="18"/>
        </w:rPr>
        <w:t>, 1424–1435.</w:t>
      </w:r>
    </w:p>
    <w:p w14:paraId="50AFBA4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fr-CH"/>
        </w:rPr>
      </w:pPr>
      <w:r w:rsidRPr="00F338AB">
        <w:rPr>
          <w:rFonts w:ascii="Calibri" w:hAnsi="Calibri" w:cs="Calibri"/>
          <w:noProof/>
          <w:sz w:val="18"/>
        </w:rPr>
        <w:t>23</w:t>
      </w:r>
      <w:r w:rsidRPr="00F338AB">
        <w:rPr>
          <w:rFonts w:ascii="Calibri" w:hAnsi="Calibri" w:cs="Calibri"/>
          <w:noProof/>
          <w:sz w:val="18"/>
        </w:rPr>
        <w:tab/>
        <w:t xml:space="preserve">J. Chong, C. Besnard, C. M. Cruz, C. Piguet and J. R. Jiménez, </w:t>
      </w:r>
      <w:r w:rsidRPr="00F338AB">
        <w:rPr>
          <w:rFonts w:ascii="Calibri" w:hAnsi="Calibri" w:cs="Calibri"/>
          <w:i/>
          <w:iCs/>
          <w:noProof/>
          <w:sz w:val="18"/>
        </w:rPr>
        <w:t xml:space="preserve">Dalt. </w:t>
      </w:r>
      <w:r w:rsidRPr="00F338AB">
        <w:rPr>
          <w:rFonts w:ascii="Calibri" w:hAnsi="Calibri" w:cs="Calibri"/>
          <w:i/>
          <w:iCs/>
          <w:noProof/>
          <w:sz w:val="18"/>
          <w:lang w:val="fr-CH"/>
        </w:rPr>
        <w:t>Trans.</w:t>
      </w:r>
      <w:r w:rsidRPr="00F338AB">
        <w:rPr>
          <w:rFonts w:ascii="Calibri" w:hAnsi="Calibri" w:cs="Calibri"/>
          <w:noProof/>
          <w:sz w:val="18"/>
          <w:lang w:val="fr-CH"/>
        </w:rPr>
        <w:t xml:space="preserve">, 2022, </w:t>
      </w:r>
      <w:r w:rsidRPr="00F338AB">
        <w:rPr>
          <w:rFonts w:ascii="Calibri" w:hAnsi="Calibri" w:cs="Calibri"/>
          <w:b/>
          <w:bCs/>
          <w:noProof/>
          <w:sz w:val="18"/>
          <w:lang w:val="fr-CH"/>
        </w:rPr>
        <w:t>51</w:t>
      </w:r>
      <w:r w:rsidRPr="00F338AB">
        <w:rPr>
          <w:rFonts w:ascii="Calibri" w:hAnsi="Calibri" w:cs="Calibri"/>
          <w:noProof/>
          <w:sz w:val="18"/>
          <w:lang w:val="fr-CH"/>
        </w:rPr>
        <w:t>, 4297–4309.</w:t>
      </w:r>
    </w:p>
    <w:p w14:paraId="008984A5"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fr-CH"/>
        </w:rPr>
        <w:t>24</w:t>
      </w:r>
      <w:r w:rsidRPr="00F338AB">
        <w:rPr>
          <w:rFonts w:ascii="Calibri" w:hAnsi="Calibri" w:cs="Calibri"/>
          <w:noProof/>
          <w:sz w:val="18"/>
          <w:lang w:val="fr-CH"/>
        </w:rPr>
        <w:tab/>
        <w:t xml:space="preserve">J.-R. Jiménez, M. Poncet, S. Miguez-Lago, S. Grass, J. Lacour, C. Besnard, J. M. Cuerva, A. G. Campaña and C. Piguet, </w:t>
      </w:r>
      <w:r w:rsidRPr="00F338AB">
        <w:rPr>
          <w:rFonts w:ascii="Calibri" w:hAnsi="Calibri" w:cs="Calibri"/>
          <w:i/>
          <w:iCs/>
          <w:noProof/>
          <w:sz w:val="18"/>
          <w:lang w:val="fr-CH"/>
        </w:rPr>
        <w:t xml:space="preserve">Angew. </w:t>
      </w:r>
      <w:r w:rsidRPr="00F338AB">
        <w:rPr>
          <w:rFonts w:ascii="Calibri" w:hAnsi="Calibri" w:cs="Calibri"/>
          <w:i/>
          <w:iCs/>
          <w:noProof/>
          <w:sz w:val="18"/>
          <w:lang w:val="de-CH"/>
        </w:rPr>
        <w:t>Chem. Int. Ed.</w:t>
      </w:r>
      <w:r w:rsidRPr="00F338AB">
        <w:rPr>
          <w:rFonts w:ascii="Calibri" w:hAnsi="Calibri" w:cs="Calibri"/>
          <w:noProof/>
          <w:sz w:val="18"/>
          <w:lang w:val="de-CH"/>
        </w:rPr>
        <w:t xml:space="preserve">, 2021, </w:t>
      </w:r>
      <w:r w:rsidRPr="00F338AB">
        <w:rPr>
          <w:rFonts w:ascii="Calibri" w:hAnsi="Calibri" w:cs="Calibri"/>
          <w:b/>
          <w:bCs/>
          <w:noProof/>
          <w:sz w:val="18"/>
          <w:lang w:val="de-CH"/>
        </w:rPr>
        <w:t>60</w:t>
      </w:r>
      <w:r w:rsidRPr="00F338AB">
        <w:rPr>
          <w:rFonts w:ascii="Calibri" w:hAnsi="Calibri" w:cs="Calibri"/>
          <w:noProof/>
          <w:sz w:val="18"/>
          <w:lang w:val="de-CH"/>
        </w:rPr>
        <w:t>, 10095–10102.</w:t>
      </w:r>
    </w:p>
    <w:p w14:paraId="36B25B6C"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25</w:t>
      </w:r>
      <w:r w:rsidRPr="00F338AB">
        <w:rPr>
          <w:rFonts w:ascii="Calibri" w:hAnsi="Calibri" w:cs="Calibri"/>
          <w:noProof/>
          <w:sz w:val="18"/>
          <w:lang w:val="de-CH"/>
        </w:rPr>
        <w:tab/>
        <w:t xml:space="preserve">S. Otto, M. Dorn, C. Förster, M. Bauer, M. Seitz and K. Heinze, </w:t>
      </w:r>
      <w:r w:rsidRPr="00F338AB">
        <w:rPr>
          <w:rFonts w:ascii="Calibri" w:hAnsi="Calibri" w:cs="Calibri"/>
          <w:i/>
          <w:iCs/>
          <w:noProof/>
          <w:sz w:val="18"/>
          <w:lang w:val="de-CH"/>
        </w:rPr>
        <w:t>Coord. Chem. Rev.</w:t>
      </w:r>
      <w:r w:rsidRPr="00F338AB">
        <w:rPr>
          <w:rFonts w:ascii="Calibri" w:hAnsi="Calibri" w:cs="Calibri"/>
          <w:noProof/>
          <w:sz w:val="18"/>
          <w:lang w:val="de-CH"/>
        </w:rPr>
        <w:t xml:space="preserve">, 2018, </w:t>
      </w:r>
      <w:r w:rsidRPr="00F338AB">
        <w:rPr>
          <w:rFonts w:ascii="Calibri" w:hAnsi="Calibri" w:cs="Calibri"/>
          <w:b/>
          <w:bCs/>
          <w:noProof/>
          <w:sz w:val="18"/>
          <w:lang w:val="de-CH"/>
        </w:rPr>
        <w:t>359</w:t>
      </w:r>
      <w:r w:rsidRPr="00F338AB">
        <w:rPr>
          <w:rFonts w:ascii="Calibri" w:hAnsi="Calibri" w:cs="Calibri"/>
          <w:noProof/>
          <w:sz w:val="18"/>
          <w:lang w:val="de-CH"/>
        </w:rPr>
        <w:t>, 102–111.</w:t>
      </w:r>
    </w:p>
    <w:p w14:paraId="736A21E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26</w:t>
      </w:r>
      <w:r w:rsidRPr="00F338AB">
        <w:rPr>
          <w:rFonts w:ascii="Calibri" w:hAnsi="Calibri" w:cs="Calibri"/>
          <w:noProof/>
          <w:sz w:val="18"/>
          <w:lang w:val="de-CH"/>
        </w:rPr>
        <w:tab/>
        <w:t xml:space="preserve">C. Wang, S. Otto, M. Dorn, E. Kreidt, J. Lebon, L. Sršan, P. Di Martino-Fumo, M. Gerhards, U. Resch-Genger, M. Seitz </w:t>
      </w:r>
      <w:r w:rsidRPr="00F338AB">
        <w:rPr>
          <w:rFonts w:ascii="Calibri" w:hAnsi="Calibri" w:cs="Calibri"/>
          <w:noProof/>
          <w:sz w:val="18"/>
          <w:lang w:val="de-CH"/>
        </w:rPr>
        <w:t xml:space="preserve">and K. Heinze, </w:t>
      </w:r>
      <w:r w:rsidRPr="00F338AB">
        <w:rPr>
          <w:rFonts w:ascii="Calibri" w:hAnsi="Calibri" w:cs="Calibri"/>
          <w:i/>
          <w:iCs/>
          <w:noProof/>
          <w:sz w:val="18"/>
          <w:lang w:val="de-CH"/>
        </w:rPr>
        <w:t>Angew. Chem. Int. Ed.</w:t>
      </w:r>
      <w:r w:rsidRPr="00F338AB">
        <w:rPr>
          <w:rFonts w:ascii="Calibri" w:hAnsi="Calibri" w:cs="Calibri"/>
          <w:noProof/>
          <w:sz w:val="18"/>
          <w:lang w:val="de-CH"/>
        </w:rPr>
        <w:t xml:space="preserve">, 2018, </w:t>
      </w:r>
      <w:r w:rsidRPr="00F338AB">
        <w:rPr>
          <w:rFonts w:ascii="Calibri" w:hAnsi="Calibri" w:cs="Calibri"/>
          <w:b/>
          <w:bCs/>
          <w:noProof/>
          <w:sz w:val="18"/>
          <w:lang w:val="de-CH"/>
        </w:rPr>
        <w:t>57</w:t>
      </w:r>
      <w:r w:rsidRPr="00F338AB">
        <w:rPr>
          <w:rFonts w:ascii="Calibri" w:hAnsi="Calibri" w:cs="Calibri"/>
          <w:noProof/>
          <w:sz w:val="18"/>
          <w:lang w:val="de-CH"/>
        </w:rPr>
        <w:t>, 1112–1116.</w:t>
      </w:r>
    </w:p>
    <w:p w14:paraId="49A2FD19"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de-CH"/>
        </w:rPr>
        <w:t>27</w:t>
      </w:r>
      <w:r w:rsidRPr="00F338AB">
        <w:rPr>
          <w:rFonts w:ascii="Calibri" w:hAnsi="Calibri" w:cs="Calibri"/>
          <w:noProof/>
          <w:sz w:val="18"/>
          <w:lang w:val="de-CH"/>
        </w:rPr>
        <w:tab/>
        <w:t xml:space="preserve">L. Aboshyan-Sorgho, C. Besnard, P. Pattison, K. R. Kittilstved, A. Aebischer, J. C. G. Bünzli, A. Hauser and C. Piguet, </w:t>
      </w:r>
      <w:r w:rsidRPr="00F338AB">
        <w:rPr>
          <w:rFonts w:ascii="Calibri" w:hAnsi="Calibri" w:cs="Calibri"/>
          <w:i/>
          <w:iCs/>
          <w:noProof/>
          <w:sz w:val="18"/>
          <w:lang w:val="de-CH"/>
        </w:rPr>
        <w:t xml:space="preserve">Angew. </w:t>
      </w:r>
      <w:r w:rsidRPr="00F338AB">
        <w:rPr>
          <w:rFonts w:ascii="Calibri" w:hAnsi="Calibri" w:cs="Calibri"/>
          <w:i/>
          <w:iCs/>
          <w:noProof/>
          <w:sz w:val="18"/>
        </w:rPr>
        <w:t>Chem. Int. Ed.</w:t>
      </w:r>
      <w:r w:rsidRPr="00F338AB">
        <w:rPr>
          <w:rFonts w:ascii="Calibri" w:hAnsi="Calibri" w:cs="Calibri"/>
          <w:noProof/>
          <w:sz w:val="18"/>
        </w:rPr>
        <w:t xml:space="preserve">, 2011, </w:t>
      </w:r>
      <w:r w:rsidRPr="00F338AB">
        <w:rPr>
          <w:rFonts w:ascii="Calibri" w:hAnsi="Calibri" w:cs="Calibri"/>
          <w:b/>
          <w:bCs/>
          <w:noProof/>
          <w:sz w:val="18"/>
        </w:rPr>
        <w:t>50</w:t>
      </w:r>
      <w:r w:rsidRPr="00F338AB">
        <w:rPr>
          <w:rFonts w:ascii="Calibri" w:hAnsi="Calibri" w:cs="Calibri"/>
          <w:noProof/>
          <w:sz w:val="18"/>
        </w:rPr>
        <w:t>, 4108–4112.</w:t>
      </w:r>
    </w:p>
    <w:p w14:paraId="0CD476D6"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28</w:t>
      </w:r>
      <w:r w:rsidRPr="00F338AB">
        <w:rPr>
          <w:rFonts w:ascii="Calibri" w:hAnsi="Calibri" w:cs="Calibri"/>
          <w:noProof/>
          <w:sz w:val="18"/>
        </w:rPr>
        <w:tab/>
        <w:t xml:space="preserve">Y. Suffren, D. Zare, S. V. Eliseeva, L. Guénée, H. Nozary, T. Lathion, L. Aboshyan-Sorgho, S. Petoud, A. Hauser and C. Piguet, </w:t>
      </w:r>
      <w:r w:rsidRPr="00F338AB">
        <w:rPr>
          <w:rFonts w:ascii="Calibri" w:hAnsi="Calibri" w:cs="Calibri"/>
          <w:i/>
          <w:iCs/>
          <w:noProof/>
          <w:sz w:val="18"/>
        </w:rPr>
        <w:t>J. Phys. Chem. C</w:t>
      </w:r>
      <w:r w:rsidRPr="00F338AB">
        <w:rPr>
          <w:rFonts w:ascii="Calibri" w:hAnsi="Calibri" w:cs="Calibri"/>
          <w:noProof/>
          <w:sz w:val="18"/>
        </w:rPr>
        <w:t xml:space="preserve">, 2013, </w:t>
      </w:r>
      <w:r w:rsidRPr="00F338AB">
        <w:rPr>
          <w:rFonts w:ascii="Calibri" w:hAnsi="Calibri" w:cs="Calibri"/>
          <w:b/>
          <w:bCs/>
          <w:noProof/>
          <w:sz w:val="18"/>
        </w:rPr>
        <w:t>117</w:t>
      </w:r>
      <w:r w:rsidRPr="00F338AB">
        <w:rPr>
          <w:rFonts w:ascii="Calibri" w:hAnsi="Calibri" w:cs="Calibri"/>
          <w:noProof/>
          <w:sz w:val="18"/>
        </w:rPr>
        <w:t>, 26957–26963.</w:t>
      </w:r>
    </w:p>
    <w:p w14:paraId="4DDF9F8C"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rPr>
        <w:t>29</w:t>
      </w:r>
      <w:r w:rsidRPr="00F338AB">
        <w:rPr>
          <w:rFonts w:ascii="Calibri" w:hAnsi="Calibri" w:cs="Calibri"/>
          <w:noProof/>
          <w:sz w:val="18"/>
        </w:rPr>
        <w:tab/>
        <w:t xml:space="preserve">B. Golesorkhi, H. Bolvin and C. Piguet, </w:t>
      </w:r>
      <w:r w:rsidRPr="00F338AB">
        <w:rPr>
          <w:rFonts w:ascii="Calibri" w:hAnsi="Calibri" w:cs="Calibri"/>
          <w:i/>
          <w:iCs/>
          <w:noProof/>
          <w:sz w:val="18"/>
        </w:rPr>
        <w:t xml:space="preserve">Dalt. </w:t>
      </w:r>
      <w:r w:rsidRPr="00F338AB">
        <w:rPr>
          <w:rFonts w:ascii="Calibri" w:hAnsi="Calibri" w:cs="Calibri"/>
          <w:i/>
          <w:iCs/>
          <w:noProof/>
          <w:sz w:val="18"/>
          <w:lang w:val="de-CH"/>
        </w:rPr>
        <w:t>Trans.</w:t>
      </w:r>
      <w:r w:rsidRPr="00F338AB">
        <w:rPr>
          <w:rFonts w:ascii="Calibri" w:hAnsi="Calibri" w:cs="Calibri"/>
          <w:noProof/>
          <w:sz w:val="18"/>
          <w:lang w:val="de-CH"/>
        </w:rPr>
        <w:t xml:space="preserve">, 2021, </w:t>
      </w:r>
      <w:r w:rsidRPr="00F338AB">
        <w:rPr>
          <w:rFonts w:ascii="Calibri" w:hAnsi="Calibri" w:cs="Calibri"/>
          <w:b/>
          <w:bCs/>
          <w:noProof/>
          <w:sz w:val="18"/>
          <w:lang w:val="de-CH"/>
        </w:rPr>
        <w:t>50</w:t>
      </w:r>
      <w:r w:rsidRPr="00F338AB">
        <w:rPr>
          <w:rFonts w:ascii="Calibri" w:hAnsi="Calibri" w:cs="Calibri"/>
          <w:noProof/>
          <w:sz w:val="18"/>
          <w:lang w:val="de-CH"/>
        </w:rPr>
        <w:t>, 7955–7968.</w:t>
      </w:r>
    </w:p>
    <w:p w14:paraId="16F8935B"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30</w:t>
      </w:r>
      <w:r w:rsidRPr="00F338AB">
        <w:rPr>
          <w:rFonts w:ascii="Calibri" w:hAnsi="Calibri" w:cs="Calibri"/>
          <w:noProof/>
          <w:sz w:val="18"/>
          <w:lang w:val="de-CH"/>
        </w:rPr>
        <w:tab/>
        <w:t xml:space="preserve">C. Dee, F. Zinna, W. R. Kitzmann, G. Pescitelli, K. Heinze, L. Di Bari and M. Seitz, </w:t>
      </w:r>
      <w:r w:rsidRPr="00F338AB">
        <w:rPr>
          <w:rFonts w:ascii="Calibri" w:hAnsi="Calibri" w:cs="Calibri"/>
          <w:i/>
          <w:iCs/>
          <w:noProof/>
          <w:sz w:val="18"/>
          <w:lang w:val="de-CH"/>
        </w:rPr>
        <w:t>Chem. Commun.</w:t>
      </w:r>
      <w:r w:rsidRPr="00F338AB">
        <w:rPr>
          <w:rFonts w:ascii="Calibri" w:hAnsi="Calibri" w:cs="Calibri"/>
          <w:noProof/>
          <w:sz w:val="18"/>
          <w:lang w:val="de-CH"/>
        </w:rPr>
        <w:t xml:space="preserve">, 2019, </w:t>
      </w:r>
      <w:r w:rsidRPr="00F338AB">
        <w:rPr>
          <w:rFonts w:ascii="Calibri" w:hAnsi="Calibri" w:cs="Calibri"/>
          <w:b/>
          <w:bCs/>
          <w:noProof/>
          <w:sz w:val="18"/>
          <w:lang w:val="de-CH"/>
        </w:rPr>
        <w:t>55</w:t>
      </w:r>
      <w:r w:rsidRPr="00F338AB">
        <w:rPr>
          <w:rFonts w:ascii="Calibri" w:hAnsi="Calibri" w:cs="Calibri"/>
          <w:noProof/>
          <w:sz w:val="18"/>
          <w:lang w:val="de-CH"/>
        </w:rPr>
        <w:t>, 13078–13081.</w:t>
      </w:r>
    </w:p>
    <w:p w14:paraId="5939C73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de-CH"/>
        </w:rPr>
        <w:t>31</w:t>
      </w:r>
      <w:r w:rsidRPr="00F338AB">
        <w:rPr>
          <w:rFonts w:ascii="Calibri" w:hAnsi="Calibri" w:cs="Calibri"/>
          <w:noProof/>
          <w:sz w:val="18"/>
          <w:lang w:val="de-CH"/>
        </w:rPr>
        <w:tab/>
        <w:t xml:space="preserve">J. Kalmbach, C. Wang, Y. You, C. Förster, H. Schubert, K. Heinze, U. Resch-Genger and M. Seitz, </w:t>
      </w:r>
      <w:r w:rsidRPr="00F338AB">
        <w:rPr>
          <w:rFonts w:ascii="Calibri" w:hAnsi="Calibri" w:cs="Calibri"/>
          <w:i/>
          <w:iCs/>
          <w:noProof/>
          <w:sz w:val="18"/>
          <w:lang w:val="de-CH"/>
        </w:rPr>
        <w:t xml:space="preserve">Angew. </w:t>
      </w:r>
      <w:r w:rsidRPr="00F338AB">
        <w:rPr>
          <w:rFonts w:ascii="Calibri" w:hAnsi="Calibri" w:cs="Calibri"/>
          <w:i/>
          <w:iCs/>
          <w:noProof/>
          <w:sz w:val="18"/>
        </w:rPr>
        <w:t>Chem. Int. Ed.</w:t>
      </w:r>
      <w:r w:rsidRPr="00F338AB">
        <w:rPr>
          <w:rFonts w:ascii="Calibri" w:hAnsi="Calibri" w:cs="Calibri"/>
          <w:noProof/>
          <w:sz w:val="18"/>
        </w:rPr>
        <w:t xml:space="preserve">, 2020, </w:t>
      </w:r>
      <w:r w:rsidRPr="00F338AB">
        <w:rPr>
          <w:rFonts w:ascii="Calibri" w:hAnsi="Calibri" w:cs="Calibri"/>
          <w:b/>
          <w:bCs/>
          <w:noProof/>
          <w:sz w:val="18"/>
        </w:rPr>
        <w:t>59</w:t>
      </w:r>
      <w:r w:rsidRPr="00F338AB">
        <w:rPr>
          <w:rFonts w:ascii="Calibri" w:hAnsi="Calibri" w:cs="Calibri"/>
          <w:noProof/>
          <w:sz w:val="18"/>
        </w:rPr>
        <w:t>, 18804–18808.</w:t>
      </w:r>
    </w:p>
    <w:p w14:paraId="189BD1C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32</w:t>
      </w:r>
      <w:r w:rsidRPr="00F338AB">
        <w:rPr>
          <w:rFonts w:ascii="Calibri" w:hAnsi="Calibri" w:cs="Calibri"/>
          <w:noProof/>
          <w:sz w:val="18"/>
        </w:rPr>
        <w:tab/>
        <w:t xml:space="preserve">M. Poncet, C. Besnard, J. R. Jiménez and C. Piguet, </w:t>
      </w:r>
      <w:r w:rsidRPr="00F338AB">
        <w:rPr>
          <w:rFonts w:ascii="Calibri" w:hAnsi="Calibri" w:cs="Calibri"/>
          <w:i/>
          <w:iCs/>
          <w:noProof/>
          <w:sz w:val="18"/>
        </w:rPr>
        <w:t>Inorg. Chem.</w:t>
      </w:r>
      <w:r w:rsidRPr="00F338AB">
        <w:rPr>
          <w:rFonts w:ascii="Calibri" w:hAnsi="Calibri" w:cs="Calibri"/>
          <w:noProof/>
          <w:sz w:val="18"/>
        </w:rPr>
        <w:t>, , DOI:10.1021/acs.inorgchem.4c02397.</w:t>
      </w:r>
    </w:p>
    <w:p w14:paraId="2CCADE56"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33</w:t>
      </w:r>
      <w:r w:rsidRPr="00F338AB">
        <w:rPr>
          <w:rFonts w:ascii="Calibri" w:hAnsi="Calibri" w:cs="Calibri"/>
          <w:noProof/>
          <w:sz w:val="18"/>
          <w:lang w:val="de-CH"/>
        </w:rPr>
        <w:tab/>
        <w:t xml:space="preserve">S. Otto, N. Scholz, T. Behnke, U. Resch-Genger and K. Heinze, </w:t>
      </w:r>
      <w:r w:rsidRPr="00F338AB">
        <w:rPr>
          <w:rFonts w:ascii="Calibri" w:hAnsi="Calibri" w:cs="Calibri"/>
          <w:i/>
          <w:iCs/>
          <w:noProof/>
          <w:sz w:val="18"/>
          <w:lang w:val="de-CH"/>
        </w:rPr>
        <w:t>Chem. - A Eur. J.</w:t>
      </w:r>
      <w:r w:rsidRPr="00F338AB">
        <w:rPr>
          <w:rFonts w:ascii="Calibri" w:hAnsi="Calibri" w:cs="Calibri"/>
          <w:noProof/>
          <w:sz w:val="18"/>
          <w:lang w:val="de-CH"/>
        </w:rPr>
        <w:t xml:space="preserve">, 2017, </w:t>
      </w:r>
      <w:r w:rsidRPr="00F338AB">
        <w:rPr>
          <w:rFonts w:ascii="Calibri" w:hAnsi="Calibri" w:cs="Calibri"/>
          <w:b/>
          <w:bCs/>
          <w:noProof/>
          <w:sz w:val="18"/>
          <w:lang w:val="de-CH"/>
        </w:rPr>
        <w:t>23</w:t>
      </w:r>
      <w:r w:rsidRPr="00F338AB">
        <w:rPr>
          <w:rFonts w:ascii="Calibri" w:hAnsi="Calibri" w:cs="Calibri"/>
          <w:noProof/>
          <w:sz w:val="18"/>
          <w:lang w:val="de-CH"/>
        </w:rPr>
        <w:t>, 12131–12135.</w:t>
      </w:r>
    </w:p>
    <w:p w14:paraId="7DC0616E"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es-ES"/>
        </w:rPr>
      </w:pPr>
      <w:r w:rsidRPr="00F338AB">
        <w:rPr>
          <w:rFonts w:ascii="Calibri" w:hAnsi="Calibri" w:cs="Calibri"/>
          <w:noProof/>
          <w:sz w:val="18"/>
          <w:lang w:val="fr-CH"/>
        </w:rPr>
        <w:t>34</w:t>
      </w:r>
      <w:r w:rsidRPr="00F338AB">
        <w:rPr>
          <w:rFonts w:ascii="Calibri" w:hAnsi="Calibri" w:cs="Calibri"/>
          <w:noProof/>
          <w:sz w:val="18"/>
          <w:lang w:val="fr-CH"/>
        </w:rPr>
        <w:tab/>
        <w:t xml:space="preserve">B. Doistau, J. R. Jiménez and C. Piguet, </w:t>
      </w:r>
      <w:r w:rsidRPr="00F338AB">
        <w:rPr>
          <w:rFonts w:ascii="Calibri" w:hAnsi="Calibri" w:cs="Calibri"/>
          <w:i/>
          <w:iCs/>
          <w:noProof/>
          <w:sz w:val="18"/>
          <w:lang w:val="fr-CH"/>
        </w:rPr>
        <w:t xml:space="preserve">Front. </w:t>
      </w:r>
      <w:r w:rsidRPr="00F338AB">
        <w:rPr>
          <w:rFonts w:ascii="Calibri" w:hAnsi="Calibri" w:cs="Calibri"/>
          <w:i/>
          <w:iCs/>
          <w:noProof/>
          <w:sz w:val="18"/>
          <w:lang w:val="es-ES"/>
        </w:rPr>
        <w:t>Chem.</w:t>
      </w:r>
      <w:r w:rsidRPr="00F338AB">
        <w:rPr>
          <w:rFonts w:ascii="Calibri" w:hAnsi="Calibri" w:cs="Calibri"/>
          <w:noProof/>
          <w:sz w:val="18"/>
          <w:lang w:val="es-ES"/>
        </w:rPr>
        <w:t xml:space="preserve">, 2020, </w:t>
      </w:r>
      <w:r w:rsidRPr="00F338AB">
        <w:rPr>
          <w:rFonts w:ascii="Calibri" w:hAnsi="Calibri" w:cs="Calibri"/>
          <w:b/>
          <w:bCs/>
          <w:noProof/>
          <w:sz w:val="18"/>
          <w:lang w:val="es-ES"/>
        </w:rPr>
        <w:t>8</w:t>
      </w:r>
      <w:r w:rsidRPr="00F338AB">
        <w:rPr>
          <w:rFonts w:ascii="Calibri" w:hAnsi="Calibri" w:cs="Calibri"/>
          <w:noProof/>
          <w:sz w:val="18"/>
          <w:lang w:val="es-ES"/>
        </w:rPr>
        <w:t>, 1–27.</w:t>
      </w:r>
    </w:p>
    <w:p w14:paraId="5866B125"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es-ES"/>
        </w:rPr>
        <w:t>35</w:t>
      </w:r>
      <w:r w:rsidRPr="00F338AB">
        <w:rPr>
          <w:rFonts w:ascii="Calibri" w:hAnsi="Calibri" w:cs="Calibri"/>
          <w:noProof/>
          <w:sz w:val="18"/>
          <w:lang w:val="es-ES"/>
        </w:rPr>
        <w:tab/>
        <w:t xml:space="preserve">J. R. Jiménez, S. Míguez-Lago, M. Poncet, Y. Ye, C. Lopez, C. M. Cruz, A. G. Campaña, E. Colacio, C. Piguet and J. M. Herrera, </w:t>
      </w:r>
      <w:r w:rsidRPr="00F338AB">
        <w:rPr>
          <w:rFonts w:ascii="Calibri" w:hAnsi="Calibri" w:cs="Calibri"/>
          <w:i/>
          <w:iCs/>
          <w:noProof/>
          <w:sz w:val="18"/>
          <w:lang w:val="es-ES"/>
        </w:rPr>
        <w:t xml:space="preserve">J. Mater. </w:t>
      </w:r>
      <w:r w:rsidRPr="00F338AB">
        <w:rPr>
          <w:rFonts w:ascii="Calibri" w:hAnsi="Calibri" w:cs="Calibri"/>
          <w:i/>
          <w:iCs/>
          <w:noProof/>
          <w:sz w:val="18"/>
        </w:rPr>
        <w:t>Chem. C</w:t>
      </w:r>
      <w:r w:rsidRPr="00F338AB">
        <w:rPr>
          <w:rFonts w:ascii="Calibri" w:hAnsi="Calibri" w:cs="Calibri"/>
          <w:noProof/>
          <w:sz w:val="18"/>
        </w:rPr>
        <w:t>, 2023, 2582–2590.</w:t>
      </w:r>
    </w:p>
    <w:p w14:paraId="76A6BFC4"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36</w:t>
      </w:r>
      <w:r w:rsidRPr="00F338AB">
        <w:rPr>
          <w:rFonts w:ascii="Calibri" w:hAnsi="Calibri" w:cs="Calibri"/>
          <w:noProof/>
          <w:sz w:val="18"/>
        </w:rPr>
        <w:tab/>
        <w:t xml:space="preserve">Y. Cheng, J. He, W. Zou, X. Chang, Q. Yang and W. Lu, </w:t>
      </w:r>
      <w:r w:rsidRPr="00F338AB">
        <w:rPr>
          <w:rFonts w:ascii="Calibri" w:hAnsi="Calibri" w:cs="Calibri"/>
          <w:i/>
          <w:iCs/>
          <w:noProof/>
          <w:sz w:val="18"/>
        </w:rPr>
        <w:t>Chem. Commun.</w:t>
      </w:r>
      <w:r w:rsidRPr="00F338AB">
        <w:rPr>
          <w:rFonts w:ascii="Calibri" w:hAnsi="Calibri" w:cs="Calibri"/>
          <w:noProof/>
          <w:sz w:val="18"/>
        </w:rPr>
        <w:t xml:space="preserve">, 2023, </w:t>
      </w:r>
      <w:r w:rsidRPr="00F338AB">
        <w:rPr>
          <w:rFonts w:ascii="Calibri" w:hAnsi="Calibri" w:cs="Calibri"/>
          <w:b/>
          <w:bCs/>
          <w:noProof/>
          <w:sz w:val="18"/>
        </w:rPr>
        <w:t>59</w:t>
      </w:r>
      <w:r w:rsidRPr="00F338AB">
        <w:rPr>
          <w:rFonts w:ascii="Calibri" w:hAnsi="Calibri" w:cs="Calibri"/>
          <w:noProof/>
          <w:sz w:val="18"/>
        </w:rPr>
        <w:t>, 1781–1784.</w:t>
      </w:r>
    </w:p>
    <w:p w14:paraId="7617AE8C"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37</w:t>
      </w:r>
      <w:r w:rsidRPr="00F338AB">
        <w:rPr>
          <w:rFonts w:ascii="Calibri" w:hAnsi="Calibri" w:cs="Calibri"/>
          <w:noProof/>
          <w:sz w:val="18"/>
        </w:rPr>
        <w:tab/>
        <w:t xml:space="preserve">A. Gabbani, M. Poncet, G. Pescitelli, L. Carbonaro, J. Krzystek, E. Colacio, C. Piguet, F. Pineider, L. Di Bari, J.-R. Jiménez and F. Zinna, </w:t>
      </w:r>
      <w:r w:rsidRPr="00F338AB">
        <w:rPr>
          <w:rFonts w:ascii="Calibri" w:hAnsi="Calibri" w:cs="Calibri"/>
          <w:i/>
          <w:iCs/>
          <w:noProof/>
          <w:sz w:val="18"/>
        </w:rPr>
        <w:t>Chem. Sci.</w:t>
      </w:r>
      <w:r w:rsidRPr="00F338AB">
        <w:rPr>
          <w:rFonts w:ascii="Calibri" w:hAnsi="Calibri" w:cs="Calibri"/>
          <w:noProof/>
          <w:sz w:val="18"/>
        </w:rPr>
        <w:t>, , DOI:10.1039/d4sc04718d.</w:t>
      </w:r>
    </w:p>
    <w:p w14:paraId="059023E1"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38</w:t>
      </w:r>
      <w:r w:rsidRPr="00F338AB">
        <w:rPr>
          <w:rFonts w:ascii="Calibri" w:hAnsi="Calibri" w:cs="Calibri"/>
          <w:noProof/>
          <w:sz w:val="18"/>
          <w:lang w:val="de-CH"/>
        </w:rPr>
        <w:tab/>
        <w:t xml:space="preserve">T. H. Bürgin, F. Glaser and O. S. Wenger, </w:t>
      </w:r>
      <w:r w:rsidRPr="00F338AB">
        <w:rPr>
          <w:rFonts w:ascii="Calibri" w:hAnsi="Calibri" w:cs="Calibri"/>
          <w:i/>
          <w:iCs/>
          <w:noProof/>
          <w:sz w:val="18"/>
          <w:lang w:val="de-CH"/>
        </w:rPr>
        <w:t>J. Am. Chem. Soc.</w:t>
      </w:r>
      <w:r w:rsidRPr="00F338AB">
        <w:rPr>
          <w:rFonts w:ascii="Calibri" w:hAnsi="Calibri" w:cs="Calibri"/>
          <w:noProof/>
          <w:sz w:val="18"/>
          <w:lang w:val="de-CH"/>
        </w:rPr>
        <w:t xml:space="preserve">, 2022, </w:t>
      </w:r>
      <w:r w:rsidRPr="00F338AB">
        <w:rPr>
          <w:rFonts w:ascii="Calibri" w:hAnsi="Calibri" w:cs="Calibri"/>
          <w:b/>
          <w:bCs/>
          <w:noProof/>
          <w:sz w:val="18"/>
          <w:lang w:val="de-CH"/>
        </w:rPr>
        <w:t>144</w:t>
      </w:r>
      <w:r w:rsidRPr="00F338AB">
        <w:rPr>
          <w:rFonts w:ascii="Calibri" w:hAnsi="Calibri" w:cs="Calibri"/>
          <w:noProof/>
          <w:sz w:val="18"/>
          <w:lang w:val="de-CH"/>
        </w:rPr>
        <w:t>, 14181–14194.</w:t>
      </w:r>
    </w:p>
    <w:p w14:paraId="05BD1B5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39</w:t>
      </w:r>
      <w:r w:rsidRPr="00F338AB">
        <w:rPr>
          <w:rFonts w:ascii="Calibri" w:hAnsi="Calibri" w:cs="Calibri"/>
          <w:noProof/>
          <w:sz w:val="18"/>
          <w:lang w:val="de-CH"/>
        </w:rPr>
        <w:tab/>
        <w:t xml:space="preserve">S. Sittel, R. Naumann and K. Heinze, </w:t>
      </w:r>
      <w:r w:rsidRPr="00F338AB">
        <w:rPr>
          <w:rFonts w:ascii="Calibri" w:hAnsi="Calibri" w:cs="Calibri"/>
          <w:i/>
          <w:iCs/>
          <w:noProof/>
          <w:sz w:val="18"/>
          <w:lang w:val="de-CH"/>
        </w:rPr>
        <w:t>Front. Chem.</w:t>
      </w:r>
      <w:r w:rsidRPr="00F338AB">
        <w:rPr>
          <w:rFonts w:ascii="Calibri" w:hAnsi="Calibri" w:cs="Calibri"/>
          <w:noProof/>
          <w:sz w:val="18"/>
          <w:lang w:val="de-CH"/>
        </w:rPr>
        <w:t xml:space="preserve">, 2022, </w:t>
      </w:r>
      <w:r w:rsidRPr="00F338AB">
        <w:rPr>
          <w:rFonts w:ascii="Calibri" w:hAnsi="Calibri" w:cs="Calibri"/>
          <w:b/>
          <w:bCs/>
          <w:noProof/>
          <w:sz w:val="18"/>
          <w:lang w:val="de-CH"/>
        </w:rPr>
        <w:t>10</w:t>
      </w:r>
      <w:r w:rsidRPr="00F338AB">
        <w:rPr>
          <w:rFonts w:ascii="Calibri" w:hAnsi="Calibri" w:cs="Calibri"/>
          <w:noProof/>
          <w:sz w:val="18"/>
          <w:lang w:val="de-CH"/>
        </w:rPr>
        <w:t>, 340.</w:t>
      </w:r>
    </w:p>
    <w:p w14:paraId="42CDF58D"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40</w:t>
      </w:r>
      <w:r w:rsidRPr="00F338AB">
        <w:rPr>
          <w:rFonts w:ascii="Calibri" w:hAnsi="Calibri" w:cs="Calibri"/>
          <w:noProof/>
          <w:sz w:val="18"/>
          <w:lang w:val="de-CH"/>
        </w:rPr>
        <w:tab/>
        <w:t xml:space="preserve">N. Sinha, J. R. Jiménez, B. Pfund, A. Prescimone, C. Piguet and O. S. Wenger, </w:t>
      </w:r>
      <w:r w:rsidRPr="00F338AB">
        <w:rPr>
          <w:rFonts w:ascii="Calibri" w:hAnsi="Calibri" w:cs="Calibri"/>
          <w:i/>
          <w:iCs/>
          <w:noProof/>
          <w:sz w:val="18"/>
          <w:lang w:val="de-CH"/>
        </w:rPr>
        <w:t>Angew. Chem. Int. Ed.</w:t>
      </w:r>
      <w:r w:rsidRPr="00F338AB">
        <w:rPr>
          <w:rFonts w:ascii="Calibri" w:hAnsi="Calibri" w:cs="Calibri"/>
          <w:noProof/>
          <w:sz w:val="18"/>
          <w:lang w:val="de-CH"/>
        </w:rPr>
        <w:t xml:space="preserve">, 2021, </w:t>
      </w:r>
      <w:r w:rsidRPr="00F338AB">
        <w:rPr>
          <w:rFonts w:ascii="Calibri" w:hAnsi="Calibri" w:cs="Calibri"/>
          <w:b/>
          <w:bCs/>
          <w:noProof/>
          <w:sz w:val="18"/>
          <w:lang w:val="de-CH"/>
        </w:rPr>
        <w:t>60</w:t>
      </w:r>
      <w:r w:rsidRPr="00F338AB">
        <w:rPr>
          <w:rFonts w:ascii="Calibri" w:hAnsi="Calibri" w:cs="Calibri"/>
          <w:noProof/>
          <w:sz w:val="18"/>
          <w:lang w:val="de-CH"/>
        </w:rPr>
        <w:t>, 23722–23728.</w:t>
      </w:r>
    </w:p>
    <w:p w14:paraId="7251F71D"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41</w:t>
      </w:r>
      <w:r w:rsidRPr="00F338AB">
        <w:rPr>
          <w:rFonts w:ascii="Calibri" w:hAnsi="Calibri" w:cs="Calibri"/>
          <w:noProof/>
          <w:sz w:val="18"/>
        </w:rPr>
        <w:tab/>
        <w:t xml:space="preserve">N. Sawicka, C. J. Craze, P. N. Horton, S. J. Coles, E. Richards and S. J. A. Pope, </w:t>
      </w:r>
      <w:r w:rsidRPr="00F338AB">
        <w:rPr>
          <w:rFonts w:ascii="Calibri" w:hAnsi="Calibri" w:cs="Calibri"/>
          <w:i/>
          <w:iCs/>
          <w:noProof/>
          <w:sz w:val="18"/>
        </w:rPr>
        <w:t>Chem. Commun.</w:t>
      </w:r>
      <w:r w:rsidRPr="00F338AB">
        <w:rPr>
          <w:rFonts w:ascii="Calibri" w:hAnsi="Calibri" w:cs="Calibri"/>
          <w:noProof/>
          <w:sz w:val="18"/>
        </w:rPr>
        <w:t xml:space="preserve">, 2022, </w:t>
      </w:r>
      <w:r w:rsidRPr="00F338AB">
        <w:rPr>
          <w:rFonts w:ascii="Calibri" w:hAnsi="Calibri" w:cs="Calibri"/>
          <w:b/>
          <w:bCs/>
          <w:noProof/>
          <w:sz w:val="18"/>
        </w:rPr>
        <w:t>58</w:t>
      </w:r>
      <w:r w:rsidRPr="00F338AB">
        <w:rPr>
          <w:rFonts w:ascii="Calibri" w:hAnsi="Calibri" w:cs="Calibri"/>
          <w:noProof/>
          <w:sz w:val="18"/>
        </w:rPr>
        <w:t>, 5733.</w:t>
      </w:r>
    </w:p>
    <w:p w14:paraId="4D820C05"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rPr>
        <w:t>42</w:t>
      </w:r>
      <w:r w:rsidRPr="00F338AB">
        <w:rPr>
          <w:rFonts w:ascii="Calibri" w:hAnsi="Calibri" w:cs="Calibri"/>
          <w:noProof/>
          <w:sz w:val="18"/>
        </w:rPr>
        <w:tab/>
        <w:t xml:space="preserve">Y. Cheng, Q. Yang, J. He, W. Zou, K. Liao, X. Chang, C. Zou and W. Lu, </w:t>
      </w:r>
      <w:r w:rsidRPr="00F338AB">
        <w:rPr>
          <w:rFonts w:ascii="Calibri" w:hAnsi="Calibri" w:cs="Calibri"/>
          <w:i/>
          <w:iCs/>
          <w:noProof/>
          <w:sz w:val="18"/>
        </w:rPr>
        <w:t xml:space="preserve">Dalt. </w:t>
      </w:r>
      <w:r w:rsidRPr="00F338AB">
        <w:rPr>
          <w:rFonts w:ascii="Calibri" w:hAnsi="Calibri" w:cs="Calibri"/>
          <w:i/>
          <w:iCs/>
          <w:noProof/>
          <w:sz w:val="18"/>
          <w:lang w:val="de-CH"/>
        </w:rPr>
        <w:t>Trans.</w:t>
      </w:r>
      <w:r w:rsidRPr="00F338AB">
        <w:rPr>
          <w:rFonts w:ascii="Calibri" w:hAnsi="Calibri" w:cs="Calibri"/>
          <w:noProof/>
          <w:sz w:val="18"/>
          <w:lang w:val="de-CH"/>
        </w:rPr>
        <w:t>, , DOI:10.1039/d2dt02872g.</w:t>
      </w:r>
    </w:p>
    <w:p w14:paraId="1113F8A8" w14:textId="3CECD1F3"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43</w:t>
      </w:r>
      <w:r w:rsidRPr="00F338AB">
        <w:rPr>
          <w:rFonts w:ascii="Calibri" w:hAnsi="Calibri" w:cs="Calibri"/>
          <w:noProof/>
          <w:sz w:val="18"/>
          <w:lang w:val="de-CH"/>
        </w:rPr>
        <w:tab/>
        <w:t>N. Sinha, P. Yaltseva and O. S. Wenger,</w:t>
      </w:r>
      <w:r w:rsidRPr="00F338AB">
        <w:rPr>
          <w:rFonts w:ascii="Calibri" w:hAnsi="Calibri" w:cs="Calibri"/>
          <w:i/>
          <w:iCs/>
          <w:noProof/>
          <w:sz w:val="18"/>
          <w:lang w:val="de-CH"/>
        </w:rPr>
        <w:t xml:space="preserve"> Angew. Chem. Int. Ed.</w:t>
      </w:r>
      <w:r w:rsidRPr="00F338AB">
        <w:rPr>
          <w:rFonts w:ascii="Calibri" w:hAnsi="Calibri" w:cs="Calibri"/>
          <w:noProof/>
          <w:sz w:val="18"/>
          <w:lang w:val="de-CH"/>
        </w:rPr>
        <w:t xml:space="preserve"> </w:t>
      </w:r>
      <w:r w:rsidRPr="00F338AB">
        <w:rPr>
          <w:rFonts w:ascii="Calibri" w:hAnsi="Calibri" w:cs="Calibri"/>
          <w:b/>
          <w:bCs/>
          <w:noProof/>
          <w:sz w:val="18"/>
          <w:lang w:val="de-CH"/>
        </w:rPr>
        <w:t>2023</w:t>
      </w:r>
      <w:r w:rsidRPr="00F338AB">
        <w:rPr>
          <w:rFonts w:ascii="Calibri" w:hAnsi="Calibri" w:cs="Calibri"/>
          <w:noProof/>
          <w:sz w:val="18"/>
          <w:lang w:val="de-CH"/>
        </w:rPr>
        <w:t>, 62, e202303864</w:t>
      </w:r>
    </w:p>
    <w:p w14:paraId="4636FA88"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de-CH"/>
        </w:rPr>
        <w:t>44</w:t>
      </w:r>
      <w:r w:rsidRPr="00F338AB">
        <w:rPr>
          <w:rFonts w:ascii="Calibri" w:hAnsi="Calibri" w:cs="Calibri"/>
          <w:noProof/>
          <w:sz w:val="18"/>
          <w:lang w:val="de-CH"/>
        </w:rPr>
        <w:tab/>
        <w:t xml:space="preserve">F. Reichenauer, C. Wang, F. Christoph, P. Boden, N. Ugur, B. Ricardo, J. Kalmbach, L. M. Carrella, E. Rentschler, C. Ramanan, G. Niedner-schatteburg, M. Gerhards, M. Seitz, U. Resch-genger and K. Heinze, </w:t>
      </w:r>
      <w:r w:rsidRPr="00F338AB">
        <w:rPr>
          <w:rFonts w:ascii="Calibri" w:hAnsi="Calibri" w:cs="Calibri"/>
          <w:i/>
          <w:iCs/>
          <w:noProof/>
          <w:sz w:val="18"/>
          <w:lang w:val="de-CH"/>
        </w:rPr>
        <w:t xml:space="preserve">J. Am. </w:t>
      </w:r>
      <w:r w:rsidRPr="00F338AB">
        <w:rPr>
          <w:rFonts w:ascii="Calibri" w:hAnsi="Calibri" w:cs="Calibri"/>
          <w:i/>
          <w:iCs/>
          <w:noProof/>
          <w:sz w:val="18"/>
        </w:rPr>
        <w:t>Chem. Soc</w:t>
      </w:r>
      <w:r w:rsidRPr="00F338AB">
        <w:rPr>
          <w:rFonts w:ascii="Calibri" w:hAnsi="Calibri" w:cs="Calibri"/>
          <w:noProof/>
          <w:sz w:val="18"/>
        </w:rPr>
        <w:t>, , DOI:10.1021/jacs.1c05971.</w:t>
      </w:r>
    </w:p>
    <w:p w14:paraId="46360168"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45</w:t>
      </w:r>
      <w:r w:rsidRPr="00F338AB">
        <w:rPr>
          <w:rFonts w:ascii="Calibri" w:hAnsi="Calibri" w:cs="Calibri"/>
          <w:noProof/>
          <w:sz w:val="18"/>
        </w:rPr>
        <w:tab/>
        <w:t xml:space="preserve">R. W. Jones, A. J. Auty, G. Wu, P. Persson, M. V Appleby, D. Chekulaev, C. R. Rice, J. A. Weinstein, P. I. P. Elliott and P. A. Scattergood, </w:t>
      </w:r>
      <w:r w:rsidRPr="00F338AB">
        <w:rPr>
          <w:rFonts w:ascii="Calibri" w:hAnsi="Calibri" w:cs="Calibri"/>
          <w:i/>
          <w:iCs/>
          <w:noProof/>
          <w:sz w:val="18"/>
        </w:rPr>
        <w:t>J. Am. Chem. Soc.</w:t>
      </w:r>
      <w:r w:rsidRPr="00F338AB">
        <w:rPr>
          <w:rFonts w:ascii="Calibri" w:hAnsi="Calibri" w:cs="Calibri"/>
          <w:noProof/>
          <w:sz w:val="18"/>
        </w:rPr>
        <w:t xml:space="preserve">, 2023, </w:t>
      </w:r>
      <w:r w:rsidRPr="00F338AB">
        <w:rPr>
          <w:rFonts w:ascii="Calibri" w:hAnsi="Calibri" w:cs="Calibri"/>
          <w:b/>
          <w:bCs/>
          <w:noProof/>
          <w:sz w:val="18"/>
        </w:rPr>
        <w:t>145</w:t>
      </w:r>
      <w:r w:rsidRPr="00F338AB">
        <w:rPr>
          <w:rFonts w:ascii="Calibri" w:hAnsi="Calibri" w:cs="Calibri"/>
          <w:noProof/>
          <w:sz w:val="18"/>
        </w:rPr>
        <w:t>, 12081–12092.</w:t>
      </w:r>
    </w:p>
    <w:p w14:paraId="20E0CFFF"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46</w:t>
      </w:r>
      <w:r w:rsidRPr="00F338AB">
        <w:rPr>
          <w:rFonts w:ascii="Calibri" w:hAnsi="Calibri" w:cs="Calibri"/>
          <w:noProof/>
          <w:sz w:val="18"/>
        </w:rPr>
        <w:tab/>
        <w:t xml:space="preserve">E. A. Juban and J. K. McCusker, </w:t>
      </w:r>
      <w:r w:rsidRPr="00F338AB">
        <w:rPr>
          <w:rFonts w:ascii="Calibri" w:hAnsi="Calibri" w:cs="Calibri"/>
          <w:i/>
          <w:iCs/>
          <w:noProof/>
          <w:sz w:val="18"/>
        </w:rPr>
        <w:t>J. Am. Chem. Soc.</w:t>
      </w:r>
      <w:r w:rsidRPr="00F338AB">
        <w:rPr>
          <w:rFonts w:ascii="Calibri" w:hAnsi="Calibri" w:cs="Calibri"/>
          <w:noProof/>
          <w:sz w:val="18"/>
        </w:rPr>
        <w:t xml:space="preserve">, 2005, </w:t>
      </w:r>
      <w:r w:rsidRPr="00F338AB">
        <w:rPr>
          <w:rFonts w:ascii="Calibri" w:hAnsi="Calibri" w:cs="Calibri"/>
          <w:b/>
          <w:bCs/>
          <w:noProof/>
          <w:sz w:val="18"/>
        </w:rPr>
        <w:t>127</w:t>
      </w:r>
      <w:r w:rsidRPr="00F338AB">
        <w:rPr>
          <w:rFonts w:ascii="Calibri" w:hAnsi="Calibri" w:cs="Calibri"/>
          <w:noProof/>
          <w:sz w:val="18"/>
        </w:rPr>
        <w:t>, 6857–6865.</w:t>
      </w:r>
    </w:p>
    <w:p w14:paraId="6B981B9D"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lastRenderedPageBreak/>
        <w:t>47</w:t>
      </w:r>
      <w:r w:rsidRPr="00F338AB">
        <w:rPr>
          <w:rFonts w:ascii="Calibri" w:hAnsi="Calibri" w:cs="Calibri"/>
          <w:noProof/>
          <w:sz w:val="18"/>
        </w:rPr>
        <w:tab/>
        <w:t xml:space="preserve">J. N. Schrauben, K. L. Dillman, W. F. Beck and J. K. Mc Cusker, </w:t>
      </w:r>
      <w:r w:rsidRPr="00F338AB">
        <w:rPr>
          <w:rFonts w:ascii="Calibri" w:hAnsi="Calibri" w:cs="Calibri"/>
          <w:i/>
          <w:iCs/>
          <w:noProof/>
          <w:sz w:val="18"/>
        </w:rPr>
        <w:t>Chem. Sci.</w:t>
      </w:r>
      <w:r w:rsidRPr="00F338AB">
        <w:rPr>
          <w:rFonts w:ascii="Calibri" w:hAnsi="Calibri" w:cs="Calibri"/>
          <w:noProof/>
          <w:sz w:val="18"/>
        </w:rPr>
        <w:t xml:space="preserve">, 2010, </w:t>
      </w:r>
      <w:r w:rsidRPr="00F338AB">
        <w:rPr>
          <w:rFonts w:ascii="Calibri" w:hAnsi="Calibri" w:cs="Calibri"/>
          <w:b/>
          <w:bCs/>
          <w:noProof/>
          <w:sz w:val="18"/>
        </w:rPr>
        <w:t>1</w:t>
      </w:r>
      <w:r w:rsidRPr="00F338AB">
        <w:rPr>
          <w:rFonts w:ascii="Calibri" w:hAnsi="Calibri" w:cs="Calibri"/>
          <w:noProof/>
          <w:sz w:val="18"/>
        </w:rPr>
        <w:t>, 405–410.</w:t>
      </w:r>
    </w:p>
    <w:p w14:paraId="456835CB"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48</w:t>
      </w:r>
      <w:r w:rsidRPr="00F338AB">
        <w:rPr>
          <w:rFonts w:ascii="Calibri" w:hAnsi="Calibri" w:cs="Calibri"/>
          <w:noProof/>
          <w:sz w:val="18"/>
        </w:rPr>
        <w:tab/>
        <w:t xml:space="preserve">M. Cantuel, G. Bernardinelli, D. Imbert, J. C. G. Bünzli, G. Hopfgartnerd and C. Piguet, </w:t>
      </w:r>
      <w:r w:rsidRPr="00F338AB">
        <w:rPr>
          <w:rFonts w:ascii="Calibri" w:hAnsi="Calibri" w:cs="Calibri"/>
          <w:i/>
          <w:iCs/>
          <w:noProof/>
          <w:sz w:val="18"/>
        </w:rPr>
        <w:t>J. Chem. Soc. Dalt. Trans.</w:t>
      </w:r>
      <w:r w:rsidRPr="00F338AB">
        <w:rPr>
          <w:rFonts w:ascii="Calibri" w:hAnsi="Calibri" w:cs="Calibri"/>
          <w:noProof/>
          <w:sz w:val="18"/>
        </w:rPr>
        <w:t>, 2002, 1929–1940.</w:t>
      </w:r>
    </w:p>
    <w:p w14:paraId="49E48BFB"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fr-CH"/>
        </w:rPr>
      </w:pPr>
      <w:r w:rsidRPr="00F338AB">
        <w:rPr>
          <w:rFonts w:ascii="Calibri" w:hAnsi="Calibri" w:cs="Calibri"/>
          <w:noProof/>
          <w:sz w:val="18"/>
          <w:lang w:val="fr-CH"/>
        </w:rPr>
        <w:t>49</w:t>
      </w:r>
      <w:r w:rsidRPr="00F338AB">
        <w:rPr>
          <w:rFonts w:ascii="Calibri" w:hAnsi="Calibri" w:cs="Calibri"/>
          <w:noProof/>
          <w:sz w:val="18"/>
          <w:lang w:val="fr-CH"/>
        </w:rPr>
        <w:tab/>
        <w:t xml:space="preserve">M. Poncet, A. Benchohra, J. R. Jiménez and C. Piguet, </w:t>
      </w:r>
      <w:r w:rsidRPr="00F338AB">
        <w:rPr>
          <w:rFonts w:ascii="Calibri" w:hAnsi="Calibri" w:cs="Calibri"/>
          <w:i/>
          <w:iCs/>
          <w:noProof/>
          <w:sz w:val="18"/>
          <w:lang w:val="fr-CH"/>
        </w:rPr>
        <w:t>ChemPhotoChem</w:t>
      </w:r>
      <w:r w:rsidRPr="00F338AB">
        <w:rPr>
          <w:rFonts w:ascii="Calibri" w:hAnsi="Calibri" w:cs="Calibri"/>
          <w:noProof/>
          <w:sz w:val="18"/>
          <w:lang w:val="fr-CH"/>
        </w:rPr>
        <w:t>, 2021, 5, 880–892.</w:t>
      </w:r>
    </w:p>
    <w:p w14:paraId="5FDAF0DA"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50</w:t>
      </w:r>
      <w:r w:rsidRPr="00F338AB">
        <w:rPr>
          <w:rFonts w:ascii="Calibri" w:hAnsi="Calibri" w:cs="Calibri"/>
          <w:noProof/>
          <w:sz w:val="18"/>
        </w:rPr>
        <w:tab/>
        <w:t>M. Llunell, D. Casanova, J. Cirera, P. A. And and S. Alvarez, 2013.</w:t>
      </w:r>
    </w:p>
    <w:p w14:paraId="6D56BEC6"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rPr>
        <w:t>51</w:t>
      </w:r>
      <w:r w:rsidRPr="00F338AB">
        <w:rPr>
          <w:rFonts w:ascii="Calibri" w:hAnsi="Calibri" w:cs="Calibri"/>
          <w:noProof/>
          <w:sz w:val="18"/>
        </w:rPr>
        <w:tab/>
        <w:t xml:space="preserve">B. Golesorkhi, I. Taarit, H. Bolvin, H. Nozary, J. R. Jiménez, C. Besnard, L. Guénée, A. Fürstenberg and C. Piguet, </w:t>
      </w:r>
      <w:r w:rsidRPr="00F338AB">
        <w:rPr>
          <w:rFonts w:ascii="Calibri" w:hAnsi="Calibri" w:cs="Calibri"/>
          <w:i/>
          <w:iCs/>
          <w:noProof/>
          <w:sz w:val="18"/>
        </w:rPr>
        <w:t xml:space="preserve">Dalt. </w:t>
      </w:r>
      <w:r w:rsidRPr="00F338AB">
        <w:rPr>
          <w:rFonts w:ascii="Calibri" w:hAnsi="Calibri" w:cs="Calibri"/>
          <w:i/>
          <w:iCs/>
          <w:noProof/>
          <w:sz w:val="18"/>
          <w:lang w:val="de-CH"/>
        </w:rPr>
        <w:t>Trans.</w:t>
      </w:r>
      <w:r w:rsidRPr="00F338AB">
        <w:rPr>
          <w:rFonts w:ascii="Calibri" w:hAnsi="Calibri" w:cs="Calibri"/>
          <w:noProof/>
          <w:sz w:val="18"/>
          <w:lang w:val="de-CH"/>
        </w:rPr>
        <w:t xml:space="preserve">, 2021, </w:t>
      </w:r>
      <w:r w:rsidRPr="00F338AB">
        <w:rPr>
          <w:rFonts w:ascii="Calibri" w:hAnsi="Calibri" w:cs="Calibri"/>
          <w:b/>
          <w:bCs/>
          <w:noProof/>
          <w:sz w:val="18"/>
          <w:lang w:val="de-CH"/>
        </w:rPr>
        <w:t>50</w:t>
      </w:r>
      <w:r w:rsidRPr="00F338AB">
        <w:rPr>
          <w:rFonts w:ascii="Calibri" w:hAnsi="Calibri" w:cs="Calibri"/>
          <w:noProof/>
          <w:sz w:val="18"/>
          <w:lang w:val="de-CH"/>
        </w:rPr>
        <w:t>, 7955–7968.</w:t>
      </w:r>
    </w:p>
    <w:p w14:paraId="33E19B21"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de-CH"/>
        </w:rPr>
        <w:t>52</w:t>
      </w:r>
      <w:r w:rsidRPr="00F338AB">
        <w:rPr>
          <w:rFonts w:ascii="Calibri" w:hAnsi="Calibri" w:cs="Calibri"/>
          <w:noProof/>
          <w:sz w:val="18"/>
          <w:lang w:val="de-CH"/>
        </w:rPr>
        <w:tab/>
        <w:t xml:space="preserve">S. Treiling, C. Wang, C. Förster, F. Reichenauer, J. Kalmbach, P. Boden, J. P. Harris, L. M. Carrella, E. Rentschler, U. Resch-Genger, C. Reber, M. Seitz, M. Gerhards and K. Heinze, </w:t>
      </w:r>
      <w:r w:rsidRPr="00F338AB">
        <w:rPr>
          <w:rFonts w:ascii="Calibri" w:hAnsi="Calibri" w:cs="Calibri"/>
          <w:i/>
          <w:iCs/>
          <w:noProof/>
          <w:sz w:val="18"/>
          <w:lang w:val="de-CH"/>
        </w:rPr>
        <w:t xml:space="preserve">Angew. </w:t>
      </w:r>
      <w:r w:rsidRPr="00F338AB">
        <w:rPr>
          <w:rFonts w:ascii="Calibri" w:hAnsi="Calibri" w:cs="Calibri"/>
          <w:i/>
          <w:iCs/>
          <w:noProof/>
          <w:sz w:val="18"/>
        </w:rPr>
        <w:t>Chem. Int. Ed.</w:t>
      </w:r>
      <w:r w:rsidRPr="00F338AB">
        <w:rPr>
          <w:rFonts w:ascii="Calibri" w:hAnsi="Calibri" w:cs="Calibri"/>
          <w:noProof/>
          <w:sz w:val="18"/>
        </w:rPr>
        <w:t xml:space="preserve">, 2019, </w:t>
      </w:r>
      <w:r w:rsidRPr="00F338AB">
        <w:rPr>
          <w:rFonts w:ascii="Calibri" w:hAnsi="Calibri" w:cs="Calibri"/>
          <w:b/>
          <w:bCs/>
          <w:noProof/>
          <w:sz w:val="18"/>
        </w:rPr>
        <w:t>58</w:t>
      </w:r>
      <w:r w:rsidRPr="00F338AB">
        <w:rPr>
          <w:rFonts w:ascii="Calibri" w:hAnsi="Calibri" w:cs="Calibri"/>
          <w:noProof/>
          <w:sz w:val="18"/>
        </w:rPr>
        <w:t>, 18075–18085.</w:t>
      </w:r>
    </w:p>
    <w:p w14:paraId="71091BB9"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53</w:t>
      </w:r>
      <w:r w:rsidRPr="00F338AB">
        <w:rPr>
          <w:rFonts w:ascii="Calibri" w:hAnsi="Calibri" w:cs="Calibri"/>
          <w:noProof/>
          <w:sz w:val="18"/>
        </w:rPr>
        <w:tab/>
        <w:t xml:space="preserve">K. DeArmond and L. S. Forster, </w:t>
      </w:r>
      <w:r w:rsidRPr="00F338AB">
        <w:rPr>
          <w:rFonts w:ascii="Calibri" w:hAnsi="Calibri" w:cs="Calibri"/>
          <w:i/>
          <w:iCs/>
          <w:noProof/>
          <w:sz w:val="18"/>
        </w:rPr>
        <w:t>Spectrochim. Acta</w:t>
      </w:r>
      <w:r w:rsidRPr="00F338AB">
        <w:rPr>
          <w:rFonts w:ascii="Calibri" w:hAnsi="Calibri" w:cs="Calibri"/>
          <w:noProof/>
          <w:sz w:val="18"/>
        </w:rPr>
        <w:t xml:space="preserve">, 1963, </w:t>
      </w:r>
      <w:r w:rsidRPr="00F338AB">
        <w:rPr>
          <w:rFonts w:ascii="Calibri" w:hAnsi="Calibri" w:cs="Calibri"/>
          <w:b/>
          <w:bCs/>
          <w:noProof/>
          <w:sz w:val="18"/>
        </w:rPr>
        <w:t>19</w:t>
      </w:r>
      <w:r w:rsidRPr="00F338AB">
        <w:rPr>
          <w:rFonts w:ascii="Calibri" w:hAnsi="Calibri" w:cs="Calibri"/>
          <w:noProof/>
          <w:sz w:val="18"/>
        </w:rPr>
        <w:t>, 1687–1693.</w:t>
      </w:r>
    </w:p>
    <w:p w14:paraId="05798724"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54</w:t>
      </w:r>
      <w:r w:rsidRPr="00F338AB">
        <w:rPr>
          <w:rFonts w:ascii="Calibri" w:hAnsi="Calibri" w:cs="Calibri"/>
          <w:noProof/>
          <w:sz w:val="18"/>
        </w:rPr>
        <w:tab/>
        <w:t xml:space="preserve">W. T. Carnall, P. R. Fields and B. G. Wybourne, </w:t>
      </w:r>
      <w:r w:rsidRPr="00F338AB">
        <w:rPr>
          <w:rFonts w:ascii="Calibri" w:hAnsi="Calibri" w:cs="Calibri"/>
          <w:i/>
          <w:iCs/>
          <w:noProof/>
          <w:sz w:val="18"/>
        </w:rPr>
        <w:t>J. Chem. Phys.</w:t>
      </w:r>
      <w:r w:rsidRPr="00F338AB">
        <w:rPr>
          <w:rFonts w:ascii="Calibri" w:hAnsi="Calibri" w:cs="Calibri"/>
          <w:noProof/>
          <w:sz w:val="18"/>
        </w:rPr>
        <w:t xml:space="preserve">, 1965, </w:t>
      </w:r>
      <w:r w:rsidRPr="00F338AB">
        <w:rPr>
          <w:rFonts w:ascii="Calibri" w:hAnsi="Calibri" w:cs="Calibri"/>
          <w:b/>
          <w:bCs/>
          <w:noProof/>
          <w:sz w:val="18"/>
        </w:rPr>
        <w:t>42</w:t>
      </w:r>
      <w:r w:rsidRPr="00F338AB">
        <w:rPr>
          <w:rFonts w:ascii="Calibri" w:hAnsi="Calibri" w:cs="Calibri"/>
          <w:noProof/>
          <w:sz w:val="18"/>
        </w:rPr>
        <w:t>, 3797–3806.</w:t>
      </w:r>
    </w:p>
    <w:p w14:paraId="2242182B"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55</w:t>
      </w:r>
      <w:r w:rsidRPr="00F338AB">
        <w:rPr>
          <w:rFonts w:ascii="Calibri" w:hAnsi="Calibri" w:cs="Calibri"/>
          <w:noProof/>
          <w:sz w:val="18"/>
        </w:rPr>
        <w:tab/>
        <w:t xml:space="preserve">I. Taarit, F. Alves, A. Benchohra, L. Guénée, B. Golesorkhi, A. Rosspeintner, A. Fürstenberg and C. Piguet, </w:t>
      </w:r>
      <w:r w:rsidRPr="00F338AB">
        <w:rPr>
          <w:rFonts w:ascii="Calibri" w:hAnsi="Calibri" w:cs="Calibri"/>
          <w:i/>
          <w:iCs/>
          <w:noProof/>
          <w:sz w:val="18"/>
        </w:rPr>
        <w:t>J. Am. Chem. Soc.</w:t>
      </w:r>
      <w:r w:rsidRPr="00F338AB">
        <w:rPr>
          <w:rFonts w:ascii="Calibri" w:hAnsi="Calibri" w:cs="Calibri"/>
          <w:noProof/>
          <w:sz w:val="18"/>
        </w:rPr>
        <w:t xml:space="preserve">, 2023, </w:t>
      </w:r>
      <w:r w:rsidRPr="00F338AB">
        <w:rPr>
          <w:rFonts w:ascii="Calibri" w:hAnsi="Calibri" w:cs="Calibri"/>
          <w:b/>
          <w:bCs/>
          <w:noProof/>
          <w:sz w:val="18"/>
        </w:rPr>
        <w:t>145</w:t>
      </w:r>
      <w:r w:rsidRPr="00F338AB">
        <w:rPr>
          <w:rFonts w:ascii="Calibri" w:hAnsi="Calibri" w:cs="Calibri"/>
          <w:noProof/>
          <w:sz w:val="18"/>
        </w:rPr>
        <w:t>, 8621–8633.</w:t>
      </w:r>
    </w:p>
    <w:p w14:paraId="5CA5E3EA"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56</w:t>
      </w:r>
      <w:r w:rsidRPr="00F338AB">
        <w:rPr>
          <w:rFonts w:ascii="Calibri" w:hAnsi="Calibri" w:cs="Calibri"/>
          <w:noProof/>
          <w:sz w:val="18"/>
        </w:rPr>
        <w:tab/>
        <w:t xml:space="preserve">B. D. Ravetz, A. B. Pun, E. M. Churchill, D. N. Congreve, T. Rovis and L. M. Campos, </w:t>
      </w:r>
      <w:r w:rsidRPr="00F338AB">
        <w:rPr>
          <w:rFonts w:ascii="Calibri" w:hAnsi="Calibri" w:cs="Calibri"/>
          <w:i/>
          <w:iCs/>
          <w:noProof/>
          <w:sz w:val="18"/>
        </w:rPr>
        <w:t>Nature</w:t>
      </w:r>
      <w:r w:rsidRPr="00F338AB">
        <w:rPr>
          <w:rFonts w:ascii="Calibri" w:hAnsi="Calibri" w:cs="Calibri"/>
          <w:noProof/>
          <w:sz w:val="18"/>
        </w:rPr>
        <w:t xml:space="preserve">, 2019, </w:t>
      </w:r>
      <w:r w:rsidRPr="00F338AB">
        <w:rPr>
          <w:rFonts w:ascii="Calibri" w:hAnsi="Calibri" w:cs="Calibri"/>
          <w:b/>
          <w:bCs/>
          <w:noProof/>
          <w:sz w:val="18"/>
        </w:rPr>
        <w:t>565</w:t>
      </w:r>
      <w:r w:rsidRPr="00F338AB">
        <w:rPr>
          <w:rFonts w:ascii="Calibri" w:hAnsi="Calibri" w:cs="Calibri"/>
          <w:noProof/>
          <w:sz w:val="18"/>
        </w:rPr>
        <w:t>, 343–346.</w:t>
      </w:r>
    </w:p>
    <w:p w14:paraId="63256DFC"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de-CH"/>
        </w:rPr>
      </w:pPr>
      <w:r w:rsidRPr="00F338AB">
        <w:rPr>
          <w:rFonts w:ascii="Calibri" w:hAnsi="Calibri" w:cs="Calibri"/>
          <w:noProof/>
          <w:sz w:val="18"/>
          <w:lang w:val="de-CH"/>
        </w:rPr>
        <w:t>57</w:t>
      </w:r>
      <w:r w:rsidRPr="00F338AB">
        <w:rPr>
          <w:rFonts w:ascii="Calibri" w:hAnsi="Calibri" w:cs="Calibri"/>
          <w:noProof/>
          <w:sz w:val="18"/>
          <w:lang w:val="de-CH"/>
        </w:rPr>
        <w:tab/>
        <w:t xml:space="preserve">F. Glaser and O. S. Wenger, </w:t>
      </w:r>
      <w:r w:rsidRPr="00F338AB">
        <w:rPr>
          <w:rFonts w:ascii="Calibri" w:hAnsi="Calibri" w:cs="Calibri"/>
          <w:i/>
          <w:iCs/>
          <w:noProof/>
          <w:sz w:val="18"/>
          <w:lang w:val="de-CH"/>
        </w:rPr>
        <w:t>JACS Au</w:t>
      </w:r>
      <w:r w:rsidRPr="00F338AB">
        <w:rPr>
          <w:rFonts w:ascii="Calibri" w:hAnsi="Calibri" w:cs="Calibri"/>
          <w:noProof/>
          <w:sz w:val="18"/>
          <w:lang w:val="de-CH"/>
        </w:rPr>
        <w:t xml:space="preserve">, 2022, </w:t>
      </w:r>
      <w:r w:rsidRPr="00F338AB">
        <w:rPr>
          <w:rFonts w:ascii="Calibri" w:hAnsi="Calibri" w:cs="Calibri"/>
          <w:b/>
          <w:bCs/>
          <w:noProof/>
          <w:sz w:val="18"/>
          <w:lang w:val="de-CH"/>
        </w:rPr>
        <w:t>2</w:t>
      </w:r>
      <w:r w:rsidRPr="00F338AB">
        <w:rPr>
          <w:rFonts w:ascii="Calibri" w:hAnsi="Calibri" w:cs="Calibri"/>
          <w:noProof/>
          <w:sz w:val="18"/>
          <w:lang w:val="de-CH"/>
        </w:rPr>
        <w:t>, 1488–1503.</w:t>
      </w:r>
    </w:p>
    <w:p w14:paraId="2DF93E8E"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lang w:val="de-CH"/>
        </w:rPr>
        <w:t>58</w:t>
      </w:r>
      <w:r w:rsidRPr="00F338AB">
        <w:rPr>
          <w:rFonts w:ascii="Calibri" w:hAnsi="Calibri" w:cs="Calibri"/>
          <w:noProof/>
          <w:sz w:val="18"/>
          <w:lang w:val="de-CH"/>
        </w:rPr>
        <w:tab/>
        <w:t xml:space="preserve">L. Stein, P. Boden, R. Naumann, C. Förster, G. Niedner-Schatteburg and K. Heinze, </w:t>
      </w:r>
      <w:r w:rsidRPr="00F338AB">
        <w:rPr>
          <w:rFonts w:ascii="Calibri" w:hAnsi="Calibri" w:cs="Calibri"/>
          <w:i/>
          <w:iCs/>
          <w:noProof/>
          <w:sz w:val="18"/>
          <w:lang w:val="de-CH"/>
        </w:rPr>
        <w:t xml:space="preserve">Chem. </w:t>
      </w:r>
      <w:r w:rsidRPr="00F338AB">
        <w:rPr>
          <w:rFonts w:ascii="Calibri" w:hAnsi="Calibri" w:cs="Calibri"/>
          <w:i/>
          <w:iCs/>
          <w:noProof/>
          <w:sz w:val="18"/>
        </w:rPr>
        <w:t>Commun.</w:t>
      </w:r>
      <w:r w:rsidRPr="00F338AB">
        <w:rPr>
          <w:rFonts w:ascii="Calibri" w:hAnsi="Calibri" w:cs="Calibri"/>
          <w:noProof/>
          <w:sz w:val="18"/>
        </w:rPr>
        <w:t xml:space="preserve">, 2022, </w:t>
      </w:r>
      <w:r w:rsidRPr="00F338AB">
        <w:rPr>
          <w:rFonts w:ascii="Calibri" w:hAnsi="Calibri" w:cs="Calibri"/>
          <w:b/>
          <w:bCs/>
          <w:noProof/>
          <w:sz w:val="18"/>
        </w:rPr>
        <w:t>58</w:t>
      </w:r>
      <w:r w:rsidRPr="00F338AB">
        <w:rPr>
          <w:rFonts w:ascii="Calibri" w:hAnsi="Calibri" w:cs="Calibri"/>
          <w:noProof/>
          <w:sz w:val="18"/>
        </w:rPr>
        <w:t>, 3701–3704.</w:t>
      </w:r>
    </w:p>
    <w:p w14:paraId="4DE1978A"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59</w:t>
      </w:r>
      <w:r w:rsidRPr="00F338AB">
        <w:rPr>
          <w:rFonts w:ascii="Calibri" w:hAnsi="Calibri" w:cs="Calibri"/>
          <w:noProof/>
          <w:sz w:val="18"/>
        </w:rPr>
        <w:tab/>
        <w:t xml:space="preserve">Z. Lou, Y. Hou, K. Chen, J. Zhao, S. Ji, F. Zhong, Y. Dede and B. Dick, </w:t>
      </w:r>
      <w:r w:rsidRPr="00F338AB">
        <w:rPr>
          <w:rFonts w:ascii="Calibri" w:hAnsi="Calibri" w:cs="Calibri"/>
          <w:i/>
          <w:iCs/>
          <w:noProof/>
          <w:sz w:val="18"/>
        </w:rPr>
        <w:t>J. Phys. Chem. C</w:t>
      </w:r>
      <w:r w:rsidRPr="00F338AB">
        <w:rPr>
          <w:rFonts w:ascii="Calibri" w:hAnsi="Calibri" w:cs="Calibri"/>
          <w:noProof/>
          <w:sz w:val="18"/>
        </w:rPr>
        <w:t xml:space="preserve">, 2018, </w:t>
      </w:r>
      <w:r w:rsidRPr="00F338AB">
        <w:rPr>
          <w:rFonts w:ascii="Calibri" w:hAnsi="Calibri" w:cs="Calibri"/>
          <w:b/>
          <w:bCs/>
          <w:noProof/>
          <w:sz w:val="18"/>
        </w:rPr>
        <w:t>122</w:t>
      </w:r>
      <w:r w:rsidRPr="00F338AB">
        <w:rPr>
          <w:rFonts w:ascii="Calibri" w:hAnsi="Calibri" w:cs="Calibri"/>
          <w:noProof/>
          <w:sz w:val="18"/>
        </w:rPr>
        <w:t>, 185–193.</w:t>
      </w:r>
    </w:p>
    <w:p w14:paraId="627F6DAF"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60</w:t>
      </w:r>
      <w:r w:rsidRPr="00F338AB">
        <w:rPr>
          <w:rFonts w:ascii="Calibri" w:hAnsi="Calibri" w:cs="Calibri"/>
          <w:noProof/>
          <w:sz w:val="18"/>
        </w:rPr>
        <w:tab/>
        <w:t xml:space="preserve">L. Gourdon, K. Cariou and G. Gasser, </w:t>
      </w:r>
      <w:r w:rsidRPr="00F338AB">
        <w:rPr>
          <w:rFonts w:ascii="Calibri" w:hAnsi="Calibri" w:cs="Calibri"/>
          <w:i/>
          <w:iCs/>
          <w:noProof/>
          <w:sz w:val="18"/>
        </w:rPr>
        <w:t>Chem. Soc. Rev.</w:t>
      </w:r>
      <w:r w:rsidRPr="00F338AB">
        <w:rPr>
          <w:rFonts w:ascii="Calibri" w:hAnsi="Calibri" w:cs="Calibri"/>
          <w:noProof/>
          <w:sz w:val="18"/>
        </w:rPr>
        <w:t>, 2022, 51, 1167–1195.</w:t>
      </w:r>
    </w:p>
    <w:p w14:paraId="4D9FC9A3"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61</w:t>
      </w:r>
      <w:r w:rsidRPr="00F338AB">
        <w:rPr>
          <w:rFonts w:ascii="Calibri" w:hAnsi="Calibri" w:cs="Calibri"/>
          <w:noProof/>
          <w:sz w:val="18"/>
        </w:rPr>
        <w:tab/>
        <w:t xml:space="preserve">B. Pfund, V. Hutskalova, C. Sparr and O. S. Wenger, </w:t>
      </w:r>
      <w:r w:rsidRPr="00F338AB">
        <w:rPr>
          <w:rFonts w:ascii="Calibri" w:hAnsi="Calibri" w:cs="Calibri"/>
          <w:i/>
          <w:iCs/>
          <w:noProof/>
          <w:sz w:val="18"/>
        </w:rPr>
        <w:t>Chem. Sci.</w:t>
      </w:r>
      <w:r w:rsidRPr="00F338AB">
        <w:rPr>
          <w:rFonts w:ascii="Calibri" w:hAnsi="Calibri" w:cs="Calibri"/>
          <w:noProof/>
          <w:sz w:val="18"/>
        </w:rPr>
        <w:t xml:space="preserve">, 2023, </w:t>
      </w:r>
      <w:r w:rsidRPr="00F338AB">
        <w:rPr>
          <w:rFonts w:ascii="Calibri" w:hAnsi="Calibri" w:cs="Calibri"/>
          <w:b/>
          <w:bCs/>
          <w:noProof/>
          <w:sz w:val="18"/>
        </w:rPr>
        <w:t>14</w:t>
      </w:r>
      <w:r w:rsidRPr="00F338AB">
        <w:rPr>
          <w:rFonts w:ascii="Calibri" w:hAnsi="Calibri" w:cs="Calibri"/>
          <w:noProof/>
          <w:sz w:val="18"/>
        </w:rPr>
        <w:t>, 11180–11191.</w:t>
      </w:r>
    </w:p>
    <w:p w14:paraId="06073DBF"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62</w:t>
      </w:r>
      <w:r w:rsidRPr="00F338AB">
        <w:rPr>
          <w:rFonts w:ascii="Calibri" w:hAnsi="Calibri" w:cs="Calibri"/>
          <w:noProof/>
          <w:sz w:val="18"/>
        </w:rPr>
        <w:tab/>
        <w:t xml:space="preserve">F. Reichenauer, R. Naumann, C. Förster, W. R. Kitzmann, A.-P. M. Reponen,  b S. Feldmannb and K. Heinze, </w:t>
      </w:r>
      <w:r w:rsidRPr="00F338AB">
        <w:rPr>
          <w:rFonts w:ascii="Calibri" w:hAnsi="Calibri" w:cs="Calibri"/>
          <w:i/>
          <w:iCs/>
          <w:noProof/>
          <w:sz w:val="18"/>
        </w:rPr>
        <w:t>Chem. Sci.</w:t>
      </w:r>
      <w:r w:rsidRPr="00F338AB">
        <w:rPr>
          <w:rFonts w:ascii="Calibri" w:hAnsi="Calibri" w:cs="Calibri"/>
          <w:noProof/>
          <w:sz w:val="18"/>
        </w:rPr>
        <w:t>, , DOI:10.1038/scientificamerican10271883-6511csupp.</w:t>
      </w:r>
    </w:p>
    <w:p w14:paraId="5ED87F75"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lang w:val="es-ES"/>
        </w:rPr>
      </w:pPr>
      <w:r w:rsidRPr="00F338AB">
        <w:rPr>
          <w:rFonts w:ascii="Calibri" w:hAnsi="Calibri" w:cs="Calibri"/>
          <w:noProof/>
          <w:sz w:val="18"/>
          <w:lang w:val="es-ES"/>
        </w:rPr>
        <w:t>63</w:t>
      </w:r>
      <w:r w:rsidRPr="00F338AB">
        <w:rPr>
          <w:rFonts w:ascii="Calibri" w:hAnsi="Calibri" w:cs="Calibri"/>
          <w:noProof/>
          <w:sz w:val="18"/>
          <w:lang w:val="es-ES"/>
        </w:rPr>
        <w:tab/>
        <w:t xml:space="preserve">J. P. Zobel, H. Radatz and L. González, </w:t>
      </w:r>
      <w:r w:rsidRPr="00F338AB">
        <w:rPr>
          <w:rFonts w:ascii="Calibri" w:hAnsi="Calibri" w:cs="Calibri"/>
          <w:i/>
          <w:iCs/>
          <w:noProof/>
          <w:sz w:val="18"/>
          <w:lang w:val="es-ES"/>
        </w:rPr>
        <w:t>Molecules</w:t>
      </w:r>
      <w:r w:rsidRPr="00F338AB">
        <w:rPr>
          <w:rFonts w:ascii="Calibri" w:hAnsi="Calibri" w:cs="Calibri"/>
          <w:noProof/>
          <w:sz w:val="18"/>
          <w:lang w:val="es-ES"/>
        </w:rPr>
        <w:t>, , DOI:10.3390/molecules28041668.</w:t>
      </w:r>
    </w:p>
    <w:p w14:paraId="329E98C0" w14:textId="77777777" w:rsidR="005631DC" w:rsidRPr="00F338AB" w:rsidRDefault="005631DC" w:rsidP="005631DC">
      <w:pPr>
        <w:widowControl w:val="0"/>
        <w:autoSpaceDE w:val="0"/>
        <w:autoSpaceDN w:val="0"/>
        <w:adjustRightInd w:val="0"/>
        <w:spacing w:after="80" w:line="240" w:lineRule="auto"/>
        <w:ind w:left="640" w:hanging="640"/>
        <w:rPr>
          <w:rFonts w:ascii="Calibri" w:hAnsi="Calibri" w:cs="Calibri"/>
          <w:noProof/>
          <w:sz w:val="18"/>
        </w:rPr>
      </w:pPr>
      <w:r w:rsidRPr="00F338AB">
        <w:rPr>
          <w:rFonts w:ascii="Calibri" w:hAnsi="Calibri" w:cs="Calibri"/>
          <w:noProof/>
          <w:sz w:val="18"/>
        </w:rPr>
        <w:t>64</w:t>
      </w:r>
      <w:r w:rsidRPr="00F338AB">
        <w:rPr>
          <w:rFonts w:ascii="Calibri" w:hAnsi="Calibri" w:cs="Calibri"/>
          <w:noProof/>
          <w:sz w:val="18"/>
        </w:rPr>
        <w:tab/>
        <w:t xml:space="preserve">C.-H. Ting, </w:t>
      </w:r>
      <w:r w:rsidRPr="00F338AB">
        <w:rPr>
          <w:rFonts w:ascii="Calibri" w:hAnsi="Calibri" w:cs="Calibri"/>
          <w:i/>
          <w:iCs/>
          <w:noProof/>
          <w:sz w:val="18"/>
        </w:rPr>
        <w:t>Photochem. Photobiol.</w:t>
      </w:r>
      <w:r w:rsidRPr="00F338AB">
        <w:rPr>
          <w:rFonts w:ascii="Calibri" w:hAnsi="Calibri" w:cs="Calibri"/>
          <w:noProof/>
          <w:sz w:val="18"/>
        </w:rPr>
        <w:t xml:space="preserve">, 1969, </w:t>
      </w:r>
      <w:r w:rsidRPr="00F338AB">
        <w:rPr>
          <w:rFonts w:ascii="Calibri" w:hAnsi="Calibri" w:cs="Calibri"/>
          <w:b/>
          <w:bCs/>
          <w:noProof/>
          <w:sz w:val="18"/>
        </w:rPr>
        <w:t>9</w:t>
      </w:r>
      <w:r w:rsidRPr="00F338AB">
        <w:rPr>
          <w:rFonts w:ascii="Calibri" w:hAnsi="Calibri" w:cs="Calibri"/>
          <w:noProof/>
          <w:sz w:val="18"/>
        </w:rPr>
        <w:t>, 17–31.</w:t>
      </w:r>
    </w:p>
    <w:p w14:paraId="466E01EF" w14:textId="657A2CCC" w:rsidR="001925B0" w:rsidRPr="00F338AB" w:rsidRDefault="00BC424C" w:rsidP="004B324C">
      <w:pPr>
        <w:pStyle w:val="RSCB04AHeadingSection"/>
        <w:spacing w:before="0"/>
      </w:pPr>
      <w:r w:rsidRPr="00F338AB">
        <w:fldChar w:fldCharType="end"/>
      </w:r>
    </w:p>
    <w:p w14:paraId="054D045F" w14:textId="14C1A15F" w:rsidR="001925B0" w:rsidRPr="00F338AB" w:rsidRDefault="001925B0" w:rsidP="001925B0">
      <w:pPr>
        <w:spacing w:line="240" w:lineRule="exact"/>
        <w:rPr>
          <w:sz w:val="18"/>
          <w:szCs w:val="18"/>
        </w:rPr>
      </w:pPr>
      <w:r w:rsidRPr="00F338AB">
        <w:rPr>
          <w:sz w:val="18"/>
          <w:szCs w:val="18"/>
        </w:rPr>
        <w:t xml:space="preserve">We strongly encourage authors to include author contributions and recommend using </w:t>
      </w:r>
      <w:hyperlink r:id="rId25" w:history="1">
        <w:proofErr w:type="spellStart"/>
        <w:r w:rsidRPr="00F338AB">
          <w:rPr>
            <w:rStyle w:val="Hyperlink"/>
            <w:sz w:val="18"/>
            <w:szCs w:val="18"/>
          </w:rPr>
          <w:t>CRediT</w:t>
        </w:r>
        <w:proofErr w:type="spellEnd"/>
        <w:r w:rsidRPr="00F338AB">
          <w:rPr>
            <w:rStyle w:val="Hyperlink"/>
            <w:sz w:val="18"/>
            <w:szCs w:val="18"/>
            <w:u w:val="none"/>
          </w:rPr>
          <w:t xml:space="preserve"> </w:t>
        </w:r>
      </w:hyperlink>
      <w:r w:rsidRPr="00F338AB">
        <w:rPr>
          <w:sz w:val="18"/>
          <w:szCs w:val="18"/>
        </w:rPr>
        <w:t xml:space="preserve">for standardised contribution descriptions. Please refer to our general </w:t>
      </w:r>
      <w:hyperlink r:id="rId26" w:history="1">
        <w:r w:rsidRPr="00F338AB">
          <w:rPr>
            <w:rStyle w:val="Hyperlink"/>
            <w:sz w:val="18"/>
            <w:szCs w:val="18"/>
          </w:rPr>
          <w:t>author guidelines</w:t>
        </w:r>
      </w:hyperlink>
      <w:r w:rsidRPr="00F338AB">
        <w:rPr>
          <w:sz w:val="18"/>
          <w:szCs w:val="18"/>
        </w:rPr>
        <w:t xml:space="preserve"> for more information about authorship.</w:t>
      </w:r>
    </w:p>
    <w:p w14:paraId="177CDB0E" w14:textId="30DD831C" w:rsidR="00C9557D" w:rsidRPr="00F338AB" w:rsidRDefault="00C9557D" w:rsidP="00C9557D">
      <w:pPr>
        <w:pStyle w:val="RSCB04AHeadingSection"/>
      </w:pPr>
      <w:r w:rsidRPr="00F338AB">
        <w:t>Conflict</w:t>
      </w:r>
      <w:r w:rsidR="00F05C18" w:rsidRPr="00F338AB">
        <w:t>s</w:t>
      </w:r>
      <w:r w:rsidRPr="00F338AB">
        <w:t xml:space="preserve"> of interest</w:t>
      </w:r>
    </w:p>
    <w:p w14:paraId="339E4F4B" w14:textId="33425850" w:rsidR="00F157DD" w:rsidRPr="004B324C" w:rsidRDefault="00A05364" w:rsidP="004B324C">
      <w:pPr>
        <w:rPr>
          <w:rFonts w:cs="Times New Roman"/>
          <w:w w:val="108"/>
          <w:sz w:val="18"/>
          <w:szCs w:val="18"/>
        </w:rPr>
      </w:pPr>
      <w:r w:rsidRPr="00F338AB">
        <w:rPr>
          <w:rFonts w:cs="Times New Roman"/>
          <w:w w:val="108"/>
          <w:sz w:val="18"/>
          <w:szCs w:val="18"/>
        </w:rPr>
        <w:t xml:space="preserve">In accordance with our policy on </w:t>
      </w:r>
      <w:hyperlink r:id="rId27" w:anchor="code-of-conduct" w:history="1">
        <w:r w:rsidRPr="00F338AB">
          <w:rPr>
            <w:rStyle w:val="Hyperlink"/>
            <w:rFonts w:cs="Times New Roman"/>
            <w:w w:val="108"/>
            <w:sz w:val="18"/>
            <w:szCs w:val="18"/>
          </w:rPr>
          <w:t>Conflicts of interest</w:t>
        </w:r>
      </w:hyperlink>
      <w:r w:rsidRPr="00F338AB">
        <w:rPr>
          <w:rFonts w:cs="Times New Roman"/>
          <w:w w:val="108"/>
          <w:sz w:val="18"/>
          <w:szCs w:val="18"/>
        </w:rPr>
        <w:t xml:space="preserve"> please ensure that a conflicts of interest statement is included in your manuscript here.  Please note that this statement is required </w:t>
      </w:r>
      <w:r w:rsidRPr="00F338AB">
        <w:rPr>
          <w:rFonts w:cs="Times New Roman"/>
          <w:w w:val="108"/>
          <w:sz w:val="18"/>
          <w:szCs w:val="18"/>
        </w:rPr>
        <w:t>for all submitted manuscripts.  If no conflicts exist, please state that “There are no conflicts to declare”.</w:t>
      </w:r>
      <w:r w:rsidR="004B324C" w:rsidRPr="00F338AB">
        <w:rPr>
          <w:rFonts w:cs="Times New Roman"/>
          <w:w w:val="108"/>
          <w:sz w:val="18"/>
          <w:szCs w:val="18"/>
        </w:rPr>
        <w:t>7</w:t>
      </w:r>
    </w:p>
    <w:sectPr w:rsidR="00F157DD" w:rsidRPr="004B324C" w:rsidSect="00B82DA3">
      <w:type w:val="continuous"/>
      <w:pgSz w:w="11907" w:h="16840" w:code="9"/>
      <w:pgMar w:top="1009" w:right="851" w:bottom="1758" w:left="851" w:header="851" w:footer="1049" w:gutter="0"/>
      <w:cols w:num="2" w:space="227"/>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Claude Piguet" w:date="2024-11-24T17:35:00Z" w:initials="CP">
    <w:p w14:paraId="787F365C" w14:textId="77777777" w:rsidR="000D7D47" w:rsidRDefault="000D7D47" w:rsidP="000D7D47">
      <w:pPr>
        <w:pStyle w:val="CommentText"/>
      </w:pPr>
      <w:r>
        <w:rPr>
          <w:rStyle w:val="CommentReference"/>
        </w:rPr>
        <w:annotationRef/>
      </w:r>
      <w:r>
        <w:rPr>
          <w:lang w:val="en-US"/>
        </w:rPr>
        <w:t>To the best of my knowledge, a d3 system cannot display a Jahn-Teller effect.</w:t>
      </w:r>
    </w:p>
  </w:comment>
  <w:comment w:id="13" w:author="Claude Piguet" w:date="2024-11-25T08:34:00Z" w:initials="CP">
    <w:p w14:paraId="69DF1D08" w14:textId="77777777" w:rsidR="00E33C9C" w:rsidRDefault="00E33C9C" w:rsidP="00E33C9C">
      <w:pPr>
        <w:pStyle w:val="CommentText"/>
      </w:pPr>
      <w:r>
        <w:rPr>
          <w:rStyle w:val="CommentReference"/>
        </w:rPr>
        <w:annotationRef/>
      </w:r>
      <w:r>
        <w:rPr>
          <w:lang w:val="en-US"/>
        </w:rPr>
        <w:t>Again, I am not comfortable with a Jahn Teller distortion for a non-degenerate ground state, moreover with no electrons with sigma-bonding character. Are you sure of this type of assignment?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7F365C" w15:done="0"/>
  <w15:commentEx w15:paraId="69DF1D0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C361D0" w16cex:dateUtc="2024-11-24T16:35:00Z"/>
  <w16cex:commentExtensible w16cex:durableId="7DDAB5DC" w16cex:dateUtc="2024-11-25T07: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7F365C" w16cid:durableId="14C361D0"/>
  <w16cid:commentId w16cid:paraId="69DF1D08" w16cid:durableId="7DDAB5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35F8A9" w14:textId="77777777" w:rsidR="00FC32CD" w:rsidRPr="00794F5B" w:rsidRDefault="00FC32CD" w:rsidP="00E547DB">
      <w:pPr>
        <w:spacing w:after="0" w:line="240" w:lineRule="auto"/>
      </w:pPr>
      <w:r w:rsidRPr="00794F5B">
        <w:separator/>
      </w:r>
    </w:p>
    <w:p w14:paraId="0991472F" w14:textId="77777777" w:rsidR="00FC32CD" w:rsidRPr="00794F5B" w:rsidRDefault="00FC32CD"/>
    <w:p w14:paraId="25649D1C" w14:textId="77777777" w:rsidR="00FC32CD" w:rsidRPr="00794F5B" w:rsidRDefault="00FC32CD"/>
    <w:p w14:paraId="1FEBF625" w14:textId="77777777" w:rsidR="00FC32CD" w:rsidRPr="00794F5B" w:rsidRDefault="00FC32CD"/>
    <w:p w14:paraId="3A4E9B0B" w14:textId="77777777" w:rsidR="00FC32CD" w:rsidRPr="00794F5B" w:rsidRDefault="00FC32CD"/>
    <w:p w14:paraId="749ED846" w14:textId="77777777" w:rsidR="00FC32CD" w:rsidRPr="00794F5B" w:rsidRDefault="00FC32CD"/>
  </w:endnote>
  <w:endnote w:type="continuationSeparator" w:id="0">
    <w:p w14:paraId="6B8B0F1E" w14:textId="77777777" w:rsidR="00FC32CD" w:rsidRPr="00794F5B" w:rsidRDefault="00FC32CD" w:rsidP="00E547DB">
      <w:pPr>
        <w:spacing w:after="0" w:line="240" w:lineRule="auto"/>
      </w:pPr>
      <w:r w:rsidRPr="00794F5B">
        <w:continuationSeparator/>
      </w:r>
    </w:p>
    <w:p w14:paraId="50CFEF54" w14:textId="77777777" w:rsidR="00FC32CD" w:rsidRPr="00794F5B" w:rsidRDefault="00FC32CD"/>
    <w:p w14:paraId="541D460D" w14:textId="77777777" w:rsidR="00FC32CD" w:rsidRPr="00794F5B" w:rsidRDefault="00FC32CD"/>
    <w:p w14:paraId="02154714" w14:textId="77777777" w:rsidR="00FC32CD" w:rsidRPr="00794F5B" w:rsidRDefault="00FC32CD"/>
    <w:p w14:paraId="05548264" w14:textId="77777777" w:rsidR="00FC32CD" w:rsidRPr="00794F5B" w:rsidRDefault="00FC32CD"/>
    <w:p w14:paraId="161AEBAF" w14:textId="77777777" w:rsidR="00FC32CD" w:rsidRPr="00794F5B" w:rsidRDefault="00FC32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239FDBA-49EF-4C58-BE13-D4610D6CB96E}"/>
    <w:embedBold r:id="rId2" w:fontKey="{E485ED15-330A-4264-9DF4-533F851CE9DB}"/>
    <w:embedItalic r:id="rId3" w:fontKey="{AA40A6A8-9E61-466B-B9D0-9C007EF4CF5F}"/>
    <w:embedBoldItalic r:id="rId4" w:fontKey="{2760BEDF-E35E-4B81-976A-F48F31F402B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5" w:fontKey="{DBC28EB6-F493-4179-BB52-199A8E8C526C}"/>
  </w:font>
  <w:font w:name="Cambria Math">
    <w:panose1 w:val="02040503050406030204"/>
    <w:charset w:val="00"/>
    <w:family w:val="roman"/>
    <w:pitch w:val="variable"/>
    <w:sig w:usb0="E00006FF" w:usb1="420024FF" w:usb2="02000000" w:usb3="00000000" w:csb0="0000019F" w:csb1="00000000"/>
    <w:embedRegular r:id="rId6" w:fontKey="{5DA4F025-1265-403C-AACB-DFA78187375C}"/>
    <w:embedBold r:id="rId7" w:fontKey="{D82F6ED7-B280-4146-9374-7AC5929916B6}"/>
    <w:embedItalic r:id="rId8" w:fontKey="{23F79C4B-66A6-47AC-A401-1719CA57A70C}"/>
    <w:embedBoldItalic r:id="rId9" w:fontKey="{F3763161-E30C-49DE-8722-E6FE5C146F3F}"/>
  </w:font>
  <w:font w:name="MS Mincho">
    <w:altName w:val="ＭＳ 明朝"/>
    <w:panose1 w:val="02020609040205080304"/>
    <w:charset w:val="80"/>
    <w:family w:val="modern"/>
    <w:pitch w:val="fixed"/>
    <w:sig w:usb0="E00002FF" w:usb1="6AC7FDFB" w:usb2="08000012" w:usb3="00000000" w:csb0="0002009F" w:csb1="00000000"/>
    <w:embedRegular r:id="rId10" w:subsetted="1" w:fontKey="{270E7E45-5B1E-4BDA-843F-1D276D7EFEF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1" w:fontKey="{A5A0C193-7E0B-45CE-AC33-65FA50A6F5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7C395" w14:textId="53E734BB" w:rsidR="00E70DCE" w:rsidRPr="00794F5B" w:rsidRDefault="00E70DCE" w:rsidP="00D45ADF">
    <w:pPr>
      <w:pStyle w:val="Footer"/>
      <w:tabs>
        <w:tab w:val="clear" w:pos="4513"/>
        <w:tab w:val="clear" w:pos="9026"/>
        <w:tab w:val="right" w:pos="10206"/>
      </w:tabs>
      <w:spacing w:before="480"/>
      <w:rPr>
        <w:spacing w:val="10"/>
        <w:sz w:val="16"/>
        <w:szCs w:val="16"/>
      </w:rPr>
    </w:pPr>
    <w:r w:rsidRPr="00794F5B">
      <w:rPr>
        <w:b/>
        <w:spacing w:val="10"/>
        <w:sz w:val="16"/>
        <w:szCs w:val="16"/>
      </w:rPr>
      <w:fldChar w:fldCharType="begin"/>
    </w:r>
    <w:r w:rsidRPr="00794F5B">
      <w:rPr>
        <w:b/>
        <w:spacing w:val="10"/>
        <w:sz w:val="16"/>
        <w:szCs w:val="16"/>
      </w:rPr>
      <w:instrText xml:space="preserve"> PAGE   \* MERGEFORMAT </w:instrText>
    </w:r>
    <w:r w:rsidRPr="00794F5B">
      <w:rPr>
        <w:b/>
        <w:spacing w:val="10"/>
        <w:sz w:val="16"/>
        <w:szCs w:val="16"/>
      </w:rPr>
      <w:fldChar w:fldCharType="separate"/>
    </w:r>
    <w:r w:rsidR="00832766" w:rsidRPr="00794F5B">
      <w:rPr>
        <w:b/>
        <w:spacing w:val="10"/>
        <w:sz w:val="16"/>
        <w:szCs w:val="16"/>
      </w:rPr>
      <w:t>2</w:t>
    </w:r>
    <w:r w:rsidRPr="00794F5B">
      <w:rPr>
        <w:b/>
        <w:spacing w:val="10"/>
        <w:sz w:val="16"/>
        <w:szCs w:val="16"/>
      </w:rPr>
      <w:fldChar w:fldCharType="end"/>
    </w:r>
    <w:r w:rsidRPr="00794F5B">
      <w:rPr>
        <w:spacing w:val="10"/>
        <w:sz w:val="16"/>
        <w:szCs w:val="16"/>
      </w:rPr>
      <w:t xml:space="preserve"> | </w:t>
    </w:r>
    <w:r w:rsidR="00672928" w:rsidRPr="00794F5B">
      <w:rPr>
        <w:i/>
        <w:spacing w:val="10"/>
        <w:sz w:val="16"/>
        <w:szCs w:val="16"/>
      </w:rPr>
      <w:t>J</w:t>
    </w:r>
    <w:r w:rsidRPr="00794F5B">
      <w:rPr>
        <w:i/>
        <w:spacing w:val="10"/>
        <w:sz w:val="16"/>
        <w:szCs w:val="16"/>
      </w:rPr>
      <w:t xml:space="preserve">. </w:t>
    </w:r>
    <w:r w:rsidR="00672928" w:rsidRPr="00794F5B">
      <w:rPr>
        <w:i/>
        <w:spacing w:val="10"/>
        <w:sz w:val="16"/>
        <w:szCs w:val="16"/>
      </w:rPr>
      <w:t>Name</w:t>
    </w:r>
    <w:r w:rsidRPr="00794F5B">
      <w:rPr>
        <w:spacing w:val="10"/>
        <w:sz w:val="16"/>
        <w:szCs w:val="16"/>
      </w:rPr>
      <w:t xml:space="preserve">., 2012, </w:t>
    </w:r>
    <w:r w:rsidRPr="00794F5B">
      <w:rPr>
        <w:b/>
        <w:spacing w:val="10"/>
        <w:sz w:val="16"/>
        <w:szCs w:val="16"/>
      </w:rPr>
      <w:t>00</w:t>
    </w:r>
    <w:r w:rsidRPr="00794F5B">
      <w:rPr>
        <w:spacing w:val="10"/>
        <w:sz w:val="16"/>
        <w:szCs w:val="16"/>
      </w:rPr>
      <w:t>, 1-3</w:t>
    </w:r>
    <w:r w:rsidR="004877C8" w:rsidRPr="00794F5B">
      <w:rPr>
        <w:spacing w:val="10"/>
        <w:sz w:val="16"/>
        <w:szCs w:val="16"/>
      </w:rPr>
      <w:tab/>
    </w:r>
    <w:r w:rsidR="004877C8" w:rsidRPr="00794F5B">
      <w:rPr>
        <w:spacing w:val="2"/>
        <w:sz w:val="16"/>
        <w:szCs w:val="16"/>
      </w:rPr>
      <w:t xml:space="preserve">This journal is </w:t>
    </w:r>
    <w:r w:rsidR="004877C8" w:rsidRPr="00794F5B">
      <w:rPr>
        <w:rFonts w:cstheme="minorHAnsi"/>
        <w:spacing w:val="2"/>
        <w:sz w:val="16"/>
        <w:szCs w:val="16"/>
      </w:rPr>
      <w:t>©</w:t>
    </w:r>
    <w:r w:rsidR="004877C8" w:rsidRPr="00794F5B">
      <w:rPr>
        <w:spacing w:val="2"/>
        <w:sz w:val="16"/>
        <w:szCs w:val="16"/>
      </w:rPr>
      <w:t xml:space="preserve"> The Royal Society of Chemistry 20</w:t>
    </w:r>
    <w:r w:rsidR="00180ABE" w:rsidRPr="00794F5B">
      <w:rPr>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C148E" w14:textId="77777777" w:rsidR="004877C8" w:rsidRPr="00794F5B" w:rsidRDefault="00180ABE" w:rsidP="00D45ADF">
    <w:pPr>
      <w:pStyle w:val="Footer"/>
      <w:tabs>
        <w:tab w:val="clear" w:pos="4513"/>
        <w:tab w:val="clear" w:pos="9026"/>
        <w:tab w:val="right" w:pos="10205"/>
      </w:tabs>
      <w:spacing w:before="480"/>
      <w:rPr>
        <w:sz w:val="16"/>
        <w:szCs w:val="16"/>
      </w:rPr>
    </w:pPr>
    <w:r w:rsidRPr="00794F5B">
      <w:rPr>
        <w:spacing w:val="2"/>
        <w:sz w:val="16"/>
        <w:szCs w:val="16"/>
      </w:rPr>
      <w:t xml:space="preserve">This journal is </w:t>
    </w:r>
    <w:r w:rsidRPr="00794F5B">
      <w:rPr>
        <w:rFonts w:cstheme="minorHAnsi"/>
        <w:spacing w:val="2"/>
        <w:sz w:val="16"/>
        <w:szCs w:val="16"/>
      </w:rPr>
      <w:t>©</w:t>
    </w:r>
    <w:r w:rsidRPr="00794F5B">
      <w:rPr>
        <w:spacing w:val="2"/>
        <w:sz w:val="16"/>
        <w:szCs w:val="16"/>
      </w:rPr>
      <w:t xml:space="preserve"> The Royal Society of Chemistry 20xx</w:t>
    </w:r>
    <w:r w:rsidRPr="00794F5B">
      <w:rPr>
        <w:i/>
        <w:spacing w:val="10"/>
        <w:sz w:val="16"/>
        <w:szCs w:val="16"/>
      </w:rPr>
      <w:tab/>
      <w:t>J. Name</w:t>
    </w:r>
    <w:r w:rsidRPr="00794F5B">
      <w:rPr>
        <w:spacing w:val="10"/>
        <w:sz w:val="16"/>
        <w:szCs w:val="16"/>
      </w:rPr>
      <w:t xml:space="preserve">., 2013, </w:t>
    </w:r>
    <w:r w:rsidRPr="00794F5B">
      <w:rPr>
        <w:b/>
        <w:spacing w:val="10"/>
        <w:sz w:val="16"/>
        <w:szCs w:val="16"/>
      </w:rPr>
      <w:t>00</w:t>
    </w:r>
    <w:r w:rsidRPr="00794F5B">
      <w:rPr>
        <w:spacing w:val="10"/>
        <w:sz w:val="16"/>
        <w:szCs w:val="16"/>
      </w:rPr>
      <w:t xml:space="preserve">, 1-3 | </w:t>
    </w:r>
    <w:r w:rsidRPr="00794F5B">
      <w:rPr>
        <w:b/>
        <w:spacing w:val="10"/>
        <w:sz w:val="16"/>
        <w:szCs w:val="16"/>
      </w:rPr>
      <w:fldChar w:fldCharType="begin"/>
    </w:r>
    <w:r w:rsidRPr="00794F5B">
      <w:rPr>
        <w:b/>
        <w:spacing w:val="10"/>
        <w:sz w:val="16"/>
        <w:szCs w:val="16"/>
      </w:rPr>
      <w:instrText xml:space="preserve"> PAGE   \* MERGEFORMAT </w:instrText>
    </w:r>
    <w:r w:rsidRPr="00794F5B">
      <w:rPr>
        <w:b/>
        <w:spacing w:val="10"/>
        <w:sz w:val="16"/>
        <w:szCs w:val="16"/>
      </w:rPr>
      <w:fldChar w:fldCharType="separate"/>
    </w:r>
    <w:r w:rsidR="00F157DD" w:rsidRPr="00794F5B">
      <w:rPr>
        <w:b/>
        <w:spacing w:val="10"/>
        <w:sz w:val="16"/>
        <w:szCs w:val="16"/>
      </w:rPr>
      <w:t>3</w:t>
    </w:r>
    <w:r w:rsidRPr="00794F5B">
      <w:rPr>
        <w:b/>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C4DD8" w14:textId="77777777" w:rsidR="00E70DCE" w:rsidRPr="00794F5B" w:rsidRDefault="00514CBA" w:rsidP="00D45ADF">
    <w:pPr>
      <w:pStyle w:val="Footer"/>
      <w:tabs>
        <w:tab w:val="clear" w:pos="4513"/>
        <w:tab w:val="clear" w:pos="9026"/>
        <w:tab w:val="right" w:pos="10206"/>
      </w:tabs>
      <w:spacing w:before="480"/>
      <w:rPr>
        <w:sz w:val="16"/>
        <w:szCs w:val="16"/>
      </w:rPr>
    </w:pPr>
    <w:r w:rsidRPr="00794F5B">
      <w:rPr>
        <w:noProof/>
        <w:lang w:eastAsia="en-GB"/>
      </w:rPr>
      <mc:AlternateContent>
        <mc:Choice Requires="wps">
          <w:drawing>
            <wp:anchor distT="0" distB="0" distL="114300" distR="114300" simplePos="0" relativeHeight="251655168"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32" type="#_x0000_t202" style="position:absolute;margin-left:0;margin-top:0;width:606.35pt;height:31.2pt;z-index:251655168;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kmIA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" fillcolor="#a5a5a5 [2092]" stroked="f">
              <v:textbox>
                <w:txbxContent>
                  <w:p w14:paraId="2BD3FB71"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v:textbox>
              <w10:wrap anchory="page"/>
            </v:shape>
          </w:pict>
        </mc:Fallback>
      </mc:AlternateContent>
    </w:r>
    <w:r w:rsidR="00E70DCE" w:rsidRPr="00794F5B">
      <w:rPr>
        <w: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FC3445" w14:textId="77777777" w:rsidR="00FC32CD" w:rsidRPr="00794F5B" w:rsidRDefault="00FC32CD" w:rsidP="00E547DB">
      <w:pPr>
        <w:spacing w:after="0" w:line="240" w:lineRule="auto"/>
      </w:pPr>
      <w:r w:rsidRPr="00794F5B">
        <w:separator/>
      </w:r>
    </w:p>
    <w:p w14:paraId="4B6DFB5B" w14:textId="77777777" w:rsidR="00FC32CD" w:rsidRPr="00794F5B" w:rsidRDefault="00FC32CD"/>
    <w:p w14:paraId="5550A60D" w14:textId="77777777" w:rsidR="00FC32CD" w:rsidRPr="00794F5B" w:rsidRDefault="00FC32CD"/>
    <w:p w14:paraId="11FF3251" w14:textId="77777777" w:rsidR="00FC32CD" w:rsidRPr="00794F5B" w:rsidRDefault="00FC32CD"/>
    <w:p w14:paraId="063A0EFE" w14:textId="77777777" w:rsidR="00FC32CD" w:rsidRPr="00794F5B" w:rsidRDefault="00FC32CD"/>
    <w:p w14:paraId="7C5DD746" w14:textId="77777777" w:rsidR="00FC32CD" w:rsidRPr="00794F5B" w:rsidRDefault="00FC32CD"/>
  </w:footnote>
  <w:footnote w:type="continuationSeparator" w:id="0">
    <w:p w14:paraId="44739E4F" w14:textId="77777777" w:rsidR="00FC32CD" w:rsidRPr="00794F5B" w:rsidRDefault="00FC32CD" w:rsidP="00E547DB">
      <w:pPr>
        <w:spacing w:after="0" w:line="240" w:lineRule="auto"/>
      </w:pPr>
      <w:r w:rsidRPr="00794F5B">
        <w:continuationSeparator/>
      </w:r>
    </w:p>
    <w:p w14:paraId="228D0588" w14:textId="77777777" w:rsidR="00FC32CD" w:rsidRPr="00794F5B" w:rsidRDefault="00FC32CD"/>
    <w:p w14:paraId="1719FB2A" w14:textId="77777777" w:rsidR="00FC32CD" w:rsidRPr="00794F5B" w:rsidRDefault="00FC32CD"/>
    <w:p w14:paraId="5AC53C0B" w14:textId="77777777" w:rsidR="00FC32CD" w:rsidRPr="00794F5B" w:rsidRDefault="00FC32CD"/>
    <w:p w14:paraId="5B9D5E44" w14:textId="77777777" w:rsidR="00FC32CD" w:rsidRPr="00794F5B" w:rsidRDefault="00FC32CD"/>
    <w:p w14:paraId="3F36429A" w14:textId="77777777" w:rsidR="00FC32CD" w:rsidRPr="00794F5B" w:rsidRDefault="00FC32C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5D6BB" w14:textId="77777777" w:rsidR="009316A6" w:rsidRPr="00794F5B" w:rsidRDefault="00514CBA" w:rsidP="00D45ADF">
    <w:pPr>
      <w:pStyle w:val="Header"/>
      <w:tabs>
        <w:tab w:val="clear" w:pos="4513"/>
        <w:tab w:val="clear" w:pos="9026"/>
        <w:tab w:val="right" w:pos="10206"/>
      </w:tabs>
      <w:spacing w:after="240"/>
      <w:rPr>
        <w:rFonts w:cstheme="minorHAnsi"/>
        <w:color w:val="999999"/>
        <w:sz w:val="20"/>
        <w:szCs w:val="20"/>
      </w:rPr>
    </w:pPr>
    <w:r w:rsidRPr="00794F5B">
      <w:rPr>
        <w:noProof/>
        <w:lang w:eastAsia="en-GB"/>
      </w:rPr>
      <mc:AlternateContent>
        <mc:Choice Requires="wps">
          <w:drawing>
            <wp:anchor distT="0" distB="0" distL="114300" distR="114300" simplePos="0" relativeHeight="251659264"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27" type="#_x0000_t202" style="position:absolute;margin-left:0;margin-top:0;width:606.35pt;height:31.2pt;z-index:25165926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8n7HAIAABs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" fillcolor="#a5a5a5 [2092]" stroked="f">
              <v:textbox>
                <w:txbxContent>
                  <w:p w14:paraId="3C389A26"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v:textbox>
              <w10:wrap anchory="page"/>
            </v:shape>
          </w:pict>
        </mc:Fallback>
      </mc:AlternateContent>
    </w:r>
    <w:r w:rsidRPr="00794F5B">
      <w:rPr>
        <w:noProof/>
        <w:lang w:eastAsia="en-GB"/>
      </w:rPr>
      <mc:AlternateContent>
        <mc:Choice Requires="wps">
          <w:drawing>
            <wp:anchor distT="0" distB="0" distL="114300" distR="114300" simplePos="0" relativeHeight="251657216"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28" type="#_x0000_t202" style="position:absolute;margin-left:0;margin-top:0;width:606.35pt;height:31.2pt;z-index:25165721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" fillcolor="#a5a5a5 [2092]" stroked="f">
              <v:textbox>
                <w:txbxContent>
                  <w:p w14:paraId="2A3F4DC3"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v:textbox>
              <w10:wrap anchory="page"/>
            </v:shape>
          </w:pict>
        </mc:Fallback>
      </mc:AlternateContent>
    </w:r>
    <w:r w:rsidR="00F157DD" w:rsidRPr="00794F5B">
      <w:rPr>
        <w:rFonts w:cstheme="minorHAnsi"/>
        <w:b/>
        <w:color w:val="999999"/>
        <w:sz w:val="20"/>
        <w:szCs w:val="20"/>
      </w:rPr>
      <w:t>ARTICLE</w:t>
    </w:r>
    <w:r w:rsidR="0052630A" w:rsidRPr="00794F5B">
      <w:rPr>
        <w:rFonts w:cstheme="minorHAnsi"/>
        <w:color w:val="999999"/>
        <w:sz w:val="20"/>
        <w:szCs w:val="20"/>
      </w:rPr>
      <w:tab/>
    </w:r>
    <w:r w:rsidR="00672928" w:rsidRPr="00794F5B">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8EC0D" w14:textId="77777777" w:rsidR="009316A6" w:rsidRPr="00794F5B" w:rsidRDefault="00514CBA" w:rsidP="00D45ADF">
    <w:pPr>
      <w:pStyle w:val="Header"/>
      <w:tabs>
        <w:tab w:val="clear" w:pos="4513"/>
        <w:tab w:val="clear" w:pos="9026"/>
        <w:tab w:val="right" w:pos="10206"/>
      </w:tabs>
      <w:spacing w:after="240"/>
      <w:rPr>
        <w:rFonts w:cstheme="minorHAnsi"/>
        <w:b/>
        <w:color w:val="999999"/>
        <w:sz w:val="20"/>
        <w:szCs w:val="20"/>
      </w:rPr>
    </w:pPr>
    <w:r w:rsidRPr="00794F5B">
      <w:rPr>
        <w:noProof/>
        <w:lang w:eastAsia="en-GB"/>
      </w:rPr>
      <mc:AlternateContent>
        <mc:Choice Requires="wps">
          <w:drawing>
            <wp:anchor distT="0" distB="0" distL="114300" distR="114300" simplePos="0" relativeHeight="251663360"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29" type="#_x0000_t202" style="position:absolute;margin-left:0;margin-top:0;width:606.35pt;height:31.45pt;z-index:25166336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v2C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l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Jcv2CIQIAACIEAAAOAAAAAAAAAAAAAAAAAC4CAABkcnMvZTJvRG9jLnhtbFBL&#10;AQItABQABgAIAAAAIQDAptG33AAAAAUBAAAPAAAAAAAAAAAAAAAAAHsEAABkcnMvZG93bnJldi54&#10;bWxQSwUGAAAAAAQABADzAAAAhAUAAAAA&#10;" fillcolor="#a5a5a5 [2092]" stroked="f">
              <v:textbox>
                <w:txbxContent>
                  <w:p w14:paraId="0E9A3293"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v:textbox>
              <w10:wrap anchory="page"/>
            </v:shape>
          </w:pict>
        </mc:Fallback>
      </mc:AlternateContent>
    </w:r>
    <w:r w:rsidR="00E46BDF" w:rsidRPr="00794F5B">
      <w:rPr>
        <w:rFonts w:cstheme="minorHAnsi"/>
        <w:b/>
        <w:color w:val="999999"/>
        <w:sz w:val="20"/>
        <w:szCs w:val="20"/>
      </w:rPr>
      <w:t>Journal Name</w:t>
    </w:r>
    <w:r w:rsidRPr="00794F5B">
      <w:rPr>
        <w:noProof/>
        <w:lang w:eastAsia="en-GB"/>
      </w:rPr>
      <mc:AlternateContent>
        <mc:Choice Requires="wps">
          <w:drawing>
            <wp:anchor distT="0" distB="0" distL="114300" distR="114300" simplePos="0" relativeHeight="251661312"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30" type="#_x0000_t202" style="position:absolute;margin-left:0;margin-top:0;width:606.35pt;height:33.45pt;z-index:25166131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" fillcolor="#a5a5a5 [2092]" stroked="f">
              <v:textbox>
                <w:txbxContent>
                  <w:p w14:paraId="390D4CCD"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v:textbox>
              <w10:wrap anchory="page"/>
            </v:shape>
          </w:pict>
        </mc:Fallback>
      </mc:AlternateContent>
    </w:r>
    <w:r w:rsidR="00E46BDF" w:rsidRPr="00794F5B">
      <w:rPr>
        <w:rFonts w:cstheme="minorHAnsi"/>
        <w:b/>
        <w:color w:val="999999"/>
        <w:sz w:val="20"/>
        <w:szCs w:val="20"/>
      </w:rPr>
      <w:ptab w:relativeTo="margin" w:alignment="right" w:leader="none"/>
    </w:r>
    <w:r w:rsidR="00E46BDF" w:rsidRPr="00794F5B">
      <w:rPr>
        <w:rFonts w:cstheme="minorHAnsi"/>
        <w:b/>
        <w:color w:val="999999"/>
        <w:sz w:val="20"/>
        <w:szCs w:val="20"/>
      </w:rPr>
      <w:t xml:space="preserve"> </w:t>
    </w:r>
    <w:r w:rsidR="00F157DD" w:rsidRPr="00794F5B">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301B85" w14:textId="72B62D46" w:rsidR="00BA42DD" w:rsidRPr="00794F5B" w:rsidRDefault="00514CBA" w:rsidP="00180ABE">
    <w:pPr>
      <w:pStyle w:val="Header"/>
      <w:shd w:val="clear" w:color="auto" w:fill="FFFFFF" w:themeFill="background1"/>
      <w:tabs>
        <w:tab w:val="clear" w:pos="4513"/>
        <w:tab w:val="clear" w:pos="9026"/>
        <w:tab w:val="right" w:pos="10205"/>
      </w:tabs>
      <w:spacing w:after="240"/>
      <w:rPr>
        <w:b/>
        <w:sz w:val="32"/>
        <w:szCs w:val="32"/>
        <w:lang w:eastAsia="en-GB"/>
      </w:rPr>
    </w:pPr>
    <w:r w:rsidRPr="00794F5B">
      <w:rPr>
        <w:noProof/>
        <w:lang w:eastAsia="en-GB"/>
      </w:rPr>
      <mc:AlternateContent>
        <mc:Choice Requires="wps">
          <w:drawing>
            <wp:anchor distT="0" distB="0" distL="114300" distR="114300" simplePos="0" relativeHeight="251653120"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31" type="#_x0000_t202" style="position:absolute;margin-left:0;margin-top:0;width:606.35pt;height:31.45pt;z-index:251653120;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" fillcolor="#a5a5a5 [2092]" stroked="f">
              <v:textbox>
                <w:txbxContent>
                  <w:p w14:paraId="40D533DE" w14:textId="77777777" w:rsidR="00514CBA" w:rsidRPr="00794F5B" w:rsidRDefault="00514CBA" w:rsidP="00514CBA">
                    <w:pPr>
                      <w:spacing w:after="0"/>
                      <w:jc w:val="center"/>
                      <w:rPr>
                        <w:color w:val="FFFFFF" w:themeColor="background1"/>
                      </w:rPr>
                    </w:pPr>
                    <w:r w:rsidRPr="00794F5B">
                      <w:rPr>
                        <w:color w:val="FFFFFF" w:themeColor="background1"/>
                      </w:rPr>
                      <w:t>Please do not adjust margins</w:t>
                    </w:r>
                  </w:p>
                </w:txbxContent>
              </v:textbox>
              <w10:wrap anchory="page"/>
            </v:shape>
          </w:pict>
        </mc:Fallback>
      </mc:AlternateContent>
    </w:r>
    <w:r w:rsidR="00180ABE" w:rsidRPr="00794F5B">
      <w:rPr>
        <w:b/>
        <w:sz w:val="32"/>
        <w:szCs w:val="32"/>
      </w:rPr>
      <w:tab/>
    </w:r>
  </w:p>
  <w:p w14:paraId="419C7B5B" w14:textId="3CD463A0" w:rsidR="00180ABE" w:rsidRPr="00794F5B" w:rsidRDefault="00B70B18" w:rsidP="00013C2E">
    <w:pPr>
      <w:pStyle w:val="Header"/>
      <w:pBdr>
        <w:top w:val="single" w:sz="4" w:space="9" w:color="9CB8C7"/>
        <w:left w:val="single" w:sz="4" w:space="6" w:color="9CB8C7"/>
        <w:bottom w:val="single" w:sz="4" w:space="9" w:color="9CB8C7"/>
        <w:right w:val="single" w:sz="4" w:space="6" w:color="9CB8C7"/>
      </w:pBdr>
      <w:shd w:val="clear" w:color="auto" w:fill="9CB8C7"/>
      <w:tabs>
        <w:tab w:val="clear" w:pos="4513"/>
        <w:tab w:val="clear" w:pos="9026"/>
        <w:tab w:val="left" w:pos="3235"/>
      </w:tabs>
      <w:spacing w:after="240"/>
      <w:ind w:left="170" w:right="170"/>
      <w:rPr>
        <w:rFonts w:cstheme="minorHAnsi"/>
        <w:color w:val="FFFFFF" w:themeColor="background1"/>
        <w:sz w:val="32"/>
        <w:szCs w:val="32"/>
      </w:rPr>
    </w:pPr>
    <w:r w:rsidRPr="00794F5B">
      <w:rPr>
        <w:rFonts w:cstheme="minorHAnsi"/>
        <w:color w:val="FFFFFF" w:themeColor="background1"/>
        <w:sz w:val="32"/>
        <w:szCs w:val="32"/>
      </w:rPr>
      <w:t>ARTICLE</w:t>
    </w:r>
    <w:r w:rsidR="00013C2E" w:rsidRPr="00794F5B">
      <w:rPr>
        <w:rFonts w:cstheme="minorHAnsi"/>
        <w:color w:val="FFFFFF" w:themeColor="background1"/>
        <w:sz w:val="32"/>
        <w:szCs w:val="32"/>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E8E3A" w14:textId="459A2840" w:rsidR="00013C2E" w:rsidRPr="00794F5B" w:rsidRDefault="00013C2E" w:rsidP="00013C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72147727">
    <w:abstractNumId w:val="0"/>
  </w:num>
  <w:num w:numId="2" w16cid:durableId="1363552388">
    <w:abstractNumId w:val="6"/>
  </w:num>
  <w:num w:numId="3" w16cid:durableId="1466505546">
    <w:abstractNumId w:val="5"/>
  </w:num>
  <w:num w:numId="4" w16cid:durableId="845024498">
    <w:abstractNumId w:val="10"/>
  </w:num>
  <w:num w:numId="5" w16cid:durableId="182936333">
    <w:abstractNumId w:val="9"/>
  </w:num>
  <w:num w:numId="6" w16cid:durableId="154223046">
    <w:abstractNumId w:val="2"/>
  </w:num>
  <w:num w:numId="7" w16cid:durableId="1871335466">
    <w:abstractNumId w:val="7"/>
  </w:num>
  <w:num w:numId="8" w16cid:durableId="574903752">
    <w:abstractNumId w:val="3"/>
  </w:num>
  <w:num w:numId="9" w16cid:durableId="1348556055">
    <w:abstractNumId w:val="1"/>
  </w:num>
  <w:num w:numId="10" w16cid:durableId="1234199258">
    <w:abstractNumId w:val="4"/>
  </w:num>
  <w:num w:numId="11" w16cid:durableId="135079081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aude Piguet">
    <w15:presenceInfo w15:providerId="AD" w15:userId="S::Claude.Piguet@unige.ch::7d49518f-6ef0-4fee-9a09-7f5922cb93c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stylePaneSortMethod w:val="0000"/>
  <w:defaultTabStop w:val="284"/>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15F3"/>
    <w:rsid w:val="00004CBA"/>
    <w:rsid w:val="00004F0C"/>
    <w:rsid w:val="00005B8A"/>
    <w:rsid w:val="00012CD6"/>
    <w:rsid w:val="00013BAE"/>
    <w:rsid w:val="00013C2E"/>
    <w:rsid w:val="00022D8A"/>
    <w:rsid w:val="00023DCD"/>
    <w:rsid w:val="000251F5"/>
    <w:rsid w:val="00026ECA"/>
    <w:rsid w:val="00030AAC"/>
    <w:rsid w:val="000313C0"/>
    <w:rsid w:val="00034D18"/>
    <w:rsid w:val="0003744F"/>
    <w:rsid w:val="0004787D"/>
    <w:rsid w:val="00050FBA"/>
    <w:rsid w:val="000517D2"/>
    <w:rsid w:val="00056F4B"/>
    <w:rsid w:val="000622D1"/>
    <w:rsid w:val="000646AB"/>
    <w:rsid w:val="000663D7"/>
    <w:rsid w:val="000717CE"/>
    <w:rsid w:val="00071E41"/>
    <w:rsid w:val="00072102"/>
    <w:rsid w:val="00073639"/>
    <w:rsid w:val="00074825"/>
    <w:rsid w:val="0007519C"/>
    <w:rsid w:val="00082543"/>
    <w:rsid w:val="0008621D"/>
    <w:rsid w:val="000922E5"/>
    <w:rsid w:val="000A04B2"/>
    <w:rsid w:val="000A2670"/>
    <w:rsid w:val="000A2CC1"/>
    <w:rsid w:val="000A51D6"/>
    <w:rsid w:val="000B0C16"/>
    <w:rsid w:val="000B0FD5"/>
    <w:rsid w:val="000B14E0"/>
    <w:rsid w:val="000B229A"/>
    <w:rsid w:val="000C0A9D"/>
    <w:rsid w:val="000D16EE"/>
    <w:rsid w:val="000D2FAC"/>
    <w:rsid w:val="000D473D"/>
    <w:rsid w:val="000D5891"/>
    <w:rsid w:val="000D6963"/>
    <w:rsid w:val="000D7D47"/>
    <w:rsid w:val="000E0E22"/>
    <w:rsid w:val="000E34C9"/>
    <w:rsid w:val="000E53D2"/>
    <w:rsid w:val="000E7A32"/>
    <w:rsid w:val="000F0959"/>
    <w:rsid w:val="000F0F1F"/>
    <w:rsid w:val="000F3A41"/>
    <w:rsid w:val="000F3FB8"/>
    <w:rsid w:val="0011215C"/>
    <w:rsid w:val="00114987"/>
    <w:rsid w:val="00120227"/>
    <w:rsid w:val="00126027"/>
    <w:rsid w:val="001329C0"/>
    <w:rsid w:val="00135C6D"/>
    <w:rsid w:val="001508E9"/>
    <w:rsid w:val="00162C57"/>
    <w:rsid w:val="001633D9"/>
    <w:rsid w:val="00165009"/>
    <w:rsid w:val="00171FE7"/>
    <w:rsid w:val="0017429A"/>
    <w:rsid w:val="001759E8"/>
    <w:rsid w:val="0017793A"/>
    <w:rsid w:val="00180ABE"/>
    <w:rsid w:val="0018130B"/>
    <w:rsid w:val="001923AB"/>
    <w:rsid w:val="001925B0"/>
    <w:rsid w:val="00193320"/>
    <w:rsid w:val="00194AB6"/>
    <w:rsid w:val="001A3D04"/>
    <w:rsid w:val="001B39C4"/>
    <w:rsid w:val="001B650D"/>
    <w:rsid w:val="001B7CBC"/>
    <w:rsid w:val="001C1EB8"/>
    <w:rsid w:val="001E1F8B"/>
    <w:rsid w:val="001E41F9"/>
    <w:rsid w:val="001F2955"/>
    <w:rsid w:val="001F2C55"/>
    <w:rsid w:val="001F68FE"/>
    <w:rsid w:val="001F6D82"/>
    <w:rsid w:val="00206A82"/>
    <w:rsid w:val="00213071"/>
    <w:rsid w:val="0021470F"/>
    <w:rsid w:val="00214BEC"/>
    <w:rsid w:val="0021694C"/>
    <w:rsid w:val="0022142D"/>
    <w:rsid w:val="002224A1"/>
    <w:rsid w:val="00230DCF"/>
    <w:rsid w:val="002343A7"/>
    <w:rsid w:val="00235BA6"/>
    <w:rsid w:val="00237C8A"/>
    <w:rsid w:val="0024022C"/>
    <w:rsid w:val="00240353"/>
    <w:rsid w:val="00241ACD"/>
    <w:rsid w:val="00247283"/>
    <w:rsid w:val="00253551"/>
    <w:rsid w:val="00255435"/>
    <w:rsid w:val="00255A25"/>
    <w:rsid w:val="002572D1"/>
    <w:rsid w:val="00261682"/>
    <w:rsid w:val="00263023"/>
    <w:rsid w:val="002636B6"/>
    <w:rsid w:val="00270DD5"/>
    <w:rsid w:val="00271235"/>
    <w:rsid w:val="00272D6F"/>
    <w:rsid w:val="00280FD0"/>
    <w:rsid w:val="00281597"/>
    <w:rsid w:val="00285933"/>
    <w:rsid w:val="00287649"/>
    <w:rsid w:val="002900CE"/>
    <w:rsid w:val="00293168"/>
    <w:rsid w:val="00295A10"/>
    <w:rsid w:val="002A5421"/>
    <w:rsid w:val="002A6696"/>
    <w:rsid w:val="002A6FA3"/>
    <w:rsid w:val="002B62B5"/>
    <w:rsid w:val="002B6CD1"/>
    <w:rsid w:val="002C0803"/>
    <w:rsid w:val="002C251C"/>
    <w:rsid w:val="002C3976"/>
    <w:rsid w:val="002C3D7C"/>
    <w:rsid w:val="002C4741"/>
    <w:rsid w:val="002C7702"/>
    <w:rsid w:val="002D42CA"/>
    <w:rsid w:val="002D7B75"/>
    <w:rsid w:val="002E12C8"/>
    <w:rsid w:val="002E1840"/>
    <w:rsid w:val="002E1A42"/>
    <w:rsid w:val="002E5B1D"/>
    <w:rsid w:val="002F18F5"/>
    <w:rsid w:val="002F52C3"/>
    <w:rsid w:val="00300BBB"/>
    <w:rsid w:val="00302DB1"/>
    <w:rsid w:val="00336890"/>
    <w:rsid w:val="00351237"/>
    <w:rsid w:val="00352029"/>
    <w:rsid w:val="00352991"/>
    <w:rsid w:val="00352AA4"/>
    <w:rsid w:val="003531BA"/>
    <w:rsid w:val="00354579"/>
    <w:rsid w:val="00356F00"/>
    <w:rsid w:val="00361A7D"/>
    <w:rsid w:val="003644E9"/>
    <w:rsid w:val="00367B1D"/>
    <w:rsid w:val="003711F1"/>
    <w:rsid w:val="0037540F"/>
    <w:rsid w:val="00376676"/>
    <w:rsid w:val="00377481"/>
    <w:rsid w:val="00377742"/>
    <w:rsid w:val="00380819"/>
    <w:rsid w:val="0038143D"/>
    <w:rsid w:val="00381634"/>
    <w:rsid w:val="00382A5A"/>
    <w:rsid w:val="00385965"/>
    <w:rsid w:val="003A0591"/>
    <w:rsid w:val="003A7E95"/>
    <w:rsid w:val="003B1C09"/>
    <w:rsid w:val="003B3F9D"/>
    <w:rsid w:val="003B4D03"/>
    <w:rsid w:val="003B739C"/>
    <w:rsid w:val="003C29C5"/>
    <w:rsid w:val="003C3945"/>
    <w:rsid w:val="003C6313"/>
    <w:rsid w:val="003D0C1F"/>
    <w:rsid w:val="003D22BB"/>
    <w:rsid w:val="003D4231"/>
    <w:rsid w:val="003D4ECA"/>
    <w:rsid w:val="003D6715"/>
    <w:rsid w:val="003D7CED"/>
    <w:rsid w:val="003E36BF"/>
    <w:rsid w:val="003E55B2"/>
    <w:rsid w:val="003E6EB3"/>
    <w:rsid w:val="003F63A2"/>
    <w:rsid w:val="004076C0"/>
    <w:rsid w:val="00412764"/>
    <w:rsid w:val="00413737"/>
    <w:rsid w:val="004201EC"/>
    <w:rsid w:val="00420B30"/>
    <w:rsid w:val="00422897"/>
    <w:rsid w:val="00423C10"/>
    <w:rsid w:val="00423D1C"/>
    <w:rsid w:val="00424D1D"/>
    <w:rsid w:val="0043180D"/>
    <w:rsid w:val="00432D12"/>
    <w:rsid w:val="004414A5"/>
    <w:rsid w:val="00442B26"/>
    <w:rsid w:val="00443DDC"/>
    <w:rsid w:val="0044700B"/>
    <w:rsid w:val="00454698"/>
    <w:rsid w:val="00461BA5"/>
    <w:rsid w:val="00463CC7"/>
    <w:rsid w:val="00467171"/>
    <w:rsid w:val="00467C80"/>
    <w:rsid w:val="00473350"/>
    <w:rsid w:val="00474052"/>
    <w:rsid w:val="0047645B"/>
    <w:rsid w:val="004764CA"/>
    <w:rsid w:val="0048648F"/>
    <w:rsid w:val="004877C8"/>
    <w:rsid w:val="004901D3"/>
    <w:rsid w:val="00493B47"/>
    <w:rsid w:val="004B324C"/>
    <w:rsid w:val="004B5EA4"/>
    <w:rsid w:val="004B7014"/>
    <w:rsid w:val="004B7910"/>
    <w:rsid w:val="004C163E"/>
    <w:rsid w:val="004C3B6E"/>
    <w:rsid w:val="004C531E"/>
    <w:rsid w:val="004C58D1"/>
    <w:rsid w:val="004C6C90"/>
    <w:rsid w:val="004D0586"/>
    <w:rsid w:val="004D4C7B"/>
    <w:rsid w:val="004D6E3F"/>
    <w:rsid w:val="004E12F3"/>
    <w:rsid w:val="004F7C86"/>
    <w:rsid w:val="004F7EAE"/>
    <w:rsid w:val="005037CD"/>
    <w:rsid w:val="00504610"/>
    <w:rsid w:val="00504795"/>
    <w:rsid w:val="0051105E"/>
    <w:rsid w:val="00512FA9"/>
    <w:rsid w:val="0051385E"/>
    <w:rsid w:val="00514CBA"/>
    <w:rsid w:val="0052630A"/>
    <w:rsid w:val="005273C0"/>
    <w:rsid w:val="0053177A"/>
    <w:rsid w:val="00533EA1"/>
    <w:rsid w:val="00534BB7"/>
    <w:rsid w:val="005352E1"/>
    <w:rsid w:val="005445B9"/>
    <w:rsid w:val="00551725"/>
    <w:rsid w:val="005522ED"/>
    <w:rsid w:val="00557381"/>
    <w:rsid w:val="005631DC"/>
    <w:rsid w:val="00565982"/>
    <w:rsid w:val="00566F42"/>
    <w:rsid w:val="005753B6"/>
    <w:rsid w:val="005771C3"/>
    <w:rsid w:val="00577B54"/>
    <w:rsid w:val="00580CE4"/>
    <w:rsid w:val="00583BDC"/>
    <w:rsid w:val="00584B03"/>
    <w:rsid w:val="00590F6D"/>
    <w:rsid w:val="005A5A6D"/>
    <w:rsid w:val="005A5ED7"/>
    <w:rsid w:val="005B6433"/>
    <w:rsid w:val="005C1A41"/>
    <w:rsid w:val="005C4565"/>
    <w:rsid w:val="005D0DE9"/>
    <w:rsid w:val="005D144C"/>
    <w:rsid w:val="005D24F5"/>
    <w:rsid w:val="005D368B"/>
    <w:rsid w:val="005D756B"/>
    <w:rsid w:val="005E05CD"/>
    <w:rsid w:val="005E3527"/>
    <w:rsid w:val="005F63B9"/>
    <w:rsid w:val="006003B5"/>
    <w:rsid w:val="00600582"/>
    <w:rsid w:val="0060627E"/>
    <w:rsid w:val="00610CB5"/>
    <w:rsid w:val="006111B2"/>
    <w:rsid w:val="0061572F"/>
    <w:rsid w:val="00616D34"/>
    <w:rsid w:val="006234F3"/>
    <w:rsid w:val="00631441"/>
    <w:rsid w:val="0063361B"/>
    <w:rsid w:val="00635350"/>
    <w:rsid w:val="00635EC6"/>
    <w:rsid w:val="006370F9"/>
    <w:rsid w:val="00641030"/>
    <w:rsid w:val="00645D52"/>
    <w:rsid w:val="00647561"/>
    <w:rsid w:val="0065133B"/>
    <w:rsid w:val="006556AC"/>
    <w:rsid w:val="00656364"/>
    <w:rsid w:val="006602F1"/>
    <w:rsid w:val="006652EA"/>
    <w:rsid w:val="006653FA"/>
    <w:rsid w:val="00670254"/>
    <w:rsid w:val="00670ED4"/>
    <w:rsid w:val="00672928"/>
    <w:rsid w:val="00674A86"/>
    <w:rsid w:val="00685AD2"/>
    <w:rsid w:val="006944BD"/>
    <w:rsid w:val="006965CE"/>
    <w:rsid w:val="006A61E5"/>
    <w:rsid w:val="006A69C8"/>
    <w:rsid w:val="006A70C9"/>
    <w:rsid w:val="006B218D"/>
    <w:rsid w:val="006B3CBC"/>
    <w:rsid w:val="006B462E"/>
    <w:rsid w:val="006C26D6"/>
    <w:rsid w:val="006C6048"/>
    <w:rsid w:val="006C7B2F"/>
    <w:rsid w:val="006C7F90"/>
    <w:rsid w:val="006D1DE2"/>
    <w:rsid w:val="006D3335"/>
    <w:rsid w:val="006D576A"/>
    <w:rsid w:val="006D6163"/>
    <w:rsid w:val="006D62EB"/>
    <w:rsid w:val="006D7A72"/>
    <w:rsid w:val="006E58B1"/>
    <w:rsid w:val="006F01C4"/>
    <w:rsid w:val="006F4251"/>
    <w:rsid w:val="006F487B"/>
    <w:rsid w:val="006F4F36"/>
    <w:rsid w:val="006F54FF"/>
    <w:rsid w:val="006F740B"/>
    <w:rsid w:val="00712DCE"/>
    <w:rsid w:val="0071393E"/>
    <w:rsid w:val="0072609F"/>
    <w:rsid w:val="00734EE3"/>
    <w:rsid w:val="00735E53"/>
    <w:rsid w:val="007368B8"/>
    <w:rsid w:val="007401EC"/>
    <w:rsid w:val="0074296D"/>
    <w:rsid w:val="00743405"/>
    <w:rsid w:val="0074378E"/>
    <w:rsid w:val="00744A41"/>
    <w:rsid w:val="00757058"/>
    <w:rsid w:val="00764518"/>
    <w:rsid w:val="007722DB"/>
    <w:rsid w:val="0078052C"/>
    <w:rsid w:val="00780A41"/>
    <w:rsid w:val="00785F23"/>
    <w:rsid w:val="00794787"/>
    <w:rsid w:val="00794F5B"/>
    <w:rsid w:val="00796135"/>
    <w:rsid w:val="00797BF3"/>
    <w:rsid w:val="007A37D8"/>
    <w:rsid w:val="007C0EE1"/>
    <w:rsid w:val="007C3257"/>
    <w:rsid w:val="007C3D03"/>
    <w:rsid w:val="007C4470"/>
    <w:rsid w:val="007C4FC6"/>
    <w:rsid w:val="007D0913"/>
    <w:rsid w:val="007D1EFA"/>
    <w:rsid w:val="007D5FE4"/>
    <w:rsid w:val="007D7F86"/>
    <w:rsid w:val="007E13FB"/>
    <w:rsid w:val="007E5990"/>
    <w:rsid w:val="007E6CEC"/>
    <w:rsid w:val="007F2489"/>
    <w:rsid w:val="007F2E93"/>
    <w:rsid w:val="00801A37"/>
    <w:rsid w:val="008020F7"/>
    <w:rsid w:val="00804DF7"/>
    <w:rsid w:val="008108D5"/>
    <w:rsid w:val="008125A0"/>
    <w:rsid w:val="00813AD0"/>
    <w:rsid w:val="0081416B"/>
    <w:rsid w:val="0081544A"/>
    <w:rsid w:val="0081673E"/>
    <w:rsid w:val="0082509A"/>
    <w:rsid w:val="0082592E"/>
    <w:rsid w:val="008260CF"/>
    <w:rsid w:val="00827DA2"/>
    <w:rsid w:val="00831A13"/>
    <w:rsid w:val="00832766"/>
    <w:rsid w:val="00834691"/>
    <w:rsid w:val="0083720F"/>
    <w:rsid w:val="00837C26"/>
    <w:rsid w:val="00841F37"/>
    <w:rsid w:val="00854106"/>
    <w:rsid w:val="008560DE"/>
    <w:rsid w:val="00856A1C"/>
    <w:rsid w:val="00881D19"/>
    <w:rsid w:val="00881E4D"/>
    <w:rsid w:val="0088525A"/>
    <w:rsid w:val="00891D77"/>
    <w:rsid w:val="00896EC2"/>
    <w:rsid w:val="008A0D60"/>
    <w:rsid w:val="008A1112"/>
    <w:rsid w:val="008B7173"/>
    <w:rsid w:val="008C07B5"/>
    <w:rsid w:val="008C1387"/>
    <w:rsid w:val="008C205F"/>
    <w:rsid w:val="008C5B82"/>
    <w:rsid w:val="008C5DF2"/>
    <w:rsid w:val="008C62B5"/>
    <w:rsid w:val="008C682F"/>
    <w:rsid w:val="008D3B15"/>
    <w:rsid w:val="008E509B"/>
    <w:rsid w:val="008F4811"/>
    <w:rsid w:val="008F525A"/>
    <w:rsid w:val="008F6B51"/>
    <w:rsid w:val="009026D4"/>
    <w:rsid w:val="00907AF7"/>
    <w:rsid w:val="00907B44"/>
    <w:rsid w:val="009238A8"/>
    <w:rsid w:val="009250AC"/>
    <w:rsid w:val="0092763E"/>
    <w:rsid w:val="009316A6"/>
    <w:rsid w:val="0093179A"/>
    <w:rsid w:val="00935325"/>
    <w:rsid w:val="00936114"/>
    <w:rsid w:val="0093649E"/>
    <w:rsid w:val="009400E9"/>
    <w:rsid w:val="00946830"/>
    <w:rsid w:val="00947749"/>
    <w:rsid w:val="0095145C"/>
    <w:rsid w:val="0095335F"/>
    <w:rsid w:val="0095618A"/>
    <w:rsid w:val="0095737A"/>
    <w:rsid w:val="00962779"/>
    <w:rsid w:val="009654EC"/>
    <w:rsid w:val="00972975"/>
    <w:rsid w:val="00981649"/>
    <w:rsid w:val="00984E0A"/>
    <w:rsid w:val="009918D9"/>
    <w:rsid w:val="0099480E"/>
    <w:rsid w:val="009948F6"/>
    <w:rsid w:val="009A366A"/>
    <w:rsid w:val="009A392D"/>
    <w:rsid w:val="009B0DF6"/>
    <w:rsid w:val="009B5B54"/>
    <w:rsid w:val="009D17C3"/>
    <w:rsid w:val="009D47C2"/>
    <w:rsid w:val="009E5102"/>
    <w:rsid w:val="009E51F8"/>
    <w:rsid w:val="009F1C48"/>
    <w:rsid w:val="009F2649"/>
    <w:rsid w:val="009F297E"/>
    <w:rsid w:val="009F6721"/>
    <w:rsid w:val="009F7738"/>
    <w:rsid w:val="00A05364"/>
    <w:rsid w:val="00A05865"/>
    <w:rsid w:val="00A074D7"/>
    <w:rsid w:val="00A07642"/>
    <w:rsid w:val="00A121D9"/>
    <w:rsid w:val="00A1377B"/>
    <w:rsid w:val="00A15E6C"/>
    <w:rsid w:val="00A17D23"/>
    <w:rsid w:val="00A208E1"/>
    <w:rsid w:val="00A35D80"/>
    <w:rsid w:val="00A46C54"/>
    <w:rsid w:val="00A521AB"/>
    <w:rsid w:val="00A5353C"/>
    <w:rsid w:val="00A56CD0"/>
    <w:rsid w:val="00A61D3E"/>
    <w:rsid w:val="00A64355"/>
    <w:rsid w:val="00A66A41"/>
    <w:rsid w:val="00A6763D"/>
    <w:rsid w:val="00A7643E"/>
    <w:rsid w:val="00A852FA"/>
    <w:rsid w:val="00A95D8D"/>
    <w:rsid w:val="00A9649E"/>
    <w:rsid w:val="00A97D73"/>
    <w:rsid w:val="00AA1341"/>
    <w:rsid w:val="00AA2D92"/>
    <w:rsid w:val="00AA47C6"/>
    <w:rsid w:val="00AA4F8E"/>
    <w:rsid w:val="00AB16D0"/>
    <w:rsid w:val="00AB2C1B"/>
    <w:rsid w:val="00AB2C40"/>
    <w:rsid w:val="00AB5844"/>
    <w:rsid w:val="00AB6ACF"/>
    <w:rsid w:val="00AC3BF2"/>
    <w:rsid w:val="00AC6ADA"/>
    <w:rsid w:val="00AD17CA"/>
    <w:rsid w:val="00AD4930"/>
    <w:rsid w:val="00AD5483"/>
    <w:rsid w:val="00AD658E"/>
    <w:rsid w:val="00AE5720"/>
    <w:rsid w:val="00AF0249"/>
    <w:rsid w:val="00AF150F"/>
    <w:rsid w:val="00AF4737"/>
    <w:rsid w:val="00AF7BCC"/>
    <w:rsid w:val="00B03A7F"/>
    <w:rsid w:val="00B0470A"/>
    <w:rsid w:val="00B07524"/>
    <w:rsid w:val="00B155C5"/>
    <w:rsid w:val="00B168C9"/>
    <w:rsid w:val="00B2364D"/>
    <w:rsid w:val="00B277E4"/>
    <w:rsid w:val="00B33274"/>
    <w:rsid w:val="00B35BE5"/>
    <w:rsid w:val="00B40E78"/>
    <w:rsid w:val="00B42D7E"/>
    <w:rsid w:val="00B43BE7"/>
    <w:rsid w:val="00B47F0E"/>
    <w:rsid w:val="00B50517"/>
    <w:rsid w:val="00B51077"/>
    <w:rsid w:val="00B53582"/>
    <w:rsid w:val="00B5534B"/>
    <w:rsid w:val="00B6176F"/>
    <w:rsid w:val="00B6239D"/>
    <w:rsid w:val="00B67630"/>
    <w:rsid w:val="00B70B18"/>
    <w:rsid w:val="00B71950"/>
    <w:rsid w:val="00B722DE"/>
    <w:rsid w:val="00B757B0"/>
    <w:rsid w:val="00B80DDB"/>
    <w:rsid w:val="00B81039"/>
    <w:rsid w:val="00B81EE1"/>
    <w:rsid w:val="00B82DA3"/>
    <w:rsid w:val="00B87E4B"/>
    <w:rsid w:val="00B9392D"/>
    <w:rsid w:val="00BA09E4"/>
    <w:rsid w:val="00BA2CA6"/>
    <w:rsid w:val="00BA42DD"/>
    <w:rsid w:val="00BA502C"/>
    <w:rsid w:val="00BA5AFB"/>
    <w:rsid w:val="00BA733C"/>
    <w:rsid w:val="00BA761E"/>
    <w:rsid w:val="00BB0AD4"/>
    <w:rsid w:val="00BB30CB"/>
    <w:rsid w:val="00BB3FBE"/>
    <w:rsid w:val="00BB74B9"/>
    <w:rsid w:val="00BC2FC4"/>
    <w:rsid w:val="00BC424C"/>
    <w:rsid w:val="00BC603D"/>
    <w:rsid w:val="00BD101C"/>
    <w:rsid w:val="00BD33E0"/>
    <w:rsid w:val="00BE4FDA"/>
    <w:rsid w:val="00BF2C32"/>
    <w:rsid w:val="00C008FC"/>
    <w:rsid w:val="00C03CE1"/>
    <w:rsid w:val="00C12C53"/>
    <w:rsid w:val="00C3016F"/>
    <w:rsid w:val="00C31922"/>
    <w:rsid w:val="00C32EDF"/>
    <w:rsid w:val="00C34C18"/>
    <w:rsid w:val="00C3551A"/>
    <w:rsid w:val="00C36B71"/>
    <w:rsid w:val="00C37C12"/>
    <w:rsid w:val="00C405FD"/>
    <w:rsid w:val="00C42573"/>
    <w:rsid w:val="00C44148"/>
    <w:rsid w:val="00C451B8"/>
    <w:rsid w:val="00C500CD"/>
    <w:rsid w:val="00C5024A"/>
    <w:rsid w:val="00C5571F"/>
    <w:rsid w:val="00C57107"/>
    <w:rsid w:val="00C603DB"/>
    <w:rsid w:val="00C61071"/>
    <w:rsid w:val="00C61B20"/>
    <w:rsid w:val="00C62C2D"/>
    <w:rsid w:val="00C63B2A"/>
    <w:rsid w:val="00C670E9"/>
    <w:rsid w:val="00C75DB3"/>
    <w:rsid w:val="00C800EC"/>
    <w:rsid w:val="00C82C89"/>
    <w:rsid w:val="00C862C2"/>
    <w:rsid w:val="00C90837"/>
    <w:rsid w:val="00C90D28"/>
    <w:rsid w:val="00C9227C"/>
    <w:rsid w:val="00C9557D"/>
    <w:rsid w:val="00CA1C2A"/>
    <w:rsid w:val="00CA2740"/>
    <w:rsid w:val="00CA3D0D"/>
    <w:rsid w:val="00CA4CC4"/>
    <w:rsid w:val="00CB212B"/>
    <w:rsid w:val="00CC12E6"/>
    <w:rsid w:val="00CC2E25"/>
    <w:rsid w:val="00CC755C"/>
    <w:rsid w:val="00CC7C64"/>
    <w:rsid w:val="00CC7E10"/>
    <w:rsid w:val="00CD00A3"/>
    <w:rsid w:val="00CD0B47"/>
    <w:rsid w:val="00CD46FE"/>
    <w:rsid w:val="00CD58C8"/>
    <w:rsid w:val="00CE4B37"/>
    <w:rsid w:val="00CE5D18"/>
    <w:rsid w:val="00CF24E8"/>
    <w:rsid w:val="00CF29C1"/>
    <w:rsid w:val="00CF3117"/>
    <w:rsid w:val="00CF5F1A"/>
    <w:rsid w:val="00D010E8"/>
    <w:rsid w:val="00D02A3E"/>
    <w:rsid w:val="00D02C04"/>
    <w:rsid w:val="00D04E6B"/>
    <w:rsid w:val="00D065CD"/>
    <w:rsid w:val="00D06A36"/>
    <w:rsid w:val="00D11DD3"/>
    <w:rsid w:val="00D138E8"/>
    <w:rsid w:val="00D14622"/>
    <w:rsid w:val="00D16C7C"/>
    <w:rsid w:val="00D20259"/>
    <w:rsid w:val="00D208BA"/>
    <w:rsid w:val="00D21668"/>
    <w:rsid w:val="00D216BC"/>
    <w:rsid w:val="00D3334F"/>
    <w:rsid w:val="00D34EE7"/>
    <w:rsid w:val="00D402F5"/>
    <w:rsid w:val="00D42F8F"/>
    <w:rsid w:val="00D43EE2"/>
    <w:rsid w:val="00D443E1"/>
    <w:rsid w:val="00D45446"/>
    <w:rsid w:val="00D45ADF"/>
    <w:rsid w:val="00D5031E"/>
    <w:rsid w:val="00D60138"/>
    <w:rsid w:val="00D632AB"/>
    <w:rsid w:val="00D80732"/>
    <w:rsid w:val="00D81C88"/>
    <w:rsid w:val="00D8369A"/>
    <w:rsid w:val="00D87083"/>
    <w:rsid w:val="00D8760A"/>
    <w:rsid w:val="00D933E8"/>
    <w:rsid w:val="00DA07F1"/>
    <w:rsid w:val="00DA3A32"/>
    <w:rsid w:val="00DC4C70"/>
    <w:rsid w:val="00DD06F4"/>
    <w:rsid w:val="00DD500F"/>
    <w:rsid w:val="00DE7B7C"/>
    <w:rsid w:val="00DF1E2E"/>
    <w:rsid w:val="00DF53E4"/>
    <w:rsid w:val="00DF78CF"/>
    <w:rsid w:val="00E02045"/>
    <w:rsid w:val="00E044C1"/>
    <w:rsid w:val="00E14B8D"/>
    <w:rsid w:val="00E2136E"/>
    <w:rsid w:val="00E22802"/>
    <w:rsid w:val="00E2360F"/>
    <w:rsid w:val="00E23F1A"/>
    <w:rsid w:val="00E25AF8"/>
    <w:rsid w:val="00E267BC"/>
    <w:rsid w:val="00E315C5"/>
    <w:rsid w:val="00E31A6A"/>
    <w:rsid w:val="00E33C9C"/>
    <w:rsid w:val="00E34AF5"/>
    <w:rsid w:val="00E46BDF"/>
    <w:rsid w:val="00E525FF"/>
    <w:rsid w:val="00E547DB"/>
    <w:rsid w:val="00E555BF"/>
    <w:rsid w:val="00E61949"/>
    <w:rsid w:val="00E66045"/>
    <w:rsid w:val="00E67993"/>
    <w:rsid w:val="00E70DCE"/>
    <w:rsid w:val="00E7374F"/>
    <w:rsid w:val="00E77A60"/>
    <w:rsid w:val="00E77C78"/>
    <w:rsid w:val="00E87276"/>
    <w:rsid w:val="00E92162"/>
    <w:rsid w:val="00EA0A9A"/>
    <w:rsid w:val="00EA2C1D"/>
    <w:rsid w:val="00EA446A"/>
    <w:rsid w:val="00EA7DC1"/>
    <w:rsid w:val="00EB0729"/>
    <w:rsid w:val="00EB5BA2"/>
    <w:rsid w:val="00EB5C28"/>
    <w:rsid w:val="00EB6F6B"/>
    <w:rsid w:val="00EC131D"/>
    <w:rsid w:val="00EC2D2C"/>
    <w:rsid w:val="00EC6884"/>
    <w:rsid w:val="00ED38E9"/>
    <w:rsid w:val="00ED670B"/>
    <w:rsid w:val="00EE021B"/>
    <w:rsid w:val="00EE3AFB"/>
    <w:rsid w:val="00EE4C61"/>
    <w:rsid w:val="00EF0D19"/>
    <w:rsid w:val="00EF1577"/>
    <w:rsid w:val="00EF3661"/>
    <w:rsid w:val="00EF6BD4"/>
    <w:rsid w:val="00F02A47"/>
    <w:rsid w:val="00F05C18"/>
    <w:rsid w:val="00F14B1B"/>
    <w:rsid w:val="00F157DD"/>
    <w:rsid w:val="00F15CDE"/>
    <w:rsid w:val="00F15F90"/>
    <w:rsid w:val="00F21465"/>
    <w:rsid w:val="00F2375C"/>
    <w:rsid w:val="00F3085C"/>
    <w:rsid w:val="00F338AB"/>
    <w:rsid w:val="00F56875"/>
    <w:rsid w:val="00F6065C"/>
    <w:rsid w:val="00F60DA8"/>
    <w:rsid w:val="00F61EB1"/>
    <w:rsid w:val="00F62610"/>
    <w:rsid w:val="00F62C8B"/>
    <w:rsid w:val="00F7150D"/>
    <w:rsid w:val="00F72481"/>
    <w:rsid w:val="00F74E2A"/>
    <w:rsid w:val="00F74FE4"/>
    <w:rsid w:val="00F76BC1"/>
    <w:rsid w:val="00F80269"/>
    <w:rsid w:val="00F802D4"/>
    <w:rsid w:val="00F83C11"/>
    <w:rsid w:val="00F849E9"/>
    <w:rsid w:val="00F91982"/>
    <w:rsid w:val="00F92BFE"/>
    <w:rsid w:val="00F94E69"/>
    <w:rsid w:val="00FA2012"/>
    <w:rsid w:val="00FA2DA2"/>
    <w:rsid w:val="00FA311A"/>
    <w:rsid w:val="00FA7A75"/>
    <w:rsid w:val="00FB00B4"/>
    <w:rsid w:val="00FB048D"/>
    <w:rsid w:val="00FB16A8"/>
    <w:rsid w:val="00FB40CC"/>
    <w:rsid w:val="00FB5FC4"/>
    <w:rsid w:val="00FB6C4E"/>
    <w:rsid w:val="00FC07F6"/>
    <w:rsid w:val="00FC1AAD"/>
    <w:rsid w:val="00FC32CD"/>
    <w:rsid w:val="00FD0895"/>
    <w:rsid w:val="00FD24E4"/>
    <w:rsid w:val="00FD3877"/>
    <w:rsid w:val="00FD6B42"/>
    <w:rsid w:val="00FE083B"/>
    <w:rsid w:val="00FE0FE8"/>
    <w:rsid w:val="00FF56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FF81D6"/>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character" w:styleId="CommentReference">
    <w:name w:val="annotation reference"/>
    <w:basedOn w:val="DefaultParagraphFont"/>
    <w:uiPriority w:val="99"/>
    <w:semiHidden/>
    <w:unhideWhenUsed/>
    <w:rsid w:val="0060627E"/>
    <w:rPr>
      <w:sz w:val="16"/>
      <w:szCs w:val="16"/>
    </w:rPr>
  </w:style>
  <w:style w:type="paragraph" w:styleId="CommentText">
    <w:name w:val="annotation text"/>
    <w:basedOn w:val="Normal"/>
    <w:link w:val="CommentTextChar"/>
    <w:uiPriority w:val="99"/>
    <w:unhideWhenUsed/>
    <w:rsid w:val="0060627E"/>
    <w:pPr>
      <w:spacing w:line="240" w:lineRule="auto"/>
    </w:pPr>
    <w:rPr>
      <w:sz w:val="20"/>
      <w:szCs w:val="20"/>
    </w:rPr>
  </w:style>
  <w:style w:type="character" w:customStyle="1" w:styleId="CommentTextChar">
    <w:name w:val="Comment Text Char"/>
    <w:basedOn w:val="DefaultParagraphFont"/>
    <w:link w:val="CommentText"/>
    <w:uiPriority w:val="99"/>
    <w:rsid w:val="0060627E"/>
    <w:rPr>
      <w:sz w:val="20"/>
      <w:szCs w:val="20"/>
    </w:rPr>
  </w:style>
  <w:style w:type="paragraph" w:styleId="CommentSubject">
    <w:name w:val="annotation subject"/>
    <w:basedOn w:val="CommentText"/>
    <w:next w:val="CommentText"/>
    <w:link w:val="CommentSubjectChar"/>
    <w:uiPriority w:val="99"/>
    <w:semiHidden/>
    <w:unhideWhenUsed/>
    <w:rsid w:val="0060627E"/>
    <w:rPr>
      <w:b/>
      <w:bCs/>
    </w:rPr>
  </w:style>
  <w:style w:type="character" w:customStyle="1" w:styleId="CommentSubjectChar">
    <w:name w:val="Comment Subject Char"/>
    <w:basedOn w:val="CommentTextChar"/>
    <w:link w:val="CommentSubject"/>
    <w:uiPriority w:val="99"/>
    <w:semiHidden/>
    <w:rsid w:val="0060627E"/>
    <w:rPr>
      <w:b/>
      <w:bCs/>
      <w:sz w:val="20"/>
      <w:szCs w:val="20"/>
    </w:rPr>
  </w:style>
  <w:style w:type="character" w:styleId="UnresolvedMention">
    <w:name w:val="Unresolved Mention"/>
    <w:basedOn w:val="DefaultParagraphFont"/>
    <w:uiPriority w:val="99"/>
    <w:semiHidden/>
    <w:unhideWhenUsed/>
    <w:rsid w:val="00F74FE4"/>
    <w:rPr>
      <w:color w:val="605E5C"/>
      <w:shd w:val="clear" w:color="auto" w:fill="E1DFDD"/>
    </w:rPr>
  </w:style>
  <w:style w:type="character" w:styleId="PlaceholderText">
    <w:name w:val="Placeholder Text"/>
    <w:basedOn w:val="DefaultParagraphFont"/>
    <w:uiPriority w:val="99"/>
    <w:semiHidden/>
    <w:rsid w:val="00600582"/>
    <w:rPr>
      <w:color w:val="666666"/>
    </w:rPr>
  </w:style>
  <w:style w:type="character" w:customStyle="1" w:styleId="TMSRMN">
    <w:name w:val="TMSRMN"/>
    <w:qFormat/>
    <w:rsid w:val="00C008FC"/>
    <w:rPr>
      <w:rFonts w:ascii="Times New Roman" w:hAnsi="Times New Roman"/>
      <w:sz w:val="24"/>
    </w:rPr>
  </w:style>
  <w:style w:type="paragraph" w:customStyle="1" w:styleId="FlushLeft">
    <w:name w:val="Flush Left"/>
    <w:basedOn w:val="Normal"/>
    <w:link w:val="FlushLeftChar1"/>
    <w:rsid w:val="00C008FC"/>
    <w:pPr>
      <w:spacing w:after="0" w:line="480" w:lineRule="auto"/>
      <w:jc w:val="both"/>
    </w:pPr>
    <w:rPr>
      <w:rFonts w:ascii="Times New Roman" w:eastAsia="Times New Roman" w:hAnsi="Times New Roman" w:cs="Times New Roman"/>
      <w:noProof/>
      <w:sz w:val="24"/>
      <w:szCs w:val="20"/>
    </w:rPr>
  </w:style>
  <w:style w:type="character" w:customStyle="1" w:styleId="FlushLeftChar1">
    <w:name w:val="Flush Left Char1"/>
    <w:basedOn w:val="DefaultParagraphFont"/>
    <w:link w:val="FlushLeft"/>
    <w:rsid w:val="00C008FC"/>
    <w:rPr>
      <w:rFonts w:ascii="Times New Roman" w:eastAsia="Times New Roman" w:hAnsi="Times New Roman" w:cs="Times New Roman"/>
      <w:noProof/>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876045536">
      <w:bodyDiv w:val="1"/>
      <w:marLeft w:val="0"/>
      <w:marRight w:val="0"/>
      <w:marTop w:val="0"/>
      <w:marBottom w:val="0"/>
      <w:divBdr>
        <w:top w:val="none" w:sz="0" w:space="0" w:color="auto"/>
        <w:left w:val="none" w:sz="0" w:space="0" w:color="auto"/>
        <w:bottom w:val="none" w:sz="0" w:space="0" w:color="auto"/>
        <w:right w:val="none" w:sz="0" w:space="0" w:color="auto"/>
      </w:divBdr>
    </w:div>
    <w:div w:id="1055085324">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25568417">
      <w:bodyDiv w:val="1"/>
      <w:marLeft w:val="0"/>
      <w:marRight w:val="0"/>
      <w:marTop w:val="0"/>
      <w:marBottom w:val="0"/>
      <w:divBdr>
        <w:top w:val="none" w:sz="0" w:space="0" w:color="auto"/>
        <w:left w:val="none" w:sz="0" w:space="0" w:color="auto"/>
        <w:bottom w:val="none" w:sz="0" w:space="0" w:color="auto"/>
        <w:right w:val="none" w:sz="0" w:space="0" w:color="auto"/>
      </w:divBdr>
    </w:div>
    <w:div w:id="1429501753">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1617979077">
      <w:bodyDiv w:val="1"/>
      <w:marLeft w:val="0"/>
      <w:marRight w:val="0"/>
      <w:marTop w:val="0"/>
      <w:marBottom w:val="0"/>
      <w:divBdr>
        <w:top w:val="none" w:sz="0" w:space="0" w:color="auto"/>
        <w:left w:val="none" w:sz="0" w:space="0" w:color="auto"/>
        <w:bottom w:val="none" w:sz="0" w:space="0" w:color="auto"/>
        <w:right w:val="none" w:sz="0" w:space="0" w:color="auto"/>
      </w:divBdr>
      <w:divsChild>
        <w:div w:id="699205131">
          <w:marLeft w:val="0"/>
          <w:marRight w:val="0"/>
          <w:marTop w:val="0"/>
          <w:marBottom w:val="0"/>
          <w:divBdr>
            <w:top w:val="none" w:sz="0" w:space="0" w:color="auto"/>
            <w:left w:val="none" w:sz="0" w:space="0" w:color="auto"/>
            <w:bottom w:val="dotted" w:sz="6" w:space="0" w:color="333333"/>
            <w:right w:val="none" w:sz="0" w:space="0" w:color="auto"/>
          </w:divBdr>
        </w:div>
      </w:divsChild>
    </w:div>
    <w:div w:id="2063938074">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microsoft.com/office/2018/08/relationships/commentsExtensible" Target="commentsExtensible.xml"/><Relationship Id="rId26" Type="http://schemas.openxmlformats.org/officeDocument/2006/relationships/hyperlink" Target="https://www.rsc.org/journals-books-databases/journal-authors-reviewers/author-responsibilities/" TargetMode="External"/><Relationship Id="rId3" Type="http://schemas.openxmlformats.org/officeDocument/2006/relationships/styles" Target="styles.xml"/><Relationship Id="rId21" Type="http://schemas.openxmlformats.org/officeDocument/2006/relationships/image" Target="media/image3.emf"/><Relationship Id="rId7" Type="http://schemas.openxmlformats.org/officeDocument/2006/relationships/endnotes" Target="endnotes.xml"/><Relationship Id="rId12" Type="http://schemas.openxmlformats.org/officeDocument/2006/relationships/header" Target="header3.xml"/><Relationship Id="rId17" Type="http://schemas.microsoft.com/office/2016/09/relationships/commentsIds" Target="commentsIds.xml"/><Relationship Id="rId25" Type="http://schemas.openxmlformats.org/officeDocument/2006/relationships/hyperlink" Target="https://credit.niso.org/" TargetMode="Externa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header" Target="header4.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www.s3it.uzh.ch" TargetMode="Externa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4.emf"/><Relationship Id="rId27" Type="http://schemas.openxmlformats.org/officeDocument/2006/relationships/hyperlink" Target="http://www.rsc.org/journals-books-databases/journal-authors-reviewers/author-responsibilities/" TargetMode="Externa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2883CA-9281-40ED-93D0-EC93493C5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42879</Words>
  <Characters>235839</Characters>
  <Application>Microsoft Office Word</Application>
  <DocSecurity>0</DocSecurity>
  <Lines>1965</Lines>
  <Paragraphs>556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The Royal Society of Chemistry</Company>
  <LinksUpToDate>false</LinksUpToDate>
  <CharactersWithSpaces>278162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Claude Piguet</cp:lastModifiedBy>
  <cp:revision>2</cp:revision>
  <cp:lastPrinted>2024-11-18T16:32:00Z</cp:lastPrinted>
  <dcterms:created xsi:type="dcterms:W3CDTF">2025-03-24T17:13:00Z</dcterms:created>
  <dcterms:modified xsi:type="dcterms:W3CDTF">2025-03-24T17:13:00Z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http://www.zotero.org/styles/american-sociological-association</vt:lpwstr>
  </property>
  <property fmtid="{D5CDD505-2E9C-101B-9397-08002B2CF9AE}" pid="3" name="Mendeley Recent Style Name 0_1">
    <vt:lpwstr>American Sociological Association 6th edition</vt:lpwstr>
  </property>
  <property fmtid="{D5CDD505-2E9C-101B-9397-08002B2CF9AE}" pid="4" name="Mendeley Recent Style Id 1_1">
    <vt:lpwstr>http://www.zotero.org/styles/chemical-science</vt:lpwstr>
  </property>
  <property fmtid="{D5CDD505-2E9C-101B-9397-08002B2CF9AE}" pid="5" name="Mendeley Recent Style Name 1_1">
    <vt:lpwstr>Chemical Science</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12th edition - Harvard</vt:lpwstr>
  </property>
  <property fmtid="{D5CDD505-2E9C-101B-9397-08002B2CF9AE}" pid="10" name="Mendeley Recent Style Id 4_1">
    <vt:lpwstr>http://www.zotero.org/styles/dalton-transactions</vt:lpwstr>
  </property>
  <property fmtid="{D5CDD505-2E9C-101B-9397-08002B2CF9AE}" pid="11" name="Mendeley Recent Style Name 4_1">
    <vt:lpwstr>Dalton Transactions</vt:lpwstr>
  </property>
  <property fmtid="{D5CDD505-2E9C-101B-9397-08002B2CF9AE}" pid="12" name="Mendeley Recent Style Id 5_1">
    <vt:lpwstr>http://www.zotero.org/styles/inorganic-chemistry</vt:lpwstr>
  </property>
  <property fmtid="{D5CDD505-2E9C-101B-9397-08002B2CF9AE}" pid="13" name="Mendeley Recent Style Name 5_1">
    <vt:lpwstr>Inorganic Chemistry</vt:lpwstr>
  </property>
  <property fmtid="{D5CDD505-2E9C-101B-9397-08002B2CF9AE}" pid="14" name="Mendeley Recent Style Id 6_1">
    <vt:lpwstr>http://www.zotero.org/styles/inorganic-chemistry-frontiers</vt:lpwstr>
  </property>
  <property fmtid="{D5CDD505-2E9C-101B-9397-08002B2CF9AE}" pid="15" name="Mendeley Recent Style Name 6_1">
    <vt:lpwstr>Inorganic Chemistry Frontiers</vt:lpwstr>
  </property>
  <property fmtid="{D5CDD505-2E9C-101B-9397-08002B2CF9AE}" pid="16" name="Mendeley Recent Style Id 7_1">
    <vt:lpwstr>http://www.zotero.org/styles/journal-of-the-american-chemical-society</vt:lpwstr>
  </property>
  <property fmtid="{D5CDD505-2E9C-101B-9397-08002B2CF9AE}" pid="17" name="Mendeley Recent Style Name 7_1">
    <vt:lpwstr>Journal of the American Chemical Society</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http://www.zotero.org/styles/royal-society-of-chemistry-with-titles</vt:lpwstr>
  </property>
  <property fmtid="{D5CDD505-2E9C-101B-9397-08002B2CF9AE}" pid="21" name="Mendeley Recent Style Name 9_1">
    <vt:lpwstr>Royal Society of Chemistry (with titles)</vt:lpwstr>
  </property>
  <property fmtid="{D5CDD505-2E9C-101B-9397-08002B2CF9AE}" pid="22" name="Mendeley Document_1">
    <vt:lpwstr>True</vt:lpwstr>
  </property>
  <property fmtid="{D5CDD505-2E9C-101B-9397-08002B2CF9AE}" pid="23" name="Mendeley Citation Style_1">
    <vt:lpwstr>http://www.zotero.org/styles/chemical-science</vt:lpwstr>
  </property>
  <property fmtid="{D5CDD505-2E9C-101B-9397-08002B2CF9AE}" pid="24" name="Mendeley Unique User Id_1">
    <vt:lpwstr>afc77901-e14d-33cd-b588-15623bca34f7</vt:lpwstr>
  </property>
</Properties>
</file>