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91E84" w:rsidRDefault="00DC0AD6">
      <w:pPr>
        <w:jc w:val="center"/>
        <w:rPr>
          <w:sz w:val="36"/>
          <w:szCs w:val="36"/>
        </w:rPr>
      </w:pPr>
      <w:r>
        <w:rPr>
          <w:noProof/>
          <w:sz w:val="36"/>
          <w:szCs w:val="36"/>
          <w:lang w:val="fr-FR"/>
        </w:rPr>
        <w:drawing>
          <wp:inline distT="0" distB="0" distL="0" distR="0">
            <wp:extent cx="3200400" cy="609600"/>
            <wp:effectExtent l="0" t="0" r="0" b="0"/>
            <wp:docPr id="3097" name="image7.png" descr="agu_pubart-white_reduc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 descr="agu_pubart-white_reduced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609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F91E84" w:rsidRDefault="00DC0AD6">
      <w:pPr>
        <w:spacing w:before="280" w:after="280"/>
        <w:jc w:val="center"/>
        <w:rPr>
          <w:rFonts w:ascii="Open Sans" w:eastAsia="Open Sans" w:hAnsi="Open Sans" w:cs="Open Sans"/>
          <w:i/>
        </w:rPr>
      </w:pPr>
      <w:r>
        <w:rPr>
          <w:rFonts w:ascii="Open Sans" w:eastAsia="Open Sans" w:hAnsi="Open Sans" w:cs="Open Sans"/>
          <w:i/>
        </w:rPr>
        <w:t>Global Biogeochemical Cycles</w:t>
      </w:r>
    </w:p>
    <w:p w:rsidR="00F91E84" w:rsidRDefault="00DC0AD6">
      <w:pPr>
        <w:spacing w:before="280" w:after="280"/>
        <w:jc w:val="center"/>
        <w:rPr>
          <w:rFonts w:ascii="Open Sans" w:eastAsia="Open Sans" w:hAnsi="Open Sans" w:cs="Open Sans"/>
        </w:rPr>
      </w:pPr>
      <w:r>
        <w:rPr>
          <w:rFonts w:ascii="Open Sans" w:eastAsia="Open Sans" w:hAnsi="Open Sans" w:cs="Open Sans"/>
        </w:rPr>
        <w:t>Supporting Information for</w:t>
      </w:r>
    </w:p>
    <w:p w:rsidR="00F91E84" w:rsidRDefault="00DC0AD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Cambria" w:eastAsia="Cambria" w:hAnsi="Cambria" w:cs="Cambria"/>
          <w:b/>
          <w:sz w:val="32"/>
          <w:szCs w:val="32"/>
        </w:rPr>
      </w:pPr>
      <w:r>
        <w:rPr>
          <w:rFonts w:ascii="Cambria" w:eastAsia="Cambria" w:hAnsi="Cambria" w:cs="Cambria"/>
          <w:b/>
          <w:sz w:val="32"/>
          <w:szCs w:val="32"/>
        </w:rPr>
        <w:t xml:space="preserve">Carbon and greenhouse gas budgets of Europe: trends, </w:t>
      </w:r>
      <w:proofErr w:type="spellStart"/>
      <w:r>
        <w:rPr>
          <w:rFonts w:ascii="Cambria" w:eastAsia="Cambria" w:hAnsi="Cambria" w:cs="Cambria"/>
          <w:b/>
          <w:sz w:val="32"/>
          <w:szCs w:val="32"/>
        </w:rPr>
        <w:t>interannual</w:t>
      </w:r>
      <w:proofErr w:type="spellEnd"/>
      <w:r>
        <w:rPr>
          <w:rFonts w:ascii="Cambria" w:eastAsia="Cambria" w:hAnsi="Cambria" w:cs="Cambria"/>
          <w:b/>
          <w:sz w:val="32"/>
          <w:szCs w:val="32"/>
        </w:rPr>
        <w:t xml:space="preserve"> and spatial variability, and their drivers</w:t>
      </w:r>
    </w:p>
    <w:p w:rsidR="00F91E84" w:rsidRDefault="00F91E84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>Ronny Lauerwald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1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Ana Bastos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Matthew J. McGrath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Ana Maria Roxana Petrescu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4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François Ritter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Robbie M. Andrew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5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Antoine Berchet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Grégoire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Broquet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Dominik Brunner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6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Frédéric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Chevallier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Alessandro Cescatti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7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Sara Filipek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8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Audrey Fortems-Cheiney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3,27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Giovanni Forzieri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10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Pierre Friedlingstein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11, 12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Richard Fuchs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13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Christoph Gerbig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Sander Houweling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4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Piyu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Ke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11,16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Bas .J.W. Lerink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8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Wanjing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Li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vertAlign w:val="superscript"/>
        </w:rPr>
        <w:t>16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Wei Li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vertAlign w:val="superscript"/>
        </w:rPr>
        <w:t>16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Xiaojun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Li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vertAlign w:val="superscript"/>
        </w:rPr>
        <w:t>17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Ingrid Luijkx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28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Guillaume Monteil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9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Saqr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Munassar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Gert-Jan Nabuurs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8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Prabir K. Patra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18,19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Philippe Peylin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Julia Pongratz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14,20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Pierre Regni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21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Marielle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Saunois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Mart-Jan Schelhaas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8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Marko Scholze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9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Stephen Sitch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11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Rona L. Thompson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22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Hanqin Tian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23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Aki Tsuruta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4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Chris Wilson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25,26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Jean-Pierre Wigneron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vertAlign w:val="superscript"/>
        </w:rPr>
        <w:t>17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Yitong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Yao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Sönke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Zaehle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, and Philippe Ciais</w:t>
      </w: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: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</w:t>
      </w:r>
    </w:p>
    <w:p w:rsidR="00F91E84" w:rsidRDefault="00F91E84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:rsidR="00F91E84" w:rsidRPr="00DC0AD6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DC0AD6"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/>
        </w:rPr>
        <w:t>1</w:t>
      </w:r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Université Paris-Saclay, </w:t>
      </w:r>
      <w:proofErr w:type="spellStart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>INRAe</w:t>
      </w:r>
      <w:proofErr w:type="spellEnd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>/</w:t>
      </w:r>
      <w:proofErr w:type="spellStart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>AgroParisTech</w:t>
      </w:r>
      <w:proofErr w:type="spellEnd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UMR </w:t>
      </w:r>
      <w:proofErr w:type="spellStart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>EcoSys</w:t>
      </w:r>
      <w:proofErr w:type="spellEnd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>, Palaiseau, France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>Max-Planck-Institute for Biogeochemistry, Jena, Germany</w:t>
      </w:r>
    </w:p>
    <w:p w:rsidR="00F91E84" w:rsidRPr="00DC0AD6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DC0AD6"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/>
        </w:rPr>
        <w:t>3</w:t>
      </w:r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>Université Paris-Saclay, CEA/CNRS/UVSQ Laboratoire des Sciences du Climat et de l'Environnement, Gif-sur-Yvette, France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4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Department of Earth Sciences,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Vrije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Universiteit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Amsterdam, Amsterdam, 1081HV,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The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Netherlands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5</w:t>
      </w:r>
      <w:r>
        <w:rPr>
          <w:rFonts w:ascii="Times New Roman" w:eastAsia="Times New Roman" w:hAnsi="Times New Roman" w:cs="Times New Roman"/>
          <w:sz w:val="24"/>
          <w:szCs w:val="24"/>
        </w:rPr>
        <w:t>CICERO Center for International Climate Research, Oslo, Norway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6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Empa, Swiss Federal Laboratories for Materials Science and Technology,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Dübendorf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8600, Switzerl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7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European Commission, Joint Research Centre (JRC),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Ispra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Italy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8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Wageningen Environmental Research,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Wageningen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University and Research (WUR),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Wageningen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6708PB,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The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Netherlands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9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Lund University, Department of Physical Geography and Ecosystem Science, </w:t>
      </w:r>
      <w:r>
        <w:rPr>
          <w:rFonts w:ascii="Times New Roman" w:eastAsia="Times New Roman" w:hAnsi="Times New Roman" w:cs="Times New Roman"/>
          <w:sz w:val="24"/>
          <w:szCs w:val="24"/>
        </w:rPr>
        <w:t>Lund, Sweden</w:t>
      </w:r>
    </w:p>
    <w:p w:rsidR="00F91E84" w:rsidRDefault="00DC0AD6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t>10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University of Florence, Department of Civil and Environmental Engineering (DICEA)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Via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di Santa Marta 3, 50139 Firenze, Italy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11</w:t>
      </w:r>
      <w:r>
        <w:rPr>
          <w:rFonts w:ascii="Times New Roman" w:eastAsia="Times New Roman" w:hAnsi="Times New Roman" w:cs="Times New Roman"/>
          <w:sz w:val="24"/>
          <w:szCs w:val="24"/>
        </w:rPr>
        <w:t>Faculty of Environment, Science and Economy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0"/>
          <w:szCs w:val="20"/>
          <w:vertAlign w:val="superscript"/>
        </w:rPr>
        <w:t>,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University of Exeter, Exeter, UK; </w:t>
      </w:r>
    </w:p>
    <w:p w:rsidR="00F91E84" w:rsidRPr="00DC0AD6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DC0AD6"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/>
        </w:rPr>
        <w:t>12</w:t>
      </w:r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Laboratoire de </w:t>
      </w:r>
      <w:proofErr w:type="spellStart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>Meteorologie</w:t>
      </w:r>
      <w:proofErr w:type="spellEnd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Dynamique, </w:t>
      </w:r>
      <w:proofErr w:type="spellStart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>Departement</w:t>
      </w:r>
      <w:proofErr w:type="spellEnd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de </w:t>
      </w:r>
      <w:proofErr w:type="spellStart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>Geosciences</w:t>
      </w:r>
      <w:proofErr w:type="spellEnd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, Institut Pierre-Simon Laplace, CNRS-ENS-UPMC-X, Ecole Normale </w:t>
      </w:r>
      <w:proofErr w:type="spellStart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>Superieure</w:t>
      </w:r>
      <w:proofErr w:type="spellEnd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>, Paris, France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lastRenderedPageBreak/>
        <w:t>13</w:t>
      </w:r>
      <w:r>
        <w:rPr>
          <w:rFonts w:ascii="Times New Roman" w:eastAsia="Times New Roman" w:hAnsi="Times New Roman" w:cs="Times New Roman"/>
          <w:sz w:val="24"/>
          <w:szCs w:val="24"/>
        </w:rPr>
        <w:t>Land Use Change &amp; Climate Research Group, IMK-IFU, Karlsruhe Institute of Technology (KIT), Garmisc</w:t>
      </w:r>
      <w:r>
        <w:rPr>
          <w:rFonts w:ascii="Times New Roman" w:eastAsia="Times New Roman" w:hAnsi="Times New Roman" w:cs="Times New Roman"/>
          <w:sz w:val="24"/>
          <w:szCs w:val="24"/>
        </w:rPr>
        <w:t>h-Partenkirchen, Germany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14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Department of Geography, Ludwig-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Maximilians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Universität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München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Munich, Germany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t>16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Department of Earth System Science, Ministry of Education Key Laboratory for Earth System Modeling, Institute for Global Change Studies, Tsinghua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University, 100084 Beijing, China</w:t>
      </w:r>
    </w:p>
    <w:p w:rsidR="00F91E84" w:rsidRPr="00DC0AD6" w:rsidRDefault="00DC0AD6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DC0AD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val="fr-FR"/>
        </w:rPr>
        <w:t>17</w:t>
      </w:r>
      <w:r w:rsidRPr="00DC0AD6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>INRAE, UMR 1391 ISPA, Université de Bordeaux, F-33140 Villenave d'</w:t>
      </w:r>
      <w:proofErr w:type="spellStart"/>
      <w:r w:rsidRPr="00DC0AD6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>Ornon</w:t>
      </w:r>
      <w:proofErr w:type="spellEnd"/>
      <w:r w:rsidRPr="00DC0AD6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>, France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18</w:t>
      </w:r>
      <w:r>
        <w:rPr>
          <w:rFonts w:ascii="Times New Roman" w:eastAsia="Times New Roman" w:hAnsi="Times New Roman" w:cs="Times New Roman"/>
          <w:sz w:val="24"/>
          <w:szCs w:val="24"/>
        </w:rPr>
        <w:t>Research Institute for Global Change, JAMSTEC, Yokohama, 2360001, Japan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19</w:t>
      </w:r>
      <w:r>
        <w:rPr>
          <w:rFonts w:ascii="Times New Roman" w:eastAsia="Times New Roman" w:hAnsi="Times New Roman" w:cs="Times New Roman"/>
          <w:sz w:val="24"/>
          <w:szCs w:val="24"/>
        </w:rPr>
        <w:t>Research Institute for Humanity and Nature, Kyoto, 6038047, Jap</w:t>
      </w:r>
      <w:r>
        <w:rPr>
          <w:rFonts w:ascii="Times New Roman" w:eastAsia="Times New Roman" w:hAnsi="Times New Roman" w:cs="Times New Roman"/>
          <w:sz w:val="24"/>
          <w:szCs w:val="24"/>
        </w:rPr>
        <w:t>an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20</w:t>
      </w:r>
      <w:r>
        <w:rPr>
          <w:rFonts w:ascii="Times New Roman" w:eastAsia="Times New Roman" w:hAnsi="Times New Roman" w:cs="Times New Roman"/>
          <w:sz w:val="24"/>
          <w:szCs w:val="24"/>
        </w:rPr>
        <w:t>Max Planck Institute for Meteorology, Hamburg, Germany</w:t>
      </w:r>
    </w:p>
    <w:p w:rsidR="00F91E84" w:rsidRPr="00DC0AD6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DC0AD6"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/>
        </w:rPr>
        <w:t>21</w:t>
      </w:r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Department </w:t>
      </w:r>
      <w:proofErr w:type="spellStart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>Geoscience</w:t>
      </w:r>
      <w:proofErr w:type="spellEnd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, Environment &amp; Society-BGEOSYS, Université Libre de Bruxelles, Bruxelles, </w:t>
      </w:r>
      <w:proofErr w:type="spellStart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>Belgium</w:t>
      </w:r>
      <w:proofErr w:type="spellEnd"/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Norwegian Institute for Air Research (NILU),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Kjeller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Norway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23</w:t>
      </w:r>
      <w:r>
        <w:rPr>
          <w:rFonts w:ascii="Times New Roman" w:eastAsia="Times New Roman" w:hAnsi="Times New Roman" w:cs="Times New Roman"/>
          <w:sz w:val="24"/>
          <w:szCs w:val="24"/>
        </w:rPr>
        <w:t>Center for Earth System Science and Global Sustainability, Schiller Institute for Integrated Science and Society, Department of Earth and Environmental Sciences, Boston College, Chestnut Hill, MA, USA;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4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Finnish Meteorological Institute, Helsinki,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Finnland</w:t>
      </w:r>
      <w:proofErr w:type="spellEnd"/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25</w:t>
      </w:r>
      <w:r>
        <w:rPr>
          <w:rFonts w:ascii="Times New Roman" w:eastAsia="Times New Roman" w:hAnsi="Times New Roman" w:cs="Times New Roman"/>
          <w:sz w:val="24"/>
          <w:szCs w:val="24"/>
        </w:rPr>
        <w:t>National Centre for Earth Observation, University of Leeds, Leeds, UK</w:t>
      </w:r>
    </w:p>
    <w:p w:rsidR="00F91E84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26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School of Earth &amp; Environment, University of Leeds, Leeds, UK</w:t>
      </w:r>
    </w:p>
    <w:p w:rsidR="00F91E84" w:rsidRPr="00DC0AD6" w:rsidRDefault="00DC0A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DC0AD6"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/>
        </w:rPr>
        <w:t>27</w:t>
      </w:r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Science </w:t>
      </w:r>
      <w:proofErr w:type="spellStart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>Partners</w:t>
      </w:r>
      <w:proofErr w:type="spellEnd"/>
      <w:r w:rsidRPr="00DC0AD6">
        <w:rPr>
          <w:rFonts w:ascii="Times New Roman" w:eastAsia="Times New Roman" w:hAnsi="Times New Roman" w:cs="Times New Roman"/>
          <w:sz w:val="24"/>
          <w:szCs w:val="24"/>
          <w:lang w:val="fr-FR"/>
        </w:rPr>
        <w:t>, Quai de Jemmapes, 75010 Paris, France</w:t>
      </w:r>
    </w:p>
    <w:p w:rsidR="00F91E84" w:rsidRDefault="00DC0AD6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28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Meteorology and Air Quality group,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Wageningen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University,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Wageningen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6708PB, The Netherlands.</w:t>
      </w:r>
    </w:p>
    <w:p w:rsidR="00F91E84" w:rsidRDefault="00DC0AD6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Corresponding author: Ronny Lauerwald (</w:t>
      </w:r>
      <w:hyperlink r:id="rId6"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ronny.lauerwald@inrae.fr)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F91E84" w:rsidRDefault="00F91E8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91E84" w:rsidRDefault="00F91E84">
      <w:pPr>
        <w:ind w:left="720"/>
        <w:rPr>
          <w:rFonts w:ascii="Open Sans" w:eastAsia="Open Sans" w:hAnsi="Open Sans" w:cs="Open Sans"/>
          <w:sz w:val="24"/>
          <w:szCs w:val="24"/>
        </w:rPr>
      </w:pPr>
    </w:p>
    <w:p w:rsidR="00F91E84" w:rsidRDefault="00DC0AD6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Additional Supporting Information (Files uploaded separately)</w:t>
      </w:r>
    </w:p>
    <w:p w:rsidR="00F91E84" w:rsidRDefault="00DC0AD6">
      <w:pPr>
        <w:ind w:left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Tables S1 to S8 stored in one separate excel file</w:t>
      </w:r>
    </w:p>
    <w:p w:rsidR="00F91E84" w:rsidRDefault="00DC0AD6">
      <w:pPr>
        <w:spacing w:before="280" w:after="28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Introduction </w:t>
      </w:r>
    </w:p>
    <w:p w:rsidR="00F91E84" w:rsidRDefault="00DC0AD6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0" w:name="_heading=h.30j0zll" w:colFirst="0" w:colLast="0"/>
      <w:bookmarkEnd w:id="0"/>
      <w:r>
        <w:rPr>
          <w:rFonts w:ascii="Times New Roman" w:eastAsia="Times New Roman" w:hAnsi="Times New Roman" w:cs="Times New Roman"/>
          <w:sz w:val="24"/>
          <w:szCs w:val="24"/>
        </w:rPr>
        <w:t xml:space="preserve">The auxiliary material contains six supplemental figures S1 to S6, which are included here below, as well as eight tables S1 to S8, which are stored in a separate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xlsx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-file.</w:t>
      </w:r>
    </w:p>
    <w:p w:rsidR="00F91E84" w:rsidRDefault="00F91E8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91E84" w:rsidRDefault="00DC0AD6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page"/>
      </w:r>
    </w:p>
    <w:p w:rsidR="00F91E84" w:rsidRDefault="00DC0AD6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Supplemental figures</w:t>
      </w:r>
    </w:p>
    <w:p w:rsidR="00F91E84" w:rsidRDefault="00DC0AD6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fr-FR"/>
        </w:rPr>
        <w:drawing>
          <wp:inline distT="114300" distB="114300" distL="114300" distR="114300">
            <wp:extent cx="3995420" cy="3848100"/>
            <wp:effectExtent l="0" t="0" r="0" b="0"/>
            <wp:docPr id="3099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l="4231" b="7762"/>
                    <a:stretch>
                      <a:fillRect/>
                    </a:stretch>
                  </pic:blipFill>
                  <pic:spPr>
                    <a:xfrm>
                      <a:off x="0" y="0"/>
                      <a:ext cx="3995420" cy="3848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F91E84" w:rsidRDefault="00DC0AD6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Figure S1: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Matrix of Spearman Rank correlation coefficients indicating degree of spatial correlation among the eight TRENDY v10 models that have a spatial correlation of 0.5º and their ensemble median. The matrix represents spatial correlations based on average NEE</w:t>
      </w:r>
      <w:r>
        <w:rPr>
          <w:rFonts w:ascii="Times New Roman" w:eastAsia="Times New Roman" w:hAnsi="Times New Roman" w:cs="Times New Roman"/>
          <w:sz w:val="24"/>
          <w:szCs w:val="24"/>
          <w:vertAlign w:val="subscript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simulated over the period 2010 to 2019.</w:t>
      </w:r>
    </w:p>
    <w:p w:rsidR="00F91E84" w:rsidRDefault="00DC0AD6">
      <w:pPr>
        <w:rPr>
          <w:rFonts w:ascii="Times New Roman" w:eastAsia="Times New Roman" w:hAnsi="Times New Roman" w:cs="Times New Roman"/>
          <w:sz w:val="24"/>
          <w:szCs w:val="24"/>
        </w:rPr>
      </w:pPr>
      <w:r>
        <w:br w:type="page"/>
      </w:r>
    </w:p>
    <w:p w:rsidR="00F91E84" w:rsidRDefault="00DC0AD6">
      <w:pPr>
        <w:spacing w:after="240"/>
        <w:rPr>
          <w:color w:val="0070C0"/>
        </w:rPr>
      </w:pPr>
      <w:r>
        <w:rPr>
          <w:noProof/>
          <w:color w:val="0070C0"/>
          <w:lang w:val="fr-FR"/>
        </w:rPr>
        <w:lastRenderedPageBreak/>
        <w:drawing>
          <wp:inline distT="0" distB="0" distL="0" distR="0">
            <wp:extent cx="5677778" cy="3116031"/>
            <wp:effectExtent l="0" t="0" r="0" b="0"/>
            <wp:docPr id="3098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77778" cy="311603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F91E84" w:rsidRDefault="00DC0AD6">
      <w:pPr>
        <w:spacing w:after="2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Figure S2: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The European land CO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budget over the period 2010-2019. Number give average annual fluxes in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Tg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CO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yr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t>-1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We assign different level of confidence to our estimates: very high: ±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10%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(***), high: ±25% (**), moderate: ±50% (*), low: ±100% (-), and very low (--).</w:t>
      </w:r>
    </w:p>
    <w:p w:rsidR="00F91E84" w:rsidRDefault="00DC0AD6">
      <w:pPr>
        <w:spacing w:after="240"/>
        <w:rPr>
          <w:color w:val="0070C0"/>
        </w:rPr>
      </w:pPr>
      <w:r>
        <w:rPr>
          <w:noProof/>
          <w:color w:val="0070C0"/>
          <w:lang w:val="fr-FR"/>
        </w:rPr>
        <w:drawing>
          <wp:inline distT="0" distB="0" distL="0" distR="0">
            <wp:extent cx="5707974" cy="3132603"/>
            <wp:effectExtent l="0" t="0" r="0" b="0"/>
            <wp:docPr id="310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07974" cy="313260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F91E84" w:rsidRDefault="00DC0AD6">
      <w:pPr>
        <w:spacing w:after="2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Figure S3: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The European land CH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budget over the period 2010-2019. Number give average annual fluxe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 in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Tg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CH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yr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t>-1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We assign different level of confidence to our estimates: very high: ±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10%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(***), high: ±25% (**), moderate: ±50% (*), low: ±100% (-), and very low (--).</w:t>
      </w:r>
    </w:p>
    <w:p w:rsidR="00F91E84" w:rsidRDefault="00F91E84">
      <w:pPr>
        <w:spacing w:after="2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91E84" w:rsidRDefault="00DC0AD6">
      <w:pPr>
        <w:spacing w:after="240"/>
      </w:pPr>
      <w:r>
        <w:rPr>
          <w:noProof/>
          <w:lang w:val="fr-FR"/>
        </w:rPr>
        <w:drawing>
          <wp:inline distT="0" distB="0" distL="0" distR="0" wp14:anchorId="3F4C1CF9">
            <wp:extent cx="5676900" cy="3115549"/>
            <wp:effectExtent l="0" t="0" r="0" b="889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607" cy="3142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F91E84" w:rsidRDefault="00DC0AD6" w:rsidP="00DC0AD6">
      <w:pPr>
        <w:spacing w:after="2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Figure S4: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The European land N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 budget over the period 2010-2019. Number give ave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rage annual fluxes in Gg N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 yr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t>-1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We assign different level of confidence to our estimates: very high: ±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10%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(***), high: ±25% (**), moderate: ±50% (*), low: ±100% (-), and very low (--).</w:t>
      </w:r>
    </w:p>
    <w:p w:rsidR="00F91E84" w:rsidRDefault="00F91E84">
      <w:pPr>
        <w:spacing w:after="2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91E84" w:rsidRDefault="00DC0AD6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br w:type="page"/>
      </w:r>
      <w:r>
        <w:rPr>
          <w:rFonts w:ascii="Times New Roman" w:eastAsia="Times New Roman" w:hAnsi="Times New Roman" w:cs="Times New Roman"/>
          <w:noProof/>
          <w:sz w:val="24"/>
          <w:szCs w:val="24"/>
          <w:lang w:val="fr-FR"/>
        </w:rPr>
        <w:lastRenderedPageBreak/>
        <w:drawing>
          <wp:inline distT="114300" distB="114300" distL="114300" distR="114300">
            <wp:extent cx="4839001" cy="7582372"/>
            <wp:effectExtent l="0" t="0" r="0" b="0"/>
            <wp:docPr id="3096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1"/>
                    <a:srcRect l="14746" t="10465" r="5974" b="9931"/>
                    <a:stretch>
                      <a:fillRect/>
                    </a:stretch>
                  </pic:blipFill>
                  <pic:spPr>
                    <a:xfrm>
                      <a:off x="0" y="0"/>
                      <a:ext cx="4839001" cy="7582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F91E84" w:rsidRDefault="00DC0AD6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Figure S5: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Trend in the prior fluxes prescribed to regional inversions (see Figure 9 in the main text). </w:t>
      </w:r>
    </w:p>
    <w:p w:rsidR="00F91E84" w:rsidRDefault="00DC0AD6">
      <w:r>
        <w:rPr>
          <w:noProof/>
          <w:lang w:val="fr-FR"/>
        </w:rPr>
        <w:lastRenderedPageBreak/>
        <w:drawing>
          <wp:inline distT="114300" distB="114300" distL="114300" distR="114300">
            <wp:extent cx="5972810" cy="5969000"/>
            <wp:effectExtent l="0" t="0" r="0" b="0"/>
            <wp:docPr id="309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5969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F91E84" w:rsidRDefault="00DC0AD6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Figure S6: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Spread of climate anomalies corresponding to each NAO-EA combination.</w:t>
      </w:r>
    </w:p>
    <w:p w:rsidR="00F91E84" w:rsidRDefault="00F91E84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91E84" w:rsidRDefault="00F91E84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F91E84" w:rsidRDefault="00F91E84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bookmarkStart w:id="2" w:name="_heading=h.gjdgxs" w:colFirst="0" w:colLast="0"/>
      <w:bookmarkEnd w:id="2"/>
    </w:p>
    <w:sectPr w:rsidR="00F91E84">
      <w:pgSz w:w="12240" w:h="15840"/>
      <w:pgMar w:top="1418" w:right="1418" w:bottom="1418" w:left="1418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altName w:val="Calibri"/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Open Sans">
    <w:altName w:val="Times New Roman"/>
    <w:charset w:val="00"/>
    <w:family w:val="auto"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1E84"/>
    <w:rsid w:val="00DC0AD6"/>
    <w:rsid w:val="00F91E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1CAAC20-22B5-4BAE-9070-7F90137224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n-US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C111E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re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re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re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Titre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0430ED"/>
    <w:pPr>
      <w:spacing w:before="240" w:after="60" w:line="240" w:lineRule="auto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MHeading">
    <w:name w:val="SM Heading"/>
    <w:basedOn w:val="Titre1"/>
    <w:qFormat/>
    <w:rsid w:val="00C111E1"/>
    <w:pPr>
      <w:keepLines w:val="0"/>
      <w:spacing w:before="240" w:after="60" w:line="240" w:lineRule="auto"/>
    </w:pPr>
    <w:rPr>
      <w:rFonts w:ascii="Times New Roman" w:eastAsia="Times New Roman" w:hAnsi="Times New Roman" w:cs="Times New Roman"/>
      <w:color w:val="auto"/>
      <w:kern w:val="32"/>
      <w:sz w:val="24"/>
      <w:szCs w:val="24"/>
    </w:rPr>
  </w:style>
  <w:style w:type="paragraph" w:customStyle="1" w:styleId="SMText">
    <w:name w:val="SM Text"/>
    <w:basedOn w:val="Normal"/>
    <w:qFormat/>
    <w:rsid w:val="00C111E1"/>
    <w:pPr>
      <w:spacing w:after="0" w:line="240" w:lineRule="auto"/>
      <w:ind w:firstLine="480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SMcaption">
    <w:name w:val="SM caption"/>
    <w:basedOn w:val="SMText"/>
    <w:qFormat/>
    <w:rsid w:val="00C111E1"/>
    <w:pPr>
      <w:ind w:firstLine="0"/>
    </w:pPr>
  </w:style>
  <w:style w:type="character" w:customStyle="1" w:styleId="Titre1Car">
    <w:name w:val="Titre 1 Car"/>
    <w:basedOn w:val="Policepardfaut"/>
    <w:link w:val="Titre1"/>
    <w:uiPriority w:val="9"/>
    <w:rsid w:val="00C111E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reCar">
    <w:name w:val="Titre Car"/>
    <w:basedOn w:val="Policepardfaut"/>
    <w:link w:val="Titre"/>
    <w:uiPriority w:val="10"/>
    <w:rsid w:val="000430ED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Sansinterligne">
    <w:name w:val="No Spacing"/>
    <w:uiPriority w:val="1"/>
    <w:qFormat/>
    <w:rsid w:val="000430ED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430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430ED"/>
    <w:rPr>
      <w:rFonts w:ascii="Tahoma" w:hAnsi="Tahoma" w:cs="Tahoma"/>
      <w:sz w:val="16"/>
      <w:szCs w:val="16"/>
    </w:rPr>
  </w:style>
  <w:style w:type="paragraph" w:styleId="Sous-titr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Lienhypertexte">
    <w:name w:val="Hyperlink"/>
    <w:uiPriority w:val="99"/>
    <w:rsid w:val="00545AC2"/>
    <w:rPr>
      <w:color w:val="0000FF"/>
      <w:u w:val="single"/>
    </w:rPr>
  </w:style>
  <w:style w:type="paragraph" w:customStyle="1" w:styleId="Affiliation">
    <w:name w:val="Affiliation"/>
    <w:basedOn w:val="Normal"/>
    <w:qFormat/>
    <w:rsid w:val="00545AC2"/>
    <w:pPr>
      <w:spacing w:before="120" w:after="0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about:blank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BSEcSIlMgN7hs4Nv/nIH60NFOw==">CgMxLjAyCWguMzBqMHpsbDIIaC5namRneHM4AHIhMVJobUlQLXNyNW90S1dhaEJCelZGU21yQVFTMGtiMUQ5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808</Words>
  <Characters>4449</Characters>
  <Application>Microsoft Office Word</Application>
  <DocSecurity>0</DocSecurity>
  <Lines>37</Lines>
  <Paragraphs>10</Paragraphs>
  <ScaleCrop>false</ScaleCrop>
  <Company>INRA</Company>
  <LinksUpToDate>false</LinksUpToDate>
  <CharactersWithSpaces>5247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Lauerwald</dc:creator>
  <cp:lastModifiedBy>Ronny Lauerwald</cp:lastModifiedBy>
  <cp:revision>2</cp:revision>
  <dcterms:created xsi:type="dcterms:W3CDTF">2024-05-23T13:23:00Z</dcterms:created>
  <dcterms:modified xsi:type="dcterms:W3CDTF">2024-06-03T08:48:00Z</dcterms:modified>
</cp:coreProperties>
</file>