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8417D4" w14:textId="04049B83" w:rsidR="00F62C8B" w:rsidRPr="00F9084A" w:rsidRDefault="006D701D" w:rsidP="004C531E">
      <w:pPr>
        <w:pStyle w:val="RSCM01ReceivedAccepted"/>
      </w:pPr>
      <w:r w:rsidRPr="00F9084A">
        <mc:AlternateContent>
          <mc:Choice Requires="wps">
            <w:drawing>
              <wp:anchor distT="180340" distB="0" distL="114300" distR="114300" simplePos="0" relativeHeight="251657728" behindDoc="1" locked="1" layoutInCell="0" allowOverlap="0" wp14:anchorId="404E6545" wp14:editId="79FD431D">
                <wp:simplePos x="0" y="0"/>
                <wp:positionH relativeFrom="column">
                  <wp:posOffset>0</wp:posOffset>
                </wp:positionH>
                <wp:positionV relativeFrom="margin">
                  <wp:align>bottom</wp:align>
                </wp:positionV>
                <wp:extent cx="3159125" cy="1917065"/>
                <wp:effectExtent l="0" t="0" r="0" b="0"/>
                <wp:wrapTopAndBottom/>
                <wp:docPr id="7" name="Text Box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9125" cy="1917065"/>
                        </a:xfrm>
                        <a:prstGeom prst="rect">
                          <a:avLst/>
                        </a:prstGeom>
                        <a:solidFill>
                          <a:srgbClr val="FFFFFF"/>
                        </a:solidFill>
                        <a:ln w="9525">
                          <a:noFill/>
                          <a:miter lim="800000"/>
                          <a:headEnd/>
                          <a:tailEnd/>
                        </a:ln>
                      </wps:spPr>
                      <wps:txbx>
                        <w:txbxContent>
                          <w:p w14:paraId="678BD7CF" w14:textId="137EE584" w:rsidR="00134F6E" w:rsidRPr="00F9084A" w:rsidRDefault="00CA4E3B" w:rsidP="00134F6E">
                            <w:pPr>
                              <w:spacing w:after="0" w:line="240" w:lineRule="auto"/>
                              <w:jc w:val="both"/>
                              <w:rPr>
                                <w:sz w:val="14"/>
                                <w:szCs w:val="14"/>
                                <w:lang w:val="it-IT"/>
                              </w:rPr>
                            </w:pPr>
                            <w:bookmarkStart w:id="0" w:name="_Hlk169595029"/>
                            <w:r w:rsidRPr="00F9084A">
                              <w:rPr>
                                <w:sz w:val="14"/>
                                <w:szCs w:val="14"/>
                                <w:vertAlign w:val="superscript"/>
                                <w:lang w:val="it-IT"/>
                              </w:rPr>
                              <w:t>a</w:t>
                            </w:r>
                            <w:r w:rsidRPr="00F9084A">
                              <w:rPr>
                                <w:sz w:val="14"/>
                                <w:szCs w:val="14"/>
                                <w:lang w:val="it-IT"/>
                              </w:rPr>
                              <w:t xml:space="preserve"> </w:t>
                            </w:r>
                            <w:proofErr w:type="spellStart"/>
                            <w:r w:rsidR="00DF5192" w:rsidRPr="00414AB9">
                              <w:rPr>
                                <w:sz w:val="14"/>
                                <w:szCs w:val="14"/>
                                <w:lang w:val="es-ES"/>
                              </w:rPr>
                              <w:t>Dipartimento</w:t>
                            </w:r>
                            <w:proofErr w:type="spellEnd"/>
                            <w:r w:rsidR="00DF5192" w:rsidRPr="00414AB9">
                              <w:rPr>
                                <w:sz w:val="14"/>
                                <w:szCs w:val="14"/>
                                <w:lang w:val="es-ES"/>
                              </w:rPr>
                              <w:t xml:space="preserve"> di </w:t>
                            </w:r>
                            <w:proofErr w:type="spellStart"/>
                            <w:r w:rsidR="00DF5192" w:rsidRPr="00414AB9">
                              <w:rPr>
                                <w:sz w:val="14"/>
                                <w:szCs w:val="14"/>
                                <w:lang w:val="es-ES"/>
                              </w:rPr>
                              <w:t>Chimica</w:t>
                            </w:r>
                            <w:proofErr w:type="spellEnd"/>
                            <w:r w:rsidR="00DF5192" w:rsidRPr="00414AB9">
                              <w:rPr>
                                <w:sz w:val="14"/>
                                <w:szCs w:val="14"/>
                                <w:lang w:val="es-ES"/>
                              </w:rPr>
                              <w:t xml:space="preserve"> e </w:t>
                            </w:r>
                            <w:proofErr w:type="spellStart"/>
                            <w:r w:rsidR="00DF5192" w:rsidRPr="00414AB9">
                              <w:rPr>
                                <w:sz w:val="14"/>
                                <w:szCs w:val="14"/>
                                <w:lang w:val="es-ES"/>
                              </w:rPr>
                              <w:t>Chimica</w:t>
                            </w:r>
                            <w:proofErr w:type="spellEnd"/>
                            <w:r w:rsidR="00DF5192" w:rsidRPr="00414AB9">
                              <w:rPr>
                                <w:sz w:val="14"/>
                                <w:szCs w:val="14"/>
                                <w:lang w:val="es-ES"/>
                              </w:rPr>
                              <w:t xml:space="preserve"> </w:t>
                            </w:r>
                            <w:proofErr w:type="spellStart"/>
                            <w:r w:rsidR="00DF5192" w:rsidRPr="00414AB9">
                              <w:rPr>
                                <w:sz w:val="14"/>
                                <w:szCs w:val="14"/>
                                <w:lang w:val="es-ES"/>
                              </w:rPr>
                              <w:t>Industriale</w:t>
                            </w:r>
                            <w:proofErr w:type="spellEnd"/>
                            <w:r w:rsidR="00DF5192" w:rsidRPr="00414AB9">
                              <w:rPr>
                                <w:sz w:val="14"/>
                                <w:szCs w:val="14"/>
                                <w:lang w:val="es-ES"/>
                              </w:rPr>
                              <w:t xml:space="preserve">, </w:t>
                            </w:r>
                            <w:proofErr w:type="spellStart"/>
                            <w:r w:rsidR="00DF5192" w:rsidRPr="00414AB9">
                              <w:rPr>
                                <w:sz w:val="14"/>
                                <w:szCs w:val="14"/>
                                <w:lang w:val="es-ES"/>
                              </w:rPr>
                              <w:t>University</w:t>
                            </w:r>
                            <w:proofErr w:type="spellEnd"/>
                            <w:r w:rsidR="00DF5192" w:rsidRPr="00414AB9">
                              <w:rPr>
                                <w:sz w:val="14"/>
                                <w:szCs w:val="14"/>
                                <w:lang w:val="es-ES"/>
                              </w:rPr>
                              <w:t xml:space="preserve"> </w:t>
                            </w:r>
                            <w:proofErr w:type="spellStart"/>
                            <w:r w:rsidR="00DF5192" w:rsidRPr="00414AB9">
                              <w:rPr>
                                <w:sz w:val="14"/>
                                <w:szCs w:val="14"/>
                                <w:lang w:val="es-ES"/>
                              </w:rPr>
                              <w:t>of</w:t>
                            </w:r>
                            <w:proofErr w:type="spellEnd"/>
                            <w:r w:rsidR="00DF5192" w:rsidRPr="00414AB9">
                              <w:rPr>
                                <w:sz w:val="14"/>
                                <w:szCs w:val="14"/>
                                <w:lang w:val="es-ES"/>
                              </w:rPr>
                              <w:t xml:space="preserve"> Pisa, </w:t>
                            </w:r>
                            <w:proofErr w:type="spellStart"/>
                            <w:r w:rsidR="00DF5192" w:rsidRPr="00414AB9">
                              <w:rPr>
                                <w:sz w:val="14"/>
                                <w:szCs w:val="14"/>
                                <w:lang w:val="es-ES"/>
                              </w:rPr>
                              <w:t>via</w:t>
                            </w:r>
                            <w:proofErr w:type="spellEnd"/>
                            <w:r w:rsidR="00DF5192" w:rsidRPr="00414AB9">
                              <w:rPr>
                                <w:sz w:val="14"/>
                                <w:szCs w:val="14"/>
                                <w:lang w:val="es-ES"/>
                              </w:rPr>
                              <w:t xml:space="preserve"> </w:t>
                            </w:r>
                            <w:proofErr w:type="spellStart"/>
                            <w:r w:rsidR="00DF5192" w:rsidRPr="00414AB9">
                              <w:rPr>
                                <w:sz w:val="14"/>
                                <w:szCs w:val="14"/>
                                <w:lang w:val="es-ES"/>
                              </w:rPr>
                              <w:t>Moruzzi</w:t>
                            </w:r>
                            <w:proofErr w:type="spellEnd"/>
                            <w:r w:rsidR="00DF5192" w:rsidRPr="00414AB9">
                              <w:rPr>
                                <w:sz w:val="14"/>
                                <w:szCs w:val="14"/>
                                <w:lang w:val="es-ES"/>
                              </w:rPr>
                              <w:t xml:space="preserve"> 13, 56124, Pisa, </w:t>
                            </w:r>
                            <w:proofErr w:type="spellStart"/>
                            <w:r w:rsidR="00DF5192" w:rsidRPr="00414AB9">
                              <w:rPr>
                                <w:sz w:val="14"/>
                                <w:szCs w:val="14"/>
                                <w:lang w:val="es-ES"/>
                              </w:rPr>
                              <w:t>Italy</w:t>
                            </w:r>
                            <w:proofErr w:type="spellEnd"/>
                            <w:r w:rsidR="00DF5192" w:rsidRPr="00F9084A">
                              <w:rPr>
                                <w:sz w:val="14"/>
                                <w:szCs w:val="14"/>
                                <w:lang w:val="it-IT"/>
                              </w:rPr>
                              <w:t xml:space="preserve"> </w:t>
                            </w:r>
                          </w:p>
                          <w:p w14:paraId="3580C229" w14:textId="5928EB15" w:rsidR="00E772DA" w:rsidRPr="00DF5192" w:rsidRDefault="00CA4E3B" w:rsidP="0027532E">
                            <w:pPr>
                              <w:spacing w:after="0" w:line="240" w:lineRule="auto"/>
                              <w:jc w:val="both"/>
                              <w:rPr>
                                <w:sz w:val="14"/>
                                <w:szCs w:val="14"/>
                              </w:rPr>
                            </w:pPr>
                            <w:r w:rsidRPr="00414AB9">
                              <w:rPr>
                                <w:sz w:val="14"/>
                                <w:szCs w:val="14"/>
                                <w:vertAlign w:val="superscript"/>
                                <w:lang w:val="es-ES"/>
                              </w:rPr>
                              <w:t>b</w:t>
                            </w:r>
                            <w:r w:rsidRPr="00414AB9">
                              <w:rPr>
                                <w:sz w:val="14"/>
                                <w:szCs w:val="14"/>
                                <w:lang w:val="es-ES"/>
                              </w:rPr>
                              <w:t xml:space="preserve"> </w:t>
                            </w:r>
                            <w:r w:rsidR="00DF5192" w:rsidRPr="00414AB9">
                              <w:rPr>
                                <w:sz w:val="14"/>
                                <w:szCs w:val="14"/>
                              </w:rPr>
                              <w:t>Department of Physics and Astronomy, University of Florence, via Sansone 1, 50019, Sesto Fiorentino, Italy</w:t>
                            </w:r>
                          </w:p>
                          <w:p w14:paraId="110D21DF" w14:textId="77777777" w:rsidR="00E772DA" w:rsidRPr="00414AB9" w:rsidRDefault="00E772DA" w:rsidP="0027532E">
                            <w:pPr>
                              <w:spacing w:after="0" w:line="240" w:lineRule="auto"/>
                              <w:jc w:val="both"/>
                              <w:rPr>
                                <w:sz w:val="14"/>
                                <w:szCs w:val="14"/>
                                <w:vertAlign w:val="superscript"/>
                              </w:rPr>
                            </w:pPr>
                            <w:r w:rsidRPr="00414AB9">
                              <w:rPr>
                                <w:sz w:val="14"/>
                                <w:szCs w:val="14"/>
                                <w:vertAlign w:val="superscript"/>
                              </w:rPr>
                              <w:t xml:space="preserve">c </w:t>
                            </w:r>
                            <w:r w:rsidRPr="00414AB9">
                              <w:rPr>
                                <w:sz w:val="14"/>
                                <w:szCs w:val="14"/>
                              </w:rPr>
                              <w:t xml:space="preserve">Department of Inorganic and Analytical Chemistry, University of Geneva, 30 quai E. </w:t>
                            </w:r>
                            <w:proofErr w:type="spellStart"/>
                            <w:r w:rsidRPr="00414AB9">
                              <w:rPr>
                                <w:sz w:val="14"/>
                                <w:szCs w:val="14"/>
                              </w:rPr>
                              <w:t>Ansermet</w:t>
                            </w:r>
                            <w:proofErr w:type="spellEnd"/>
                            <w:r w:rsidRPr="00414AB9">
                              <w:rPr>
                                <w:sz w:val="14"/>
                                <w:szCs w:val="14"/>
                              </w:rPr>
                              <w:t>, CH-1211 Geneva 4, Switzerland</w:t>
                            </w:r>
                          </w:p>
                          <w:p w14:paraId="3FD9168B" w14:textId="77777777" w:rsidR="00E772DA" w:rsidRPr="00414AB9" w:rsidRDefault="00E772DA" w:rsidP="0027532E">
                            <w:pPr>
                              <w:spacing w:after="0" w:line="240" w:lineRule="auto"/>
                              <w:jc w:val="both"/>
                              <w:rPr>
                                <w:sz w:val="14"/>
                                <w:szCs w:val="14"/>
                                <w:vertAlign w:val="superscript"/>
                              </w:rPr>
                            </w:pPr>
                            <w:r w:rsidRPr="00414AB9">
                              <w:rPr>
                                <w:sz w:val="14"/>
                                <w:szCs w:val="14"/>
                                <w:vertAlign w:val="superscript"/>
                              </w:rPr>
                              <w:t>d</w:t>
                            </w:r>
                            <w:r w:rsidRPr="00414AB9">
                              <w:rPr>
                                <w:rFonts w:ascii="Source Sans Pro" w:hAnsi="Source Sans Pro"/>
                                <w:i/>
                                <w:iCs/>
                                <w:sz w:val="14"/>
                                <w:szCs w:val="14"/>
                                <w:shd w:val="clear" w:color="auto" w:fill="FFFFFF"/>
                              </w:rPr>
                              <w:t xml:space="preserve"> </w:t>
                            </w:r>
                            <w:r w:rsidRPr="00414AB9">
                              <w:rPr>
                                <w:sz w:val="14"/>
                                <w:szCs w:val="14"/>
                              </w:rPr>
                              <w:t>National High Magnetic Field Laboratory, Florida State University, Tallahassee, Florida 32310, USA</w:t>
                            </w:r>
                            <w:r w:rsidRPr="00414AB9">
                              <w:rPr>
                                <w:sz w:val="14"/>
                                <w:szCs w:val="14"/>
                                <w:vertAlign w:val="superscript"/>
                              </w:rPr>
                              <w:t xml:space="preserve"> </w:t>
                            </w:r>
                          </w:p>
                          <w:p w14:paraId="39A39DEA" w14:textId="2D88A36B" w:rsidR="00BF34BB" w:rsidRPr="008A0210" w:rsidRDefault="00E772DA" w:rsidP="0027532E">
                            <w:pPr>
                              <w:spacing w:after="0" w:line="240" w:lineRule="auto"/>
                              <w:jc w:val="both"/>
                              <w:rPr>
                                <w:sz w:val="14"/>
                                <w:szCs w:val="14"/>
                                <w:lang w:val="es-ES"/>
                              </w:rPr>
                            </w:pPr>
                            <w:proofErr w:type="spellStart"/>
                            <w:r w:rsidRPr="00414AB9">
                              <w:rPr>
                                <w:sz w:val="14"/>
                                <w:szCs w:val="14"/>
                                <w:vertAlign w:val="superscript"/>
                                <w:lang w:val="es-ES"/>
                              </w:rPr>
                              <w:t>e</w:t>
                            </w:r>
                            <w:proofErr w:type="spellEnd"/>
                            <w:r w:rsidRPr="00414AB9">
                              <w:rPr>
                                <w:sz w:val="14"/>
                                <w:szCs w:val="14"/>
                                <w:vertAlign w:val="superscript"/>
                                <w:lang w:val="es-ES"/>
                              </w:rPr>
                              <w:t xml:space="preserve"> </w:t>
                            </w:r>
                            <w:r w:rsidRPr="00414AB9">
                              <w:rPr>
                                <w:sz w:val="14"/>
                                <w:szCs w:val="14"/>
                                <w:lang w:val="es-ES"/>
                              </w:rPr>
                              <w:t xml:space="preserve">Departamento de Química Inorgánica, Facultad de Ciencias, </w:t>
                            </w:r>
                            <w:proofErr w:type="spellStart"/>
                            <w:r w:rsidRPr="00414AB9">
                              <w:rPr>
                                <w:sz w:val="14"/>
                                <w:szCs w:val="14"/>
                                <w:lang w:val="es-ES"/>
                              </w:rPr>
                              <w:t>Univers</w:t>
                            </w:r>
                            <w:r w:rsidR="004F74A1">
                              <w:rPr>
                                <w:sz w:val="14"/>
                                <w:szCs w:val="14"/>
                                <w:lang w:val="es-ES"/>
                              </w:rPr>
                              <w:t>ity</w:t>
                            </w:r>
                            <w:proofErr w:type="spellEnd"/>
                            <w:r w:rsidR="004F74A1">
                              <w:rPr>
                                <w:sz w:val="14"/>
                                <w:szCs w:val="14"/>
                                <w:lang w:val="es-ES"/>
                              </w:rPr>
                              <w:t xml:space="preserve"> </w:t>
                            </w:r>
                            <w:proofErr w:type="spellStart"/>
                            <w:r w:rsidR="004F74A1">
                              <w:rPr>
                                <w:sz w:val="14"/>
                                <w:szCs w:val="14"/>
                                <w:lang w:val="es-ES"/>
                              </w:rPr>
                              <w:t>of</w:t>
                            </w:r>
                            <w:proofErr w:type="spellEnd"/>
                            <w:r w:rsidR="004F74A1">
                              <w:rPr>
                                <w:sz w:val="14"/>
                                <w:szCs w:val="14"/>
                                <w:lang w:val="es-ES"/>
                              </w:rPr>
                              <w:t xml:space="preserve"> Granada</w:t>
                            </w:r>
                            <w:r w:rsidR="00495464">
                              <w:rPr>
                                <w:sz w:val="14"/>
                                <w:szCs w:val="14"/>
                                <w:lang w:val="es-ES"/>
                              </w:rPr>
                              <w:t xml:space="preserve"> and </w:t>
                            </w:r>
                            <w:r w:rsidR="004F74A1">
                              <w:rPr>
                                <w:sz w:val="14"/>
                                <w:szCs w:val="14"/>
                                <w:lang w:val="es-ES"/>
                              </w:rPr>
                              <w:t>“</w:t>
                            </w:r>
                            <w:r w:rsidRPr="00414AB9">
                              <w:rPr>
                                <w:sz w:val="14"/>
                                <w:szCs w:val="14"/>
                                <w:lang w:val="es-ES"/>
                              </w:rPr>
                              <w:t>Unidad de Excelencia en Química (UEQ)</w:t>
                            </w:r>
                            <w:r w:rsidR="004F74A1">
                              <w:rPr>
                                <w:sz w:val="14"/>
                                <w:szCs w:val="14"/>
                                <w:lang w:val="es-ES"/>
                              </w:rPr>
                              <w:t>”</w:t>
                            </w:r>
                            <w:r w:rsidRPr="00414AB9">
                              <w:rPr>
                                <w:sz w:val="14"/>
                                <w:szCs w:val="14"/>
                                <w:lang w:val="es-ES"/>
                              </w:rPr>
                              <w:t xml:space="preserve">, Avda. </w:t>
                            </w:r>
                            <w:r w:rsidRPr="008A0210">
                              <w:rPr>
                                <w:sz w:val="14"/>
                                <w:szCs w:val="14"/>
                                <w:lang w:val="es-ES"/>
                              </w:rPr>
                              <w:t xml:space="preserve">Fuente Nueva s/n, 18071, Granada, </w:t>
                            </w:r>
                            <w:proofErr w:type="spellStart"/>
                            <w:r w:rsidRPr="008A0210">
                              <w:rPr>
                                <w:sz w:val="14"/>
                                <w:szCs w:val="14"/>
                                <w:lang w:val="es-ES"/>
                              </w:rPr>
                              <w:t>Spain</w:t>
                            </w:r>
                            <w:proofErr w:type="spellEnd"/>
                            <w:r w:rsidRPr="008A0210">
                              <w:rPr>
                                <w:sz w:val="14"/>
                                <w:szCs w:val="14"/>
                                <w:lang w:val="es-ES"/>
                              </w:rPr>
                              <w:t>.</w:t>
                            </w:r>
                          </w:p>
                          <w:bookmarkEnd w:id="0"/>
                          <w:p w14:paraId="47F59A66" w14:textId="77777777" w:rsidR="00BF34BB" w:rsidRPr="008A0210" w:rsidRDefault="00BF34BB" w:rsidP="0027532E">
                            <w:pPr>
                              <w:spacing w:after="0" w:line="240" w:lineRule="auto"/>
                              <w:jc w:val="both"/>
                              <w:rPr>
                                <w:sz w:val="14"/>
                                <w:szCs w:val="14"/>
                                <w:lang w:val="es-ES"/>
                              </w:rPr>
                            </w:pPr>
                          </w:p>
                          <w:p w14:paraId="0642A49F" w14:textId="54EDF5A5" w:rsidR="00E772DA" w:rsidRPr="008104E2" w:rsidRDefault="00E772DA" w:rsidP="0027532E">
                            <w:pPr>
                              <w:spacing w:after="0" w:line="240" w:lineRule="auto"/>
                              <w:jc w:val="both"/>
                              <w:rPr>
                                <w:sz w:val="14"/>
                                <w:szCs w:val="14"/>
                                <w:lang w:val="es-ES"/>
                              </w:rPr>
                            </w:pPr>
                            <w:bookmarkStart w:id="1" w:name="_Hlk169595040"/>
                            <w:r w:rsidRPr="008104E2">
                              <w:rPr>
                                <w:sz w:val="14"/>
                                <w:szCs w:val="14"/>
                                <w:lang w:val="es-ES"/>
                              </w:rPr>
                              <w:t xml:space="preserve">E-mail: </w:t>
                            </w:r>
                          </w:p>
                          <w:p w14:paraId="54CF1478" w14:textId="4895358D" w:rsidR="00BF34BB" w:rsidRPr="008104E2" w:rsidRDefault="00000000" w:rsidP="00241ACD">
                            <w:pPr>
                              <w:pStyle w:val="RSCF02FootnotestoTitleAuthors"/>
                              <w:rPr>
                                <w:lang w:val="es-ES"/>
                              </w:rPr>
                            </w:pPr>
                            <w:hyperlink r:id="rId11" w:history="1">
                              <w:r w:rsidR="00BF34BB" w:rsidRPr="008104E2">
                                <w:rPr>
                                  <w:rStyle w:val="Collegamentoipertestuale"/>
                                  <w:lang w:val="es-ES"/>
                                </w:rPr>
                                <w:t>jrjimenez@ugr.es</w:t>
                              </w:r>
                            </w:hyperlink>
                            <w:r w:rsidR="00BF34BB" w:rsidRPr="008104E2">
                              <w:rPr>
                                <w:lang w:val="es-ES"/>
                              </w:rPr>
                              <w:t xml:space="preserve">, </w:t>
                            </w:r>
                            <w:hyperlink r:id="rId12" w:history="1">
                              <w:r w:rsidR="00BF34BB" w:rsidRPr="008104E2">
                                <w:rPr>
                                  <w:rStyle w:val="Collegamentoipertestuale"/>
                                  <w:lang w:val="es-ES"/>
                                </w:rPr>
                                <w:t>francesco.zinna@unipi.it</w:t>
                              </w:r>
                            </w:hyperlink>
                          </w:p>
                          <w:bookmarkEnd w:id="1"/>
                          <w:p w14:paraId="71856912" w14:textId="2D8B51D5" w:rsidR="00C405FD" w:rsidRPr="006F03F9" w:rsidRDefault="008C682F" w:rsidP="00241ACD">
                            <w:pPr>
                              <w:pStyle w:val="RSCF02FootnotestoTitleAuthors"/>
                            </w:pPr>
                            <w:r w:rsidRPr="006F03F9">
                              <w:t>Electronic Supplementary Information (ESI) available: [details of any supplementary information available should be included here]. See DOI: 10.1039/x0xx00000x</w:t>
                            </w: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404E6545" id="_x0000_t202" coordsize="21600,21600" o:spt="202" path="m,l,21600r21600,l21600,xe">
                <v:stroke joinstyle="miter"/>
                <v:path gradientshapeok="t" o:connecttype="rect"/>
              </v:shapetype>
              <v:shape id="Text Box 7" o:spid="_x0000_s1026" type="#_x0000_t202" style="position:absolute;margin-left:0;margin-top:0;width:248.75pt;height:150.95pt;z-index:-251658752;visibility:visible;mso-wrap-style:square;mso-width-percent:0;mso-height-percent:200;mso-wrap-distance-left:9pt;mso-wrap-distance-top:14.2pt;mso-wrap-distance-right:9pt;mso-wrap-distance-bottom:0;mso-position-horizontal:absolute;mso-position-horizontal-relative:text;mso-position-vertical:bottom;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" o:allowincell="f" o:allowoverlap="f" stroked="f">
                <o:lock v:ext="edit" aspectratio="t"/>
                <v:textbox style="mso-fit-shape-to-text:t" inset="0,1mm,0,1mm">
                  <w:txbxContent>
                    <w:p w14:paraId="678BD7CF" w14:textId="137EE584" w:rsidR="00134F6E" w:rsidRPr="00F9084A" w:rsidRDefault="00CA4E3B" w:rsidP="00134F6E">
                      <w:pPr>
                        <w:spacing w:after="0" w:line="240" w:lineRule="auto"/>
                        <w:jc w:val="both"/>
                        <w:rPr>
                          <w:sz w:val="14"/>
                          <w:szCs w:val="14"/>
                          <w:lang w:val="it-IT"/>
                        </w:rPr>
                      </w:pPr>
                      <w:bookmarkStart w:id="2" w:name="_Hlk169595029"/>
                      <w:r w:rsidRPr="00F9084A">
                        <w:rPr>
                          <w:sz w:val="14"/>
                          <w:szCs w:val="14"/>
                          <w:vertAlign w:val="superscript"/>
                          <w:lang w:val="it-IT"/>
                        </w:rPr>
                        <w:t>a</w:t>
                      </w:r>
                      <w:r w:rsidRPr="00F9084A">
                        <w:rPr>
                          <w:sz w:val="14"/>
                          <w:szCs w:val="14"/>
                          <w:lang w:val="it-IT"/>
                        </w:rPr>
                        <w:t xml:space="preserve"> </w:t>
                      </w:r>
                      <w:proofErr w:type="spellStart"/>
                      <w:r w:rsidR="00DF5192" w:rsidRPr="00414AB9">
                        <w:rPr>
                          <w:sz w:val="14"/>
                          <w:szCs w:val="14"/>
                          <w:lang w:val="es-ES"/>
                        </w:rPr>
                        <w:t>Dipartimento</w:t>
                      </w:r>
                      <w:proofErr w:type="spellEnd"/>
                      <w:r w:rsidR="00DF5192" w:rsidRPr="00414AB9">
                        <w:rPr>
                          <w:sz w:val="14"/>
                          <w:szCs w:val="14"/>
                          <w:lang w:val="es-ES"/>
                        </w:rPr>
                        <w:t xml:space="preserve"> di </w:t>
                      </w:r>
                      <w:proofErr w:type="spellStart"/>
                      <w:r w:rsidR="00DF5192" w:rsidRPr="00414AB9">
                        <w:rPr>
                          <w:sz w:val="14"/>
                          <w:szCs w:val="14"/>
                          <w:lang w:val="es-ES"/>
                        </w:rPr>
                        <w:t>Chimica</w:t>
                      </w:r>
                      <w:proofErr w:type="spellEnd"/>
                      <w:r w:rsidR="00DF5192" w:rsidRPr="00414AB9">
                        <w:rPr>
                          <w:sz w:val="14"/>
                          <w:szCs w:val="14"/>
                          <w:lang w:val="es-ES"/>
                        </w:rPr>
                        <w:t xml:space="preserve"> e </w:t>
                      </w:r>
                      <w:proofErr w:type="spellStart"/>
                      <w:r w:rsidR="00DF5192" w:rsidRPr="00414AB9">
                        <w:rPr>
                          <w:sz w:val="14"/>
                          <w:szCs w:val="14"/>
                          <w:lang w:val="es-ES"/>
                        </w:rPr>
                        <w:t>Chimica</w:t>
                      </w:r>
                      <w:proofErr w:type="spellEnd"/>
                      <w:r w:rsidR="00DF5192" w:rsidRPr="00414AB9">
                        <w:rPr>
                          <w:sz w:val="14"/>
                          <w:szCs w:val="14"/>
                          <w:lang w:val="es-ES"/>
                        </w:rPr>
                        <w:t xml:space="preserve"> </w:t>
                      </w:r>
                      <w:proofErr w:type="spellStart"/>
                      <w:r w:rsidR="00DF5192" w:rsidRPr="00414AB9">
                        <w:rPr>
                          <w:sz w:val="14"/>
                          <w:szCs w:val="14"/>
                          <w:lang w:val="es-ES"/>
                        </w:rPr>
                        <w:t>Industriale</w:t>
                      </w:r>
                      <w:proofErr w:type="spellEnd"/>
                      <w:r w:rsidR="00DF5192" w:rsidRPr="00414AB9">
                        <w:rPr>
                          <w:sz w:val="14"/>
                          <w:szCs w:val="14"/>
                          <w:lang w:val="es-ES"/>
                        </w:rPr>
                        <w:t xml:space="preserve">, </w:t>
                      </w:r>
                      <w:proofErr w:type="spellStart"/>
                      <w:r w:rsidR="00DF5192" w:rsidRPr="00414AB9">
                        <w:rPr>
                          <w:sz w:val="14"/>
                          <w:szCs w:val="14"/>
                          <w:lang w:val="es-ES"/>
                        </w:rPr>
                        <w:t>University</w:t>
                      </w:r>
                      <w:proofErr w:type="spellEnd"/>
                      <w:r w:rsidR="00DF5192" w:rsidRPr="00414AB9">
                        <w:rPr>
                          <w:sz w:val="14"/>
                          <w:szCs w:val="14"/>
                          <w:lang w:val="es-ES"/>
                        </w:rPr>
                        <w:t xml:space="preserve"> </w:t>
                      </w:r>
                      <w:proofErr w:type="spellStart"/>
                      <w:r w:rsidR="00DF5192" w:rsidRPr="00414AB9">
                        <w:rPr>
                          <w:sz w:val="14"/>
                          <w:szCs w:val="14"/>
                          <w:lang w:val="es-ES"/>
                        </w:rPr>
                        <w:t>of</w:t>
                      </w:r>
                      <w:proofErr w:type="spellEnd"/>
                      <w:r w:rsidR="00DF5192" w:rsidRPr="00414AB9">
                        <w:rPr>
                          <w:sz w:val="14"/>
                          <w:szCs w:val="14"/>
                          <w:lang w:val="es-ES"/>
                        </w:rPr>
                        <w:t xml:space="preserve"> Pisa, </w:t>
                      </w:r>
                      <w:proofErr w:type="spellStart"/>
                      <w:r w:rsidR="00DF5192" w:rsidRPr="00414AB9">
                        <w:rPr>
                          <w:sz w:val="14"/>
                          <w:szCs w:val="14"/>
                          <w:lang w:val="es-ES"/>
                        </w:rPr>
                        <w:t>via</w:t>
                      </w:r>
                      <w:proofErr w:type="spellEnd"/>
                      <w:r w:rsidR="00DF5192" w:rsidRPr="00414AB9">
                        <w:rPr>
                          <w:sz w:val="14"/>
                          <w:szCs w:val="14"/>
                          <w:lang w:val="es-ES"/>
                        </w:rPr>
                        <w:t xml:space="preserve"> </w:t>
                      </w:r>
                      <w:proofErr w:type="spellStart"/>
                      <w:r w:rsidR="00DF5192" w:rsidRPr="00414AB9">
                        <w:rPr>
                          <w:sz w:val="14"/>
                          <w:szCs w:val="14"/>
                          <w:lang w:val="es-ES"/>
                        </w:rPr>
                        <w:t>Moruzzi</w:t>
                      </w:r>
                      <w:proofErr w:type="spellEnd"/>
                      <w:r w:rsidR="00DF5192" w:rsidRPr="00414AB9">
                        <w:rPr>
                          <w:sz w:val="14"/>
                          <w:szCs w:val="14"/>
                          <w:lang w:val="es-ES"/>
                        </w:rPr>
                        <w:t xml:space="preserve"> 13, 56124, Pisa, </w:t>
                      </w:r>
                      <w:proofErr w:type="spellStart"/>
                      <w:r w:rsidR="00DF5192" w:rsidRPr="00414AB9">
                        <w:rPr>
                          <w:sz w:val="14"/>
                          <w:szCs w:val="14"/>
                          <w:lang w:val="es-ES"/>
                        </w:rPr>
                        <w:t>Italy</w:t>
                      </w:r>
                      <w:proofErr w:type="spellEnd"/>
                      <w:r w:rsidR="00DF5192" w:rsidRPr="00F9084A">
                        <w:rPr>
                          <w:sz w:val="14"/>
                          <w:szCs w:val="14"/>
                          <w:lang w:val="it-IT"/>
                        </w:rPr>
                        <w:t xml:space="preserve"> </w:t>
                      </w:r>
                    </w:p>
                    <w:p w14:paraId="3580C229" w14:textId="5928EB15" w:rsidR="00E772DA" w:rsidRPr="00DF5192" w:rsidRDefault="00CA4E3B" w:rsidP="0027532E">
                      <w:pPr>
                        <w:spacing w:after="0" w:line="240" w:lineRule="auto"/>
                        <w:jc w:val="both"/>
                        <w:rPr>
                          <w:sz w:val="14"/>
                          <w:szCs w:val="14"/>
                        </w:rPr>
                      </w:pPr>
                      <w:r w:rsidRPr="00414AB9">
                        <w:rPr>
                          <w:sz w:val="14"/>
                          <w:szCs w:val="14"/>
                          <w:vertAlign w:val="superscript"/>
                          <w:lang w:val="es-ES"/>
                        </w:rPr>
                        <w:t>b</w:t>
                      </w:r>
                      <w:r w:rsidRPr="00414AB9">
                        <w:rPr>
                          <w:sz w:val="14"/>
                          <w:szCs w:val="14"/>
                          <w:lang w:val="es-ES"/>
                        </w:rPr>
                        <w:t xml:space="preserve"> </w:t>
                      </w:r>
                      <w:r w:rsidR="00DF5192" w:rsidRPr="00414AB9">
                        <w:rPr>
                          <w:sz w:val="14"/>
                          <w:szCs w:val="14"/>
                        </w:rPr>
                        <w:t>Department of Physics and Astronomy, University of Florence, via Sansone 1, 50019, Sesto Fiorentino, Italy</w:t>
                      </w:r>
                    </w:p>
                    <w:p w14:paraId="110D21DF" w14:textId="77777777" w:rsidR="00E772DA" w:rsidRPr="00414AB9" w:rsidRDefault="00E772DA" w:rsidP="0027532E">
                      <w:pPr>
                        <w:spacing w:after="0" w:line="240" w:lineRule="auto"/>
                        <w:jc w:val="both"/>
                        <w:rPr>
                          <w:sz w:val="14"/>
                          <w:szCs w:val="14"/>
                          <w:vertAlign w:val="superscript"/>
                        </w:rPr>
                      </w:pPr>
                      <w:r w:rsidRPr="00414AB9">
                        <w:rPr>
                          <w:sz w:val="14"/>
                          <w:szCs w:val="14"/>
                          <w:vertAlign w:val="superscript"/>
                        </w:rPr>
                        <w:t xml:space="preserve">c </w:t>
                      </w:r>
                      <w:r w:rsidRPr="00414AB9">
                        <w:rPr>
                          <w:sz w:val="14"/>
                          <w:szCs w:val="14"/>
                        </w:rPr>
                        <w:t xml:space="preserve">Department of Inorganic and Analytical Chemistry, University of Geneva, 30 quai E. </w:t>
                      </w:r>
                      <w:proofErr w:type="spellStart"/>
                      <w:r w:rsidRPr="00414AB9">
                        <w:rPr>
                          <w:sz w:val="14"/>
                          <w:szCs w:val="14"/>
                        </w:rPr>
                        <w:t>Ansermet</w:t>
                      </w:r>
                      <w:proofErr w:type="spellEnd"/>
                      <w:r w:rsidRPr="00414AB9">
                        <w:rPr>
                          <w:sz w:val="14"/>
                          <w:szCs w:val="14"/>
                        </w:rPr>
                        <w:t>, CH-1211 Geneva 4, Switzerland</w:t>
                      </w:r>
                    </w:p>
                    <w:p w14:paraId="3FD9168B" w14:textId="77777777" w:rsidR="00E772DA" w:rsidRPr="00414AB9" w:rsidRDefault="00E772DA" w:rsidP="0027532E">
                      <w:pPr>
                        <w:spacing w:after="0" w:line="240" w:lineRule="auto"/>
                        <w:jc w:val="both"/>
                        <w:rPr>
                          <w:sz w:val="14"/>
                          <w:szCs w:val="14"/>
                          <w:vertAlign w:val="superscript"/>
                        </w:rPr>
                      </w:pPr>
                      <w:r w:rsidRPr="00414AB9">
                        <w:rPr>
                          <w:sz w:val="14"/>
                          <w:szCs w:val="14"/>
                          <w:vertAlign w:val="superscript"/>
                        </w:rPr>
                        <w:t>d</w:t>
                      </w:r>
                      <w:r w:rsidRPr="00414AB9">
                        <w:rPr>
                          <w:rFonts w:ascii="Source Sans Pro" w:hAnsi="Source Sans Pro"/>
                          <w:i/>
                          <w:iCs/>
                          <w:sz w:val="14"/>
                          <w:szCs w:val="14"/>
                          <w:shd w:val="clear" w:color="auto" w:fill="FFFFFF"/>
                        </w:rPr>
                        <w:t xml:space="preserve"> </w:t>
                      </w:r>
                      <w:r w:rsidRPr="00414AB9">
                        <w:rPr>
                          <w:sz w:val="14"/>
                          <w:szCs w:val="14"/>
                        </w:rPr>
                        <w:t>National High Magnetic Field Laboratory, Florida State University, Tallahassee, Florida 32310, USA</w:t>
                      </w:r>
                      <w:r w:rsidRPr="00414AB9">
                        <w:rPr>
                          <w:sz w:val="14"/>
                          <w:szCs w:val="14"/>
                          <w:vertAlign w:val="superscript"/>
                        </w:rPr>
                        <w:t xml:space="preserve"> </w:t>
                      </w:r>
                    </w:p>
                    <w:p w14:paraId="39A39DEA" w14:textId="2D88A36B" w:rsidR="00BF34BB" w:rsidRPr="008A0210" w:rsidRDefault="00E772DA" w:rsidP="0027532E">
                      <w:pPr>
                        <w:spacing w:after="0" w:line="240" w:lineRule="auto"/>
                        <w:jc w:val="both"/>
                        <w:rPr>
                          <w:sz w:val="14"/>
                          <w:szCs w:val="14"/>
                          <w:lang w:val="es-ES"/>
                        </w:rPr>
                      </w:pPr>
                      <w:proofErr w:type="spellStart"/>
                      <w:r w:rsidRPr="00414AB9">
                        <w:rPr>
                          <w:sz w:val="14"/>
                          <w:szCs w:val="14"/>
                          <w:vertAlign w:val="superscript"/>
                          <w:lang w:val="es-ES"/>
                        </w:rPr>
                        <w:t>e</w:t>
                      </w:r>
                      <w:proofErr w:type="spellEnd"/>
                      <w:r w:rsidRPr="00414AB9">
                        <w:rPr>
                          <w:sz w:val="14"/>
                          <w:szCs w:val="14"/>
                          <w:vertAlign w:val="superscript"/>
                          <w:lang w:val="es-ES"/>
                        </w:rPr>
                        <w:t xml:space="preserve"> </w:t>
                      </w:r>
                      <w:r w:rsidRPr="00414AB9">
                        <w:rPr>
                          <w:sz w:val="14"/>
                          <w:szCs w:val="14"/>
                          <w:lang w:val="es-ES"/>
                        </w:rPr>
                        <w:t xml:space="preserve">Departamento de Química Inorgánica, Facultad de Ciencias, </w:t>
                      </w:r>
                      <w:proofErr w:type="spellStart"/>
                      <w:r w:rsidRPr="00414AB9">
                        <w:rPr>
                          <w:sz w:val="14"/>
                          <w:szCs w:val="14"/>
                          <w:lang w:val="es-ES"/>
                        </w:rPr>
                        <w:t>Univers</w:t>
                      </w:r>
                      <w:r w:rsidR="004F74A1">
                        <w:rPr>
                          <w:sz w:val="14"/>
                          <w:szCs w:val="14"/>
                          <w:lang w:val="es-ES"/>
                        </w:rPr>
                        <w:t>ity</w:t>
                      </w:r>
                      <w:proofErr w:type="spellEnd"/>
                      <w:r w:rsidR="004F74A1">
                        <w:rPr>
                          <w:sz w:val="14"/>
                          <w:szCs w:val="14"/>
                          <w:lang w:val="es-ES"/>
                        </w:rPr>
                        <w:t xml:space="preserve"> </w:t>
                      </w:r>
                      <w:proofErr w:type="spellStart"/>
                      <w:r w:rsidR="004F74A1">
                        <w:rPr>
                          <w:sz w:val="14"/>
                          <w:szCs w:val="14"/>
                          <w:lang w:val="es-ES"/>
                        </w:rPr>
                        <w:t>of</w:t>
                      </w:r>
                      <w:proofErr w:type="spellEnd"/>
                      <w:r w:rsidR="004F74A1">
                        <w:rPr>
                          <w:sz w:val="14"/>
                          <w:szCs w:val="14"/>
                          <w:lang w:val="es-ES"/>
                        </w:rPr>
                        <w:t xml:space="preserve"> Granada</w:t>
                      </w:r>
                      <w:r w:rsidR="00495464">
                        <w:rPr>
                          <w:sz w:val="14"/>
                          <w:szCs w:val="14"/>
                          <w:lang w:val="es-ES"/>
                        </w:rPr>
                        <w:t xml:space="preserve"> and </w:t>
                      </w:r>
                      <w:r w:rsidR="004F74A1">
                        <w:rPr>
                          <w:sz w:val="14"/>
                          <w:szCs w:val="14"/>
                          <w:lang w:val="es-ES"/>
                        </w:rPr>
                        <w:t>“</w:t>
                      </w:r>
                      <w:r w:rsidRPr="00414AB9">
                        <w:rPr>
                          <w:sz w:val="14"/>
                          <w:szCs w:val="14"/>
                          <w:lang w:val="es-ES"/>
                        </w:rPr>
                        <w:t>Unidad de Excelencia en Química (UEQ)</w:t>
                      </w:r>
                      <w:r w:rsidR="004F74A1">
                        <w:rPr>
                          <w:sz w:val="14"/>
                          <w:szCs w:val="14"/>
                          <w:lang w:val="es-ES"/>
                        </w:rPr>
                        <w:t>”</w:t>
                      </w:r>
                      <w:r w:rsidRPr="00414AB9">
                        <w:rPr>
                          <w:sz w:val="14"/>
                          <w:szCs w:val="14"/>
                          <w:lang w:val="es-ES"/>
                        </w:rPr>
                        <w:t xml:space="preserve">, Avda. </w:t>
                      </w:r>
                      <w:r w:rsidRPr="008A0210">
                        <w:rPr>
                          <w:sz w:val="14"/>
                          <w:szCs w:val="14"/>
                          <w:lang w:val="es-ES"/>
                        </w:rPr>
                        <w:t xml:space="preserve">Fuente Nueva s/n, 18071, Granada, </w:t>
                      </w:r>
                      <w:proofErr w:type="spellStart"/>
                      <w:r w:rsidRPr="008A0210">
                        <w:rPr>
                          <w:sz w:val="14"/>
                          <w:szCs w:val="14"/>
                          <w:lang w:val="es-ES"/>
                        </w:rPr>
                        <w:t>Spain</w:t>
                      </w:r>
                      <w:proofErr w:type="spellEnd"/>
                      <w:r w:rsidRPr="008A0210">
                        <w:rPr>
                          <w:sz w:val="14"/>
                          <w:szCs w:val="14"/>
                          <w:lang w:val="es-ES"/>
                        </w:rPr>
                        <w:t>.</w:t>
                      </w:r>
                    </w:p>
                    <w:bookmarkEnd w:id="2"/>
                    <w:p w14:paraId="47F59A66" w14:textId="77777777" w:rsidR="00BF34BB" w:rsidRPr="008A0210" w:rsidRDefault="00BF34BB" w:rsidP="0027532E">
                      <w:pPr>
                        <w:spacing w:after="0" w:line="240" w:lineRule="auto"/>
                        <w:jc w:val="both"/>
                        <w:rPr>
                          <w:sz w:val="14"/>
                          <w:szCs w:val="14"/>
                          <w:lang w:val="es-ES"/>
                        </w:rPr>
                      </w:pPr>
                    </w:p>
                    <w:p w14:paraId="0642A49F" w14:textId="54EDF5A5" w:rsidR="00E772DA" w:rsidRPr="008104E2" w:rsidRDefault="00E772DA" w:rsidP="0027532E">
                      <w:pPr>
                        <w:spacing w:after="0" w:line="240" w:lineRule="auto"/>
                        <w:jc w:val="both"/>
                        <w:rPr>
                          <w:sz w:val="14"/>
                          <w:szCs w:val="14"/>
                          <w:lang w:val="es-ES"/>
                        </w:rPr>
                      </w:pPr>
                      <w:bookmarkStart w:id="3" w:name="_Hlk169595040"/>
                      <w:r w:rsidRPr="008104E2">
                        <w:rPr>
                          <w:sz w:val="14"/>
                          <w:szCs w:val="14"/>
                          <w:lang w:val="es-ES"/>
                        </w:rPr>
                        <w:t xml:space="preserve">E-mail: </w:t>
                      </w:r>
                    </w:p>
                    <w:p w14:paraId="54CF1478" w14:textId="4895358D" w:rsidR="00BF34BB" w:rsidRPr="008104E2" w:rsidRDefault="00000000" w:rsidP="00241ACD">
                      <w:pPr>
                        <w:pStyle w:val="RSCF02FootnotestoTitleAuthors"/>
                        <w:rPr>
                          <w:lang w:val="es-ES"/>
                        </w:rPr>
                      </w:pPr>
                      <w:hyperlink r:id="rId13" w:history="1">
                        <w:r w:rsidR="00BF34BB" w:rsidRPr="008104E2">
                          <w:rPr>
                            <w:rStyle w:val="Collegamentoipertestuale"/>
                            <w:lang w:val="es-ES"/>
                          </w:rPr>
                          <w:t>jrjimenez@ugr.es</w:t>
                        </w:r>
                      </w:hyperlink>
                      <w:r w:rsidR="00BF34BB" w:rsidRPr="008104E2">
                        <w:rPr>
                          <w:lang w:val="es-ES"/>
                        </w:rPr>
                        <w:t xml:space="preserve">, </w:t>
                      </w:r>
                      <w:hyperlink r:id="rId14" w:history="1">
                        <w:r w:rsidR="00BF34BB" w:rsidRPr="008104E2">
                          <w:rPr>
                            <w:rStyle w:val="Collegamentoipertestuale"/>
                            <w:lang w:val="es-ES"/>
                          </w:rPr>
                          <w:t>francesco.zinna@unipi.it</w:t>
                        </w:r>
                      </w:hyperlink>
                    </w:p>
                    <w:bookmarkEnd w:id="3"/>
                    <w:p w14:paraId="71856912" w14:textId="2D8B51D5" w:rsidR="00C405FD" w:rsidRPr="006F03F9" w:rsidRDefault="008C682F" w:rsidP="00241ACD">
                      <w:pPr>
                        <w:pStyle w:val="RSCF02FootnotestoTitleAuthors"/>
                      </w:pPr>
                      <w:r w:rsidRPr="006F03F9">
                        <w:t>Electronic Supplementary Information (ESI) available: [details of any supplementary information available should be included here]. See DOI: 10.1039/x0xx00000x</w:t>
                      </w:r>
                    </w:p>
                  </w:txbxContent>
                </v:textbox>
                <w10:wrap type="topAndBottom" anchory="margin"/>
                <w10:anchorlock/>
              </v:shape>
            </w:pict>
          </mc:Fallback>
        </mc:AlternateContent>
      </w:r>
      <w:r w:rsidR="00F62C8B" w:rsidRPr="00F9084A">
        <w:t>Received 00th January 20</w:t>
      </w:r>
      <w:r w:rsidR="00F15F90" w:rsidRPr="00F9084A">
        <w:t>xx</w:t>
      </w:r>
      <w:r w:rsidR="00F62C8B" w:rsidRPr="00F9084A">
        <w:t>,</w:t>
      </w:r>
    </w:p>
    <w:p w14:paraId="5E930491" w14:textId="77777777" w:rsidR="00F62C8B" w:rsidRPr="00F9084A" w:rsidRDefault="00F62C8B" w:rsidP="004C531E">
      <w:pPr>
        <w:pStyle w:val="RSCM01ReceivedAccepted"/>
      </w:pPr>
      <w:r w:rsidRPr="00F9084A">
        <w:t>Accepted 00th January 20</w:t>
      </w:r>
      <w:r w:rsidR="00F15F90" w:rsidRPr="00F9084A">
        <w:t>xx</w:t>
      </w:r>
    </w:p>
    <w:p w14:paraId="492325BD" w14:textId="77777777" w:rsidR="00F62C8B" w:rsidRPr="00F9084A" w:rsidRDefault="00F62C8B" w:rsidP="004C531E">
      <w:pPr>
        <w:pStyle w:val="RSCM02DOI"/>
      </w:pPr>
      <w:r w:rsidRPr="00F9084A">
        <w:t>DOI: 10.1039/x0xx00000x</w:t>
      </w:r>
    </w:p>
    <w:p w14:paraId="646B8F30" w14:textId="6358663E" w:rsidR="00A9649E" w:rsidRPr="00F9084A" w:rsidRDefault="00A9649E" w:rsidP="004C531E">
      <w:pPr>
        <w:pStyle w:val="RSCM03Website"/>
      </w:pPr>
    </w:p>
    <w:p w14:paraId="0D6101E0" w14:textId="286F8997" w:rsidR="004414A5" w:rsidRPr="00F9084A" w:rsidRDefault="00F62C8B" w:rsidP="00C32EDF">
      <w:pPr>
        <w:pStyle w:val="RSCH01PaperTitle"/>
      </w:pPr>
      <w:r w:rsidRPr="00F9084A">
        <w:br w:type="column"/>
      </w:r>
      <w:r w:rsidR="00CB33CE" w:rsidRPr="00F9084A">
        <w:t>Magnetic circularly polarized luminescence from spin flip transitions in a molecular Ruby</w:t>
      </w:r>
    </w:p>
    <w:p w14:paraId="10764152" w14:textId="2490587B" w:rsidR="00A440D3" w:rsidRPr="00F9084A" w:rsidRDefault="00A440D3" w:rsidP="00A440D3">
      <w:pPr>
        <w:jc w:val="both"/>
        <w:rPr>
          <w:sz w:val="20"/>
          <w:szCs w:val="20"/>
          <w:lang w:val="es-ES"/>
        </w:rPr>
      </w:pPr>
      <w:r w:rsidRPr="00F9084A">
        <w:rPr>
          <w:sz w:val="20"/>
          <w:szCs w:val="20"/>
          <w:lang w:val="es-ES"/>
        </w:rPr>
        <w:t xml:space="preserve">Alessio </w:t>
      </w:r>
      <w:proofErr w:type="spellStart"/>
      <w:proofErr w:type="gramStart"/>
      <w:r w:rsidRPr="00F9084A">
        <w:rPr>
          <w:sz w:val="20"/>
          <w:szCs w:val="20"/>
          <w:lang w:val="es-ES"/>
        </w:rPr>
        <w:t>Gabbani,</w:t>
      </w:r>
      <w:r w:rsidRPr="00F9084A">
        <w:rPr>
          <w:sz w:val="20"/>
          <w:szCs w:val="20"/>
          <w:vertAlign w:val="superscript"/>
          <w:lang w:val="es-ES"/>
        </w:rPr>
        <w:t>a</w:t>
      </w:r>
      <w:proofErr w:type="gramEnd"/>
      <w:r w:rsidRPr="00F9084A">
        <w:rPr>
          <w:sz w:val="20"/>
          <w:szCs w:val="20"/>
          <w:vertAlign w:val="superscript"/>
          <w:lang w:val="es-ES"/>
        </w:rPr>
        <w:t>,b</w:t>
      </w:r>
      <w:proofErr w:type="spellEnd"/>
      <w:r w:rsidRPr="00F9084A">
        <w:rPr>
          <w:sz w:val="20"/>
          <w:szCs w:val="20"/>
          <w:vertAlign w:val="superscript"/>
          <w:lang w:val="es-ES"/>
        </w:rPr>
        <w:t xml:space="preserve"> </w:t>
      </w:r>
      <w:r w:rsidRPr="00F9084A">
        <w:rPr>
          <w:sz w:val="20"/>
          <w:szCs w:val="20"/>
          <w:lang w:val="es-ES"/>
        </w:rPr>
        <w:t xml:space="preserve">Maxime </w:t>
      </w:r>
      <w:proofErr w:type="spellStart"/>
      <w:r w:rsidRPr="00F9084A">
        <w:rPr>
          <w:sz w:val="20"/>
          <w:szCs w:val="20"/>
          <w:lang w:val="es-ES"/>
        </w:rPr>
        <w:t>Poncet,</w:t>
      </w:r>
      <w:r w:rsidRPr="00F9084A">
        <w:rPr>
          <w:sz w:val="20"/>
          <w:szCs w:val="20"/>
          <w:vertAlign w:val="superscript"/>
          <w:lang w:val="es-ES"/>
        </w:rPr>
        <w:t>c</w:t>
      </w:r>
      <w:proofErr w:type="spellEnd"/>
      <w:r w:rsidRPr="00F9084A">
        <w:rPr>
          <w:sz w:val="20"/>
          <w:szCs w:val="20"/>
          <w:lang w:val="es-ES"/>
        </w:rPr>
        <w:t xml:space="preserve"> </w:t>
      </w:r>
      <w:proofErr w:type="spellStart"/>
      <w:r w:rsidRPr="00F9084A">
        <w:rPr>
          <w:sz w:val="20"/>
          <w:szCs w:val="20"/>
          <w:lang w:val="es-ES"/>
        </w:rPr>
        <w:t>Gennaro</w:t>
      </w:r>
      <w:proofErr w:type="spellEnd"/>
      <w:r w:rsidRPr="00F9084A">
        <w:rPr>
          <w:sz w:val="20"/>
          <w:szCs w:val="20"/>
          <w:lang w:val="es-ES"/>
        </w:rPr>
        <w:t xml:space="preserve"> </w:t>
      </w:r>
      <w:proofErr w:type="spellStart"/>
      <w:r w:rsidRPr="00F9084A">
        <w:rPr>
          <w:sz w:val="20"/>
          <w:szCs w:val="20"/>
          <w:lang w:val="es-ES"/>
        </w:rPr>
        <w:t>Pescitelli,</w:t>
      </w:r>
      <w:r w:rsidR="009E70BE" w:rsidRPr="00F9084A">
        <w:rPr>
          <w:sz w:val="20"/>
          <w:szCs w:val="20"/>
          <w:vertAlign w:val="superscript"/>
          <w:lang w:val="es-ES"/>
        </w:rPr>
        <w:t>b</w:t>
      </w:r>
      <w:proofErr w:type="spellEnd"/>
      <w:r w:rsidR="009E70BE" w:rsidRPr="00F9084A">
        <w:rPr>
          <w:sz w:val="20"/>
          <w:szCs w:val="20"/>
          <w:lang w:val="es-ES"/>
        </w:rPr>
        <w:t xml:space="preserve"> </w:t>
      </w:r>
      <w:r w:rsidRPr="00F9084A">
        <w:rPr>
          <w:sz w:val="20"/>
          <w:szCs w:val="20"/>
          <w:lang w:val="es-ES"/>
        </w:rPr>
        <w:t xml:space="preserve">Laura </w:t>
      </w:r>
      <w:proofErr w:type="spellStart"/>
      <w:r w:rsidRPr="00F9084A">
        <w:rPr>
          <w:sz w:val="20"/>
          <w:szCs w:val="20"/>
          <w:lang w:val="es-ES"/>
        </w:rPr>
        <w:t>Carbonaro,</w:t>
      </w:r>
      <w:r w:rsidR="009E70BE" w:rsidRPr="00F9084A">
        <w:rPr>
          <w:sz w:val="20"/>
          <w:szCs w:val="20"/>
          <w:vertAlign w:val="superscript"/>
          <w:lang w:val="es-ES"/>
        </w:rPr>
        <w:t>b</w:t>
      </w:r>
      <w:proofErr w:type="spellEnd"/>
      <w:r w:rsidR="009E70BE" w:rsidRPr="00F9084A">
        <w:rPr>
          <w:sz w:val="20"/>
          <w:szCs w:val="20"/>
          <w:lang w:val="es-ES"/>
        </w:rPr>
        <w:t xml:space="preserve"> </w:t>
      </w:r>
      <w:r w:rsidRPr="00CA1EB6">
        <w:rPr>
          <w:sz w:val="20"/>
          <w:szCs w:val="20"/>
          <w:highlight w:val="yellow"/>
          <w:lang w:val="es-ES"/>
        </w:rPr>
        <w:t>J</w:t>
      </w:r>
      <w:r w:rsidR="00CA1EB6" w:rsidRPr="00CA1EB6">
        <w:rPr>
          <w:sz w:val="20"/>
          <w:szCs w:val="20"/>
          <w:highlight w:val="yellow"/>
          <w:lang w:val="es-ES"/>
        </w:rPr>
        <w:t>.</w:t>
      </w:r>
      <w:r w:rsidR="006058DB" w:rsidRPr="00F9084A">
        <w:rPr>
          <w:sz w:val="20"/>
          <w:szCs w:val="20"/>
          <w:lang w:val="es-ES"/>
        </w:rPr>
        <w:t xml:space="preserve"> </w:t>
      </w:r>
      <w:proofErr w:type="spellStart"/>
      <w:r w:rsidRPr="00F9084A">
        <w:rPr>
          <w:sz w:val="20"/>
          <w:szCs w:val="20"/>
          <w:lang w:val="es-ES"/>
        </w:rPr>
        <w:t>Krzystek,</w:t>
      </w:r>
      <w:r w:rsidRPr="00F9084A">
        <w:rPr>
          <w:sz w:val="20"/>
          <w:szCs w:val="20"/>
          <w:vertAlign w:val="superscript"/>
          <w:lang w:val="es-ES"/>
        </w:rPr>
        <w:t>d</w:t>
      </w:r>
      <w:proofErr w:type="spellEnd"/>
      <w:r w:rsidRPr="00F9084A">
        <w:rPr>
          <w:sz w:val="20"/>
          <w:szCs w:val="20"/>
          <w:lang w:val="es-ES"/>
        </w:rPr>
        <w:t xml:space="preserve"> Enrique </w:t>
      </w:r>
      <w:proofErr w:type="spellStart"/>
      <w:r w:rsidRPr="00F9084A">
        <w:rPr>
          <w:sz w:val="20"/>
          <w:szCs w:val="20"/>
          <w:lang w:val="es-ES"/>
        </w:rPr>
        <w:t>Colacio,</w:t>
      </w:r>
      <w:r w:rsidRPr="00F9084A">
        <w:rPr>
          <w:sz w:val="20"/>
          <w:szCs w:val="20"/>
          <w:vertAlign w:val="superscript"/>
          <w:lang w:val="es-ES"/>
        </w:rPr>
        <w:t>e</w:t>
      </w:r>
      <w:proofErr w:type="spellEnd"/>
      <w:r w:rsidRPr="00F9084A">
        <w:rPr>
          <w:sz w:val="20"/>
          <w:szCs w:val="20"/>
          <w:lang w:val="es-ES"/>
        </w:rPr>
        <w:t xml:space="preserve"> Claude </w:t>
      </w:r>
      <w:proofErr w:type="spellStart"/>
      <w:r w:rsidRPr="00F9084A">
        <w:rPr>
          <w:sz w:val="20"/>
          <w:szCs w:val="20"/>
          <w:lang w:val="es-ES"/>
        </w:rPr>
        <w:t>Piguet,</w:t>
      </w:r>
      <w:r w:rsidRPr="00F9084A">
        <w:rPr>
          <w:sz w:val="20"/>
          <w:szCs w:val="20"/>
          <w:vertAlign w:val="superscript"/>
          <w:lang w:val="es-ES"/>
        </w:rPr>
        <w:t>c</w:t>
      </w:r>
      <w:proofErr w:type="spellEnd"/>
      <w:r w:rsidRPr="00F9084A">
        <w:rPr>
          <w:sz w:val="20"/>
          <w:szCs w:val="20"/>
          <w:lang w:val="es-ES"/>
        </w:rPr>
        <w:t xml:space="preserve"> Francesco </w:t>
      </w:r>
      <w:proofErr w:type="spellStart"/>
      <w:r w:rsidRPr="00F9084A">
        <w:rPr>
          <w:sz w:val="20"/>
          <w:szCs w:val="20"/>
          <w:lang w:val="es-ES"/>
        </w:rPr>
        <w:t>Pineider,</w:t>
      </w:r>
      <w:r w:rsidR="00084135" w:rsidRPr="00F9084A">
        <w:rPr>
          <w:sz w:val="20"/>
          <w:szCs w:val="20"/>
          <w:vertAlign w:val="superscript"/>
          <w:lang w:val="es-ES"/>
        </w:rPr>
        <w:t>b</w:t>
      </w:r>
      <w:r w:rsidRPr="00F9084A">
        <w:rPr>
          <w:sz w:val="20"/>
          <w:szCs w:val="20"/>
          <w:vertAlign w:val="superscript"/>
          <w:lang w:val="es-ES"/>
        </w:rPr>
        <w:t>,</w:t>
      </w:r>
      <w:r w:rsidR="00084135" w:rsidRPr="00F9084A">
        <w:rPr>
          <w:sz w:val="20"/>
          <w:szCs w:val="20"/>
          <w:vertAlign w:val="superscript"/>
          <w:lang w:val="es-ES"/>
        </w:rPr>
        <w:t>a</w:t>
      </w:r>
      <w:proofErr w:type="spellEnd"/>
      <w:r w:rsidRPr="00F9084A">
        <w:rPr>
          <w:sz w:val="20"/>
          <w:szCs w:val="20"/>
          <w:lang w:val="es-ES"/>
        </w:rPr>
        <w:t xml:space="preserve"> Lorenzo Di </w:t>
      </w:r>
      <w:proofErr w:type="spellStart"/>
      <w:r w:rsidRPr="00F9084A">
        <w:rPr>
          <w:sz w:val="20"/>
          <w:szCs w:val="20"/>
          <w:lang w:val="es-ES"/>
        </w:rPr>
        <w:t>Bari,</w:t>
      </w:r>
      <w:r w:rsidR="00084135" w:rsidRPr="00F9084A">
        <w:rPr>
          <w:sz w:val="20"/>
          <w:szCs w:val="20"/>
          <w:vertAlign w:val="superscript"/>
          <w:lang w:val="es-ES"/>
        </w:rPr>
        <w:t>b</w:t>
      </w:r>
      <w:proofErr w:type="spellEnd"/>
      <w:r w:rsidRPr="00F9084A">
        <w:rPr>
          <w:sz w:val="20"/>
          <w:szCs w:val="20"/>
          <w:lang w:val="es-ES"/>
        </w:rPr>
        <w:t xml:space="preserve"> Juan-Ramón Jiménez*,</w:t>
      </w:r>
      <w:r w:rsidRPr="00F9084A">
        <w:rPr>
          <w:sz w:val="20"/>
          <w:szCs w:val="20"/>
          <w:vertAlign w:val="superscript"/>
          <w:lang w:val="es-ES"/>
        </w:rPr>
        <w:t>e</w:t>
      </w:r>
      <w:r w:rsidRPr="00F9084A">
        <w:rPr>
          <w:sz w:val="20"/>
          <w:szCs w:val="20"/>
          <w:lang w:val="es-ES"/>
        </w:rPr>
        <w:t xml:space="preserve"> Francesco Zinna*</w:t>
      </w:r>
      <w:r w:rsidR="00084135" w:rsidRPr="00F9084A">
        <w:rPr>
          <w:sz w:val="20"/>
          <w:szCs w:val="20"/>
          <w:vertAlign w:val="superscript"/>
          <w:lang w:val="es-ES"/>
        </w:rPr>
        <w:t>b</w:t>
      </w:r>
    </w:p>
    <w:p w14:paraId="39E3785F" w14:textId="74D99F26" w:rsidR="00FA2DA2" w:rsidRPr="00EA1B03" w:rsidRDefault="00262682" w:rsidP="00FA2DA2">
      <w:pPr>
        <w:pStyle w:val="RSCB01ARTAbstract"/>
        <w:rPr>
          <w:highlight w:val="yellow"/>
        </w:rPr>
        <w:sectPr w:rsidR="00FA2DA2" w:rsidRPr="00EA1B03" w:rsidSect="00514CBA">
          <w:headerReference w:type="even" r:id="rId15"/>
          <w:headerReference w:type="default" r:id="rId16"/>
          <w:footerReference w:type="even" r:id="rId17"/>
          <w:footerReference w:type="default" r:id="rId18"/>
          <w:headerReference w:type="first" r:id="rId19"/>
          <w:footerReference w:type="first" r:id="rId20"/>
          <w:pgSz w:w="11907" w:h="16840" w:code="9"/>
          <w:pgMar w:top="1009" w:right="851" w:bottom="1758" w:left="851" w:header="851" w:footer="1049" w:gutter="0"/>
          <w:cols w:num="2" w:space="227" w:equalWidth="0">
            <w:col w:w="1985" w:space="227"/>
            <w:col w:w="7993"/>
          </w:cols>
          <w:titlePg/>
          <w:docGrid w:linePitch="360"/>
        </w:sectPr>
      </w:pPr>
      <w:r w:rsidRPr="00F9084A">
        <w:t>Magnetic circularly polarized luminesence (MCPL), i.e. the possibility of generating circularly polarized luminesence in the presence of a magnetic field in achiral or rac</w:t>
      </w:r>
      <w:r w:rsidR="009E1B7D" w:rsidRPr="00F9084A">
        <w:t>e</w:t>
      </w:r>
      <w:r w:rsidRPr="00F9084A">
        <w:t>mic compounds</w:t>
      </w:r>
      <w:r w:rsidR="00D60984" w:rsidRPr="00F9084A">
        <w:t>,</w:t>
      </w:r>
      <w:r w:rsidRPr="00F9084A">
        <w:t xml:space="preserve"> is a technique of rising interest. Here we show that the</w:t>
      </w:r>
      <w:r w:rsidR="0093096E" w:rsidRPr="00F9084A">
        <w:t xml:space="preserve"> far-red</w:t>
      </w:r>
      <w:r w:rsidRPr="00F9084A">
        <w:t xml:space="preserve"> spin-flip </w:t>
      </w:r>
      <w:r w:rsidR="009E1B7D" w:rsidRPr="00F9084A">
        <w:t xml:space="preserve">(SF) </w:t>
      </w:r>
      <w:r w:rsidRPr="00F9084A">
        <w:t>transition</w:t>
      </w:r>
      <w:r w:rsidR="007F00A0">
        <w:t>s</w:t>
      </w:r>
      <w:r w:rsidRPr="00F9084A">
        <w:t xml:space="preserve"> of a mol</w:t>
      </w:r>
      <w:r w:rsidR="00BE50B2" w:rsidRPr="00F9084A">
        <w:t>e</w:t>
      </w:r>
      <w:r w:rsidRPr="00F9084A">
        <w:t>cular Cr(III) complex</w:t>
      </w:r>
      <w:r w:rsidR="00E71FAD">
        <w:t xml:space="preserve"> </w:t>
      </w:r>
      <w:r w:rsidR="007F00A0">
        <w:rPr>
          <w:highlight w:val="yellow"/>
        </w:rPr>
        <w:t>give</w:t>
      </w:r>
      <w:r w:rsidR="00E71FAD" w:rsidRPr="00E71FAD">
        <w:rPr>
          <w:highlight w:val="yellow"/>
        </w:rPr>
        <w:t xml:space="preserve"> </w:t>
      </w:r>
      <w:r w:rsidR="003221A6">
        <w:rPr>
          <w:highlight w:val="yellow"/>
        </w:rPr>
        <w:t>intense</w:t>
      </w:r>
      <w:r w:rsidR="00E71FAD" w:rsidRPr="00E71FAD">
        <w:rPr>
          <w:highlight w:val="yellow"/>
        </w:rPr>
        <w:t xml:space="preserve"> MCD (magnetic circular dich</w:t>
      </w:r>
      <w:r w:rsidR="00C85CEA">
        <w:rPr>
          <w:highlight w:val="yellow"/>
        </w:rPr>
        <w:t>ro</w:t>
      </w:r>
      <w:r w:rsidR="00E71FAD" w:rsidRPr="00E71FAD">
        <w:rPr>
          <w:highlight w:val="yellow"/>
        </w:rPr>
        <w:t>ism)</w:t>
      </w:r>
      <w:r w:rsidR="00716894">
        <w:rPr>
          <w:highlight w:val="yellow"/>
        </w:rPr>
        <w:t xml:space="preserve"> and in particular </w:t>
      </w:r>
      <w:r w:rsidR="00716894" w:rsidRPr="00E71FAD">
        <w:rPr>
          <w:highlight w:val="yellow"/>
        </w:rPr>
        <w:t xml:space="preserve">MCPL </w:t>
      </w:r>
      <w:r w:rsidR="00716894">
        <w:rPr>
          <w:highlight w:val="yellow"/>
        </w:rPr>
        <w:t>(</w:t>
      </w:r>
      <w:r w:rsidR="00716894" w:rsidRPr="00716894">
        <w:rPr>
          <w:highlight w:val="yellow"/>
        </w:rPr>
        <w:t>g</w:t>
      </w:r>
      <w:r w:rsidR="00716894" w:rsidRPr="00716894">
        <w:rPr>
          <w:highlight w:val="yellow"/>
          <w:vertAlign w:val="subscript"/>
        </w:rPr>
        <w:t>MCPL</w:t>
      </w:r>
      <w:r w:rsidR="00716894" w:rsidRPr="00716894">
        <w:rPr>
          <w:highlight w:val="yellow"/>
        </w:rPr>
        <w:t xml:space="preserve"> </w:t>
      </w:r>
      <w:r w:rsidR="00716894">
        <w:rPr>
          <w:highlight w:val="yellow"/>
        </w:rPr>
        <w:t>up to</w:t>
      </w:r>
      <w:r w:rsidR="00716894" w:rsidRPr="00716894">
        <w:rPr>
          <w:highlight w:val="yellow"/>
        </w:rPr>
        <w:t xml:space="preserve"> 6.3∙10</w:t>
      </w:r>
      <w:r w:rsidR="00716894" w:rsidRPr="00716894">
        <w:rPr>
          <w:highlight w:val="yellow"/>
          <w:vertAlign w:val="superscript"/>
        </w:rPr>
        <w:t>-3</w:t>
      </w:r>
      <w:r w:rsidR="00716894" w:rsidRPr="00716894">
        <w:rPr>
          <w:highlight w:val="yellow"/>
        </w:rPr>
        <w:t xml:space="preserve"> T</w:t>
      </w:r>
      <w:r w:rsidR="00716894" w:rsidRPr="00716894">
        <w:rPr>
          <w:highlight w:val="yellow"/>
          <w:vertAlign w:val="superscript"/>
        </w:rPr>
        <w:t>-1</w:t>
      </w:r>
      <w:r w:rsidR="00716894">
        <w:rPr>
          <w:highlight w:val="yellow"/>
        </w:rPr>
        <w:t xml:space="preserve">) </w:t>
      </w:r>
      <w:r w:rsidR="007F00A0">
        <w:rPr>
          <w:highlight w:val="yellow"/>
        </w:rPr>
        <w:t>even at magnetic fields as low as 0.4 T</w:t>
      </w:r>
      <w:r w:rsidR="00E71FAD" w:rsidRPr="00E71FAD">
        <w:rPr>
          <w:highlight w:val="yellow"/>
        </w:rPr>
        <w:t>.</w:t>
      </w:r>
      <w:r w:rsidRPr="00F9084A">
        <w:t xml:space="preserve"> </w:t>
      </w:r>
      <w:r w:rsidR="009E1B7D" w:rsidRPr="00F9084A">
        <w:t xml:space="preserve">Cr(III) doublet states and </w:t>
      </w:r>
      <w:r w:rsidR="00AC13B2" w:rsidRPr="00F9084A">
        <w:t xml:space="preserve">SF emission are nowadays </w:t>
      </w:r>
      <w:r w:rsidR="005D3C91" w:rsidRPr="005D3C91">
        <w:rPr>
          <w:highlight w:val="yellow"/>
        </w:rPr>
        <w:t>the object of many investigations, as they may open the way to</w:t>
      </w:r>
      <w:r w:rsidR="00AC13B2" w:rsidRPr="005D3C91">
        <w:rPr>
          <w:highlight w:val="yellow"/>
        </w:rPr>
        <w:t xml:space="preserve"> several applications</w:t>
      </w:r>
      <w:r w:rsidR="005D3C91" w:rsidRPr="00C85CEA">
        <w:rPr>
          <w:highlight w:val="yellow"/>
        </w:rPr>
        <w:t>.</w:t>
      </w:r>
      <w:r w:rsidR="00AC13B2" w:rsidRPr="00C85CEA">
        <w:rPr>
          <w:highlight w:val="yellow"/>
        </w:rPr>
        <w:t xml:space="preserve"> </w:t>
      </w:r>
      <w:r w:rsidR="00C85CEA">
        <w:rPr>
          <w:highlight w:val="yellow"/>
        </w:rPr>
        <w:t>Due to their nature, s</w:t>
      </w:r>
      <w:r w:rsidR="00C85CEA" w:rsidRPr="00C85CEA">
        <w:rPr>
          <w:highlight w:val="yellow"/>
        </w:rPr>
        <w:t xml:space="preserve">uch transitions can be conveniently addressed by </w:t>
      </w:r>
      <w:r w:rsidR="00AC13B2" w:rsidRPr="00C85CEA">
        <w:rPr>
          <w:highlight w:val="yellow"/>
        </w:rPr>
        <w:t>MCPL</w:t>
      </w:r>
      <w:r w:rsidR="00C85CEA" w:rsidRPr="00C85CEA">
        <w:rPr>
          <w:highlight w:val="yellow"/>
        </w:rPr>
        <w:t xml:space="preserve">, which strongly depends on the zero field splitting and Zeeman splitting of the involved </w:t>
      </w:r>
      <w:r w:rsidR="00C85CEA" w:rsidRPr="00DB409E">
        <w:rPr>
          <w:highlight w:val="yellow"/>
        </w:rPr>
        <w:t xml:space="preserve">states. Despite the complexity of the </w:t>
      </w:r>
      <w:r w:rsidR="00DB409E" w:rsidRPr="00DB409E">
        <w:rPr>
          <w:highlight w:val="yellow"/>
        </w:rPr>
        <w:t xml:space="preserve">nature of such states and the related </w:t>
      </w:r>
      <w:r w:rsidR="00C85CEA" w:rsidRPr="00DB409E">
        <w:rPr>
          <w:highlight w:val="yellow"/>
        </w:rPr>
        <w:t>photophysics,</w:t>
      </w:r>
      <w:r w:rsidR="00DB409E" w:rsidRPr="00DB409E">
        <w:rPr>
          <w:highlight w:val="yellow"/>
        </w:rPr>
        <w:t xml:space="preserve"> the obtained MCPL data </w:t>
      </w:r>
      <w:r w:rsidR="00D02F59">
        <w:rPr>
          <w:highlight w:val="yellow"/>
        </w:rPr>
        <w:t>can be rationalized consi</w:t>
      </w:r>
      <w:r w:rsidR="008E185F">
        <w:rPr>
          <w:highlight w:val="yellow"/>
        </w:rPr>
        <w:t>s</w:t>
      </w:r>
      <w:r w:rsidR="00D02F59">
        <w:rPr>
          <w:highlight w:val="yellow"/>
        </w:rPr>
        <w:t>tently</w:t>
      </w:r>
      <w:r w:rsidR="00DB409E" w:rsidRPr="00DB409E">
        <w:rPr>
          <w:highlight w:val="yellow"/>
        </w:rPr>
        <w:t xml:space="preserve"> with the information recovered with more established techniques, such as</w:t>
      </w:r>
      <w:r w:rsidR="00C85CEA" w:rsidRPr="00DB409E">
        <w:rPr>
          <w:highlight w:val="yellow"/>
        </w:rPr>
        <w:t xml:space="preserve"> HFEPR (high</w:t>
      </w:r>
      <w:r w:rsidR="008E185F">
        <w:rPr>
          <w:highlight w:val="yellow"/>
        </w:rPr>
        <w:t>-frequency and -</w:t>
      </w:r>
      <w:r w:rsidR="00C85CEA" w:rsidRPr="00DB409E">
        <w:rPr>
          <w:highlight w:val="yellow"/>
        </w:rPr>
        <w:t xml:space="preserve">field </w:t>
      </w:r>
      <w:r w:rsidR="00CD18C9">
        <w:rPr>
          <w:highlight w:val="yellow"/>
        </w:rPr>
        <w:t xml:space="preserve">electron </w:t>
      </w:r>
      <w:r w:rsidR="00C85CEA" w:rsidRPr="00DB409E">
        <w:rPr>
          <w:highlight w:val="yellow"/>
        </w:rPr>
        <w:t>paramagnetic resonance)</w:t>
      </w:r>
      <w:r w:rsidR="00DB409E" w:rsidRPr="00DB409E">
        <w:rPr>
          <w:highlight w:val="yellow"/>
        </w:rPr>
        <w:t>.</w:t>
      </w:r>
      <w:r w:rsidR="00DB409E">
        <w:t xml:space="preserve"> W</w:t>
      </w:r>
      <w:r w:rsidR="006D0463" w:rsidRPr="00F9084A">
        <w:t>e anticipate that emissive molecular Cr(III) species may be useful in magneto-optical devices, such as magnetic CP-OLEDs.</w:t>
      </w:r>
    </w:p>
    <w:p w14:paraId="286A927A" w14:textId="6824667B" w:rsidR="008F40E1" w:rsidRPr="00F9084A" w:rsidRDefault="008F40E1" w:rsidP="00C467EE">
      <w:pPr>
        <w:jc w:val="both"/>
        <w:rPr>
          <w:b/>
          <w:bCs/>
          <w:sz w:val="24"/>
          <w:szCs w:val="24"/>
        </w:rPr>
      </w:pPr>
      <w:r w:rsidRPr="00F9084A">
        <w:rPr>
          <w:b/>
          <w:bCs/>
          <w:sz w:val="24"/>
          <w:szCs w:val="24"/>
        </w:rPr>
        <w:t>Introduction</w:t>
      </w:r>
    </w:p>
    <w:p w14:paraId="4BCB6F38" w14:textId="6DF714DC" w:rsidR="00C467EE" w:rsidRPr="00F9084A" w:rsidRDefault="00C467EE" w:rsidP="007266AB">
      <w:pPr>
        <w:spacing w:after="0"/>
        <w:jc w:val="both"/>
        <w:rPr>
          <w:sz w:val="18"/>
          <w:szCs w:val="18"/>
        </w:rPr>
      </w:pPr>
      <w:r w:rsidRPr="00F9084A">
        <w:rPr>
          <w:sz w:val="18"/>
          <w:szCs w:val="18"/>
        </w:rPr>
        <w:t xml:space="preserve">Molecular complexes based on d-metals offer </w:t>
      </w:r>
      <w:r w:rsidRPr="00F9084A">
        <w:rPr>
          <w:sz w:val="18"/>
          <w:szCs w:val="18"/>
        </w:rPr>
        <w:t xml:space="preserve">a </w:t>
      </w:r>
      <w:r w:rsidR="001F2F65">
        <w:rPr>
          <w:sz w:val="18"/>
          <w:szCs w:val="18"/>
        </w:rPr>
        <w:t>diverse</w:t>
      </w:r>
      <w:r w:rsidR="001F2F65" w:rsidRPr="00F9084A">
        <w:rPr>
          <w:sz w:val="18"/>
          <w:szCs w:val="18"/>
        </w:rPr>
        <w:t xml:space="preserve"> </w:t>
      </w:r>
      <w:r w:rsidRPr="00F9084A">
        <w:rPr>
          <w:sz w:val="18"/>
          <w:szCs w:val="18"/>
        </w:rPr>
        <w:t>and</w:t>
      </w:r>
      <w:r w:rsidRPr="00F9084A">
        <w:rPr>
          <w:sz w:val="18"/>
          <w:szCs w:val="18"/>
        </w:rPr>
        <w:t xml:space="preserve"> intriguing photophysics,</w:t>
      </w:r>
      <w:r w:rsidRPr="00F9084A">
        <w:rPr>
          <w:sz w:val="18"/>
          <w:szCs w:val="18"/>
        </w:rPr>
        <w:fldChar w:fldCharType="begin"/>
      </w:r>
      <w:r w:rsidR="003B3B06" w:rsidRPr="00F9084A">
        <w:rPr>
          <w:sz w:val="18"/>
          <w:szCs w:val="18"/>
        </w:rPr>
        <w:instrText xml:space="preserve"> ADDIN ZOTERO_ITEM CSL_CITATION {"citationID":"g0J5X4be","properties":{"formattedCitation":"\\super 1\\nosupersub{}","plainCitation":"1","noteIndex":0},"citationItems":[{"id":7318,"uris":["http://zotero.org/users/2011173/items/RCVWAT5Q"],"itemData":{"id":7318,"type":"article-journal","abstract":"Coordination chemistry is much more than the coordination of transition-metal ions by organic or inorganic ligands. Its scope extends to the binding of all kinds of substrates (cationic, anionic, and neutral molecular species). Therefore coordination chemistry merges into the big field of supramolecular chemistry. Coordination compounds (with or without metals) exhibit by definition a high level of organization and therefore they are quite suitable to exploit the energy and information content of photons. In this paper we illustrate specific examples concerning the similarity between the photochemical behavior of classical coordination compounds (i.e. metal complexes) and supramolecular species not containing metals. We also describe coordination compounds not containing metals that undergo photochemically, electrochemically, or chemically induced mechanical movements (molecular-level machines) and behave as logic gates.","collection-title":"Twelfth International Symposium on Photochemistry and Photophysics of Coordination Compounds","container-title":"Coordination Chemistry Reviews","DOI":"10.1016/S0010-8545(98)90005-4","ISSN":"0010-8545","journalAbbreviation":"Coord. Chem. Rev.","page":"3-16","source":"ScienceDirect","title":"Photochemistry and photophysics of coordination compounds: An extended view","title-short":"Photochemistry and photophysics of coordination compounds","volume":"171","author":[{"family":"Balzani","given":"Vincenzo"},{"family":"Credi","given":"Alberto"},{"family":"Venturi","given":"Margherita"}],"issued":{"date-parts":[["1998",4,1]]}}}],"schema":"https://github.com/citation-style-language/schema/raw/master/csl-citation.json"} </w:instrText>
      </w:r>
      <w:r w:rsidRPr="00F9084A">
        <w:rPr>
          <w:sz w:val="18"/>
          <w:szCs w:val="18"/>
        </w:rPr>
        <w:fldChar w:fldCharType="separate"/>
      </w:r>
      <w:r w:rsidRPr="00F9084A">
        <w:rPr>
          <w:rFonts w:ascii="Aptos" w:hAnsi="Aptos" w:cs="Times New Roman"/>
          <w:sz w:val="18"/>
          <w:szCs w:val="18"/>
          <w:vertAlign w:val="superscript"/>
        </w:rPr>
        <w:t>1</w:t>
      </w:r>
      <w:r w:rsidRPr="00F9084A">
        <w:rPr>
          <w:sz w:val="18"/>
          <w:szCs w:val="18"/>
        </w:rPr>
        <w:fldChar w:fldCharType="end"/>
      </w:r>
      <w:r w:rsidRPr="00F9084A">
        <w:rPr>
          <w:sz w:val="18"/>
          <w:szCs w:val="18"/>
        </w:rPr>
        <w:t xml:space="preserve"> with applications ranging from photocatalysis,</w:t>
      </w:r>
      <w:r w:rsidRPr="00F9084A">
        <w:rPr>
          <w:sz w:val="18"/>
          <w:szCs w:val="18"/>
        </w:rPr>
        <w:fldChar w:fldCharType="begin"/>
      </w:r>
      <w:r w:rsidRPr="00F9084A">
        <w:rPr>
          <w:sz w:val="18"/>
          <w:szCs w:val="18"/>
        </w:rPr>
        <w:instrText xml:space="preserve"> ADDIN ZOTERO_ITEM CSL_CITATION {"citationID":"MjlqWxVu","properties":{"formattedCitation":"\\super 2\\nosupersub{}","plainCitation":"2","noteIndex":0},"citationItems":[{"id":7320,"uris":["http://zotero.org/users/2011173/items/6VMDI3TR"],"itemData":{"id":7320,"type":"article-journal","abstract":"The merger of transition metal catalysis and photocatalysis, termed metallaphotocatalysis, has recently emerged as a versatile platform for the development of new, highly enabling synthetic methodologies. Photoredox catalysis provides access to reactive radical species under mild conditions from abundant, native functional groups, and, when combined with transition metal catalysis, this feature allows direct coupling of non-traditional nucleophile partners. In addition, photocatalysis can aid fundamental organometallic steps through modulation of the oxidation state of transition metal complexes or through energy-transfer-mediated excitation of intermediate catalytic species. Metallaphotocatalysis provides access to distinct activation modes, which are complementary to those traditionally used in the field of transition metal catalysis, thereby enabling reaction development through entirely new mechanistic paradigms. This Review discusses key advances in the field of metallaphotocatalysis over the past decade and demonstrates how the unique mechanistic features permit challenging, or previously elusive, transformations to be accomplished.","container-title":"Nature Reviews Chemistry","DOI":"10.1038/s41570-017-0052","ISSN":"2397-3358","issue":"7","journalAbbreviation":"Nat Rev Chem","language":"en","license":"2017 Macmillan Publishers Limited","note":"publisher: Nature Publishing Group","page":"1-19","source":"www.nature.com","title":"The merger of transition metal and photocatalysis","volume":"1","author":[{"family":"Twilton","given":"Jack"},{"family":"Le","given":"Chi (Chip)"},{"family":"Zhang","given":"Patricia"},{"family":"Shaw","given":"Megan H."},{"family":"Evans","given":"Ryan W."},{"family":"MacMillan","given":"David W. C."}],"issued":{"date-parts":[["2017",7,5]]}}}],"schema":"https://github.com/citation-style-language/schema/raw/master/csl-citation.json"} </w:instrText>
      </w:r>
      <w:r w:rsidRPr="00F9084A">
        <w:rPr>
          <w:sz w:val="18"/>
          <w:szCs w:val="18"/>
        </w:rPr>
        <w:fldChar w:fldCharType="separate"/>
      </w:r>
      <w:r w:rsidRPr="00F9084A">
        <w:rPr>
          <w:rFonts w:ascii="Aptos" w:hAnsi="Aptos" w:cs="Times New Roman"/>
          <w:sz w:val="18"/>
          <w:szCs w:val="18"/>
          <w:vertAlign w:val="superscript"/>
        </w:rPr>
        <w:t>2</w:t>
      </w:r>
      <w:r w:rsidRPr="00F9084A">
        <w:rPr>
          <w:sz w:val="18"/>
          <w:szCs w:val="18"/>
        </w:rPr>
        <w:fldChar w:fldCharType="end"/>
      </w:r>
      <w:r w:rsidRPr="00F9084A">
        <w:rPr>
          <w:sz w:val="18"/>
          <w:szCs w:val="18"/>
        </w:rPr>
        <w:t xml:space="preserve"> optoelectronics,</w:t>
      </w:r>
      <w:r w:rsidRPr="00F9084A">
        <w:rPr>
          <w:sz w:val="18"/>
          <w:szCs w:val="18"/>
        </w:rPr>
        <w:fldChar w:fldCharType="begin"/>
      </w:r>
      <w:r w:rsidR="003B3B06" w:rsidRPr="00F9084A">
        <w:rPr>
          <w:sz w:val="18"/>
          <w:szCs w:val="18"/>
        </w:rPr>
        <w:instrText xml:space="preserve"> ADDIN ZOTERO_ITEM CSL_CITATION {"citationID":"VCqrU5lS","properties":{"formattedCitation":"\\super 3,4\\nosupersub{}","plainCitation":"3,4","noteIndex":0},"citationItems":[{"id":7321,"uris":["http://zotero.org/users/2011173/items/JEJUAQLX"],"itemData":{"id":7321,"type":"article-journal","abstract":"The design and characterization of metal–organic complexes for optoelectronic applications is an active area of research. The metal–organic complex offers unique optical and electronic properties arising from the interplay between the inorganic metal and the organic ligand. The ability to modify chemical structure through control over metal–ligand interaction on a molecular level could directly impact the properties of the complex. When deposited in thin film form, this class of materials enable the fabrication of a wide variety of low-cost electronic and optoelectronic devices. These include light emitting diodes, solar cells, photodetectors, field-effect transistors as well as chemical and biological sensors. Here we present an overview of recent development in metal–organic complexes with controlled molecular structures and tunable properties. Advances in extending the control of molecular structures to solid materials for energy conversion and information technology applications will be highlighted.","container-title":"Chemical Society Reviews","DOI":"10.1039/C3CS60449G","ISSN":"1460-4744","issue":"10","journalAbbreviation":"Chem. Soc. Rev.","language":"en","note":"publisher: The Royal Society of Chemistry","page":"3259-3302","source":"pubs.rsc.org","title":"Recent progress in metal–organic complexes for optoelectronic applications","volume":"43","author":[{"family":"Xu","given":"Hui"},{"family":"Chen","given":"Runfeng"},{"family":"Sun","given":"Qiang"},{"family":"Lai","given":"Wenyong"},{"family":"Su","given":"Qianqian"},{"family":"Huang","given":"Wei"},{"family":"Liu","given":"Xiaogang"}],"issued":{"date-parts":[["2014",4,22]]}}},{"id":7323,"uris":["http://zotero.org/users/2011173/items/JU2837R2"],"itemData":{"id":7323,"type":"article-journal","abstract":"Two of the recent major research topics in optoelectronic devices are discussed: the development of new organic materials (both molecular and polymeric) for the active layer of organic optoelectronic devices (particularly organic light-emitting diodes (OLEDs)), and light management, including light extraction for OLEDs and light trapping for organic solar cells (OSCs). In the first section, recent developments of phosphorescent transition metal complexes for OLEDs in the past 3–4 years are reviewed. The discussion is focused on the development of metal complexes based on iridium, platinum, and a few other transition metals. In the second part, different light-management strategies in the design of OLEDs with improved light extraction, and of OSCs with improved light trapping is discussed.","container-title":"Advanced Materials","DOI":"10.1002/adma.201306133","ISSN":"1521-4095","issue":"31","journalAbbreviation":"Adv. Mater.","language":"en","license":"© 2014 WILEY-VCH Verlag GmbH &amp; Co. KGaA, Weinheim","note":"_eprint: https://onlinelibrary.wiley.com/doi/pdf/10.1002/adma.201306133","page":"5368-5399","source":"Wiley Online Library","title":"Recent Advances in Transition Metal Complexes and Light-Management Engineering in Organic Optoelectronic Devices","volume":"26","author":[{"family":"Choy","given":"Wallace C. H."},{"family":"Chan","given":"Wai Kin"},{"family":"Yuan","given":"Yuping"}],"issued":{"date-parts":[["2014"]]}}}],"schema":"https://github.com/citation-style-language/schema/raw/master/csl-citation.json"} </w:instrText>
      </w:r>
      <w:r w:rsidRPr="00F9084A">
        <w:rPr>
          <w:sz w:val="18"/>
          <w:szCs w:val="18"/>
        </w:rPr>
        <w:fldChar w:fldCharType="separate"/>
      </w:r>
      <w:r w:rsidRPr="00F9084A">
        <w:rPr>
          <w:rFonts w:ascii="Aptos" w:hAnsi="Aptos" w:cs="Times New Roman"/>
          <w:sz w:val="18"/>
          <w:szCs w:val="18"/>
          <w:vertAlign w:val="superscript"/>
        </w:rPr>
        <w:t>3,4</w:t>
      </w:r>
      <w:r w:rsidRPr="00F9084A">
        <w:rPr>
          <w:sz w:val="18"/>
          <w:szCs w:val="18"/>
        </w:rPr>
        <w:fldChar w:fldCharType="end"/>
      </w:r>
      <w:r w:rsidRPr="00F9084A">
        <w:rPr>
          <w:sz w:val="18"/>
          <w:szCs w:val="18"/>
        </w:rPr>
        <w:t xml:space="preserve"> imaging</w:t>
      </w:r>
      <w:r w:rsidRPr="00F9084A">
        <w:rPr>
          <w:sz w:val="18"/>
          <w:szCs w:val="18"/>
        </w:rPr>
        <w:fldChar w:fldCharType="begin"/>
      </w:r>
      <w:r w:rsidR="003B3B06" w:rsidRPr="00F9084A">
        <w:rPr>
          <w:sz w:val="18"/>
          <w:szCs w:val="18"/>
        </w:rPr>
        <w:instrText xml:space="preserve"> ADDIN ZOTERO_ITEM CSL_CITATION {"citationID":"cAA3ldpO","properties":{"formattedCitation":"\\super 5,6\\nosupersub{}","plainCitation":"5,6","noteIndex":0},"citationItems":[{"id":7326,"uris":["http://zotero.org/users/2011173/items/4DKZ77FS"],"itemData":{"id":7326,"type":"article-journal","abstract":"This article summarises the state of the art of metal complexes in cell imaging, particularly fluorescence microscopy, and presents prospects for the future development of this area. This article combines discussion of, and examples from, both the d- and f-block which have traditionally been considered separately, presenting the important classes of agents in each case, with a general description of their photophysical and cellular behaviour, and comparing and contrasting their properties and applications.","container-title":"Chemical Communications","DOI":"10.1039/C3CC45229H","ISSN":"1364-548X","issue":"4","journalAbbreviation":"Chem. Commun.","language":"en","note":"publisher: The Royal Society of Chemistry","page":"384-399","source":"pubs.rsc.org","title":"Progress with, and prospects for, metal complexes in cell imaging","volume":"50","author":[{"family":"Coogan","given":"Michael P."},{"family":"Fernández-Moreira","given":"Vanesa"}],"issued":{"date-parts":[["2013",12,5]]}}},{"id":7328,"uris":["http://zotero.org/users/2011173/items/ZUMCBYS6"],"itemData":{"id":7328,"type":"article-journal","abstract":"Transition and lanthanide metal complexes have rich photophysical properties that can be used for cellular imaging, biosensing and phototherapy. One of the applications of such luminescent compounds is the detection and visualisation of nucleic acids. In this brief review, we survey the recent literature on the use of luminescent metal complexes (including ReI, RuII, OsII, IrIII, PtII, EuIII and TbIII) as DNA optical probes, including examples of compounds that bind selectively to non-duplex DNA topologies such as quadruplex, i-motif and DNA mismatches. We discuss the applications of metal-based luminescent complexes in cellular imaging, including time-resolved microscopy and super-resolution techniques. Their applications in biosensing and phototherapy are briefly mentioned in the relevant sections.","collection-title":"Biocatalysis and Biotransformation * Bioinorganic Chemistry","container-title":"Current Opinion in Chemical Biology","DOI":"10.1016/j.cbpa.2021.02.007","ISSN":"1367-5931","journalAbbreviation":"Curr. Opin. Chem. Biol.","page":"179-190","source":"ScienceDirect","title":"Metal complexes as optical probes for DNA sensing and imaging","volume":"61","author":[{"family":"Berrones Reyes","given":"Jessica"},{"family":"Kuimova","given":"Marina K."},{"family":"Vilar","given":"Ramon"}],"issued":{"date-parts":[["2021",4,1]]}}}],"schema":"https://github.com/citation-style-language/schema/raw/master/csl-citation.json"} </w:instrText>
      </w:r>
      <w:r w:rsidRPr="00F9084A">
        <w:rPr>
          <w:sz w:val="18"/>
          <w:szCs w:val="18"/>
        </w:rPr>
        <w:fldChar w:fldCharType="separate"/>
      </w:r>
      <w:r w:rsidRPr="00F9084A">
        <w:rPr>
          <w:rFonts w:ascii="Aptos" w:hAnsi="Aptos" w:cs="Times New Roman"/>
          <w:sz w:val="18"/>
          <w:szCs w:val="18"/>
          <w:vertAlign w:val="superscript"/>
        </w:rPr>
        <w:t>5,6</w:t>
      </w:r>
      <w:r w:rsidRPr="00F9084A">
        <w:rPr>
          <w:sz w:val="18"/>
          <w:szCs w:val="18"/>
        </w:rPr>
        <w:fldChar w:fldCharType="end"/>
      </w:r>
      <w:r w:rsidRPr="00F9084A">
        <w:rPr>
          <w:sz w:val="18"/>
          <w:szCs w:val="18"/>
        </w:rPr>
        <w:t xml:space="preserve"> and photodynamic therapy.</w:t>
      </w:r>
      <w:r w:rsidRPr="00F9084A">
        <w:rPr>
          <w:sz w:val="18"/>
          <w:szCs w:val="18"/>
        </w:rPr>
        <w:fldChar w:fldCharType="begin"/>
      </w:r>
      <w:r w:rsidR="003B3B06" w:rsidRPr="00F9084A">
        <w:rPr>
          <w:sz w:val="18"/>
          <w:szCs w:val="18"/>
        </w:rPr>
        <w:instrText xml:space="preserve"> ADDIN ZOTERO_ITEM CSL_CITATION {"citationID":"QI42JZ6Q","properties":{"formattedCitation":"\\super 7\\uc0\\u8211{}9\\nosupersub{}","plainCitation":"7–9","noteIndex":0},"citationItems":[{"id":7330,"uris":["http://zotero.org/users/2011173/items/ZHTXKDRN"],"itemData":{"id":7330,"type":"article-journal","abstract":"Photodynamic therapy (PDT) utilizes light-activated photosensitizers (PSs) to generate toxic species for therapeutics. It has become an emerging solution for cancer treatment because of its specific spatiotemporal selectivity and minimal invasiveness. Noble metal (Ru, Ir and Pt) complexes are of increasing interest as photosensitizers for their excellent photophysical, photochemical, and photobiological properties. In this review, we highlight recent advancements in the development of noble metal complex photosensitizers for PDT during the last 5 years. We will summarize the design strategies of noble metal complexes for efficient and precise PDT, including increasing the light penetration depth, reducing the oxygen-dependent nature and improving target ability. Finally, we summarize recent efforts for the development of noble-based PSs and discuss the limitations of such PSs in clinical application and future perspectives in this field, such as the combination of PDT with other treatment modalities.","container-title":"Chemical Science","DOI":"10.1039/D1SC05478C","ISSN":"2041-6539","issue":"18","journalAbbreviation":"Chem. Sci.","language":"en","note":"publisher: The Royal Society of Chemistry","page":"5085-5106","source":"pubs.rsc.org","title":"Recent advances in noble metal complex based photodynamic therapy","volume":"13","author":[{"family":"Wu","given":"Yanping"},{"family":"Li","given":"Shumeng"},{"family":"Chen","given":"Yuncong"},{"family":"He","given":"Weijiang"},{"family":"Guo","given":"Zijian"}],"issued":{"date-parts":[["2022",5,11]]}}},{"id":7332,"uris":["http://zotero.org/users/2011173/items/XP2SWXD4"],"itemData":{"id":7332,"type":"article-journal","abstract":"Antimicrobial resistance (AMR) is a growing global problem with more than 1 million deaths due to AMR infection in 2019 alone. New and innovative therapeutics are required to overcome this challenge. Antimicrobial photodynamic therapy (aPDT) is a rapidly growing area of research poised to provide much needed help in the fight against AMR. aPDT works by administering a photosensitizer (PS) that is activated only when irradiated with light, allowing high spatiotemporal control and selectivity. The PS typically generates reactive oxygen species (ROS), which can damage a variety of key biological targets, potentially circumventing existing resistance mechanisms. Metal complexes are well known to display excellent optoelectronic properties, and recent focus has begun to shift towards their application in tackling microbial infections. Herein, we review the last five years of progress in the emerging field of small-molecule metal complex PSs for aPDT.","container-title":"ChemBioChem","DOI":"10.1002/cbic.202200796","ISSN":"1439-7633","issue":"16","language":"en","license":"© 2023 The Authors. ChemBioChem published by Wiley-VCH GmbH","note":"_eprint: https://onlinelibrary.wiley.com/doi/pdf/10.1002/cbic.202200796","page":"e202200796","source":"Wiley Online Library","title":"Recent Advances in Metal Complexes for Antimicrobial Photodynamic Therapy","volume":"24","author":[{"family":"Rees","given":"Thomas W."},{"family":"Ho","given":"Po-Yu"},{"family":"Hess","given":"Jeannine"}],"issued":{"date-parts":[["2023"]]}}},{"id":7335,"uris":["http://zotero.org/users/2011173/items/A8ZQRVQ7"],"itemData":{"id":7335,"type":"article-journal","abstract":"Photodynamic therapy (PDT) is a medicinal tool that uses a photosensitizer and a light source to treat several conditions, including cancer. PDT uses reactive oxygen species such as cytotoxic singlet oxygen (1O2) to induce cell death in cancer cells. Chemotherapy has historically utilized the cytotoxic effects of many metals, especially transition metal complexes. However, chemotherapy is a systemic treatment so all cells in a patient’s body are exposed to the same cytotoxic effects. Transition metal complexes have also shown high cytotoxicity as PDT agents. PDT is a potential localized method for treating several cancer types by using inorganic complexes as photosensitizing agents. This review covers several in vitro and in vivo studies, as well as clinical trials that reported on the anticancer properties of inorganic pharmaceuticals used in PDT against different types of cancer.","container-title":"Photochemistry and Photobiology","DOI":"10.1111/php.13467","ISSN":"1751-1097","issue":"1","journalAbbreviation":"Photochem. Photobiol.","language":"en","license":"© 2021 American Society for Photobiology","note":"_eprint: https://onlinelibrary.wiley.com/doi/pdf/10.1111/php.13467","page":"17-41","source":"Wiley Online Library","title":"Photodynamic Therapy of Inorganic Complexes for the Treatment of Cancer†","volume":"98","author":[{"family":"Smith","given":"Chloe B."},{"family":"Days","given":"Lindsay C."},{"family":"Alajroush","given":"Duaa R."},{"family":"Faye","given":"Khadija"},{"family":"Khodour","given":"Yara"},{"family":"Beebe","given":"Stephen J."},{"family":"Holder","given":"Alvin A."}],"issued":{"date-parts":[["2022"]]}}}],"schema":"https://github.com/citation-style-language/schema/raw/master/csl-citation.json"} </w:instrText>
      </w:r>
      <w:r w:rsidRPr="00F9084A">
        <w:rPr>
          <w:sz w:val="18"/>
          <w:szCs w:val="18"/>
        </w:rPr>
        <w:fldChar w:fldCharType="separate"/>
      </w:r>
      <w:r w:rsidRPr="00F9084A">
        <w:rPr>
          <w:rFonts w:ascii="Aptos" w:hAnsi="Aptos" w:cs="Times New Roman"/>
          <w:sz w:val="18"/>
          <w:szCs w:val="18"/>
          <w:vertAlign w:val="superscript"/>
        </w:rPr>
        <w:t>7–9</w:t>
      </w:r>
      <w:r w:rsidRPr="00F9084A">
        <w:rPr>
          <w:sz w:val="18"/>
          <w:szCs w:val="18"/>
        </w:rPr>
        <w:fldChar w:fldCharType="end"/>
      </w:r>
      <w:r w:rsidRPr="00F9084A">
        <w:rPr>
          <w:sz w:val="18"/>
          <w:szCs w:val="18"/>
        </w:rPr>
        <w:t xml:space="preserve"> To understand the often non-trivial </w:t>
      </w:r>
      <w:proofErr w:type="spellStart"/>
      <w:r w:rsidRPr="00F9084A">
        <w:rPr>
          <w:sz w:val="18"/>
          <w:szCs w:val="18"/>
        </w:rPr>
        <w:t>photophysics</w:t>
      </w:r>
      <w:proofErr w:type="spellEnd"/>
      <w:r w:rsidRPr="00F9084A">
        <w:rPr>
          <w:sz w:val="18"/>
          <w:szCs w:val="18"/>
        </w:rPr>
        <w:t xml:space="preserve"> at play, the use of less common spectroscopic techniques may be beneficial. In turn, this is necessary to exploit the full potential of those systems and to give indications for a rational design of the ligands and complexes.</w:t>
      </w:r>
    </w:p>
    <w:p w14:paraId="56768711" w14:textId="02987518" w:rsidR="00C467EE" w:rsidRPr="00F9084A" w:rsidRDefault="00C467EE" w:rsidP="007266AB">
      <w:pPr>
        <w:spacing w:after="0"/>
        <w:jc w:val="both"/>
        <w:rPr>
          <w:sz w:val="18"/>
          <w:szCs w:val="18"/>
        </w:rPr>
      </w:pPr>
      <w:r w:rsidRPr="00F9084A">
        <w:rPr>
          <w:sz w:val="18"/>
          <w:szCs w:val="18"/>
        </w:rPr>
        <w:t>A particularly interesting case is observed when metal-</w:t>
      </w:r>
      <w:r w:rsidR="004C74FC" w:rsidRPr="00F9084A">
        <w:rPr>
          <w:sz w:val="18"/>
          <w:szCs w:val="18"/>
        </w:rPr>
        <w:t>centred</w:t>
      </w:r>
      <w:r w:rsidRPr="00F9084A">
        <w:rPr>
          <w:sz w:val="18"/>
          <w:szCs w:val="18"/>
        </w:rPr>
        <w:t xml:space="preserve"> excited states differ </w:t>
      </w:r>
      <w:r w:rsidRPr="00F9084A">
        <w:rPr>
          <w:sz w:val="18"/>
          <w:szCs w:val="18"/>
        </w:rPr>
        <w:t>only</w:t>
      </w:r>
      <w:r w:rsidR="008104E2" w:rsidRPr="00F9084A">
        <w:rPr>
          <w:sz w:val="18"/>
          <w:szCs w:val="18"/>
        </w:rPr>
        <w:t xml:space="preserve"> </w:t>
      </w:r>
      <w:r w:rsidR="001F2F65">
        <w:rPr>
          <w:sz w:val="18"/>
          <w:szCs w:val="18"/>
        </w:rPr>
        <w:t xml:space="preserve">by </w:t>
      </w:r>
      <w:r w:rsidRPr="00F9084A">
        <w:rPr>
          <w:sz w:val="18"/>
          <w:szCs w:val="18"/>
        </w:rPr>
        <w:t>spin</w:t>
      </w:r>
      <w:r w:rsidRPr="00F9084A">
        <w:rPr>
          <w:sz w:val="18"/>
          <w:szCs w:val="18"/>
        </w:rPr>
        <w:t xml:space="preserve"> configuration with respect to the ground state.</w:t>
      </w:r>
      <w:r w:rsidRPr="00F9084A">
        <w:rPr>
          <w:sz w:val="18"/>
          <w:szCs w:val="18"/>
        </w:rPr>
        <w:fldChar w:fldCharType="begin"/>
      </w:r>
      <w:r w:rsidRPr="00F9084A">
        <w:rPr>
          <w:sz w:val="18"/>
          <w:szCs w:val="18"/>
        </w:rPr>
        <w:instrText xml:space="preserve"> ADDIN ZOTERO_ITEM CSL_CITATION {"citationID":"9W031IxN","properties":{"formattedCitation":"\\super 10\\nosupersub{}","plainCitation":"10","noteIndex":0},"citationItems":[{"id":7338,"uris":["http://zotero.org/users/2011173/items/G2UV8LFK"],"itemData":{"id":7338,"type":"article-journal","abstract":"In molecular photochemistry, charge-transfer emission is well understood and widely exploited. In contrast, luminescent metal-centered transitions only came into focus in recent years. This gave rise to strongly phosphorescent CrIII complexes with a d3 electronic configuration featuring luminescent metal-centered excited states which are characterized by the flip of a single spin. These so-called spin-flip emitters possess unique properties and require different design strategies than traditional charge-transfer phosphors. In this review, we give a brief introduction to ligand field theory as a framework to understand this phenomenon and outline prerequisites for efficient spin-flip emission including ligand field strength, symmetry, intersystem crossing and common deactivation pathways using CrIII complexes as instructive examples. The recent progress and associated challenges of tuning the energies of emissive excited states and of emerging applications of the unique photophysical properties of spin-flip emitters are discussed. Finally, we summarize the current state-of-the-art and challenges of spin-flip emitters beyond CrIII with d2, d3, d4 and d8 electronic configuration, where we mainly cover pseudooctahedral molecular complexes of V, Mo, W, Mn, Re and Ni, and highlight possible future research opportunities.","container-title":"Photochemical &amp; Photobiological Sciences","DOI":"10.1007/s43630-022-00186-3","ISSN":"1474-9092","issue":"7","journalAbbreviation":"Photochem Photobiol Sci","language":"en","page":"1309-1331","source":"Springer Link","title":"Spin-flip luminescence","volume":"21","author":[{"family":"Kitzmann","given":"Winald Robert"},{"family":"Moll","given":"Johannes"},{"family":"Heinze","given":"Katja"}],"issued":{"date-parts":[["2022",7,1]]}}}],"schema":"https://github.com/citation-style-language/schema/raw/master/csl-citation.json"} </w:instrText>
      </w:r>
      <w:r w:rsidRPr="00F9084A">
        <w:rPr>
          <w:sz w:val="18"/>
          <w:szCs w:val="18"/>
        </w:rPr>
        <w:fldChar w:fldCharType="separate"/>
      </w:r>
      <w:r w:rsidRPr="00F9084A">
        <w:rPr>
          <w:rFonts w:ascii="Aptos" w:hAnsi="Aptos" w:cs="Times New Roman"/>
          <w:sz w:val="18"/>
          <w:szCs w:val="18"/>
          <w:vertAlign w:val="superscript"/>
        </w:rPr>
        <w:t>10</w:t>
      </w:r>
      <w:r w:rsidRPr="00F9084A">
        <w:rPr>
          <w:sz w:val="18"/>
          <w:szCs w:val="18"/>
        </w:rPr>
        <w:fldChar w:fldCharType="end"/>
      </w:r>
      <w:r w:rsidRPr="00F9084A">
        <w:rPr>
          <w:sz w:val="18"/>
          <w:szCs w:val="18"/>
        </w:rPr>
        <w:t xml:space="preserve"> Such configurations are called spin-flip (SF) states and they may display sharp phosphorescent transitions (SF- transitions), </w:t>
      </w:r>
      <w:r w:rsidR="00D9563B" w:rsidRPr="00F9084A">
        <w:rPr>
          <w:sz w:val="18"/>
          <w:szCs w:val="18"/>
        </w:rPr>
        <w:t xml:space="preserve">forbidden by </w:t>
      </w:r>
      <w:r w:rsidRPr="00F9084A">
        <w:rPr>
          <w:sz w:val="18"/>
          <w:szCs w:val="18"/>
        </w:rPr>
        <w:t>electric transition moment, with lifetimes up to</w:t>
      </w:r>
      <w:r w:rsidR="008104E2" w:rsidRPr="00F9084A">
        <w:rPr>
          <w:sz w:val="18"/>
          <w:szCs w:val="18"/>
        </w:rPr>
        <w:t xml:space="preserve"> a millisecond.</w:t>
      </w:r>
      <w:r w:rsidRPr="00F9084A">
        <w:rPr>
          <w:sz w:val="18"/>
          <w:szCs w:val="18"/>
        </w:rPr>
        <w:t xml:space="preserve"> SF luminescence was observed in the case of </w:t>
      </w:r>
      <w:r w:rsidRPr="00F9084A">
        <w:rPr>
          <w:sz w:val="18"/>
          <w:szCs w:val="18"/>
        </w:rPr>
        <w:t>V(II)/V(III),</w:t>
      </w:r>
      <w:r w:rsidRPr="00F9084A">
        <w:rPr>
          <w:sz w:val="18"/>
          <w:szCs w:val="18"/>
        </w:rPr>
        <w:fldChar w:fldCharType="begin"/>
      </w:r>
      <w:r w:rsidR="003B3B06" w:rsidRPr="00F9084A">
        <w:rPr>
          <w:sz w:val="18"/>
          <w:szCs w:val="18"/>
        </w:rPr>
        <w:instrText xml:space="preserve"> ADDIN ZOTERO_ITEM CSL_CITATION {"citationID":"JTJbHeRZ","properties":{"formattedCitation":"\\super 11\\uc0\\u8211{}13\\nosupersub{}","plainCitation":"11–13","noteIndex":0},"citationItems":[{"id":7340,"uris":["http://zotero.org/users/2011173/items/UQVIUXNB"],"itemData":{"id":7340,"type":"article-journal","abstract":"In spite of intense, recent research efforts, luminescent transition metal complexes with Earth-abundant metals are still very rare owing to the small ligand field splitting of 3d transition metal complexes and the resulting non-emissive low-energy metal-centered states. Low-energy excited states decay efficiently non-radiatively, so that near-infrared emissive transition metal complexes with 3d transition metals are even more challenging. We report that the heteroleptic pseudo-octahedral d2-vanadium(III) complex VCl3(ddpd) (ddpd = N,N′-dimethyl-N,N′-dipyridine-2-yl-pyridine-2,6-diamine) shows near-infrared singlet → triplet spin–flip phosphorescence maxima at 1102, 1219 and 1256 nm with a lifetime of 0.5 μs at room temperature. Band splitting, ligand deuteration, excitation energy and temperature effects on the excited state dynamics will be discussed on slow and fast timescales using Raman, static and time-resolved photoluminescence, step-scan FTIR and fs-UV pump-vis probe spectroscopy as well as photolysis experiments in combination with static quantum chemical calculations. These results inform future design strategies for molecular materials of Earth-abundant metal ions exhibiting spin–flip luminescence and photoinduced metal–ligand bond homolysis.","container-title":"Chemical Science","DOI":"10.1039/D1SC02137K","ISSN":"2041-6539","issue":"32","journalAbbreviation":"Chem. Sci.","language":"en","note":"publisher: The Royal Society of Chemistry","page":"10780-10790","source":"pubs.rsc.org","title":"Ultrafast and long-time excited state kinetics of an NIR-emissive vanadium(III) complex I: synthesis, spectroscopy and static quantum chemistry","title-short":"Ultrafast and long-time excited state kinetics of an NIR-emissive vanadium(III) complex I","volume":"12","author":[{"family":"Dorn","given":"Matthias"},{"family":"Kalmbach","given":"Jens"},{"family":"Boden","given":"Pit"},{"family":"Kruse","given":"Ayla"},{"family":"Dab","given":"Chahinez"},{"family":"Reber","given":"Christian"},{"family":"Niedner-Schatteburg","given":"Gereon"},{"family":"Lochbrunner","given":"Stefan"},{"family":"Gerhards","given":"Markus"},{"family":"Seitz","given":"Michael"},{"family":"Heinze","given":"Katja"}],"issued":{"date-parts":[["2021",8,18]]}}},{"id":7343,"uris":["http://zotero.org/users/2011173/items/Q27Y3LBU"],"itemData":{"id":7343,"type":"article-journal","abstract":"Molecular entities with doublet or triplet ground states find increasing interest as potential molecular quantum bits (qubits). Complexes with higher multiplicity might even function as qudits and serve to encode further quantum bits. Vanadium(II) ions in octahedral ligand fields with quartet ground states and small zero-field splittings qualify as qubits with optical read out thanks to potentially luminescent spin-flip states. We identified two V2+ complexes [V(ddpd)2]2+ with the strong field ligand N,N’-dimethyl-N,N’-dipyridine-2-yl-pyridine-2,6-diamine (ddpd) in two isomeric forms (cis-fac and mer) as suitable candidates. The energy gaps between the two lowest Kramers doublets amount to 0.2 and 0.5 cm−1 allowing pulsed EPR experiments at conventional Q-band frequencies (35 GHz). Both isomers possess spin-lattice relaxation times T1 of around 300 μs and a phase memory time TM of around 1 μs at 5 K. Furthermore, the mer isomer displays slow magnetic relaxation in an applied field of 400 mT. While the vanadium(III) complexes [V(ddpd)2]3+ are emissive in the near-IR-II region, the [V(ddpd)2]2+ complexes are non-luminescent due to metal-to-ligand charge transfer admixture to the spin-flip states.","container-title":"Chem. Eur. J.","DOI":"10.1002/chem.202202898","ISSN":"1521-3765","issue":"9","language":"en","license":"© 2022 The Authors. Chemistry - A European Journal published by Wiley-VCH GmbH","note":"_eprint: https://onlinelibrary.wiley.com/doi/pdf/10.1002/chem.202202898","page":"e202202898","source":"Wiley Online Library","title":"Towards Luminescent Vanadium(II) Complexes with Slow Magnetic Relaxation and Quantum Coherence","volume":"29","author":[{"family":"Dorn","given":"Matthias"},{"family":"Hunger","given":"David"},{"family":"Förster","given":"Christoph"},{"family":"Naumann","given":"Robert"},{"family":"Slageren","given":"Joris","non-dropping-particle":"van"},{"family":"Heinze","given":"Katja"}],"issued":{"date-parts":[["2023"]]}}},{"id":7344,"uris":["http://zotero.org/users/2011173/items/F2RGXTZ2"],"itemData":{"id":7344,"type":"article-journal","abstract":"Luminescence from Earth-abundant metal ions in solution at room temperature is a very challenging objective due to the intrinsically weak ligand field splitting of first-row transition metal ions, which leads to efficient nonradiative deactivation via metal-centered states. Only a handful of 3dn metal complexes (n ≠ 10) show sizable luminescence at room temperature. Luminescence in the near-infrared spectral region is even more difficult to achieve as further nonradiative pathways come into play. No Earth-abundant first-row transition metal complexes have displayed emission &gt;1000 nm at room temperature in solution up to now. Here, we report the vanadium(III) complex mer-[V(ddpd)2][PF6]3 yielding phosphorescence around 1100 nm in valeronitrile glass at 77 K as well as at room temperature in acetonitrile with 1.8 × 10–4% quantum yield (ddpd = N,N′-dimethyl-N,N′-dipyridine-2-ylpyridine-2,6-diamine). In addition, mer-[V(ddpd)2][PF6]3 shows very strong blue fluorescence with 2% quantum yield in acetonitrile at room temperature. Our comprehensive study demonstrates that vanadium(III) complexes with d2 electron configuration constitute a new class of blue and NIR-II luminophores, which complement the classical established complexes of expensive precious metals and rare-earth elements.","container-title":"Journal of the American Chemical Society","DOI":"10.1021/jacs.0c02122","ISSN":"0002-7863","issue":"17","journalAbbreviation":"J. Am. Chem. Soc.","note":"publisher: American Chemical Society","page":"7947-7955","source":"ACS Publications","title":"A Vanadium(III) Complex with Blue and NIR-II Spin-Flip Luminescence in Solution","volume":"142","author":[{"family":"Dorn","given":"Matthias"},{"family":"Kalmbach","given":"Jens"},{"family":"Boden","given":"Pit"},{"family":"Päpcke","given":"Ayla"},{"family":"Gómez","given":"Sandra"},{"family":"Förster","given":"Christoph"},{"family":"Kuczelinis","given":"Felix"},{"family":"Carrella","given":"Luca M."},{"family":"Büldt","given":"Laura A."},{"family":"Bings","given":"Nicolas H."},{"family":"Rentschler","given":"Eva"},{"family":"Lochbrunner","given":"Stefan"},{"family":"González","given":"Leticia"},{"family":"Gerhards","given":"Markus"},{"family":"Seitz","given":"Michael"},{"family":"Heinze","given":"Katja"}],"issued":{"date-parts":[["2020",4,29]]}}}],"schema":"https://github.com/citation-style-language/schema/raw/master/csl-citation.json"} </w:instrText>
      </w:r>
      <w:r w:rsidRPr="00F9084A">
        <w:rPr>
          <w:sz w:val="18"/>
          <w:szCs w:val="18"/>
        </w:rPr>
        <w:fldChar w:fldCharType="separate"/>
      </w:r>
      <w:r w:rsidRPr="00F9084A">
        <w:rPr>
          <w:rFonts w:ascii="Aptos" w:hAnsi="Aptos" w:cs="Times New Roman"/>
          <w:sz w:val="18"/>
          <w:szCs w:val="18"/>
          <w:vertAlign w:val="superscript"/>
        </w:rPr>
        <w:t>11–13</w:t>
      </w:r>
      <w:r w:rsidRPr="00F9084A">
        <w:rPr>
          <w:sz w:val="18"/>
          <w:szCs w:val="18"/>
        </w:rPr>
        <w:fldChar w:fldCharType="end"/>
      </w:r>
      <w:r w:rsidRPr="00F9084A">
        <w:rPr>
          <w:sz w:val="18"/>
          <w:szCs w:val="18"/>
        </w:rPr>
        <w:t xml:space="preserve"> Mn(IV),</w:t>
      </w:r>
      <w:r w:rsidRPr="00F9084A">
        <w:rPr>
          <w:sz w:val="18"/>
          <w:szCs w:val="18"/>
        </w:rPr>
        <w:fldChar w:fldCharType="begin"/>
      </w:r>
      <w:r w:rsidRPr="00F9084A">
        <w:rPr>
          <w:sz w:val="18"/>
          <w:szCs w:val="18"/>
        </w:rPr>
        <w:instrText xml:space="preserve"> ADDIN ZOTERO_ITEM CSL_CITATION {"citationID":"OescAye0","properties":{"formattedCitation":"\\super 14,15\\nosupersub{}","plainCitation":"14,15","noteIndex":0},"citationItems":[{"id":7351,"uris":["http://zotero.org/users/2011173/items/A9XSKT7F"],"itemData":{"id":7351,"type":"article-journal","abstract":"The molecular bis-(tris(carbene)borate) manganese(IV) complex [{PhB(MeIm)3}2Mn](OTf)2 shows 2Eg → 4A2g luminescence at 828 nm in the solid state at 85 K; this wavelength is longer by approximately 100 nm than the wavelengths typically observed for manganese(IV) and chromium(III) doped solids and for molecular chromium(III) complexes. Weak luminescence is also observed from a LMCT excited state with an absorption maximum at 500 nm. This represents the first molecular manganese(IV) compound for which luminescence has been reported.","container-title":"Canadian Journal of Chemistry","DOI":"10.1139/cjc-2016-0607","ISSN":"0008-4042","issue":"5","journalAbbreviation":"Can. J. Chem.","note":"publisher: NRC Research Press","page":"547-552","source":"cdnsciencepub.com (Atypon)","title":"Near-infrared 2Eg → 4A2g and visible LMCT luminescence from a molecular bis-(tris(carbene)borate) manganese(IV) complex","volume":"95","author":[{"family":"Harris","given":"Joe P."},{"family":"Reber","given":"Christian"},{"family":"Colmer","given":"Hannah E."},{"family":"Jackson","given":"Timothy A."},{"family":"Forshaw","given":"Adam P."},{"family":"Smith","given":"Jeremy M."},{"family":"Kinney","given":"R. Adam"},{"family":"Telser","given":"Joshua"}],"issued":{"date-parts":[["2017",5]]}}},{"id":7353,"uris":["http://zotero.org/users/2011173/items/NA9BJZ74"],"itemData":{"id":7353,"type":"article-journal","abstract":"Highly reducing or oxidizing photocatalysts are a fundamental challenge in photochemistry. Only a few transition metal complexes with Earth-abundant metal ions have so far advanced to excited state oxidants. All these photocatalysts require high-energy light for excitation, and their oxidizing power has not been fully exploited due to energy dissipation before reaching the photoactive state. Here we demonstrate that the complex [Mn(dgpy)2]4+, based on Earth-abundant manganese and the tridentate 2,6-diguanidylpyridine ligand (dgpy), evolves to a luminescent doublet ligand-to-metal charge transfer (2LMCT) excited state (1,435</w:instrText>
      </w:r>
      <w:r w:rsidRPr="00F9084A">
        <w:rPr>
          <w:rFonts w:ascii="Arial" w:hAnsi="Arial" w:cs="Arial"/>
          <w:sz w:val="18"/>
          <w:szCs w:val="18"/>
        </w:rPr>
        <w:instrText> </w:instrText>
      </w:r>
      <w:r w:rsidRPr="00F9084A">
        <w:rPr>
          <w:sz w:val="18"/>
          <w:szCs w:val="18"/>
        </w:rPr>
        <w:instrText>nm, 0.86</w:instrText>
      </w:r>
      <w:r w:rsidRPr="00F9084A">
        <w:rPr>
          <w:rFonts w:ascii="Arial" w:hAnsi="Arial" w:cs="Arial"/>
          <w:sz w:val="18"/>
          <w:szCs w:val="18"/>
        </w:rPr>
        <w:instrText> </w:instrText>
      </w:r>
      <w:r w:rsidRPr="00F9084A">
        <w:rPr>
          <w:sz w:val="18"/>
          <w:szCs w:val="18"/>
        </w:rPr>
        <w:instrText>eV) with a lifetime of 1.6</w:instrText>
      </w:r>
      <w:r w:rsidRPr="00F9084A">
        <w:rPr>
          <w:rFonts w:ascii="Arial" w:hAnsi="Arial" w:cs="Arial"/>
          <w:sz w:val="18"/>
          <w:szCs w:val="18"/>
        </w:rPr>
        <w:instrText> </w:instrText>
      </w:r>
      <w:r w:rsidRPr="00F9084A">
        <w:rPr>
          <w:sz w:val="18"/>
          <w:szCs w:val="18"/>
        </w:rPr>
        <w:instrText>ns after excitation with low-energy near-infrared light. This 2LMCT state oxidizes naphthalene to its radical cation. Substrates with extremely high oxidation potentials up to 2.4</w:instrText>
      </w:r>
      <w:r w:rsidRPr="00F9084A">
        <w:rPr>
          <w:rFonts w:ascii="Arial" w:hAnsi="Arial" w:cs="Arial"/>
          <w:sz w:val="18"/>
          <w:szCs w:val="18"/>
        </w:rPr>
        <w:instrText> </w:instrText>
      </w:r>
      <w:r w:rsidRPr="00F9084A">
        <w:rPr>
          <w:sz w:val="18"/>
          <w:szCs w:val="18"/>
        </w:rPr>
        <w:instrText>V enable the [Mn(dgpy)2]4+ photoreduction via a high-energy quartet 4LMCT excited state with a lifetime of 0.78</w:instrText>
      </w:r>
      <w:r w:rsidRPr="00F9084A">
        <w:rPr>
          <w:rFonts w:ascii="Arial" w:hAnsi="Arial" w:cs="Arial"/>
          <w:sz w:val="18"/>
          <w:szCs w:val="18"/>
        </w:rPr>
        <w:instrText> </w:instrText>
      </w:r>
      <w:r w:rsidRPr="00F9084A">
        <w:rPr>
          <w:sz w:val="18"/>
          <w:szCs w:val="18"/>
        </w:rPr>
        <w:instrText xml:space="preserve">ps, proceeding via static quenching by the solvent. This process minimizes free energy losses and harnesses the full photooxidizing power, and thus allows oxidation of nitriles and benzene using Earth-abundant elements and low-energy light.","container-title":"Nature Chemistry","DOI":"10.1038/s41557-024-01446-8","ISSN":"1755-4349","journalAbbreviation":"Nat. Chem.","language":"en","license":"2024 The Author(s), under exclusive licence to Springer Nature Limited","note":"publisher: Nature Publishing Group","page":"1-8","source":"www.nature.com","title":"Oxidative two-state photoreactivity of a manganese(IV) complex using near-infrared light","author":[{"family":"East","given":"Nathan R."},{"family":"Naumann","given":"Robert"},{"family":"Förster","given":"Christoph"},{"family":"Ramanan","given":"Charusheela"},{"family":"Diezemann","given":"Gregor"},{"family":"Heinze","given":"Katja"}],"issued":{"date-parts":[["2024",2,8]]}}}],"schema":"https://github.com/citation-style-language/schema/raw/master/csl-citation.json"} </w:instrText>
      </w:r>
      <w:r w:rsidRPr="00F9084A">
        <w:rPr>
          <w:sz w:val="18"/>
          <w:szCs w:val="18"/>
        </w:rPr>
        <w:fldChar w:fldCharType="separate"/>
      </w:r>
      <w:r w:rsidRPr="00F9084A">
        <w:rPr>
          <w:rFonts w:ascii="Aptos" w:hAnsi="Aptos" w:cs="Times New Roman"/>
          <w:sz w:val="18"/>
          <w:szCs w:val="18"/>
          <w:vertAlign w:val="superscript"/>
        </w:rPr>
        <w:t>14,15</w:t>
      </w:r>
      <w:r w:rsidRPr="00F9084A">
        <w:rPr>
          <w:sz w:val="18"/>
          <w:szCs w:val="18"/>
        </w:rPr>
        <w:fldChar w:fldCharType="end"/>
      </w:r>
      <w:r w:rsidRPr="00F9084A">
        <w:rPr>
          <w:sz w:val="18"/>
          <w:szCs w:val="18"/>
        </w:rPr>
        <w:t xml:space="preserve"> Mo(III),</w:t>
      </w:r>
      <w:r w:rsidRPr="00F9084A">
        <w:rPr>
          <w:sz w:val="18"/>
          <w:szCs w:val="18"/>
        </w:rPr>
        <w:fldChar w:fldCharType="begin"/>
      </w:r>
      <w:r w:rsidRPr="00F9084A">
        <w:rPr>
          <w:sz w:val="18"/>
          <w:szCs w:val="18"/>
        </w:rPr>
        <w:instrText xml:space="preserve"> ADDIN ZOTERO_ITEM CSL_CITATION {"citationID":"IpKUAp80","properties":{"formattedCitation":"\\super 16,17\\nosupersub{}","plainCitation":"16,17","noteIndex":0},"citationItems":[{"id":7356,"uris":["http://zotero.org/users/2011173/items/M3PPPBGS"],"itemData":{"id":7356,"type":"article-journal","abstract":"Photoactive chromium(III) complexes saw a conceptual breakthrough with the discovery of the prototypical molecular ruby mer-[Cr(ddpd)2]3+ (ddpd = N,N′-dimethyl-N,N′-dipyridin-2-ylpyridine-2,6-diamine), which shows intense long-lived near-infrared (NIR) phosphorescence from metal-centered spin-flip states. In contrast to the numerous studies on chromium(III) photophysics, only 10 luminescent molybdenum(III) complexes have been reported so far. Here, we present the synthesis and characterization of mer-MoX3(ddpd) (1, X = Cl; 2, X = Br) and cisfac-[Mo(ddpd)2]3+ (cisfac-[3]3+), an isomeric heavy homologue of the prototypical molecular ruby. For cisfac-[3]3+, we found strong zero-field splitting using magnetic susceptibility measurements and electron paramagnetic resonance spectroscopy. Electronic spectra covering the spin-forbidden transitions show that the spin-flip states in mer-1, mer-2, and cisfac-[3]3+ are much lower in energy than those in comparable chromium(III) compounds. While all three complexes show weak spin-flip phosphorescence in NIR-II, the emission of cisfac-[3]3+ peaking at 1550 nm is particularly low in energy. Femtosecond transient absorption spectroscopy reveals a short excited-state lifetime of 1.4 ns, 6 orders of magnitude shorter than that of mer-[Cr(ddpd)2]3+. Using density functional theory and ab initio multireference calculations, we break down the reasons for this disparity and derive principles for the design of future stable photoactive molybdenum(III) complexes.","container-title":"Inorganic Chemistry","DOI":"10.1021/acs.inorgchem.3c02186","ISSN":"0020-1669","issue":"39","journalAbbreviation":"Inorg. Chem.","note":"publisher: American Chemical Society","page":"15797-15808","source":"ACS Publications","title":"Electronic Structure and Excited-State Dynamics of the NIR-II Emissive Molybdenum(III) Analogue to the Molecular Ruby","volume":"62","author":[{"family":"Kitzmann","given":"Winald R."},{"family":"Hunger","given":"David"},{"family":"Reponen","given":"Antti-Pekka M."},{"family":"Förster","given":"Christoph"},{"family":"Schoch","given":"Roland"},{"family":"Bauer","given":"Matthias"},{"family":"Feldmann","given":"Sascha"},{"family":"Slageren","given":"Joris","non-dropping-particle":"van"},{"family":"Heinze","given":"Katja"}],"issued":{"date-parts":[["2023",10,2]]}}},{"id":7355,"uris":["http://zotero.org/users/2011173/items/PXAPB79Z"],"itemData":{"id":7355,"type":"article-journal","container-title":"Inorganic Chemistry","DOI":"10.1021/ic00283a001","ISSN":"0020-1669","issue":"10","journalAbbreviation":"Inorg. Chem.","note":"publisher: American Chemical Society","page":"1669-1670","source":"ACS Publications","title":"Near-infrared luminescence of octahedral molybdenum(III) and rhenium(IV) complexes in solution","volume":"27","author":[{"family":"Yao","given":"Qin"},{"family":"Maverick","given":"Andrew W."}],"issued":{"date-parts":[["1988",5,1]]}}}],"schema":"https://github.com/citation-style-language/schema/raw/master/csl-citation.json"} </w:instrText>
      </w:r>
      <w:r w:rsidRPr="00F9084A">
        <w:rPr>
          <w:sz w:val="18"/>
          <w:szCs w:val="18"/>
        </w:rPr>
        <w:fldChar w:fldCharType="separate"/>
      </w:r>
      <w:r w:rsidRPr="00F9084A">
        <w:rPr>
          <w:rFonts w:ascii="Aptos" w:hAnsi="Aptos" w:cs="Times New Roman"/>
          <w:sz w:val="18"/>
          <w:szCs w:val="18"/>
          <w:vertAlign w:val="superscript"/>
        </w:rPr>
        <w:t>16,17</w:t>
      </w:r>
      <w:r w:rsidRPr="00F9084A">
        <w:rPr>
          <w:sz w:val="18"/>
          <w:szCs w:val="18"/>
        </w:rPr>
        <w:fldChar w:fldCharType="end"/>
      </w:r>
      <w:r w:rsidRPr="00F9084A">
        <w:rPr>
          <w:sz w:val="18"/>
          <w:szCs w:val="18"/>
        </w:rPr>
        <w:t xml:space="preserve"> Re(IV),</w:t>
      </w:r>
      <w:r w:rsidRPr="00F9084A">
        <w:rPr>
          <w:sz w:val="18"/>
          <w:szCs w:val="18"/>
        </w:rPr>
        <w:fldChar w:fldCharType="begin"/>
      </w:r>
      <w:r w:rsidRPr="00F9084A">
        <w:rPr>
          <w:sz w:val="18"/>
          <w:szCs w:val="18"/>
        </w:rPr>
        <w:instrText xml:space="preserve"> ADDIN ZOTERO_ITEM CSL_CITATION {"citationID":"SxW2ZCkX","properties":{"formattedCitation":"\\super 17\\nosupersub{}","plainCitation":"17","noteIndex":0},"citationItems":[{"id":7355,"uris":["http://zotero.org/users/2011173/items/PXAPB79Z"],"itemData":{"id":7355,"type":"article-journal","container-title":"Inorganic Chemistry","DOI":"10.1021/ic00283a001","ISSN":"0020-1669","issue":"10","journalAbbreviation":"Inorg. Chem.","note":"publisher: American Chemical Society","page":"1669-1670","source":"ACS Publications","title":"Near-infrared luminescence of octahedral molybdenum(III) and rhenium(IV) complexes in solution","volume":"27","author":[{"family":"Yao","given":"Qin"},{"family":"Maverick","given":"Andrew W."}],"issued":{"date-parts":[["1988",5,1]]}}}],"schema":"https://github.com/citation-style-language/schema/raw/master/csl-citation.json"} </w:instrText>
      </w:r>
      <w:r w:rsidRPr="00F9084A">
        <w:rPr>
          <w:sz w:val="18"/>
          <w:szCs w:val="18"/>
        </w:rPr>
        <w:fldChar w:fldCharType="separate"/>
      </w:r>
      <w:r w:rsidRPr="00F9084A">
        <w:rPr>
          <w:rFonts w:ascii="Aptos" w:hAnsi="Aptos" w:cs="Times New Roman"/>
          <w:sz w:val="18"/>
          <w:szCs w:val="18"/>
          <w:vertAlign w:val="superscript"/>
        </w:rPr>
        <w:t>17</w:t>
      </w:r>
      <w:r w:rsidRPr="00F9084A">
        <w:rPr>
          <w:sz w:val="18"/>
          <w:szCs w:val="18"/>
        </w:rPr>
        <w:fldChar w:fldCharType="end"/>
      </w:r>
      <w:r w:rsidRPr="00F9084A">
        <w:rPr>
          <w:sz w:val="18"/>
          <w:szCs w:val="18"/>
        </w:rPr>
        <w:t xml:space="preserve"> and in particular, remarkable results in terms of emission efficiency were obtained in the case of (pseudo)octahedral Cr(III) complexes.</w:t>
      </w:r>
      <w:r w:rsidRPr="00F9084A">
        <w:rPr>
          <w:rFonts w:ascii="Aptos" w:hAnsi="Aptos" w:cs="Times New Roman"/>
          <w:sz w:val="18"/>
          <w:szCs w:val="18"/>
          <w:vertAlign w:val="superscript"/>
        </w:rPr>
        <w:t>18–20</w:t>
      </w:r>
      <w:r w:rsidRPr="00F9084A">
        <w:rPr>
          <w:sz w:val="18"/>
          <w:szCs w:val="18"/>
        </w:rPr>
        <w:t xml:space="preserve"> Such complexes show luminescence associated </w:t>
      </w:r>
      <w:r w:rsidR="008104E2" w:rsidRPr="00F9084A">
        <w:rPr>
          <w:sz w:val="18"/>
          <w:szCs w:val="18"/>
        </w:rPr>
        <w:t xml:space="preserve">with </w:t>
      </w:r>
      <w:r w:rsidRPr="00F9084A">
        <w:rPr>
          <w:sz w:val="18"/>
          <w:szCs w:val="18"/>
        </w:rPr>
        <w:t xml:space="preserve">the doublet states </w:t>
      </w:r>
      <w:r w:rsidRPr="00F9084A">
        <w:rPr>
          <w:sz w:val="18"/>
          <w:szCs w:val="18"/>
          <w:vertAlign w:val="superscript"/>
        </w:rPr>
        <w:t>2</w:t>
      </w:r>
      <w:r w:rsidRPr="00F9084A">
        <w:rPr>
          <w:sz w:val="18"/>
          <w:szCs w:val="18"/>
        </w:rPr>
        <w:t>T</w:t>
      </w:r>
      <w:r w:rsidRPr="00F9084A">
        <w:rPr>
          <w:sz w:val="18"/>
          <w:szCs w:val="18"/>
          <w:vertAlign w:val="subscript"/>
        </w:rPr>
        <w:t>1</w:t>
      </w:r>
      <w:r w:rsidRPr="00F9084A">
        <w:rPr>
          <w:sz w:val="18"/>
          <w:szCs w:val="18"/>
        </w:rPr>
        <w:t>/</w:t>
      </w:r>
      <w:r w:rsidRPr="00F9084A">
        <w:rPr>
          <w:sz w:val="18"/>
          <w:szCs w:val="18"/>
          <w:vertAlign w:val="superscript"/>
        </w:rPr>
        <w:t>2</w:t>
      </w:r>
      <w:r w:rsidRPr="00F9084A">
        <w:rPr>
          <w:sz w:val="18"/>
          <w:szCs w:val="18"/>
        </w:rPr>
        <w:t>E (Figure 1) with quantum yields up to 30% with narrow bands in the far red or near infrared region.</w:t>
      </w:r>
      <w:r w:rsidR="00DF5192" w:rsidRPr="00F9084A">
        <w:rPr>
          <w:sz w:val="18"/>
          <w:szCs w:val="18"/>
        </w:rPr>
        <w:fldChar w:fldCharType="begin"/>
      </w:r>
      <w:r w:rsidR="003B3B06" w:rsidRPr="00F9084A">
        <w:rPr>
          <w:sz w:val="18"/>
          <w:szCs w:val="18"/>
        </w:rPr>
        <w:instrText xml:space="preserve"> ADDIN ZOTERO_ITEM CSL_CITATION {"citationID":"N2JqKDEr","properties":{"formattedCitation":"\\super 18\\nosupersub{}","plainCitation":"18","noteIndex":0},"citationItems":[{"id":7377,"uris":["http://zotero.org/users/2011173/items/7PIURZ42"],"itemData":{"id":7377,"type":"article-journal","abstract":"The recently reported luminescent chromium(III) complex 13+ ([Cr(ddpd)2]3+; ddpd=N,N′-dimethyl-N,N′-dipyridine-2-yl-pyridine-2,6-diamine) shows exceptionally strong near-IR emission at 775 nm in water under ambient conditions (Φ=11 %) with a microsecond lifetime as the ligand design in 13+ effectively eliminates non-radiative decay pathways, such as photosubstitution, back-intersystem crossing, and trigonal twists. In the absence of energy acceptors, such as dioxygen, the remaining decay pathways are energy transfer to high energy solvent and ligand oscillators, namely OH and CH stretching vibrations. Selective deuteration of the solvents and the ddpd ligands probes the efficiency of these oscillators in the excited state deactivation. Addressing these energy-transfer pathways in the first and second coordination sphere furnishes a record 30 % quantum yield and a 2.3 millisecond lifetime for a metal complex with an earth-abundant metal ion in solution at room temperature.","container-title":"Angewandte Chemie International Edition","DOI":"10.1002/anie.201711350","ISSN":"1521-3773","issue":"4","journalAbbreviation":"Angew. Chem. Int. Ed.","language":"en","license":"© 2018 Wiley-VCH Verlag GmbH &amp; Co. KGaA, Weinheim","note":"_eprint: https://onlinelibrary.wiley.com/doi/pdf/10.1002/anie.201711350","page":"1112-1116","source":"Wiley Online Library","title":"Deuterated Molecular Ruby with Record Luminescence Quantum Yield","volume":"57","author":[{"family":"Wang","given":"Cui"},{"family":"Otto","given":"Sven"},{"family":"Dorn","given":"Matthias"},{"family":"Kreidt","given":"Elisabeth"},{"family":"Lebon","given":"Jakob"},{"family":"Sršan","given":"Laura"},{"family":"Di Martino-Fumo","given":"Patrick"},{"family":"Gerhards","given":"Markus"},{"family":"Resch-Genger","given":"Ute"},{"family":"Seitz","given":"Michael"},{"family":"Heinze","given":"Katja"}],"issued":{"date-parts":[["2018"]]}}}],"schema":"https://github.com/citation-style-language/schema/raw/master/csl-citation.json"} </w:instrText>
      </w:r>
      <w:r w:rsidR="00DF5192" w:rsidRPr="00F9084A">
        <w:rPr>
          <w:sz w:val="18"/>
          <w:szCs w:val="18"/>
        </w:rPr>
        <w:fldChar w:fldCharType="separate"/>
      </w:r>
      <w:r w:rsidR="00DF5192" w:rsidRPr="00F9084A">
        <w:rPr>
          <w:rFonts w:ascii="Calibri" w:hAnsi="Calibri" w:cs="Calibri"/>
          <w:sz w:val="18"/>
          <w:vertAlign w:val="superscript"/>
        </w:rPr>
        <w:t>18</w:t>
      </w:r>
      <w:r w:rsidR="00DF5192" w:rsidRPr="00F9084A">
        <w:rPr>
          <w:sz w:val="18"/>
          <w:szCs w:val="18"/>
        </w:rPr>
        <w:fldChar w:fldCharType="end"/>
      </w:r>
      <w:r w:rsidRPr="00F9084A">
        <w:rPr>
          <w:sz w:val="18"/>
          <w:szCs w:val="18"/>
        </w:rPr>
        <w:t xml:space="preserve"> These features, </w:t>
      </w:r>
      <w:r w:rsidR="00337E68" w:rsidRPr="00F9084A">
        <w:rPr>
          <w:sz w:val="18"/>
          <w:szCs w:val="18"/>
        </w:rPr>
        <w:t xml:space="preserve">reminiscent </w:t>
      </w:r>
      <w:r w:rsidR="001F2F65">
        <w:rPr>
          <w:sz w:val="18"/>
          <w:szCs w:val="18"/>
        </w:rPr>
        <w:t>of</w:t>
      </w:r>
      <w:r w:rsidR="001F2F65" w:rsidRPr="00F9084A">
        <w:rPr>
          <w:sz w:val="18"/>
          <w:szCs w:val="18"/>
        </w:rPr>
        <w:t xml:space="preserve"> </w:t>
      </w:r>
      <w:r w:rsidRPr="00F9084A">
        <w:rPr>
          <w:sz w:val="18"/>
          <w:szCs w:val="18"/>
        </w:rPr>
        <w:t>those of the ruby gemstone, can be obtained in a molecular compound with octahedral</w:t>
      </w:r>
      <w:r w:rsidR="00013132" w:rsidRPr="00F9084A">
        <w:rPr>
          <w:sz w:val="18"/>
          <w:szCs w:val="18"/>
        </w:rPr>
        <w:t>-like geometry</w:t>
      </w:r>
      <w:r w:rsidR="00337E68" w:rsidRPr="00F9084A">
        <w:rPr>
          <w:sz w:val="18"/>
          <w:szCs w:val="18"/>
        </w:rPr>
        <w:t xml:space="preserve"> (</w:t>
      </w:r>
      <w:proofErr w:type="spellStart"/>
      <w:r w:rsidR="00337E68" w:rsidRPr="00F9084A">
        <w:rPr>
          <w:sz w:val="18"/>
          <w:szCs w:val="18"/>
        </w:rPr>
        <w:t>i</w:t>
      </w:r>
      <w:proofErr w:type="spellEnd"/>
      <w:r w:rsidR="00337E68" w:rsidRPr="00F9084A">
        <w:rPr>
          <w:sz w:val="18"/>
          <w:szCs w:val="18"/>
        </w:rPr>
        <w:t>)</w:t>
      </w:r>
      <w:r w:rsidRPr="00F9084A">
        <w:rPr>
          <w:sz w:val="18"/>
          <w:szCs w:val="18"/>
        </w:rPr>
        <w:t xml:space="preserve"> to avoid excited state distortions and </w:t>
      </w:r>
      <w:r w:rsidR="00337E68" w:rsidRPr="00F9084A">
        <w:rPr>
          <w:sz w:val="18"/>
          <w:szCs w:val="18"/>
        </w:rPr>
        <w:t xml:space="preserve">(ii) to induce </w:t>
      </w:r>
      <w:r w:rsidRPr="00F9084A">
        <w:rPr>
          <w:sz w:val="18"/>
          <w:szCs w:val="18"/>
        </w:rPr>
        <w:t xml:space="preserve">strong ligand field splitting, needed to shift the </w:t>
      </w:r>
      <w:r w:rsidRPr="00F9084A">
        <w:rPr>
          <w:sz w:val="18"/>
          <w:szCs w:val="18"/>
          <w:vertAlign w:val="superscript"/>
        </w:rPr>
        <w:t>4</w:t>
      </w:r>
      <w:r w:rsidRPr="00F9084A">
        <w:rPr>
          <w:sz w:val="18"/>
          <w:szCs w:val="18"/>
        </w:rPr>
        <w:t>T</w:t>
      </w:r>
      <w:r w:rsidRPr="00F9084A">
        <w:rPr>
          <w:sz w:val="18"/>
          <w:szCs w:val="18"/>
          <w:vertAlign w:val="subscript"/>
        </w:rPr>
        <w:t>2</w:t>
      </w:r>
      <w:r w:rsidRPr="00F9084A">
        <w:rPr>
          <w:sz w:val="18"/>
          <w:szCs w:val="18"/>
        </w:rPr>
        <w:t xml:space="preserve"> states </w:t>
      </w:r>
      <w:r w:rsidR="00337E68" w:rsidRPr="00F9084A">
        <w:rPr>
          <w:sz w:val="18"/>
          <w:szCs w:val="18"/>
        </w:rPr>
        <w:t xml:space="preserve">toward </w:t>
      </w:r>
      <w:r w:rsidRPr="00F9084A">
        <w:rPr>
          <w:sz w:val="18"/>
          <w:szCs w:val="18"/>
        </w:rPr>
        <w:t xml:space="preserve">higher energy </w:t>
      </w:r>
      <w:r w:rsidR="00337E68" w:rsidRPr="00F9084A">
        <w:rPr>
          <w:sz w:val="18"/>
          <w:szCs w:val="18"/>
        </w:rPr>
        <w:t xml:space="preserve">thus </w:t>
      </w:r>
      <w:r w:rsidRPr="00F9084A">
        <w:rPr>
          <w:sz w:val="18"/>
          <w:szCs w:val="18"/>
        </w:rPr>
        <w:t>preventing deactivation of the SF states due to back intersystem crossing (BISC).</w:t>
      </w:r>
      <w:r w:rsidRPr="00F9084A">
        <w:rPr>
          <w:sz w:val="18"/>
          <w:szCs w:val="18"/>
        </w:rPr>
        <w:fldChar w:fldCharType="begin"/>
      </w:r>
      <w:r w:rsidR="003B3B06" w:rsidRPr="00F9084A">
        <w:rPr>
          <w:sz w:val="18"/>
          <w:szCs w:val="18"/>
        </w:rPr>
        <w:instrText xml:space="preserve"> ADDIN ZOTERO_ITEM CSL_CITATION {"citationID":"C3N6PRYJ","properties":{"formattedCitation":"\\super 19\\nosupersub{}","plainCitation":"19","noteIndex":0},"citationItems":[{"id":7366,"uris":["http://zotero.org/users/2011173/items/895TJF24"],"itemData":{"id":7366,"type":"article-journal","abstract":"Photoactive metal complexes employing Earth-abundant metal ions are a key to sustainable photophysical and photochemical applications. We exploit the effects of an inversion center and ligand non-innocence to tune the luminescence and photochemistry of the excited state of the [CrN6] chromophore [Cr(tpe)2]3+ with close to octahedral symmetry (tpe=1,1,1-tris(pyrid-2-yl)ethane). [Cr(tpe)2]3+ exhibits the longest luminescence lifetime (τ=4500 μs) reported up to date for a molecular polypyridyl chromium(III) complex together with a very high luminescence quantum yield of Φ=8.2 % at room temperature in fluid solution. Furthermore, the tpe ligands in [Cr(tpe)2]3+ are redox non-innocent, leading to reversible reductive chemistry. The excited state redox potential and lifetime of [Cr(tpe)2]3+ surpass those of the classical photosensitizer [Ru(bpy)3]2+ (bpy=2,2′-bipyridine) enabling energy transfer (to oxygen) and photoredox processes (with azulene and tri(n-butyl)amine).","container-title":"Angewandte Chemie International Edition","DOI":"10.1002/anie.201909325","ISSN":"1521-3773","issue":"50","journalAbbreviation":"Angew. Chem. Int. Ed.","language":"en","license":"© 2019 The Authors. Published by Wiley-VCH Verlag GmbH &amp; Co. KGaA.","note":"_eprint: https://onlinelibrary.wiley.com/doi/pdf/10.1002/anie.201909325","page":"18075-18085","source":"Wiley Online Library","title":"Luminescence and Light-Driven Energy and Electron Transfer from an Exceptionally Long-Lived Excited State of a Non-Innocent Chromium(III) Complex","volume":"58","author":[{"family":"Treiling","given":"Steffen"},{"family":"Wang","given":"Cui"},{"family":"Förster","given":"Christoph"},{"family":"Reichenauer","given":"Florian"},{"family":"Kalmbach","given":"Jens"},{"family":"Boden","given":"Pit"},{"family":"Harris","given":"Joe P."},{"family":"Carrella","given":"Luca M."},{"family":"Rentschler","given":"Eva"},{"family":"Resch-Genger","given":"Ute"},{"family":"Reber","given":"Christian"},{"family":"Seitz","given":"Michael"},{"family":"Gerhards","given":"Markus"},{"family":"Heinze","given":"Katja"}],"issued":{"date-parts":[["2019"]]}}}],"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19</w:t>
      </w:r>
      <w:r w:rsidRPr="00F9084A">
        <w:rPr>
          <w:sz w:val="18"/>
          <w:szCs w:val="18"/>
        </w:rPr>
        <w:fldChar w:fldCharType="end"/>
      </w:r>
      <w:r w:rsidRPr="00F9084A">
        <w:rPr>
          <w:sz w:val="18"/>
          <w:szCs w:val="18"/>
        </w:rPr>
        <w:t xml:space="preserve"> Complexes featuring SF states may be exploited </w:t>
      </w:r>
      <w:r w:rsidR="001A5A0A" w:rsidRPr="00F9084A">
        <w:rPr>
          <w:sz w:val="18"/>
          <w:szCs w:val="18"/>
        </w:rPr>
        <w:t xml:space="preserve">as </w:t>
      </w:r>
      <w:r w:rsidRPr="00F9084A">
        <w:rPr>
          <w:sz w:val="18"/>
          <w:szCs w:val="18"/>
        </w:rPr>
        <w:t>optical probes for oxygen</w:t>
      </w:r>
      <w:r w:rsidRPr="00F9084A">
        <w:rPr>
          <w:sz w:val="18"/>
          <w:szCs w:val="18"/>
        </w:rPr>
        <w:fldChar w:fldCharType="begin"/>
      </w:r>
      <w:r w:rsidR="00DF5192" w:rsidRPr="00F9084A">
        <w:rPr>
          <w:sz w:val="18"/>
          <w:szCs w:val="18"/>
        </w:rPr>
        <w:instrText xml:space="preserve"> ADDIN ZOTERO_ITEM CSL_CITATION {"citationID":"xYgC7hyT","properties":{"formattedCitation":"\\super 20\\nosupersub{}","plainCitation":"20","noteIndex":0},"citationItems":[{"id":7369,"uris":["http://zotero.org/users/2011173/items/C4UMM9WR"],"itemData":{"id":7369,"type":"article-journal","abstract":"Two nanosensors for simultaneous optical measurements of the bioanalytically and biologically relevant analytes temperature (“T”), oxygen (“O”), and pH (“P”) have been designed. These “TOP” nanosensors are based on 100 nm-sized silica-coated polystyrene nanoparticles (PS-NPs) doped with a near-infrared emissive oxygen- and temperature-sensitive chromium(III) complex ([Cr(ddpd)2][BPh4]3, CrBPh4) and an inert reference dye (Nile Red, NR or 5,10,15,20-tetrakis(pentafluorophenyl) porphyrin, TFPP) and are covalently labeled with pH-sensitive fluorescein isothiocyanate (FITC). These emitters can be excited at the same wavelength and reveal spectrally distinguishable emission bands, allowing for ratiometric intensity-based and time-resolved studies in the visible and near-infrared wavelength region. Studies in PBS buffer solutions and in a model body liquid demonstrate the applicability of these nanosensors for the sensitive luminescence readout of TOP simultaneously at the same spatialposition.","container-title":"Analytical Chemistry","DOI":"10.1021/acs.analchem.8b05060","ISSN":"0003-2700","issue":"3","journalAbbreviation":"Anal. Chem.","note":"publisher: American Chemical Society","page":"2337-2344","source":"ACS Publications","title":"Luminescent TOP Nanosensors for Simultaneously Measuring Temperature, Oxygen, and pH at a Single Excitation Wavelength","volume":"91","author":[{"family":"Wang","given":"Cui"},{"family":"Otto","given":"Sven"},{"family":"Dorn","given":"Matthias"},{"family":"Heinze","given":"Katja"},{"family":"Resch-Genger","given":"Ute"}],"issued":{"date-parts":[["2019",2,5]]}}}],"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20</w:t>
      </w:r>
      <w:r w:rsidRPr="00F9084A">
        <w:rPr>
          <w:sz w:val="18"/>
          <w:szCs w:val="18"/>
        </w:rPr>
        <w:fldChar w:fldCharType="end"/>
      </w:r>
      <w:r w:rsidR="008A0210" w:rsidRPr="00F9084A">
        <w:rPr>
          <w:sz w:val="18"/>
          <w:szCs w:val="18"/>
        </w:rPr>
        <w:t>,</w:t>
      </w:r>
      <w:r w:rsidRPr="00F9084A">
        <w:rPr>
          <w:sz w:val="18"/>
          <w:szCs w:val="18"/>
        </w:rPr>
        <w:t xml:space="preserve"> pressure</w:t>
      </w:r>
      <w:r w:rsidRPr="00F9084A">
        <w:rPr>
          <w:sz w:val="18"/>
          <w:szCs w:val="18"/>
        </w:rPr>
        <w:fldChar w:fldCharType="begin"/>
      </w:r>
      <w:r w:rsidR="003B3B06" w:rsidRPr="00F9084A">
        <w:rPr>
          <w:sz w:val="18"/>
          <w:szCs w:val="18"/>
        </w:rPr>
        <w:instrText xml:space="preserve"> ADDIN ZOTERO_ITEM CSL_CITATION {"citationID":"1z12dtNp","properties":{"formattedCitation":"\\super 21\\nosupersub{}","plainCitation":"21","noteIndex":0},"citationItems":[{"id":7371,"uris":["http://zotero.org/users/2011173/items/UDKXIVEP"],"itemData":{"id":7371,"type":"article-journal","abstract":"The intensely luminescent chromium(III) complexes [Cr(ddpd)2]3+ and [Cr(H2tpda)2]3+ show surprising pressure-induced red shifts of up to −15 cm−1 kbar−1 for their sharp spin-flip emission bands (ddpd=N,N′-dimethyl-N,N′-dipyridine-2-yl-pyridine-2,6-diamine; H2tpda=2,6-bis(2-pyridylamino)pyridine). These shifts surpass that of the established standard, ruby Al2O3:Cr3+, by a factor of 20. Beyond the common application in the crystalline state, the very high quantum yield of [Cr(ddpd)2]3+ enables optical pressure sensing in aqueous and methanolic solution. These unique features of the molecular rubies [Cr(ddpd)2]3+ and [Cr(H2tpda)2]3+ pave the way for highly sensitive optical pressure determination and unprecedented molecule-based pressure sensing with a single type of emitter.","container-title":"Angewandte Chemie International Edition","DOI":"10.1002/anie.201806755","ISSN":"1521-3773","issue":"34","journalAbbreviation":"Angew. Chem. Int. Ed.","language":"en","license":"© 2018 Wiley-VCH Verlag GmbH &amp; Co. KGaA, Weinheim","note":"_eprint: https://onlinelibrary.wiley.com/doi/pdf/10.1002/anie.201806755","page":"11069-11073","source":"Wiley Online Library","title":"Molecular Ruby under Pressure","volume":"57","author":[{"family":"Otto","given":"Sven"},{"family":"Harris","given":"Joe P."},{"family":"Heinze","given":"Katja"},{"family":"Reber","given":"Christian"}],"issued":{"date-parts":[["2018"]]}}}],"schema":"https://github.com/citation-style-language/schema/raw/master/csl-citation.json"}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21</w:t>
      </w:r>
      <w:r w:rsidRPr="00F9084A">
        <w:rPr>
          <w:sz w:val="18"/>
          <w:szCs w:val="18"/>
        </w:rPr>
        <w:fldChar w:fldCharType="end"/>
      </w:r>
      <w:r w:rsidRPr="00F9084A">
        <w:rPr>
          <w:sz w:val="18"/>
          <w:szCs w:val="18"/>
        </w:rPr>
        <w:t xml:space="preserve"> </w:t>
      </w:r>
      <w:r w:rsidR="008A0210" w:rsidRPr="00F9084A">
        <w:rPr>
          <w:sz w:val="18"/>
          <w:szCs w:val="18"/>
        </w:rPr>
        <w:t>and temperature,</w:t>
      </w:r>
      <w:r w:rsidR="00DF5192" w:rsidRPr="00F9084A">
        <w:rPr>
          <w:sz w:val="18"/>
          <w:szCs w:val="18"/>
        </w:rPr>
        <w:fldChar w:fldCharType="begin"/>
      </w:r>
      <w:r w:rsidR="00AA5428" w:rsidRPr="00F9084A">
        <w:rPr>
          <w:sz w:val="18"/>
          <w:szCs w:val="18"/>
        </w:rPr>
        <w:instrText xml:space="preserve"> ADDIN ZOTERO_ITEM CSL_CITATION {"citationID":"Fjvx84X2","properties":{"formattedCitation":"\\super 22\\nosupersub{}","plainCitation":"22","noteIndex":0},"citationItems":[{"id":7616,"uris":["http://zotero.org/users/2011173/items/AMWLEXZB"],"itemData":{"id":7616,"type":"article-journal","abstract":"The unparalleled excited-state potential-energy landscape of the chromium(III)-based dye [1]3+ ([Cr(ddpd)2]3+; ddpd=N,N′-dimethyl-N,N′-dipyridin-2-yl-pyridin-2,6-diamine) enables a strong dual emission in the near infrared region. The temperature dependence of this dual emission allows the use of [1]3+ as an unprecedented molecular ratiometric thermometer in the 210–373 K temperature range in organic and in aqueous media. Incorporation of [1]3+ in biocompatible nanocarriers, such as 100 nm-sized polystyrene nanoparticles and solutol micelles, provides nanodimensional thermometers operating under physiological conditions.","container-title":"Chemistry – A European Journal","DOI":"10.1002/chem.201701726","ISSN":"1521-3765","issue":"50","journalAbbreviation":"Chem. Eur. J.","language":"en","license":"© 2017 Wiley-VCH Verlag GmbH &amp; Co. KGaA, Weinheim","note":"_eprint: https://onlinelibrary.wiley.com/doi/pdf/10.1002/chem.201701726","page":"12131-12135","source":"Wiley Online Library","title":"Thermo-Chromium: A Contactless Optical Molecular Thermometer","title-short":"Thermo-Chromium","volume":"23","author":[{"family":"Otto","given":"Sven"},{"family":"Scholz","given":"Norman"},{"family":"Behnke","given":"Thomas"},{"family":"Resch-Genger","given":"Ute"},{"family":"Heinze","given":"Katja"}],"issued":{"date-parts":[["2017"]]}}}],"schema":"https://github.com/citation-style-language/schema/raw/master/csl-citation.json"} </w:instrText>
      </w:r>
      <w:r w:rsidR="00DF5192" w:rsidRPr="00F9084A">
        <w:rPr>
          <w:sz w:val="18"/>
          <w:szCs w:val="18"/>
        </w:rPr>
        <w:fldChar w:fldCharType="separate"/>
      </w:r>
      <w:r w:rsidR="00DF5192" w:rsidRPr="00F9084A">
        <w:rPr>
          <w:rFonts w:ascii="Calibri" w:hAnsi="Calibri" w:cs="Calibri"/>
          <w:sz w:val="18"/>
          <w:vertAlign w:val="superscript"/>
        </w:rPr>
        <w:t>22</w:t>
      </w:r>
      <w:r w:rsidR="00DF5192" w:rsidRPr="00F9084A">
        <w:rPr>
          <w:sz w:val="18"/>
          <w:szCs w:val="18"/>
        </w:rPr>
        <w:fldChar w:fldCharType="end"/>
      </w:r>
      <w:r w:rsidR="008A0210" w:rsidRPr="00F9084A">
        <w:rPr>
          <w:sz w:val="18"/>
          <w:szCs w:val="18"/>
        </w:rPr>
        <w:t xml:space="preserve"> </w:t>
      </w:r>
      <w:r w:rsidRPr="00F9084A">
        <w:rPr>
          <w:sz w:val="18"/>
          <w:szCs w:val="18"/>
        </w:rPr>
        <w:t>photocatalysis</w:t>
      </w:r>
      <w:r w:rsidRPr="00F9084A">
        <w:rPr>
          <w:sz w:val="18"/>
          <w:szCs w:val="18"/>
        </w:rPr>
        <w:fldChar w:fldCharType="begin"/>
      </w:r>
      <w:r w:rsidR="00AA5428" w:rsidRPr="00F9084A">
        <w:rPr>
          <w:sz w:val="18"/>
          <w:szCs w:val="18"/>
        </w:rPr>
        <w:instrText xml:space="preserve"> ADDIN ZOTERO_ITEM CSL_CITATION {"citationID":"df3DNz60","properties":{"formattedCitation":"\\super 23\\uc0\\u8211{}25\\nosupersub{}","plainCitation":"23–25","noteIndex":0},"citationItems":[{"id":7359,"uris":["http://zotero.org/users/2011173/items/HE48AMQ9"],"itemData":{"id":7359,"type":"article-journal","abstract":"Transition metal complexes with photoactive charge-transfer excited states are pervasive throughout the literature. In particular, [Ru(bpy)3]2+ (bpy=2,2′-bipyridine), with its metal-to-ligand charge-transfer emission, has been established as a key complex. Meanwhile, interest in so-called spin-flip metal-centered states has risen dramatically after the molecular ruby [Cr(ddpd)2]3+ (ddpd=N,N′-dimethyl-N,N′-dipyridin-2-yl-pyridine-2,6-diamine) led to design principles to access strong, long-lived emission from photostable chromium(III) complexes. This Review contrasts the properties of emissive charge-transfer and spin-flip states by using [Ru(bpy)3]2+ and [Cr(ddpd)2]3+ as prototypical examples. We discuss the relevant excited states, the tunability of their energy and lifetimes, and their response to external stimuli. Finally, we identify strengths and weaknesses of charge-transfer and spin-flip states in applications such as photocatalysis and circularly polarized luminescence.","container-title":"Angewandte Chemie International Edition","DOI":"10.1002/anie.202213207","ISSN":"1521-3773","issue":"15","journalAbbreviation":"Angew. Chem. Int. Ed.","language":"en","license":"© 2022 The Authors. Angewandte Chemie International Edition published by Wiley-VCH GmbH","note":"_eprint: https://onlinelibrary.wiley.com/doi/pdf/10.1002/anie.202213207","page":"e202213207","source":"Wiley Online Library","title":"Charge-Transfer and Spin-Flip States: Thriving as Complements","title-short":"Charge-Transfer and Spin-Flip States","volume":"62","author":[{"family":"Kitzmann","given":"Winald R."},{"family":"Heinze","given":"Katja"}],"issued":{"date-parts":[["2023"]]}}},{"id":7494,"uris":["http://zotero.org/users/2011173/items/KBJ53MLA"],"itemData":{"id":7494,"type":"article-journal","abstract":"The photoredox activity of well-known RuII complexes stems from metal-to-ligand charge transfer (MLCT) excited states, in which a ligand-based electron can initiate chemical reductions and a metal-centered hole can trigger oxidations. CrIII polypyridines show similar photoredox properties, although they have fundamentally different electronic structures. Their photoactive excited state is of spin-flip nature, differing from the electronic ground state merely by a change of one electron spin, but with otherwise identical d-orbital occupancy. We find that the driving-force dependence for photoinduced electron transfer from 10 different donors to a spin-flip excited state of a CrIII complex is very similar to that for a RuII polypyridine, and thereby validate the concept of estimating the redox potential of d3 spin-flip excited states in analogous manner as for the MLCT states of d6 compounds. Building on this insight, we use our CrIII complex for photocatalytic reactions not previously explored with this compound class, including the aerobic bromination of methoxyaryls, oxygenation of 1,1,2,2-tetraphenylethylene, aerobic hydroxylation of arylboronic acids, and the vinylation of N-phenyl pyrrolidine. This work contributes to understanding the fundamental photochemical properties of first-row transition-metal complexes in comparison to well-explored precious-metal-based photocatalysts.","container-title":"Journal of the American Chemical Society","DOI":"10.1021/jacs.2c04465","ISSN":"0002-7863","issue":"31","journalAbbreviation":"J. Am. Chem. Soc.","note":"publisher: American Chemical Society","page":"14181-14194","source":"ACS Publications","title":"Shedding Light on the Oxidizing Properties of Spin-Flip Excited States in a CrIII Polypyridine Complex and Their Use in Photoredox Catalysis","volume":"144","author":[{"family":"Bürgin","given":"Tobias H."},{"family":"Glaser","given":"Felix"},{"family":"Wenger","given":"Oliver S."}],"issued":{"date-parts":[["2022",8,10]]}}},{"id":7492,"uris":["http://zotero.org/users/2011173/items/PUDZPX5C"],"itemData":{"id":7492,"type":"article-journal","abstract":"Photoredox catalysis relies on light-induced electron transfer leading to a radical pair comprising an oxidized donor and a reduced acceptor in a solvent cage. For productive onward reaction to occur, the oxidized donor and the reduced acceptor must escape from that solvent cage before they undergo spontaneous reverse electron transfer. Here we show the decisive role that cage escape plays in three benchmark photocatalytic reactions, namely, an aerobic hydroxylation, a reductive debromination and an aza-Henry reaction. Using ruthenium(II)- and chromium(III)-based photocatalysts, which provide inherently different cage escape quantum yields, we determined quantitative correlations between the rates of photoredox product formation and the cage escape quantum yields. These findings can be largely rationalized within the framework of Marcus theory for electron transfer.","container-title":"Nature Chemistry","DOI":"10.1038/s41557-024-01482-4","ISSN":"1755-4349","journalAbbreviation":"Nat. Chem.","language":"en","license":"2024 The Author(s)","note":"publisher: Nature Publishing Group","page":"1-9","source":"www.nature.com","title":"Cage escape governs photoredox reaction rates and quantum yields","author":[{"family":"Wang","given":"Cui"},{"family":"Li","given":"Han"},{"family":"Bürgin","given":"Tobias H."},{"family":"Wenger","given":"Oliver S."}],"issued":{"date-parts":[["2024",3,18]]}}}],"schema":"https://github.com/citation-style-language/schema/raw/master/csl-citation.json"}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23–25</w:t>
      </w:r>
      <w:r w:rsidRPr="00F9084A">
        <w:rPr>
          <w:sz w:val="18"/>
          <w:szCs w:val="18"/>
        </w:rPr>
        <w:fldChar w:fldCharType="end"/>
      </w:r>
      <w:r w:rsidRPr="00F9084A">
        <w:rPr>
          <w:sz w:val="18"/>
          <w:szCs w:val="18"/>
        </w:rPr>
        <w:t xml:space="preserve"> and photocathodic solar cells.</w:t>
      </w:r>
      <w:r w:rsidRPr="00F9084A">
        <w:rPr>
          <w:sz w:val="18"/>
          <w:szCs w:val="18"/>
        </w:rPr>
        <w:fldChar w:fldCharType="begin"/>
      </w:r>
      <w:r w:rsidR="003B3B06" w:rsidRPr="00F9084A">
        <w:rPr>
          <w:sz w:val="18"/>
          <w:szCs w:val="18"/>
        </w:rPr>
        <w:instrText xml:space="preserve"> ADDIN ZOTERO_ITEM CSL_CITATION {"citationID":"WSceb8gC","properties":{"formattedCitation":"\\super 19,26\\nosupersub{}","plainCitation":"19,26","noteIndex":0},"citationItems":[{"id":7366,"uris":["http://zotero.org/users/2011173/items/895TJF24"],"itemData":{"id":7366,"type":"article-journal","abstract":"Photoactive metal complexes employing Earth-abundant metal ions are a key to sustainable photophysical and photochemical applications. We exploit the effects of an inversion center and ligand non-innocence to tune the luminescence and photochemistry of the excited state of the [CrN6] chromophore [Cr(tpe)2]3+ with close to octahedral symmetry (tpe=1,1,1-tris(pyrid-2-yl)ethane). [Cr(tpe)2]3+ exhibits the longest luminescence lifetime (τ=4500 μs) reported up to date for a molecular polypyridyl chromium(III) complex together with a very high luminescence quantum yield of Φ=8.2 % at room temperature in fluid solution. Furthermore, the tpe ligands in [Cr(tpe)2]3+ are redox non-innocent, leading to reversible reductive chemistry. The excited state redox potential and lifetime of [Cr(tpe)2]3+ surpass those of the classical photosensitizer [Ru(bpy)3]2+ (bpy=2,2′-bipyridine) enabling energy transfer (to oxygen) and photoredox processes (with azulene and tri(n-butyl)amine).","container-title":"Angewandte Chemie International Edition","DOI":"10.1002/anie.201909325","ISSN":"1521-3773","issue":"50","journalAbbreviation":"Angew. Chem. Int. Ed.","language":"en","license":"© 2019 The Authors. Published by Wiley-VCH Verlag GmbH &amp; Co. KGaA.","note":"_eprint: https://onlinelibrary.wiley.com/doi/pdf/10.1002/anie.201909325","page":"18075-18085","source":"Wiley Online Library","title":"Luminescence and Light-Driven Energy and Electron Transfer from an Exceptionally Long-Lived Excited State of a Non-Innocent Chromium(III) Complex","volume":"58","author":[{"family":"Treiling","given":"Steffen"},{"family":"Wang","given":"Cui"},{"family":"Förster","given":"Christoph"},{"family":"Reichenauer","given":"Florian"},{"family":"Kalmbach","given":"Jens"},{"family":"Boden","given":"Pit"},{"family":"Harris","given":"Joe P."},{"family":"Carrella","given":"Luca M."},{"family":"Rentschler","given":"Eva"},{"family":"Resch-Genger","given":"Ute"},{"family":"Reber","given":"Christian"},{"family":"Seitz","given":"Michael"},{"family":"Gerhards","given":"Markus"},{"family":"Heinze","given":"Katja"}],"issued":{"date-parts":[["2019"]]}}},{"id":7373,"uris":["http://zotero.org/users/2011173/items/LGEHMTJZ"],"itemData":{"id":7373,"type":"article-journal","abstract":"To exploit Cr(III) coordination complexes as sensitizers in supramolecular energy-converting devices, the latter optical relays should display long-lived excited states, broad emission bands, and tunable spatial and electronic connections to activator units. An ad-hoc versatile strategy has been therefore developed for the preparation of a family of luminescent pseudo-octahedral [CrN6] chromophores made up of ter–bidentate heteroleptic [Cr(phen)2(N–N’′)]3+ complexes, where phen is 1,10-phenanthroline, and N–N′ stands for α,α′-diimine ligands possessing peripheral substituents compatible with both electronic tuning and structure extensions. As long as the ligand field in these [CrN6] chromophores remains sufficiently strong to avoid back-intersystem crossing, photophysical studies indicate that the lifetime of the near-infrared emissive Cr(2E) excited state is poorly sensitive to ligand-based electronic effects. On the contrary, a drop in symmetry, the coupling with high frequency oscillators, and the implementation of sterical constraints in heteroleptic [Cr(phen)2(N–N′)]3+ complexes affect both Cr(2E → 4A2) energies and Cr(2E) lifetimes. Altogether, [Cr(phen)2(phenAlkyn)]3+ (phenAlkyn = 5-ethynyl-1,10-phenanthroline) and [Cr(phen)2(dpma)]3+ (dpma = di(pyrid-2-yl)(methyl)amine) complexes mirror the favorable photophysical properties of homoleptic [Cr(phen)3]3+ and thus emerge as the best heteroleptic candidates for acting as sensitizers at room temperature, and below 100 K, respectively, in more complicated architectures.","container-title":"Inorganic Chemistry","DOI":"10.1021/acs.inorgchem.8b02530","ISSN":"0020-1669","issue":"22","journalAbbreviation":"Inorg. Chem.","note":"publisher: American Chemical Society","page":"14362-14373","source":"ACS Publications","title":"Heteroleptic Ter–Bidentate Cr(III) Complexes as Tunable Optical Sensitizers","volume":"57","author":[{"family":"Doistau","given":"Benjamin"},{"family":"Collet","given":"Guillaume"},{"family":"Bolomey","given":"Emilio Acuña"},{"family":"Sadat-Noorbakhsh","given":"Vida"},{"family":"Besnard","given":"Céline"},{"family":"Piguet","given":"Claude"}],"issued":{"date-parts":[["2018",11,19]]}}}],"schema":"https://github.com/citation-style-language/schema/raw/master/csl-citation.json"}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19,26</w:t>
      </w:r>
      <w:r w:rsidRPr="00F9084A">
        <w:rPr>
          <w:sz w:val="18"/>
          <w:szCs w:val="18"/>
        </w:rPr>
        <w:fldChar w:fldCharType="end"/>
      </w:r>
    </w:p>
    <w:p w14:paraId="41BB681A" w14:textId="4ECC2320" w:rsidR="00BC5484" w:rsidRPr="00F9084A" w:rsidRDefault="54F9B7ED" w:rsidP="00ED5BC0">
      <w:pPr>
        <w:spacing w:after="0"/>
        <w:jc w:val="both"/>
        <w:rPr>
          <w:sz w:val="18"/>
          <w:szCs w:val="18"/>
        </w:rPr>
        <w:sectPr w:rsidR="00BC5484" w:rsidRPr="00F9084A" w:rsidSect="00514CBA">
          <w:type w:val="continuous"/>
          <w:pgSz w:w="11907" w:h="16840" w:code="9"/>
          <w:pgMar w:top="1009" w:right="851" w:bottom="1758" w:left="851" w:header="851" w:footer="1049" w:gutter="0"/>
          <w:cols w:num="2" w:space="227"/>
          <w:titlePg/>
          <w:docGrid w:linePitch="360"/>
        </w:sectPr>
      </w:pPr>
      <w:r w:rsidRPr="00F9084A">
        <w:rPr>
          <w:sz w:val="18"/>
          <w:szCs w:val="18"/>
        </w:rPr>
        <w:t>Concerning the luminescence activity associated with the SF transitions, the most promising results have been achieved so far by employing two families of Cr(III) complexes: [Cr(</w:t>
      </w:r>
      <w:proofErr w:type="spellStart"/>
      <w:r w:rsidRPr="00F9084A">
        <w:rPr>
          <w:sz w:val="18"/>
          <w:szCs w:val="18"/>
        </w:rPr>
        <w:t>ddpd</w:t>
      </w:r>
      <w:proofErr w:type="spellEnd"/>
      <w:r w:rsidRPr="00F9084A">
        <w:rPr>
          <w:sz w:val="18"/>
          <w:szCs w:val="18"/>
        </w:rPr>
        <w:t>)</w:t>
      </w:r>
      <w:r w:rsidRPr="00F9084A">
        <w:rPr>
          <w:sz w:val="18"/>
          <w:szCs w:val="18"/>
          <w:vertAlign w:val="subscript"/>
        </w:rPr>
        <w:t>2</w:t>
      </w:r>
      <w:r w:rsidRPr="00F9084A">
        <w:rPr>
          <w:sz w:val="18"/>
          <w:szCs w:val="18"/>
        </w:rPr>
        <w:t>]</w:t>
      </w:r>
      <w:r w:rsidRPr="00F9084A">
        <w:rPr>
          <w:sz w:val="18"/>
          <w:szCs w:val="18"/>
          <w:vertAlign w:val="superscript"/>
        </w:rPr>
        <w:t>3+</w:t>
      </w:r>
      <w:r w:rsidRPr="00F9084A">
        <w:rPr>
          <w:sz w:val="18"/>
          <w:szCs w:val="18"/>
        </w:rPr>
        <w:t xml:space="preserve"> (</w:t>
      </w:r>
      <w:proofErr w:type="spellStart"/>
      <w:r w:rsidRPr="00F9084A">
        <w:rPr>
          <w:sz w:val="18"/>
          <w:szCs w:val="18"/>
        </w:rPr>
        <w:t>ddpd</w:t>
      </w:r>
      <w:proofErr w:type="spellEnd"/>
      <w:r w:rsidRPr="00F9084A">
        <w:rPr>
          <w:sz w:val="18"/>
          <w:szCs w:val="18"/>
        </w:rPr>
        <w:t xml:space="preserve"> = N,N’-dimethyl-N,N’’-dipyridin-2-ylpyridine-2,6-diamine)</w:t>
      </w:r>
      <w:r w:rsidR="00C467EE" w:rsidRPr="00F9084A">
        <w:rPr>
          <w:sz w:val="18"/>
          <w:szCs w:val="18"/>
        </w:rPr>
        <w:fldChar w:fldCharType="begin"/>
      </w:r>
      <w:r w:rsidR="00AA5428" w:rsidRPr="00F9084A">
        <w:rPr>
          <w:sz w:val="18"/>
          <w:szCs w:val="18"/>
        </w:rPr>
        <w:instrText xml:space="preserve"> ADDIN ZOTERO_ITEM CSL_CITATION {"citationID":"oA5eAwK5","properties":{"formattedCitation":"\\super 18,27,28\\nosupersub{}","plainCitation":"18,27,28","noteIndex":0},"citationItems":[{"id":7375,"uris":["http://zotero.org/users/2011173/items/RDU4W8L6"],"itemData":{"id":7375,"type":"article-journal","abstract":"Bright,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NIR.","container-title":"Angewandte Chemie International Edition","DOI":"10.1002/anie.201504894","ISSN":"1521-3773","issue":"39","journalAbbreviation":"Angew. Chem. Int. Ed.","language":"en","license":"© 2015 WILEY-VCH Verlag GmbH &amp; Co. KGaA, Weinheim","note":"_eprint: https://onlinelibrary.wiley.com/doi/pdf/10.1002/anie.201504894","page":"11572-11576","source":"Wiley Online Library","title":"[Cr(ddpd)2]3+: A Molecular, Water-Soluble, Highly NIR-Emissive Ruby Analogue","title-short":"[Cr(ddpd)2]3+","volume":"54","author":[{"family":"Otto","given":"Sven"},{"family":"Grabolle","given":"Markus"},{"family":"Förster","given":"Christoph"},{"family":"Kreitner","given":"Christoph"},{"family":"Resch-Genger","given":"Ute"},{"family":"Heinze","given":"Katja"}],"issued":{"date-parts":[["2015"]]}}},{"id":7378,"uris":["http://zotero.org/users/2011173/items/KVL6WB4B"],"itemData":{"id":7378,"type":"article-journal","abstract":"The synthesis, structure, reactivity, and photophysical properties of a novel acidic, luminescent chromium(III) complex [Cr(H2tpda)2]3+ (23+) bearing the tridentate H2tpda (2,6-bis(2-pyridylamino)pyridine) ligand are presented. Excitation of 23+ at 442 nm results in strong, long-lived NIR luminescence at 782 nm in water and in acetonitrile. X-ray diffraction analysis and IR spectroscopy reveal hydrogen-bonding interactions of the counter ions to the NH groups of 23+ in the solid state. Deprotonation of the NH groups of 23+ by using a non-nucleophilic Schwesinger base in CH3CN switches off the luminescence. Re-protonation by using HClO4 restores the emission. In water, the pKa value of 23+ amounts to 8.8, yet deprotonation is not reversible in the presence of hydroxide ions. Dioxygen quenches the emission of 23+, but to a weaker extent than expected. This is possibly due to the strong ion-pairing properties of 23+ even in solution, reducing the energy transfer efficiency to O2. Deuteration of the NH groups of 23+ approximately doubles the quantum yield and lifetime in water, demonstrating the importance of multiphoton relaxation in these NIR emitters.","container-title":"Chemistry – A European Journal","DOI":"10.1002/chem.201802797","ISSN":"1521-3765","issue":"48","journalAbbreviation":"Chem. Eur. J.","language":"en","license":"© 2018 Wiley-VCH Verlag GmbH &amp; Co. KGaA, Weinheim","note":"_eprint: https://onlinelibrary.wiley.com/doi/pdf/10.1002/chem.201802797","page":"12555-12563","source":"Wiley Online Library","title":"A Strongly Luminescent Chromium(III) Complex Acid","volume":"24","author":[{"family":"Otto","given":"Sven"},{"family":"Förster","given":"Christoph"},{"family":"Wang","given":"Cui"},{"family":"Resch-Genger","given":"Ute"},{"family":"Heinze","given":"Katja"}],"issued":{"date-parts":[["2018"]]}}},{"id":7377,"uris":["http://zotero.org/users/2011173/items/7PIURZ42"],"itemData":{"id":7377,"type":"article-journal","abstract":"The recently reported luminescent chromium(III) complex 13+ ([Cr(ddpd)2]3+; ddpd=N,N′-dimethyl-N,N′-dipyridine-2-yl-pyridine-2,6-diamine) shows exceptionally strong near-IR emission at 775 nm in water under ambient conditions (Φ=11 %) with a microsecond lifetime as the ligand design in 13+ effectively eliminates non-radiative decay pathways, such as photosubstitution, back-intersystem crossing, and trigonal twists. In the absence of energy acceptors, such as dioxygen, the remaining decay pathways are energy transfer to high energy solvent and ligand oscillators, namely OH and CH stretching vibrations. Selective deuteration of the solvents and the ddpd ligands probes the efficiency of these oscillators in the excited state deactivation. Addressing these energy-transfer pathways in the first and second coordination sphere furnishes a record 30 % quantum yield and a 2.3 millisecond lifetime for a metal complex with an earth-abundant metal ion in solution at room temperature.","container-title":"Angewandte Chemie International Edition","DOI":"10.1002/anie.201711350","ISSN":"1521-3773","issue":"4","journalAbbreviation":"Angew. Chem. Int. Ed.","language":"en","license":"© 2018 Wiley-VCH Verlag GmbH &amp; Co. KGaA, Weinheim","note":"_eprint: https://onlinelibrary.wiley.com/doi/pdf/10.1002/anie.201711350","page":"1112-1116","source":"Wiley Online Library","title":"Deuterated Molecular Ruby with Record Luminescence Quantum Yield","volume":"57","author":[{"family":"Wang","given":"Cui"},{"family":"Otto","given":"Sven"},{"family":"Dorn","given":"Matthias"},{"family":"Kreidt","given":"Elisabeth"},{"family":"Lebon","given":"Jakob"},{"family":"Sršan","given":"Laura"},{"family":"Di Martino-Fumo","given":"Patrick"},{"family":"Gerhards","given":"Markus"},{"family":"Resch-Genger","given":"Ute"},{"family":"Seitz","given":"Michael"},{"family":"Heinze","given":"Katja"}],"issued":{"date-parts":[["2018"]]}}}],"schema":"https://github.com/citation-style-language/schema/raw/master/csl-citation.json"} </w:instrText>
      </w:r>
      <w:r w:rsidR="00C467EE" w:rsidRPr="00F9084A">
        <w:rPr>
          <w:sz w:val="18"/>
          <w:szCs w:val="18"/>
        </w:rPr>
        <w:fldChar w:fldCharType="separate"/>
      </w:r>
      <w:r w:rsidR="00DF5192" w:rsidRPr="00F9084A">
        <w:rPr>
          <w:rFonts w:ascii="Aptos" w:hAnsi="Aptos" w:cs="Times New Roman"/>
          <w:sz w:val="18"/>
          <w:vertAlign w:val="superscript"/>
        </w:rPr>
        <w:t>18,27,28</w:t>
      </w:r>
      <w:r w:rsidR="00C467EE" w:rsidRPr="00F9084A">
        <w:rPr>
          <w:sz w:val="18"/>
          <w:szCs w:val="18"/>
        </w:rPr>
        <w:fldChar w:fldCharType="end"/>
      </w:r>
      <w:r w:rsidRPr="00F9084A">
        <w:rPr>
          <w:sz w:val="18"/>
          <w:szCs w:val="18"/>
        </w:rPr>
        <w:t xml:space="preserve"> and [Cr(</w:t>
      </w:r>
      <w:proofErr w:type="spellStart"/>
      <w:r w:rsidRPr="00F9084A">
        <w:rPr>
          <w:sz w:val="18"/>
          <w:szCs w:val="18"/>
        </w:rPr>
        <w:t>dqp</w:t>
      </w:r>
      <w:proofErr w:type="spellEnd"/>
      <w:r w:rsidRPr="00F9084A">
        <w:rPr>
          <w:sz w:val="18"/>
          <w:szCs w:val="18"/>
        </w:rPr>
        <w:t>)</w:t>
      </w:r>
      <w:r w:rsidRPr="00F9084A">
        <w:rPr>
          <w:sz w:val="18"/>
          <w:szCs w:val="18"/>
          <w:vertAlign w:val="subscript"/>
        </w:rPr>
        <w:t>2</w:t>
      </w:r>
      <w:r w:rsidRPr="00F9084A">
        <w:rPr>
          <w:sz w:val="18"/>
          <w:szCs w:val="18"/>
        </w:rPr>
        <w:t>]</w:t>
      </w:r>
      <w:r w:rsidRPr="00F9084A">
        <w:rPr>
          <w:sz w:val="18"/>
          <w:szCs w:val="18"/>
          <w:vertAlign w:val="superscript"/>
        </w:rPr>
        <w:t>3+</w:t>
      </w:r>
      <w:r w:rsidRPr="00F9084A">
        <w:rPr>
          <w:sz w:val="18"/>
          <w:szCs w:val="18"/>
        </w:rPr>
        <w:t xml:space="preserve"> (</w:t>
      </w:r>
      <w:proofErr w:type="spellStart"/>
      <w:r w:rsidRPr="00F9084A">
        <w:rPr>
          <w:sz w:val="18"/>
          <w:szCs w:val="18"/>
        </w:rPr>
        <w:t>dqp</w:t>
      </w:r>
      <w:proofErr w:type="spellEnd"/>
      <w:r w:rsidRPr="00F9084A">
        <w:rPr>
          <w:sz w:val="18"/>
          <w:szCs w:val="18"/>
        </w:rPr>
        <w:t xml:space="preserve"> = 2,6-di(quinolin-8-yl)pyridine).</w:t>
      </w:r>
      <w:r w:rsidR="00C467EE" w:rsidRPr="00F9084A">
        <w:rPr>
          <w:sz w:val="18"/>
          <w:szCs w:val="18"/>
        </w:rPr>
        <w:fldChar w:fldCharType="begin"/>
      </w:r>
      <w:r w:rsidR="00DF5192" w:rsidRPr="00F9084A">
        <w:rPr>
          <w:sz w:val="18"/>
          <w:szCs w:val="18"/>
        </w:rPr>
        <w:instrText xml:space="preserve"> ADDIN ZOTERO_ITEM CSL_CITATION {"citationID":"br7J94pL","properties":{"formattedCitation":"\\super 29,30\\nosupersub{}","plainCitation":"29,30","noteIndex":0},"citationItems":[{"id":7381,"uris":["http://zotero.org/users/2011173/items/U8XEBV99"],"itemData":{"id":7381,"type":"article-journal","abstract":"Implementing high quantum yields and long-lived excited state lifetimes within heteroleptic luminescent CrIII complexes is a keystone for the design of supramolecular energy-converting devices exploiting this cheap metal. In this contribution, we discuss the stepwise and rational optimization of these two limiting factors within a series of heteroleptic CrIII complexes.","container-title":"Dalton Transactions","DOI":"10.1039/D0DT02872J","ISSN":"1477-9234","issue":"39","journalAbbreviation":"Dalton Trans.","language":"en","note":"publisher: The Royal Society of Chemistry","page":"13528-13532","source":"pubs.rsc.org","title":"Luminescent polypyridyl heteroleptic CrIII complexes with high quantum yields and long excited state lifetimes","volume":"49","author":[{"family":"Jiménez","given":"Juan-Ramón"},{"family":"Poncet","given":"Maxime"},{"family":"Doistau","given":"Benjamin"},{"family":"Besnard","given":"Céline"},{"family":"Piguet","given":"Claude"}],"issued":{"date-parts":[["2020",10,12]]}}},{"id":7383,"uris":["http://zotero.org/users/2011173/items/U6Z9DIBQ"],"itemData":{"id":7383,"type":"article-journal","abstract":"The chiral resolution of a kinetically inert molecular ruby [Cr(dqp)2]3+ (1, dqp = 2,6-di(quinolin-8-yl)pyridine) displaying strong dual light emission at room temperature has been achieved. The wrapped arrangement of the six-membered dqp chelating ligands around the Cr(III) provided nonplanar helical conformations leading to the diastereoselective assembly of chiral bis-tridentate monometallic Cr(III)-helix. The PP-(+)-[Cr(dqp)2]3+ and MM-(−)-[Cr(dqp)2]3+ enantiomers could be separated and isolated by using cation-exchange chromatography and subsequent salt-metathesis with KPF6. X-ray crystallographic analysis based on Flack parameters assigned the absolute configurations of the two enantiomers. Circularly polarized luminescence (CPL) spectra showed two polarized emission bands within the NIR region corresponding to the characteristic metal-centered spin-flip Cr(2E → 4A2) and Cr(2T1 → 4A2) transitions with exceptionally high dissymmetry factors, |glum|, of 0.2 and 0.1, respectively, which are comparable to those reported for rare-earth chiral complexes. Photophysical properties also revealed an extremely long excited-state lifetime of 1.2 ms and a high quantum yield of 5.2% at room temperature in water. These properties make [Cr(dqp)2]3+ an ideal sensitizer for the preparation of enantiopure luminescent supramolecular energy-converting devices and also open up the possibility of using chiral Cr(III) chromophores for the construction of NIR-CPL materials and polarized photonic devices based on earth-abundant metals.","container-title":"Journal of the American Chemical Society","DOI":"10.1021/jacs.9b06524","ISSN":"0002-7863","issue":"33","journalAbbreviation":"J. Am. Chem. Soc.","note":"publisher: American Chemical Society","page":"13244-13252","source":"ACS Publications","title":"Chiral Molecular Ruby [Cr(dqp)2]3+ with Long-Lived Circularly Polarized Luminescence","volume":"141","author":[{"family":"Jiménez","given":"Juan-Ramón"},{"family":"Doistau","given":"Benjamin"},{"family":"Cruz","given":"Carlos M."},{"family":"Besnard","given":"Céline"},{"family":"Cuerva","given":"Juan M."},{"family":"Campaña","given":"Araceli G."},{"family":"Piguet","given":"Claude"}],"issued":{"date-parts":[["2019",8,21]]}}}],"schema":"https://github.com/citation-style-language/schema/raw/master/csl-citation.json"} </w:instrText>
      </w:r>
      <w:r w:rsidR="00C467EE" w:rsidRPr="00F9084A">
        <w:rPr>
          <w:sz w:val="18"/>
          <w:szCs w:val="18"/>
        </w:rPr>
        <w:fldChar w:fldCharType="separate"/>
      </w:r>
      <w:r w:rsidR="00DF5192" w:rsidRPr="00F9084A">
        <w:rPr>
          <w:rFonts w:ascii="Aptos" w:hAnsi="Aptos" w:cs="Times New Roman"/>
          <w:sz w:val="18"/>
          <w:vertAlign w:val="superscript"/>
        </w:rPr>
        <w:t>29,30</w:t>
      </w:r>
      <w:r w:rsidR="00C467EE" w:rsidRPr="00F9084A">
        <w:rPr>
          <w:sz w:val="18"/>
          <w:szCs w:val="18"/>
        </w:rPr>
        <w:fldChar w:fldCharType="end"/>
      </w:r>
      <w:r w:rsidRPr="00F9084A">
        <w:rPr>
          <w:sz w:val="18"/>
          <w:szCs w:val="18"/>
        </w:rPr>
        <w:t xml:space="preserve"> In those cases, the first coordination sphere is roughly octahedral, but the arrangement of the tridentate organic ligand around the Cr-</w:t>
      </w:r>
      <w:proofErr w:type="spellStart"/>
      <w:r w:rsidRPr="00F9084A">
        <w:rPr>
          <w:sz w:val="18"/>
          <w:szCs w:val="18"/>
        </w:rPr>
        <w:t>center</w:t>
      </w:r>
      <w:proofErr w:type="spellEnd"/>
      <w:r w:rsidRPr="00F9084A">
        <w:rPr>
          <w:sz w:val="18"/>
          <w:szCs w:val="18"/>
        </w:rPr>
        <w:t xml:space="preserve"> defines a </w:t>
      </w:r>
      <w:r w:rsidRPr="00F9084A">
        <w:rPr>
          <w:rFonts w:ascii="Symbol" w:eastAsia="Symbol" w:hAnsi="Symbol" w:cs="Symbol"/>
          <w:sz w:val="18"/>
          <w:szCs w:val="18"/>
        </w:rPr>
        <w:t></w:t>
      </w:r>
      <w:r w:rsidRPr="00F9084A">
        <w:rPr>
          <w:sz w:val="18"/>
          <w:szCs w:val="18"/>
        </w:rPr>
        <w:t>/</w:t>
      </w:r>
      <w:r w:rsidRPr="00F9084A">
        <w:rPr>
          <w:rFonts w:ascii="Times New Roman" w:hAnsi="Times New Roman" w:cs="Times New Roman"/>
          <w:sz w:val="18"/>
          <w:szCs w:val="18"/>
        </w:rPr>
        <w:t>δ</w:t>
      </w:r>
      <w:r w:rsidRPr="00F9084A">
        <w:rPr>
          <w:sz w:val="18"/>
          <w:szCs w:val="18"/>
        </w:rPr>
        <w:t xml:space="preserve"> chirality in an overall </w:t>
      </w:r>
      <w:r w:rsidRPr="00F9084A">
        <w:rPr>
          <w:i/>
          <w:iCs/>
          <w:sz w:val="18"/>
          <w:szCs w:val="18"/>
        </w:rPr>
        <w:t>D</w:t>
      </w:r>
      <w:r w:rsidRPr="00F9084A">
        <w:rPr>
          <w:sz w:val="18"/>
          <w:szCs w:val="18"/>
          <w:vertAlign w:val="subscript"/>
        </w:rPr>
        <w:t>2</w:t>
      </w:r>
      <w:r w:rsidRPr="00F9084A">
        <w:rPr>
          <w:sz w:val="18"/>
          <w:szCs w:val="18"/>
        </w:rPr>
        <w:t xml:space="preserve"> geometry.</w:t>
      </w:r>
      <w:r w:rsidR="00C467EE" w:rsidRPr="00F9084A">
        <w:rPr>
          <w:sz w:val="18"/>
          <w:szCs w:val="18"/>
        </w:rPr>
        <w:fldChar w:fldCharType="begin"/>
      </w:r>
      <w:r w:rsidR="00DF5192" w:rsidRPr="00F9084A">
        <w:rPr>
          <w:sz w:val="18"/>
          <w:szCs w:val="18"/>
        </w:rPr>
        <w:instrText xml:space="preserve"> ADDIN ZOTERO_ITEM CSL_CITATION {"citationID":"pWvNXdDA","properties":{"formattedCitation":"\\super 31\\nosupersub{}","plainCitation":"31","noteIndex":0},"citationItems":[{"id":7389,"uris":["http://zotero.org/users/2011173/items/3WVJZGQP"],"itemData":{"id":7389,"type":"article-journal","abstract":"The search for chiral chromophores with efficient circularly polarized luminescence (CPL) is an on-going hot topic in chemistry due to their potential applications in emerging fields such as spintronics and photonics. Beyond the largely exploited p-block, 4d/5d-block and f-block chiral entities, chiral chromium(III) complexes have recently attracted interest because of the abundancy of chromium in the earth's crust, its kinetic inertness and its promising metal-centered Cr(2E) and Cr(2T1) phosphorescence. The associated spin-flip transitions could provide large dissymmetric factor ( ) and high luminescence quantum yields (ϕ) when six-membered strong-field chelate rings are coordinated to chiral six-coordinate Cr(III) centers. In this minireview, we intend to focus our attention on the state-of-the-art for the design of pseudo-octahedral chiral mononuclear Cr(III) complexes for which chiroptical properties were investigated. The promising electronic properties of these complexes together with their low cost make these underexplored systems appealing candidates for CPL applications.","container-title":"ChemPhotoChem","DOI":"10.1002/cptc.202100146","ISSN":"2367-0932","issue":"10","language":"en","license":"© 2021 The Authors. ChemPhotoChem published by Wiley-VCH GmbH","note":"_eprint: https://onlinelibrary.wiley.com/doi/pdf/10.1002/cptc.202100146","page":"880-892","source":"Wiley Online Library","title":"Chiral Chromium(III) Complexes as Promising Candidates for Circularly Polarized Luminescence","volume":"5","author":[{"family":"Poncet","given":"Maxime"},{"family":"Benchohra","given":"Amina"},{"family":"Jiménez","given":"Juan-Ramón"},{"family":"Piguet","given":"Claude"}],"issued":{"date-parts":[["2021"]]}}}],"schema":"https://github.com/citation-style-language/schema/raw/master/csl-citation.json"} </w:instrText>
      </w:r>
      <w:r w:rsidR="00C467EE" w:rsidRPr="00F9084A">
        <w:rPr>
          <w:sz w:val="18"/>
          <w:szCs w:val="18"/>
        </w:rPr>
        <w:fldChar w:fldCharType="separate"/>
      </w:r>
      <w:r w:rsidR="00DF5192" w:rsidRPr="00F9084A">
        <w:rPr>
          <w:rFonts w:ascii="Aptos" w:hAnsi="Aptos" w:cs="Times New Roman"/>
          <w:sz w:val="18"/>
          <w:vertAlign w:val="superscript"/>
        </w:rPr>
        <w:t>31</w:t>
      </w:r>
      <w:r w:rsidR="00C467EE" w:rsidRPr="00F9084A">
        <w:rPr>
          <w:sz w:val="18"/>
          <w:szCs w:val="18"/>
        </w:rPr>
        <w:fldChar w:fldCharType="end"/>
      </w:r>
      <w:r w:rsidRPr="00F9084A">
        <w:rPr>
          <w:sz w:val="18"/>
          <w:szCs w:val="18"/>
        </w:rPr>
        <w:t xml:space="preserve"> Thanks to the electric dipole forbidden nature of the SF transition, in enantiopure form, such compounds display </w:t>
      </w:r>
      <w:r w:rsidR="008D5DDC" w:rsidRPr="00F9084A">
        <w:rPr>
          <w:sz w:val="18"/>
          <w:szCs w:val="18"/>
        </w:rPr>
        <w:t>highly</w:t>
      </w:r>
      <w:r w:rsidRPr="00F9084A">
        <w:rPr>
          <w:sz w:val="18"/>
          <w:szCs w:val="18"/>
        </w:rPr>
        <w:t xml:space="preserve"> circularly polarized luminescence (CPL), with dissymmetry factors (g</w:t>
      </w:r>
      <w:r w:rsidRPr="00F9084A">
        <w:rPr>
          <w:sz w:val="18"/>
          <w:szCs w:val="18"/>
          <w:vertAlign w:val="subscript"/>
        </w:rPr>
        <w:t>lum</w:t>
      </w:r>
      <w:r w:rsidRPr="00F9084A">
        <w:rPr>
          <w:sz w:val="18"/>
          <w:szCs w:val="18"/>
        </w:rPr>
        <w:t xml:space="preserve">) </w:t>
      </w:r>
      <w:r w:rsidR="008104E2" w:rsidRPr="00F9084A">
        <w:rPr>
          <w:sz w:val="18"/>
          <w:szCs w:val="18"/>
        </w:rPr>
        <w:t>on</w:t>
      </w:r>
      <w:r w:rsidRPr="00F9084A">
        <w:rPr>
          <w:sz w:val="18"/>
          <w:szCs w:val="18"/>
        </w:rPr>
        <w:t xml:space="preserve"> the order of 10</w:t>
      </w:r>
      <w:r w:rsidRPr="00F9084A">
        <w:rPr>
          <w:sz w:val="18"/>
          <w:szCs w:val="18"/>
          <w:vertAlign w:val="superscript"/>
        </w:rPr>
        <w:t>-1</w:t>
      </w:r>
      <w:r w:rsidRPr="00F9084A">
        <w:rPr>
          <w:sz w:val="18"/>
          <w:szCs w:val="18"/>
        </w:rPr>
        <w:t>.</w:t>
      </w:r>
      <w:r w:rsidR="00C467EE" w:rsidRPr="00F9084A">
        <w:rPr>
          <w:sz w:val="18"/>
          <w:szCs w:val="18"/>
        </w:rPr>
        <w:fldChar w:fldCharType="begin"/>
      </w:r>
      <w:r w:rsidR="000C7757" w:rsidRPr="00F9084A">
        <w:rPr>
          <w:sz w:val="18"/>
          <w:szCs w:val="18"/>
        </w:rPr>
        <w:instrText xml:space="preserve"> ADDIN ZOTERO_ITEM CSL_CITATION {"citationID":"adjOWkCC","properties":{"formattedCitation":"\\super 30\\uc0\\u8211{}34\\nosupersub{}","plainCitation":"30–34","noteIndex":0},"citationItems":[{"id":7383,"uris":["http://zotero.org/users/2011173/items/U6Z9DIBQ"],"itemData":{"id":7383,"type":"article-journal","abstract":"The chiral resolution of a kinetically inert molecular ruby [Cr(dqp)2]3+ (1, dqp = 2,6-di(quinolin-8-yl)pyridine) displaying strong dual light emission at room temperature has been achieved. The wrapped arrangement of the six-membered dqp chelating ligands around the Cr(III) provided nonplanar helical conformations leading to the diastereoselective assembly of chiral bis-tridentate monometallic Cr(III)-helix. The PP-(+)-[Cr(dqp)2]3+ and MM-(−)-[Cr(dqp)2]3+ enantiomers could be separated and isolated by using cation-exchange chromatography and subsequent salt-metathesis with KPF6. X-ray crystallographic analysis based on Flack parameters assigned the absolute configurations of the two enantiomers. Circularly polarized luminescence (CPL) spectra showed two polarized emission bands within the NIR region corresponding to the characteristic metal-centered spin-flip Cr(2E → 4A2) and Cr(2T1 → 4A2) transitions with exceptionally high dissymmetry factors, |glum|, of 0.2 and 0.1, respectively, which are comparable to those reported for rare-earth chiral complexes. Photophysical properties also revealed an extremely long excited-state lifetime of 1.2 ms and a high quantum yield of 5.2% at room temperature in water. These properties make [Cr(dqp)2]3+ an ideal sensitizer for the preparation of enantiopure luminescent supramolecular energy-converting devices and also open up the possibility of using chiral Cr(III) chromophores for the construction of NIR-CPL materials and polarized photonic devices based on earth-abundant metals.","container-title":"Journal of the American Chemical Society","DOI":"10.1021/jacs.9b06524","ISSN":"0002-7863","issue":"33","journalAbbreviation":"J. Am. Chem. Soc.","note":"publisher: American Chemical Society","page":"13244-13252","source":"ACS Publications","title":"Chiral Molecular Ruby [Cr(dqp)2]3+ with Long-Lived Circularly Polarized Luminescence","volume":"141","author":[{"family":"Jiménez","given":"Juan-Ramón"},{"family":"Doistau","given":"Benjamin"},{"family":"Cruz","given":"Carlos M."},{"family":"Besnard","given":"Céline"},{"family":"Cuerva","given":"Juan M."},{"family":"Campaña","given":"Araceli G."},{"family":"Piguet","given":"Claude"}],"issued":{"date-parts":[["2019",8,21]]}}},{"id":7386,"uris":["http://zotero.org/users/2011173/items/LSUBAQF2"],"itemData":{"id":7386,"type":"article-journal","abstract":"The chiral spin–flip luminophore [Cr(ddpd)2]3+ can be resolved into enantiopure material by chiral HPLC. The corresponding enantiomers show very high luminescence dissymmetry factors of up to </w:instrText>
      </w:r>
      <w:r w:rsidR="000C7757" w:rsidRPr="00F9084A">
        <w:rPr>
          <w:rFonts w:ascii="Cambria Math" w:hAnsi="Cambria Math" w:cs="Cambria Math"/>
          <w:sz w:val="18"/>
          <w:szCs w:val="18"/>
        </w:rPr>
        <w:instrText>∣</w:instrText>
      </w:r>
      <w:r w:rsidR="000C7757" w:rsidRPr="00F9084A">
        <w:rPr>
          <w:sz w:val="18"/>
          <w:szCs w:val="18"/>
        </w:rPr>
        <w:instrText xml:space="preserve">glum </w:instrText>
      </w:r>
      <w:r w:rsidR="000C7757" w:rsidRPr="00F9084A">
        <w:rPr>
          <w:rFonts w:ascii="Cambria Math" w:hAnsi="Cambria Math" w:cs="Cambria Math"/>
          <w:sz w:val="18"/>
          <w:szCs w:val="18"/>
        </w:rPr>
        <w:instrText>∣</w:instrText>
      </w:r>
      <w:r w:rsidR="000C7757" w:rsidRPr="00F9084A">
        <w:rPr>
          <w:rFonts w:ascii="Calibri" w:hAnsi="Calibri" w:cs="Calibri"/>
          <w:sz w:val="18"/>
          <w:szCs w:val="18"/>
        </w:rPr>
        <w:instrText>≈</w:instrText>
      </w:r>
      <w:r w:rsidR="000C7757" w:rsidRPr="00F9084A">
        <w:rPr>
          <w:sz w:val="18"/>
          <w:szCs w:val="18"/>
        </w:rPr>
        <w:instrText xml:space="preserve"> 0.093 in circularly polarized luminescence (CPL) measurements for the </w:instrText>
      </w:r>
      <w:r w:rsidR="000C7757" w:rsidRPr="00F9084A">
        <w:rPr>
          <w:rFonts w:ascii="Calibri" w:hAnsi="Calibri" w:cs="Calibri"/>
          <w:sz w:val="18"/>
          <w:szCs w:val="18"/>
        </w:rPr>
        <w:instrText>“</w:instrText>
      </w:r>
      <w:r w:rsidR="000C7757" w:rsidRPr="00F9084A">
        <w:rPr>
          <w:sz w:val="18"/>
          <w:szCs w:val="18"/>
        </w:rPr>
        <w:instrText>ruby-like</w:instrText>
      </w:r>
      <w:r w:rsidR="000C7757" w:rsidRPr="00F9084A">
        <w:rPr>
          <w:rFonts w:ascii="Calibri" w:hAnsi="Calibri" w:cs="Calibri"/>
          <w:sz w:val="18"/>
          <w:szCs w:val="18"/>
        </w:rPr>
        <w:instrText>”</w:instrText>
      </w:r>
      <w:r w:rsidR="000C7757" w:rsidRPr="00F9084A">
        <w:rPr>
          <w:sz w:val="18"/>
          <w:szCs w:val="18"/>
        </w:rPr>
        <w:instrText xml:space="preserve"> phosphorescence transition 2E/2T1 </w:instrText>
      </w:r>
      <w:r w:rsidR="000C7757" w:rsidRPr="00F9084A">
        <w:rPr>
          <w:rFonts w:ascii="Calibri" w:hAnsi="Calibri" w:cs="Calibri"/>
          <w:sz w:val="18"/>
          <w:szCs w:val="18"/>
        </w:rPr>
        <w:instrText>→</w:instrText>
      </w:r>
      <w:r w:rsidR="000C7757" w:rsidRPr="00F9084A">
        <w:rPr>
          <w:sz w:val="18"/>
          <w:szCs w:val="18"/>
        </w:rPr>
        <w:instrText xml:space="preserve"> 4A2 in the near-IR region around </w:instrText>
      </w:r>
      <w:r w:rsidR="000C7757" w:rsidRPr="00F9084A">
        <w:rPr>
          <w:rFonts w:ascii="Calibri" w:hAnsi="Calibri" w:cs="Calibri"/>
          <w:sz w:val="18"/>
          <w:szCs w:val="18"/>
        </w:rPr>
        <w:instrText>λ</w:instrText>
      </w:r>
      <w:r w:rsidR="000C7757" w:rsidRPr="00F9084A">
        <w:rPr>
          <w:sz w:val="18"/>
          <w:szCs w:val="18"/>
        </w:rPr>
        <w:instrText xml:space="preserve"> </w:instrText>
      </w:r>
      <w:r w:rsidR="000C7757" w:rsidRPr="00F9084A">
        <w:rPr>
          <w:rFonts w:ascii="Calibri" w:hAnsi="Calibri" w:cs="Calibri"/>
          <w:sz w:val="18"/>
          <w:szCs w:val="18"/>
        </w:rPr>
        <w:instrText>≈</w:instrText>
      </w:r>
      <w:r w:rsidR="000C7757" w:rsidRPr="00F9084A">
        <w:rPr>
          <w:sz w:val="18"/>
          <w:szCs w:val="18"/>
        </w:rPr>
        <w:instrText xml:space="preserve"> 775 nm.","container-title":"Chemical Communications","DOI":"10.1039/C9CC06909G","ISSN":"1364-548X","issue":"87","journalAbbreviation":"Chem. Commun.","language":"en","note":"publisher: The Royal Society of Chemistry","page":"13078-13081","source":"pubs.rsc.org","title":"Strong circularly polarized luminescence of an octahedral chromium(III) complex","volume":"55","author":[{"family":"Dee","given":"Carolin"},{"family":"Zinna","given":"Francesco"},{"family":"Kitzmann","given":"Winald R."},{"family":"Pescitelli","given":"Gennaro"},{"family":"Heinze","given":"Katja"},{"family":"Bari","given":"Lorenzo Di"},{"family":"Seitz","given":"Michael"}],"issued":{"date-parts":[["2019",10,29]]}}},{"id":7387,"uris":["http://zotero.org/users/2011173/items/DY3PVUSX"],"itemData":{"id":7387,"type":"article-journal","abstract":"A series of highly emissive inert and chiral CrIII complexes displaying dual circularly polarized luminescence (CPL) within the NIR region have been prepared and characterized. The helical [Cr(dqpR)2]3+ (dqp=2,6-di(quinolin-8-yl)pyridine; R=OCH3, Br or C≡CH) complexes were synthesized as racemic mixtures and resolved into their respective PP and MM enantiomers by chiral stationary phase HPLC. The corresponding enantiomers show large glum≈0.2 and high quantum yield of up to 17 %, which afford important CPL brightness of up to 170 m−1 cm−1, a key point for applications as chiral luminescent probes. Moreover, the long-lived CP-NIR emission provided by these chromophores (ms range) in aqueous solution opens the way toward the quantification of chiral targets in biological systems with time-gated detection. Thus, such chiral chromophores based on earth abundant and inert 3d metals open new perspectives in the field of CPL and represent an alternative to precious 4d, 5d and to labile 4f metal-based complexes.","container-title":"Angewandte Chemie International Edition","DOI":"10.1002/anie.202101158","ISSN":"1521-3773","issue":"18","journalAbbreviation":"Angew. Chem. Int. Ed.","language":"en","license":"© 2021 Wiley-VCH GmbH","note":"_eprint: https://onlinelibrary.wiley.com/doi/pdf/10.1002/anie.202101158","page":"10095-10102","source":"Wiley Online Library","title":"Bright Long-Lived Circularly Polarized Luminescence in Chiral Chromium(III) Complexes","volume":"60","author":[{"family":"Jiménez","given":"Juan-Ramón"},{"family":"Poncet","given":"Maxime"},{"family":"Míguez-Lago","given":"Sandra"},{"family":"Grass","given":"Stéphane"},{"family":"Lacour","given":"Jérôme"},{"family":"Besnard","given":"Céline"},{"family":"Cuerva","given":"Juan M."},{"family":"Campaña","given":"Araceli G."},{"family":"Piguet","given":"Claude"}],"issued":{"date-parts":[["2021"]]}}},{"id":7389,"uris":["http://zotero.org/users/2011173/items/3WVJZGQP"],"itemData":{"id":7389,"type":"article-journal","abstract":"The search for chiral chromophores with efficient circularly polarized luminescence (CPL) is an on-going hot topic in chemistry due to their potential applications in emerging fields such as spintronics and photonics. Beyond the largely exploited p-block, 4d/5d-block and f-block chiral entities, chiral chromium(III) complexes have recently attracted interest because of the abundancy of chromium in the earth's crust, its kinetic inertness and its promising metal-centered Cr(2E) and Cr(2T1) phosphorescence. The associated spin-flip transitions could provide large dissymmetric factor ( ) and high luminescence quantum yields (ϕ) when six-membered strong-field chelate rings are coordinated to chiral six-coordinate Cr(III) centers. In this minireview, we intend to focus our attention on the state-of-the-art for the design of pseudo-octahedral chiral mononuclear Cr(III) complexes for which chiroptical properties were investigated. The promising electronic properties of these complexes together with their low cost make these underexplored systems appealing candidates for CPL applications.","container-title":"ChemPhotoChem","DOI":"10.1002/cptc.202100146","ISSN":"2367-0932","issue":"10","language":"en","license":"© 2021 The Authors. ChemPhotoChem published by Wiley-VCH GmbH","note":"_eprint: https://onlinelibrary.wiley.com/doi/pdf/10.1002/cptc.202100146","page":"880-892","source":"Wiley Online Library","title":"Chiral Chromium(III) Complexes as Promising Candidates for Circularly Polarized Luminescence","volume":"5","author":[{"family":"Poncet","given":"Maxime"},{"family":"Benchohra","given":"Amina"},{"family":"Jiménez","given":"Juan-Ramón"},{"family":"Piguet","given":"Claude"}],"issued":{"date-parts":[["2021"]]}}},{"id":7394,"uris":["http://zotero.org/users/2011173/items/UH7NM7HH"],"itemData":{"id":7394,"type":"article-journal","abstract":"In this contribution we report on the synthesis and characterization of NIR-I luminescent silica nanoparticles doped with the chiral luminescent CrIIIN6 complex [Cr(dqp)2]3+ (dqp = 2,6-di(quinolin-8-yl)pyridine), Cr@SiO2NPs, as well as on their post-functionalization with the highly luminescent Eu(tta)3(phen-Si) (tta = 2-Thenoyltrifluoroacetonate; phen-Si = phenanthroline silica precursor), EuCr@SiO2NPs. These hybrid materials were prepared via reverse micelle techniques. Electronic microscopy analyses determined an average particle size of 94 nm with the Cr complex randomly distributed into the silica matrix. The EuCr@SiO2NPs material displays the characteristic ruby-like emission arising from the metal-centered spin-flip transitions within the 730–750 nm range (13 500–12 700 cm−1) together with the Eu-centered 5D0 → 7FJ (J = 0–4) transitions in the red region of the electromagnetic spectrum. CPL measurements showed two mirror-image polarized bands ascribed to the Cr(2E → 4A2) and Cr(2T1 → 4A2) with dissymetry factor (glum) in the range of 0.1–0.2. The encapsulated CrIII complex showed larger quantum yield (4%) and longer excited state lifetime (336–1500 μs) compared to the non-encapsulated complex, providing an enhanced CPL brightness of 80 M−1 cm−1 in aerated media. Thus, these hybrid materials display an efficient and bright long-lived dual simultaneous non-polarized red and polarized NIR-I luminescence.","container-title":"Journal of Materials Chemistry C","DOI":"10.1039/D2TC05344F","ISSN":"2050-7534","issue":"7","journalAbbreviation":"J. Mater. Chem. C","language":"en","note":"publisher: The Royal Society of Chemistry","page":"2582-2590","source":"pubs.rsc.org","title":"EuIII functionalized silica nanoparticles encapsulating chiral CrIII complexes with simultaneous unpolarized red and polarized NIR-I luminescence","volume":"11","author":[{"family":"Jiménez","given":"Juan-Ramón"},{"family":"Míguez-Lago","given":"Sandra"},{"family":"Poncet","given":"Maxime"},{"family":"Ye","given":"Yating"},{"family":"Ruiz","given":"César López"},{"family":"Cruz","given":"Carlos M."},{"family":"Campaña","given":"Araceli G."},{"family":"Colacio","given":"Enrique"},{"family":"Piguet","given":"Claude"},{"family":"Herrera","given":"Juan Manuel"}],"issued":{"date-parts":[["2023",2,16]]}}}],"schema":"https://github.com/citation-style-language/schema/raw/master/csl-citation.json"} </w:instrText>
      </w:r>
      <w:r w:rsidR="00C467EE" w:rsidRPr="00F9084A">
        <w:rPr>
          <w:sz w:val="18"/>
          <w:szCs w:val="18"/>
        </w:rPr>
        <w:fldChar w:fldCharType="separate"/>
      </w:r>
      <w:r w:rsidR="00DF5192" w:rsidRPr="00F9084A">
        <w:rPr>
          <w:rFonts w:ascii="Aptos" w:hAnsi="Aptos" w:cs="Times New Roman"/>
          <w:sz w:val="18"/>
          <w:vertAlign w:val="superscript"/>
        </w:rPr>
        <w:t>30–34</w:t>
      </w:r>
      <w:r w:rsidR="00C467EE" w:rsidRPr="00F9084A">
        <w:rPr>
          <w:sz w:val="18"/>
          <w:szCs w:val="18"/>
        </w:rPr>
        <w:fldChar w:fldCharType="end"/>
      </w:r>
      <w:r w:rsidRPr="00F9084A">
        <w:rPr>
          <w:sz w:val="18"/>
          <w:szCs w:val="18"/>
        </w:rPr>
        <w:t xml:space="preserve"> Such values are comparable with those obtained for the </w:t>
      </w:r>
      <w:r w:rsidRPr="00F9084A">
        <w:rPr>
          <w:i/>
          <w:iCs/>
          <w:sz w:val="18"/>
          <w:szCs w:val="18"/>
        </w:rPr>
        <w:t>f-f</w:t>
      </w:r>
      <w:r w:rsidRPr="00F9084A">
        <w:rPr>
          <w:sz w:val="18"/>
          <w:szCs w:val="18"/>
        </w:rPr>
        <w:t xml:space="preserve"> transitions of chiral lanthanide(III) complexes,</w:t>
      </w:r>
      <w:r w:rsidR="00C467EE" w:rsidRPr="00F9084A">
        <w:rPr>
          <w:sz w:val="18"/>
          <w:szCs w:val="18"/>
        </w:rPr>
        <w:fldChar w:fldCharType="begin"/>
      </w:r>
      <w:r w:rsidR="000C7757" w:rsidRPr="00F9084A">
        <w:rPr>
          <w:sz w:val="18"/>
          <w:szCs w:val="18"/>
        </w:rPr>
        <w:instrText xml:space="preserve"> ADDIN ZOTERO_ITEM CSL_CITATION {"citationID":"h5y8r1Ft","properties":{"formattedCitation":"\\super 35\\uc0\\u8211{}39\\nosupersub{}","plainCitation":"35–39","noteIndex":0},"citationItems":[{"id":7404,"uris":["http://zotero.org/users/2011173/items/3AZ9QRWY"],"itemData":{"id":7404,"type":"article-journal","abstract":"In recent years, circularly polarized luminescence (CPL) has witnessed a renaissance, due to the increased popularity of CPL as a spectroscopic technique and greater accessibility to instrumentation. New efficient CPL emitters have been designed and many applications, ranging from electronic devices to microscopy have been proposed. Most examples of CPL are within the visible range, while few cases of near infrared (NIR) CPL active complexes are available. NIR-CPL compounds may have applications in the telecommunication industry, electronic devices and bioassays. In the following, we shall give an overview of the recent developments allowing for the measurements of NIR-CPL, and describe the chiroptical properties of metal complexes which achieve this feat.","container-title":"Angewandte Chemie International Edition","DOI":"10.1002/anie.202302358","ISSN":"1521-3773","issue":"25","journalAbbreviation":"Angew. Chem. Int. Ed.","language":"en","license":"© 2023 The Authors. Angewandte Chemie International Edition published by Wiley-VCH GmbH","note":"_eprint: https://onlinelibrary.wiley.com/doi/pdf/10.1002/anie.202302358","page":"e202302358","source":"Wiley Online Library","title":"NIR-Circularly Polarized Luminescence from Chiral Complexes of Lanthanides and d-Metals","volume":"62","author":[{"family":"Willis","given":"Oliver G."},{"family":"Zinna","given":"Francesco"},{"family":"Di Bari","given":"Lorenzo"}],"issued":{"date-parts":[["2023"]]}}},{"id":7401,"uris":["http://zotero.org/users/2011173/items/YBGMICD9"],"itemData":{"id":7401,"type":"article-journal","abstract":"The interest in chirality crosses many research areas in chemistry, physics, materials, and life sciences. Besides the fundamental importance of chiral recognition in biological systems, the exploitation of chirality offers an additional degree of freedom to broaden the perspective for new functional materials. From a spectroscopic point of view, the signature property of chiral systems is their different absorption/emission intensity for left- and right- handed circularly polarized light. This difference is called dissymmetry and can be measured for both absorption (gabs in circular dichroism) and emission (glum in circularly polarized luminescence) experiments. Among inorganic systems, lanthanide complexes hold the maximum values for glum due to their unique interplay between magnetic and electric dipole mechanisms, characteristic for f-f transitions. In this review, we provide an overview of important chemical families of mononuclear lanthanide complexes associated with strong circularly polarized emission dissymmetry, as this property is fundamentally connected with the chiral environment around the lanthanide ion. In the final section, presented systems are analyzed in terms of their coordination number, geometry, and distortion with respect to reflection with the aid of Continuous Symmetry and Shape Measurements.","container-title":"Coordination Chemistry Reviews","DOI":"10.1016/j.ccr.2024.215675","ISSN":"0010-8545","journalAbbreviation":"Coord. Chem. Rev.","page":"215675","source":"ScienceDirect","title":"Circularly polarized luminescence and coordination geometries in mononuclear lanthanide(III) complexes","volume":"505","author":[{"family":"Llanos","given":"Leonel"},{"family":"Cancino","given":"Patricio"},{"family":"Mella","given":"Pablo"},{"family":"Fuentealba","given":"Pablo"},{"family":"Aravena","given":"Daniel"}],"issued":{"date-parts":[["2024",4,15]]}}},{"id":7399,"uris":["http://zotero.org/users/2011173/items/L7PWAC4R"],"itemData":{"id":7399,"type":"article-journal","abstract":"Chiroptical probes based on circular dichroism (CD) and circularly polarized luminescence (CPL) are crucial for understanding chirality in nature. Lanthanide chiroptical complexes are considered as promising candidates for the more sensitive CPL because of their unique optical properties, such as the magnetic dipole-allowed but electric-dipole-forbidden f-f transitions, large pseudo-Stokes shift, and long luminescence lifetime. However, due to the non-directional nature of lanthanide ions which allows variable coordination numbers, the design of their chiral complexes, especially at the supramolecular level, remains a challenge. Recent developments demonstrate the assemblies of chiroptical helices, cages, wheels, knots, and frameworks, which opens up future potential for applications such as in sensing and chiral guest recognition. This review provides the basics of coordination chemistry and photophysics of lanthanide ions, introduces chiroptical characterization, and summarizes the progress on the development of chiroptical lanthanide molecular and supramolecular systems. Perspectives on future development and applications are also discussed.","container-title":"Chem","DOI":"10.1016/j.chempr.2019.08.006","ISSN":"2451-9294","issue":"12","journalAbbreviation":"Chem","page":"3058-3095","source":"ScienceDirect","title":"Chirality and Chiroptics of Lanthanide Molecular and Supramolecular Assemblies","volume":"5","author":[{"family":"Wong","given":"Ho-Yin"},{"family":"Lo","given":"Wai-Sum"},{"family":"Yim","given":"King-Him"},{"family":"Law","given":"Ga-Lai"}],"issued":{"date-parts":[["2019",12,12]]}}},{"id":7396,"uris":["http://zotero.org/users/2011173/items/I4P8Q2GR"],"itemData":{"id":7396,"type":"article-journal","abstract":"Lanthanide (III) luminescence is very characteristic: it is characterized by narrow emission bands, large Stokes shift, and a long excited state lifetime. Moreover, chiral lanthanide complexes can emit strongly circularly polarized light in a way that is almost precluded to purely organic molecules. Thanks to the sensitivity and specificity of the Ln circularly polarized luminescence (CPL) signal, CPL-active complexes are therefore employed as bioanalytical tools and other uses can be envisaged in many other fields. Here we present a brief overview of the most recently developed CPL-active lanthanide complexes and a selected few examples of their applications. We briefly discuss the main mechanisms that can rationalize the observed outstanding CPL properties of these systems, and some practical suggestions on how to measure and report data. Chirality 27:1–13, 2015. © 2014 Wiley Periodicals, Inc.","container-title":"Chirality","DOI":"10.1002/chir.22382","ISSN":"1520-636X","issue":"1","language":"en","license":"© 2014 Wiley Periodicals, Inc.","note":"_eprint: https://onlinelibrary.wiley.com/doi/pdf/10.1002/chir.22382","page":"1-13","source":"Wiley Online Library","title":"Lanthanide Circularly Polarized Luminescence: Bases and Applications","title-short":"Lanthanide Circularly Polarized Luminescence","volume":"27","author":[{"family":"Zinna","given":"Francesco"},{"family":"Di Bari","given":"Lorenzo"}],"issued":{"date-parts":[["2015"]]}}},{"id":7496,"uris":["http://zotero.org/users/2011173/items/JB7X5YQP"],"itemData":{"id":7496,"type":"article-journal","abstract":"Chiral molecules are essential for the development of advanced technological applications in spintronic and photonic. The best systems should produce large Circularly Polarized Luminescence (CPL) as estimated by their dissymmetry factor (glum), which can reach the maximum values of -2 ≤ glum ≤ 2 when either pure right- or left-handed polarized light is emitted after standard excitation. For matching this requirement, theoretical considerations indicate that optical transitions with large magnetic and weak electric transition dipole moments represent the holy grail of CPL. Because of their detrimental strong and allowed electric dipole transitions, popular chiral emissive organic molecules display generally moderate dissymmetry factors (10-5 ≤ glum ≤ 10-3). However, recent efforts in this field show that glum can be significantly enhanced when the chiral organic activators are part of chiral supramolecular assemblies or of liquid crystalline materials. At the other extreme, chiral EuIII and SmIII based complexes, which possess intra-shell parity forbidden electric, but allowed magnetic dipole transitions have yielded the largest dissymmetry factor reported so far with glum ~ 1.38. Consequently, 4f-based metal complexes with strong CPL are currently the best candidates for potential technological applications. They however suffer from the need for highly pure samples and from considerable production costs. In this context, chiral earth-abundant and cheap d-block metal complexes benefit from a renewed interest according that their CPL signal can be optimized despite the larger covalency displayed by d-block cations compared with 4f-block analogues. This essay thus aims at providing a minimum overview of the theoretical aspects rationalizing circularly polarized luminescence and their exploitation for the design of chiral emissive metal complexes with strong CPL. Beyond the corroboration that f-f transitions are ideal candidates for generating large dissymmetry factors, a special attention is focused on the recent attempts to use chiral CrIII based complexes that reach values of glum up to 0.2. This could pave the way for replacing high cost rare-earth with cheap transition metals for CPL applications.","container-title":"Frontiers in Chemistry","DOI":"10.3389/fchem.2020.00555","ISSN":"2296-2646","journalAbbreviation":"Front. Chem.","language":"English","note":"publisher: Frontiers","source":"Frontiers","title":"Beyond Chiral Organic (p-Block) Chromophores for Circularly Polarized Luminescence: The Success of d-Block and f-Block Chiral Complexes","title-short":"Beyond Chiral Organic (p-Block) Chromophores for Circularly Polarized Luminescence","URL":"https://www.frontiersin.org/articles/10.3389/fchem.2020.00555","volume":"8","author":[{"family":"Doistau","given":"Benjamin"},{"family":"Jiménez","given":"Juan-Ramón"},{"family":"Piguet","given":"Claude"}],"accessed":{"date-parts":[["2024",5,13]]},"issued":{"date-parts":[["2020",7,28]]}}}],"schema":"https://github.com/citation-style-language/schema/raw/master/csl-citation.json"} </w:instrText>
      </w:r>
      <w:r w:rsidR="00C467EE" w:rsidRPr="00F9084A">
        <w:rPr>
          <w:sz w:val="18"/>
          <w:szCs w:val="18"/>
        </w:rPr>
        <w:fldChar w:fldCharType="separate"/>
      </w:r>
      <w:r w:rsidR="00DF5192" w:rsidRPr="00F9084A">
        <w:rPr>
          <w:rFonts w:ascii="Aptos" w:hAnsi="Aptos" w:cs="Times New Roman"/>
          <w:sz w:val="18"/>
          <w:vertAlign w:val="superscript"/>
        </w:rPr>
        <w:t>35–39</w:t>
      </w:r>
      <w:r w:rsidR="00C467EE" w:rsidRPr="00F9084A">
        <w:rPr>
          <w:sz w:val="18"/>
          <w:szCs w:val="18"/>
        </w:rPr>
        <w:fldChar w:fldCharType="end"/>
      </w:r>
      <w:r w:rsidRPr="00F9084A">
        <w:rPr>
          <w:sz w:val="18"/>
          <w:szCs w:val="18"/>
        </w:rPr>
        <w:t xml:space="preserve"> but Cr offers the advantage of being cheaper</w:t>
      </w:r>
      <w:r w:rsidR="00716164" w:rsidRPr="00F9084A">
        <w:rPr>
          <w:sz w:val="18"/>
          <w:szCs w:val="18"/>
        </w:rPr>
        <w:t>, kinetically inert and</w:t>
      </w:r>
      <w:r w:rsidRPr="00F9084A">
        <w:rPr>
          <w:sz w:val="18"/>
          <w:szCs w:val="18"/>
        </w:rPr>
        <w:t xml:space="preserve"> more abundant than lanthanides.</w:t>
      </w:r>
      <w:r w:rsidR="00C467EE" w:rsidRPr="00F9084A">
        <w:rPr>
          <w:sz w:val="18"/>
          <w:szCs w:val="18"/>
        </w:rPr>
        <w:fldChar w:fldCharType="begin"/>
      </w:r>
      <w:r w:rsidR="00DF5192" w:rsidRPr="00F9084A">
        <w:rPr>
          <w:sz w:val="18"/>
          <w:szCs w:val="18"/>
        </w:rPr>
        <w:instrText xml:space="preserve"> ADDIN ZOTERO_ITEM CSL_CITATION {"citationID":"athEte7k","properties":{"formattedCitation":"\\super 40\\nosupersub{}","plainCitation":"40","noteIndex":0},"citationItems":[{"id":7408,"uris":["http://zotero.org/users/2011173/items/P8BBF6SL"],"itemData":{"id":7408,"type":"article-journal","abstract":"Recent exciting developments in the area of mononuclear photoactive complexes with Earth-abundant metal ions (Cu, Zr, Fe, Cr) for potential eco-friendly applications in (phosphorescent) organic light emitting diodes, in imaging and sensing systems, in dye-sensitized solar cells and as photocatalysts are presented. Challenges, in particular the extension of excited state lifetimes, and recent conceptual breakthroughs in substituting precious and rare-Earth metal ions (e.g. Ru, Ir, Pt, Au, Eu) in these applications by abundant ions are outlined with selected examples. Relevant fundamentals of photophysics and photochemistry are discussed first, followed by conceptual and instructive case studies.","container-title":"Chemical Society Reviews","DOI":"10.1039/C9CS00573K","ISSN":"1460-4744","issue":"4","journalAbbreviation":"Chem. Soc. Rev.","language":"en","note":"publisher: The Royal Society of Chemistry","page":"1057-1070","source":"pubs.rsc.org","title":"Photophysics and photochemistry with Earth-abundant metals – fundamentals and concepts","volume":"49","author":[{"family":"Förster","given":"Christoph"},{"family":"Heinze","given":"Katja"}],"issued":{"date-parts":[["2020",2,24]]}}}],"schema":"https://github.com/citation-style-language/schema/raw/master/csl-citation.json"} </w:instrText>
      </w:r>
      <w:r w:rsidR="00C467EE" w:rsidRPr="00F9084A">
        <w:rPr>
          <w:sz w:val="18"/>
          <w:szCs w:val="18"/>
        </w:rPr>
        <w:fldChar w:fldCharType="separate"/>
      </w:r>
      <w:r w:rsidR="00DF5192" w:rsidRPr="00F9084A">
        <w:rPr>
          <w:rFonts w:ascii="Aptos" w:hAnsi="Aptos" w:cs="Times New Roman"/>
          <w:sz w:val="18"/>
          <w:vertAlign w:val="superscript"/>
        </w:rPr>
        <w:t>40</w:t>
      </w:r>
      <w:r w:rsidR="00C467EE" w:rsidRPr="00F9084A">
        <w:rPr>
          <w:sz w:val="18"/>
          <w:szCs w:val="18"/>
        </w:rPr>
        <w:fldChar w:fldCharType="end"/>
      </w:r>
    </w:p>
    <w:p w14:paraId="37941202" w14:textId="10D1CBE6" w:rsidR="00510720" w:rsidRPr="00F9084A" w:rsidRDefault="00DE60B0" w:rsidP="00510720">
      <w:pPr>
        <w:spacing w:after="0"/>
        <w:jc w:val="center"/>
        <w:rPr>
          <w:b/>
          <w:bCs/>
          <w:sz w:val="18"/>
          <w:szCs w:val="18"/>
        </w:rPr>
      </w:pPr>
      <w:r w:rsidRPr="00F9084A">
        <w:rPr>
          <w:b/>
          <w:bCs/>
          <w:sz w:val="18"/>
          <w:szCs w:val="18"/>
        </w:rPr>
        <w:lastRenderedPageBreak/>
        <w:t xml:space="preserve"> </w:t>
      </w:r>
      <w:r w:rsidR="00E425D8" w:rsidRPr="00F9084A">
        <w:rPr>
          <w:noProof/>
        </w:rPr>
        <w:drawing>
          <wp:inline distT="0" distB="0" distL="0" distR="0" wp14:anchorId="20BBABC2" wp14:editId="7B5541FF">
            <wp:extent cx="5783580" cy="2600960"/>
            <wp:effectExtent l="0" t="0" r="0" b="0"/>
            <wp:docPr id="1881445081"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83580" cy="2600960"/>
                    </a:xfrm>
                    <a:prstGeom prst="rect">
                      <a:avLst/>
                    </a:prstGeom>
                    <a:noFill/>
                    <a:ln>
                      <a:noFill/>
                    </a:ln>
                  </pic:spPr>
                </pic:pic>
              </a:graphicData>
            </a:graphic>
          </wp:inline>
        </w:drawing>
      </w:r>
    </w:p>
    <w:p w14:paraId="16AEE00E" w14:textId="4B5727BC" w:rsidR="00E12F91" w:rsidRPr="00F9084A" w:rsidRDefault="00BC5484" w:rsidP="00E425D8">
      <w:pPr>
        <w:jc w:val="both"/>
        <w:rPr>
          <w:sz w:val="18"/>
          <w:szCs w:val="18"/>
        </w:rPr>
        <w:sectPr w:rsidR="00E12F91" w:rsidRPr="00F9084A" w:rsidSect="00E12F91">
          <w:type w:val="continuous"/>
          <w:pgSz w:w="11907" w:h="16840" w:code="9"/>
          <w:pgMar w:top="1009" w:right="851" w:bottom="1758" w:left="851" w:header="851" w:footer="1049" w:gutter="0"/>
          <w:cols w:space="227"/>
          <w:titlePg/>
          <w:docGrid w:linePitch="360"/>
        </w:sectPr>
      </w:pPr>
      <w:r w:rsidRPr="00F9084A">
        <w:rPr>
          <w:b/>
          <w:bCs/>
          <w:sz w:val="18"/>
          <w:szCs w:val="18"/>
        </w:rPr>
        <w:t xml:space="preserve">Figure 1. </w:t>
      </w:r>
      <w:r w:rsidR="00A4484E" w:rsidRPr="00F9084A">
        <w:rPr>
          <w:b/>
          <w:bCs/>
          <w:sz w:val="18"/>
          <w:szCs w:val="18"/>
        </w:rPr>
        <w:t>a.</w:t>
      </w:r>
      <w:r w:rsidR="00A4484E" w:rsidRPr="00F9084A">
        <w:rPr>
          <w:sz w:val="18"/>
          <w:szCs w:val="18"/>
        </w:rPr>
        <w:t xml:space="preserve"> Structure of the complex. </w:t>
      </w:r>
      <w:r w:rsidR="00A4484E" w:rsidRPr="00F9084A">
        <w:rPr>
          <w:b/>
          <w:bCs/>
          <w:sz w:val="18"/>
          <w:szCs w:val="18"/>
        </w:rPr>
        <w:t>b</w:t>
      </w:r>
      <w:r w:rsidRPr="00F9084A">
        <w:rPr>
          <w:b/>
          <w:bCs/>
          <w:sz w:val="18"/>
          <w:szCs w:val="18"/>
        </w:rPr>
        <w:t>.</w:t>
      </w:r>
      <w:r w:rsidRPr="00F9084A">
        <w:rPr>
          <w:sz w:val="18"/>
          <w:szCs w:val="18"/>
        </w:rPr>
        <w:t xml:space="preserve"> </w:t>
      </w:r>
      <w:proofErr w:type="gramStart"/>
      <w:r w:rsidRPr="00F9084A">
        <w:rPr>
          <w:sz w:val="18"/>
          <w:szCs w:val="18"/>
        </w:rPr>
        <w:t>Electronic</w:t>
      </w:r>
      <w:proofErr w:type="gramEnd"/>
      <w:r w:rsidRPr="00F9084A">
        <w:rPr>
          <w:sz w:val="18"/>
          <w:szCs w:val="18"/>
        </w:rPr>
        <w:t xml:space="preserve"> states of [Cr(</w:t>
      </w:r>
      <w:proofErr w:type="spellStart"/>
      <w:r w:rsidRPr="00F9084A">
        <w:rPr>
          <w:sz w:val="18"/>
          <w:szCs w:val="18"/>
        </w:rPr>
        <w:t>dqp</w:t>
      </w:r>
      <w:proofErr w:type="spellEnd"/>
      <w:r w:rsidRPr="00F9084A">
        <w:rPr>
          <w:sz w:val="18"/>
          <w:szCs w:val="18"/>
        </w:rPr>
        <w:t>)</w:t>
      </w:r>
      <w:r w:rsidRPr="00F9084A">
        <w:rPr>
          <w:sz w:val="18"/>
          <w:szCs w:val="18"/>
          <w:vertAlign w:val="subscript"/>
        </w:rPr>
        <w:t>2</w:t>
      </w:r>
      <w:r w:rsidRPr="00F9084A">
        <w:rPr>
          <w:sz w:val="18"/>
          <w:szCs w:val="18"/>
        </w:rPr>
        <w:t>]</w:t>
      </w:r>
      <w:r w:rsidRPr="00F9084A">
        <w:rPr>
          <w:sz w:val="18"/>
          <w:szCs w:val="18"/>
          <w:vertAlign w:val="superscript"/>
        </w:rPr>
        <w:t>3+</w:t>
      </w:r>
      <w:r w:rsidRPr="00F9084A">
        <w:rPr>
          <w:sz w:val="18"/>
          <w:szCs w:val="18"/>
        </w:rPr>
        <w:t xml:space="preserve"> in an ideal octahedral (</w:t>
      </w:r>
      <w:r w:rsidRPr="00F9084A">
        <w:rPr>
          <w:i/>
          <w:sz w:val="18"/>
          <w:szCs w:val="18"/>
        </w:rPr>
        <w:t>O</w:t>
      </w:r>
      <w:r w:rsidRPr="00F9084A">
        <w:rPr>
          <w:sz w:val="18"/>
          <w:szCs w:val="18"/>
          <w:vertAlign w:val="subscript"/>
        </w:rPr>
        <w:t>h</w:t>
      </w:r>
      <w:r w:rsidRPr="00F9084A">
        <w:rPr>
          <w:sz w:val="18"/>
          <w:szCs w:val="18"/>
        </w:rPr>
        <w:t xml:space="preserve">) and </w:t>
      </w:r>
      <w:r w:rsidRPr="00F9084A">
        <w:rPr>
          <w:i/>
          <w:sz w:val="18"/>
          <w:szCs w:val="18"/>
        </w:rPr>
        <w:t>D</w:t>
      </w:r>
      <w:r w:rsidRPr="00F9084A">
        <w:rPr>
          <w:sz w:val="18"/>
          <w:szCs w:val="18"/>
          <w:vertAlign w:val="subscript"/>
        </w:rPr>
        <w:t>2</w:t>
      </w:r>
      <w:r w:rsidRPr="00F9084A">
        <w:rPr>
          <w:sz w:val="18"/>
          <w:szCs w:val="18"/>
        </w:rPr>
        <w:t xml:space="preserve"> geometry; </w:t>
      </w:r>
      <w:r w:rsidR="00510720" w:rsidRPr="00F9084A">
        <w:rPr>
          <w:sz w:val="18"/>
          <w:szCs w:val="18"/>
        </w:rPr>
        <w:t xml:space="preserve">Note the </w:t>
      </w:r>
      <w:r w:rsidR="00510720" w:rsidRPr="00F9084A">
        <w:rPr>
          <w:sz w:val="18"/>
          <w:szCs w:val="18"/>
          <w:vertAlign w:val="superscript"/>
        </w:rPr>
        <w:t>2</w:t>
      </w:r>
      <w:r w:rsidR="00510720" w:rsidRPr="00F9084A">
        <w:rPr>
          <w:sz w:val="18"/>
          <w:szCs w:val="18"/>
        </w:rPr>
        <w:t>T</w:t>
      </w:r>
      <w:r w:rsidR="00510720" w:rsidRPr="00F9084A">
        <w:rPr>
          <w:sz w:val="18"/>
          <w:szCs w:val="18"/>
          <w:vertAlign w:val="subscript"/>
        </w:rPr>
        <w:t>1</w:t>
      </w:r>
      <w:r w:rsidR="00510720" w:rsidRPr="00F9084A">
        <w:rPr>
          <w:sz w:val="18"/>
          <w:szCs w:val="18"/>
        </w:rPr>
        <w:t>/</w:t>
      </w:r>
      <w:r w:rsidR="00510720" w:rsidRPr="00F9084A">
        <w:rPr>
          <w:sz w:val="18"/>
          <w:szCs w:val="18"/>
          <w:vertAlign w:val="superscript"/>
        </w:rPr>
        <w:t>2</w:t>
      </w:r>
      <w:r w:rsidR="00510720" w:rsidRPr="00F9084A">
        <w:rPr>
          <w:sz w:val="18"/>
          <w:szCs w:val="18"/>
        </w:rPr>
        <w:t>E level inversion f</w:t>
      </w:r>
      <w:r w:rsidR="00504EE2" w:rsidRPr="00F9084A">
        <w:rPr>
          <w:sz w:val="18"/>
          <w:szCs w:val="18"/>
        </w:rPr>
        <w:t>ro</w:t>
      </w:r>
      <w:r w:rsidR="00510720" w:rsidRPr="00F9084A">
        <w:rPr>
          <w:sz w:val="18"/>
          <w:szCs w:val="18"/>
        </w:rPr>
        <w:t xml:space="preserve">m </w:t>
      </w:r>
      <w:r w:rsidR="00510720" w:rsidRPr="00F9084A">
        <w:rPr>
          <w:i/>
          <w:sz w:val="18"/>
          <w:szCs w:val="18"/>
        </w:rPr>
        <w:t>O</w:t>
      </w:r>
      <w:r w:rsidR="00510720" w:rsidRPr="00F9084A">
        <w:rPr>
          <w:sz w:val="18"/>
          <w:szCs w:val="18"/>
          <w:vertAlign w:val="subscript"/>
        </w:rPr>
        <w:t>h</w:t>
      </w:r>
      <w:r w:rsidR="00510720" w:rsidRPr="00F9084A">
        <w:rPr>
          <w:sz w:val="18"/>
          <w:szCs w:val="18"/>
        </w:rPr>
        <w:t xml:space="preserve"> to </w:t>
      </w:r>
      <w:r w:rsidR="00510720" w:rsidRPr="00F9084A">
        <w:rPr>
          <w:i/>
          <w:sz w:val="18"/>
          <w:szCs w:val="18"/>
        </w:rPr>
        <w:t>D</w:t>
      </w:r>
      <w:r w:rsidR="00510720" w:rsidRPr="00F9084A">
        <w:rPr>
          <w:sz w:val="18"/>
          <w:szCs w:val="18"/>
          <w:vertAlign w:val="subscript"/>
        </w:rPr>
        <w:t>2</w:t>
      </w:r>
      <w:r w:rsidR="00510720" w:rsidRPr="00F9084A">
        <w:rPr>
          <w:sz w:val="18"/>
          <w:szCs w:val="18"/>
        </w:rPr>
        <w:t xml:space="preserve"> geometry.</w:t>
      </w:r>
    </w:p>
    <w:p w14:paraId="580B6689" w14:textId="0B94BF99" w:rsidR="00C467EE" w:rsidRPr="00F9084A" w:rsidRDefault="00C467EE" w:rsidP="007266AB">
      <w:pPr>
        <w:spacing w:after="0"/>
        <w:jc w:val="both"/>
        <w:rPr>
          <w:sz w:val="18"/>
          <w:szCs w:val="18"/>
        </w:rPr>
      </w:pPr>
      <w:r w:rsidRPr="00F9084A">
        <w:rPr>
          <w:sz w:val="18"/>
          <w:szCs w:val="18"/>
        </w:rPr>
        <w:t>A different technique to study the circular polarization of the emitted light is magnetic CPL (MCPL)</w:t>
      </w:r>
      <w:r w:rsidR="003B651B" w:rsidRPr="00F9084A">
        <w:rPr>
          <w:sz w:val="18"/>
          <w:szCs w:val="18"/>
        </w:rPr>
        <w:t>, where the</w:t>
      </w:r>
      <w:r w:rsidR="003B7743" w:rsidRPr="00F9084A">
        <w:rPr>
          <w:sz w:val="18"/>
          <w:szCs w:val="18"/>
        </w:rPr>
        <w:t xml:space="preserve"> physical</w:t>
      </w:r>
      <w:r w:rsidR="003B651B" w:rsidRPr="00F9084A">
        <w:rPr>
          <w:sz w:val="18"/>
          <w:szCs w:val="18"/>
        </w:rPr>
        <w:t xml:space="preserve"> origin of the CP emission is </w:t>
      </w:r>
      <w:r w:rsidR="007C64B6" w:rsidRPr="00F9084A">
        <w:rPr>
          <w:sz w:val="18"/>
          <w:szCs w:val="18"/>
        </w:rPr>
        <w:t xml:space="preserve">not the chirality of the </w:t>
      </w:r>
      <w:r w:rsidR="00C155DB" w:rsidRPr="00F9084A">
        <w:rPr>
          <w:sz w:val="18"/>
          <w:szCs w:val="18"/>
        </w:rPr>
        <w:t>material,</w:t>
      </w:r>
      <w:r w:rsidR="007C64B6" w:rsidRPr="00F9084A">
        <w:rPr>
          <w:sz w:val="18"/>
          <w:szCs w:val="18"/>
        </w:rPr>
        <w:t xml:space="preserve"> but the effect is triggered by </w:t>
      </w:r>
      <w:r w:rsidR="003B651B" w:rsidRPr="00F9084A">
        <w:rPr>
          <w:sz w:val="18"/>
          <w:szCs w:val="18"/>
        </w:rPr>
        <w:t>the application of an external magnetic field</w:t>
      </w:r>
      <w:r w:rsidRPr="00F9084A">
        <w:rPr>
          <w:sz w:val="18"/>
          <w:szCs w:val="18"/>
        </w:rPr>
        <w:t>. This technique belongs to the family of magneto-optical spectroscopies, along with the more common Faraday rotation and magnetic circular dichroism (MCD).</w:t>
      </w:r>
      <w:r w:rsidRPr="00F9084A">
        <w:rPr>
          <w:sz w:val="18"/>
          <w:szCs w:val="18"/>
        </w:rPr>
        <w:fldChar w:fldCharType="begin"/>
      </w:r>
      <w:r w:rsidR="000C7757" w:rsidRPr="00F9084A">
        <w:rPr>
          <w:sz w:val="18"/>
          <w:szCs w:val="18"/>
        </w:rPr>
        <w:instrText xml:space="preserve"> ADDIN ZOTERO_ITEM CSL_CITATION {"citationID":"90LBgVWR","properties":{"formattedCitation":"\\super 41\\uc0\\u8211{}43\\nosupersub{}","plainCitation":"41–43","noteIndex":0},"citationItems":[{"id":2674,"uris":["http://zotero.org/users/2011173/items/E988ZPAH"],"itemData":{"id":2674,"type":"article-journal","container-title":"The Journal of Chemical Physics","issue":"2","journalAbbreviation":"J. Chem. Phys.","page":"722–734","source":"Google Scholar","title":"Faraday Effect of Charge-Transfer Transitions in Fe (CN)63-, MnO4-, and CrO42-","volume":"45","author":[{"family":"Schatz","given":"P. N."},{"family":"McCaffery","given":"A. J."},{"family":"Suetaka","given":"W."},{"family":"Henning","given":"G. N."},{"family":"Ritchie","given":"A. B."},{"family":"Stephens","given":"P. J."}],"issued":{"date-parts":[["1966"]]}}},{"id":259,"uris":["http://zotero.org/users/2011173/items/TR369EIZ"],"itemData":{"id":259,"type":"article-journal","container-title":"The Journal of Chemical Physics","DOI":"10.1063/1.1726677","ISSN":"0021-9606, 1089-7690","issue":"12","journalAbbreviation":"J. Chem. Phys.","language":"en","page":"4592-4602","source":"DOI.org (Crossref)","title":"Magneto‐Optical Rotatory Dispersion of Porphyrins and Phthalocyanines","volume":"44","author":[{"family":"Stephens","given":"P. J."},{"family":"Suëtaak","given":"W."},{"family":"Schatz","given":"P. N."}],"issued":{"date-parts":[["1966",6,15]]}}},{"id":1760,"uris":["http://zotero.org/users/2011173/items/SPIMSFEW"],"itemData":{"id":1760,"type":"book","event-place":"Hoboken, N.J.","ISBN":"978-0-470-06978-3","language":"English","note":"OCLC: 85899073","publisher":"Wiley-Interscience","publisher-place":"Hoboken, N.J.","source":"Open WorldCat","title":"A practical guide to magnetic circular dichroism spectroscopy","author":[{"family":"Mason","given":"W. Roy"}],"issued":{"date-parts":[["2007"]]}}}],"schema":"https://github.com/citation-style-language/schema/raw/master/csl-citation.json"}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41–43</w:t>
      </w:r>
      <w:r w:rsidRPr="00F9084A">
        <w:rPr>
          <w:sz w:val="18"/>
          <w:szCs w:val="18"/>
        </w:rPr>
        <w:fldChar w:fldCharType="end"/>
      </w:r>
      <w:r w:rsidRPr="00F9084A">
        <w:rPr>
          <w:sz w:val="18"/>
          <w:szCs w:val="18"/>
        </w:rPr>
        <w:t xml:space="preserve"> In a MCPL experiment, the circular polarization of the luminescence is studied, when the sample is placed under a magnetic field collinear with the emission direction, and excited with unpolarized light.</w:t>
      </w:r>
      <w:r w:rsidRPr="00F9084A">
        <w:rPr>
          <w:sz w:val="18"/>
          <w:szCs w:val="18"/>
        </w:rPr>
        <w:fldChar w:fldCharType="begin"/>
      </w:r>
      <w:r w:rsidR="00515875" w:rsidRPr="00F9084A">
        <w:rPr>
          <w:sz w:val="18"/>
          <w:szCs w:val="18"/>
        </w:rPr>
        <w:instrText xml:space="preserve"> ADDIN ZOTERO_ITEM CSL_CITATION {"citationID":"zQE8ArUH","properties":{"formattedCitation":"\\super 44,45\\nosupersub{}","plainCitation":"44,45","noteIndex":0},"citationItems":[{"id":7421,"uris":["http://zotero.org/users/2011173/items/EZWQVTTN"],"itemData":{"id":7421,"type":"article-journal","abstract":"Achiral purely organic molecules can show selectivity towards circularly polarized light in emission in the presence of a magnetic field. This phenomenon is called magnetic circularly polarized luminescence (MCPL). Recently a few examples of MCPL from organic molecules have appeared in the literature. Through this technique, interesting photophysical information can be inferred and, moreover, a few technological applications can be devised based on this principle. This short review has the purpose to give a general introduction to this recent field of research and some critical insights on the reported examples.","container-title":"European Journal of Organic Chemistry","DOI":"10.1002/ejoc.202300509","ISSN":"1099-0690","issue":"37","journalAbbreviation":"Eur. J. Org. Chem.","language":"en","license":"© 2023 The Authors. European Journal of Organic Chemistry published by Wiley-VCH GmbH","note":"_eprint: https://onlinelibrary.wiley.com/doi/pdf/10.1002/ejoc.202300509","page":"e202300509","source":"Wiley Online Library","title":"Magnetic Circularly Polarized Luminescence of Organic Compounds","volume":"26","author":[{"family":"Zinna","given":"Francesco"},{"family":"Pescitelli","given":"Gennaro"}],"issued":{"date-parts":[["2023"]]}}},{"id":7512,"uris":["http://zotero.org/users/2011173/items/W89MNQV8"],"itemData":{"id":7512,"type":"article-journal","abstract":"A historical sketch of the MCD (magnetic circular dichroism) spectroscopy is reported in its experimental and theoretical aspects. MCPL (magnetic circularly polarized luminescence) is also considered. The main studies are presented encompassing porphyrinoid systems, aggregates and materials, as well as simple organic molecules useful for the advancement of the interpretation. The MCD of chiral systems is discussed with special attention to new studies of natural products with potential pharmaceutical valence, including Amaryllidaceae alkaloids and related isocarbostyrils. Finally, the vibrational form of MCD, called MVCD, which is recorded in the IR part of the spectrum is also discussed. A final brief note on perspectives is given.","container-title":"Spectrochimica Acta Part A: Molecular and Biomolecular Spectroscopy","DOI":"10.1016/j.saa.2024.124583","ISSN":"1386-1425","journalAbbreviation":"Spectrochim. Acta A","page":"124583","source":"ScienceDirect","title":"Experimental and theoretical aspects of magnetic circular dichroism and magnetic circularly polarized luminescence in the UV, visible and IR ranges: A review","title-short":"Experimental and theoretical aspects of magnetic circular dichroism and magnetic circularly polarized luminescence in the UV, visible and IR ranges","volume":"319","author":[{"family":"Fusè","given":"Marco"},{"family":"Mazzeo","given":"Giuseppe"},{"family":"Ghidinelli","given":"Simone"},{"family":"Evidente","given":"Antonio"},{"family":"Abbate","given":"Sergio"},{"family":"Longhi","given":"Giovanna"}],"issued":{"date-parts":[["2024",10,15]]}}}],"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44,45</w:t>
      </w:r>
      <w:r w:rsidRPr="00F9084A">
        <w:rPr>
          <w:sz w:val="18"/>
          <w:szCs w:val="18"/>
        </w:rPr>
        <w:fldChar w:fldCharType="end"/>
      </w:r>
      <w:r w:rsidRPr="00F9084A">
        <w:rPr>
          <w:sz w:val="18"/>
          <w:szCs w:val="18"/>
        </w:rPr>
        <w:t xml:space="preserve">  </w:t>
      </w:r>
      <w:r w:rsidR="001F2F65">
        <w:rPr>
          <w:sz w:val="18"/>
          <w:szCs w:val="18"/>
        </w:rPr>
        <w:t>Unlike</w:t>
      </w:r>
      <w:r w:rsidRPr="00F9084A">
        <w:rPr>
          <w:sz w:val="18"/>
          <w:szCs w:val="18"/>
        </w:rPr>
        <w:t xml:space="preserve"> CPL</w:t>
      </w:r>
      <w:r w:rsidRPr="00F9084A">
        <w:rPr>
          <w:sz w:val="18"/>
          <w:szCs w:val="18"/>
        </w:rPr>
        <w:t xml:space="preserve">, MCPL may be displayed by both chiral and achiral luminescent systems and it does not depend on the enantiomer chirality. Indeed, CPL and MCPL follow very different selection rules. CPL is gauged by the scalar product </w:t>
      </w:r>
      <w:proofErr w:type="spellStart"/>
      <w:r w:rsidRPr="00F9084A">
        <w:rPr>
          <w:b/>
          <w:bCs/>
          <w:sz w:val="18"/>
          <w:szCs w:val="18"/>
        </w:rPr>
        <w:t>m</w:t>
      </w:r>
      <w:r w:rsidRPr="00F9084A">
        <w:rPr>
          <w:i/>
          <w:iCs/>
          <w:sz w:val="18"/>
          <w:szCs w:val="18"/>
          <w:vertAlign w:val="subscript"/>
        </w:rPr>
        <w:t>ng</w:t>
      </w:r>
      <w:r w:rsidRPr="00F9084A">
        <w:rPr>
          <w:sz w:val="18"/>
          <w:szCs w:val="18"/>
        </w:rPr>
        <w:t>∙</w:t>
      </w:r>
      <w:r w:rsidRPr="00F9084A">
        <w:rPr>
          <w:b/>
          <w:bCs/>
          <w:sz w:val="18"/>
          <w:szCs w:val="18"/>
        </w:rPr>
        <w:t>μ</w:t>
      </w:r>
      <w:r w:rsidRPr="00F9084A">
        <w:rPr>
          <w:i/>
          <w:iCs/>
          <w:sz w:val="18"/>
          <w:szCs w:val="18"/>
          <w:vertAlign w:val="subscript"/>
        </w:rPr>
        <w:t>gn</w:t>
      </w:r>
      <w:proofErr w:type="spellEnd"/>
      <w:r w:rsidRPr="00F9084A">
        <w:rPr>
          <w:sz w:val="18"/>
          <w:szCs w:val="18"/>
        </w:rPr>
        <w:t xml:space="preserve">, where </w:t>
      </w:r>
      <w:r w:rsidRPr="00F9084A">
        <w:rPr>
          <w:b/>
          <w:bCs/>
          <w:sz w:val="18"/>
          <w:szCs w:val="18"/>
        </w:rPr>
        <w:t>m</w:t>
      </w:r>
      <w:r w:rsidRPr="00F9084A">
        <w:rPr>
          <w:sz w:val="18"/>
          <w:szCs w:val="18"/>
        </w:rPr>
        <w:t xml:space="preserve"> and </w:t>
      </w:r>
      <w:r w:rsidRPr="00F9084A">
        <w:rPr>
          <w:b/>
          <w:bCs/>
          <w:sz w:val="18"/>
          <w:szCs w:val="18"/>
        </w:rPr>
        <w:t>μ</w:t>
      </w:r>
      <w:r w:rsidRPr="00F9084A">
        <w:rPr>
          <w:sz w:val="18"/>
          <w:szCs w:val="18"/>
        </w:rPr>
        <w:t xml:space="preserve"> are the magnetic and electric transition moment</w:t>
      </w:r>
      <w:r w:rsidR="00F77CF8" w:rsidRPr="00F9084A">
        <w:rPr>
          <w:sz w:val="18"/>
          <w:szCs w:val="18"/>
        </w:rPr>
        <w:t>s</w:t>
      </w:r>
      <w:r w:rsidRPr="00F9084A">
        <w:rPr>
          <w:sz w:val="18"/>
          <w:szCs w:val="18"/>
        </w:rPr>
        <w:t xml:space="preserve"> between the ground state </w:t>
      </w:r>
      <w:r w:rsidRPr="00F9084A">
        <w:rPr>
          <w:i/>
          <w:iCs/>
          <w:sz w:val="18"/>
          <w:szCs w:val="18"/>
        </w:rPr>
        <w:t>g</w:t>
      </w:r>
      <w:r w:rsidRPr="00F9084A">
        <w:rPr>
          <w:sz w:val="18"/>
          <w:szCs w:val="18"/>
        </w:rPr>
        <w:t xml:space="preserve"> and excited state(s) </w:t>
      </w:r>
      <w:r w:rsidRPr="00F9084A">
        <w:rPr>
          <w:i/>
          <w:iCs/>
          <w:sz w:val="18"/>
          <w:szCs w:val="18"/>
        </w:rPr>
        <w:t>n</w:t>
      </w:r>
      <w:r w:rsidRPr="00F9084A">
        <w:rPr>
          <w:sz w:val="18"/>
          <w:szCs w:val="18"/>
        </w:rPr>
        <w:t>.</w:t>
      </w:r>
      <w:r w:rsidRPr="00F9084A">
        <w:rPr>
          <w:sz w:val="18"/>
          <w:szCs w:val="18"/>
        </w:rPr>
        <w:fldChar w:fldCharType="begin"/>
      </w:r>
      <w:r w:rsidR="00DF5192" w:rsidRPr="00F9084A">
        <w:rPr>
          <w:sz w:val="18"/>
          <w:szCs w:val="18"/>
        </w:rPr>
        <w:instrText xml:space="preserve"> ADDIN ZOTERO_ITEM CSL_CITATION {"citationID":"WuwmV3mE","properties":{"formattedCitation":"\\super 46\\nosupersub{}","plainCitation":"46","noteIndex":0},"citationItems":[{"id":7415,"uris":["http://zotero.org/users/2011173/items/YKE8CUHX"],"itemData":{"id":7415,"type":"article-journal","container-title":"Chemical Reviews","DOI":"10.1021/cr00071a001","ISSN":"0009-2665","issue":"1","journalAbbreviation":"Chem. Rev.","note":"publisher: American Chemical Society","page":"1-16","source":"ACS Publications","title":"Circularly polarized luminescence spectroscopy","volume":"86","author":[{"family":"Riehl","given":"James P."},{"family":"Richardson","given":"Frederick S."}],"issued":{"date-parts":[["1986",2,1]]}}}],"schema":"https://github.com/citation-style-language/schema/raw/master/csl-citation.json"}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46</w:t>
      </w:r>
      <w:r w:rsidRPr="00F9084A">
        <w:rPr>
          <w:sz w:val="18"/>
          <w:szCs w:val="18"/>
        </w:rPr>
        <w:fldChar w:fldCharType="end"/>
      </w:r>
      <w:r w:rsidRPr="00F9084A">
        <w:rPr>
          <w:sz w:val="18"/>
          <w:szCs w:val="18"/>
        </w:rPr>
        <w:t xml:space="preserve"> On the other hand, several mechanisms can lead to MCPL. Relatively strong signals are predicted in the case of orbital or spin degenerate ground or excited states, where the degeneracy is removed by the magnetic field due to the Zeeman effect. In these cases, the MCPL signal depends on </w:t>
      </w:r>
      <w:proofErr w:type="spellStart"/>
      <w:r w:rsidRPr="00F9084A">
        <w:rPr>
          <w:b/>
          <w:bCs/>
          <w:sz w:val="18"/>
          <w:szCs w:val="18"/>
        </w:rPr>
        <w:t>m</w:t>
      </w:r>
      <w:r w:rsidRPr="00F9084A">
        <w:rPr>
          <w:i/>
          <w:iCs/>
          <w:sz w:val="18"/>
          <w:szCs w:val="18"/>
          <w:vertAlign w:val="subscript"/>
        </w:rPr>
        <w:t>gg</w:t>
      </w:r>
      <w:r w:rsidRPr="00F9084A">
        <w:rPr>
          <w:b/>
          <w:bCs/>
          <w:sz w:val="18"/>
          <w:szCs w:val="18"/>
        </w:rPr>
        <w:t>μ</w:t>
      </w:r>
      <w:r w:rsidRPr="00F9084A">
        <w:rPr>
          <w:i/>
          <w:iCs/>
          <w:sz w:val="18"/>
          <w:szCs w:val="18"/>
          <w:vertAlign w:val="subscript"/>
        </w:rPr>
        <w:t>ng</w:t>
      </w:r>
      <w:r w:rsidRPr="00F9084A">
        <w:rPr>
          <w:b/>
          <w:bCs/>
          <w:sz w:val="18"/>
          <w:szCs w:val="18"/>
        </w:rPr>
        <w:t>μ</w:t>
      </w:r>
      <w:r w:rsidRPr="00F9084A">
        <w:rPr>
          <w:i/>
          <w:iCs/>
          <w:sz w:val="18"/>
          <w:szCs w:val="18"/>
          <w:vertAlign w:val="subscript"/>
        </w:rPr>
        <w:t>gn</w:t>
      </w:r>
      <w:proofErr w:type="spellEnd"/>
      <w:r w:rsidRPr="00F9084A">
        <w:rPr>
          <w:sz w:val="18"/>
          <w:szCs w:val="18"/>
        </w:rPr>
        <w:t xml:space="preserve"> and </w:t>
      </w:r>
      <w:proofErr w:type="spellStart"/>
      <w:r w:rsidRPr="00F9084A">
        <w:rPr>
          <w:b/>
          <w:bCs/>
          <w:sz w:val="18"/>
          <w:szCs w:val="18"/>
        </w:rPr>
        <w:t>m</w:t>
      </w:r>
      <w:r w:rsidRPr="00F9084A">
        <w:rPr>
          <w:i/>
          <w:iCs/>
          <w:sz w:val="18"/>
          <w:szCs w:val="18"/>
          <w:vertAlign w:val="subscript"/>
        </w:rPr>
        <w:t>nn</w:t>
      </w:r>
      <w:r w:rsidRPr="00F9084A">
        <w:rPr>
          <w:b/>
          <w:bCs/>
          <w:sz w:val="18"/>
          <w:szCs w:val="18"/>
        </w:rPr>
        <w:t>μ</w:t>
      </w:r>
      <w:r w:rsidRPr="00F9084A">
        <w:rPr>
          <w:i/>
          <w:iCs/>
          <w:sz w:val="18"/>
          <w:szCs w:val="18"/>
          <w:vertAlign w:val="subscript"/>
        </w:rPr>
        <w:t>ng</w:t>
      </w:r>
      <w:r w:rsidRPr="00F9084A">
        <w:rPr>
          <w:b/>
          <w:bCs/>
          <w:sz w:val="18"/>
          <w:szCs w:val="18"/>
        </w:rPr>
        <w:t>μ</w:t>
      </w:r>
      <w:r w:rsidRPr="00F9084A">
        <w:rPr>
          <w:i/>
          <w:iCs/>
          <w:sz w:val="18"/>
          <w:szCs w:val="18"/>
          <w:vertAlign w:val="subscript"/>
        </w:rPr>
        <w:t>gn</w:t>
      </w:r>
      <w:proofErr w:type="spellEnd"/>
      <w:r w:rsidRPr="00F9084A">
        <w:rPr>
          <w:sz w:val="18"/>
          <w:szCs w:val="18"/>
        </w:rPr>
        <w:t xml:space="preserve"> products (</w:t>
      </w:r>
      <w:proofErr w:type="spellStart"/>
      <w:r w:rsidRPr="00F9084A">
        <w:rPr>
          <w:b/>
          <w:bCs/>
          <w:sz w:val="18"/>
          <w:szCs w:val="18"/>
        </w:rPr>
        <w:t>m</w:t>
      </w:r>
      <w:r w:rsidRPr="00F9084A">
        <w:rPr>
          <w:i/>
          <w:iCs/>
          <w:sz w:val="18"/>
          <w:szCs w:val="18"/>
          <w:vertAlign w:val="subscript"/>
        </w:rPr>
        <w:t>gg</w:t>
      </w:r>
      <w:proofErr w:type="spellEnd"/>
      <w:r w:rsidRPr="00F9084A">
        <w:rPr>
          <w:sz w:val="18"/>
          <w:szCs w:val="18"/>
        </w:rPr>
        <w:t xml:space="preserve"> and </w:t>
      </w:r>
      <w:proofErr w:type="spellStart"/>
      <w:r w:rsidRPr="00F9084A">
        <w:rPr>
          <w:b/>
          <w:bCs/>
          <w:sz w:val="18"/>
          <w:szCs w:val="18"/>
        </w:rPr>
        <w:t>m</w:t>
      </w:r>
      <w:r w:rsidRPr="00F9084A">
        <w:rPr>
          <w:i/>
          <w:iCs/>
          <w:sz w:val="18"/>
          <w:szCs w:val="18"/>
          <w:vertAlign w:val="subscript"/>
        </w:rPr>
        <w:t>nn</w:t>
      </w:r>
      <w:proofErr w:type="spellEnd"/>
      <w:r w:rsidRPr="00F9084A">
        <w:rPr>
          <w:sz w:val="18"/>
          <w:szCs w:val="18"/>
          <w:vertAlign w:val="subscript"/>
        </w:rPr>
        <w:t xml:space="preserve"> </w:t>
      </w:r>
      <w:r w:rsidRPr="00F9084A">
        <w:rPr>
          <w:sz w:val="18"/>
          <w:szCs w:val="18"/>
        </w:rPr>
        <w:t>are the static magnetic dipole moments of the ground and excited state), for a degenerate ground or excited state respectively.</w:t>
      </w:r>
      <w:r w:rsidRPr="00F9084A">
        <w:rPr>
          <w:sz w:val="18"/>
          <w:szCs w:val="18"/>
        </w:rPr>
        <w:fldChar w:fldCharType="begin"/>
      </w:r>
      <w:r w:rsidR="00515875" w:rsidRPr="00F9084A">
        <w:rPr>
          <w:sz w:val="18"/>
          <w:szCs w:val="18"/>
        </w:rPr>
        <w:instrText xml:space="preserve"> ADDIN ZOTERO_ITEM CSL_CITATION {"citationID":"SLYNBIHL","properties":{"formattedCitation":"\\super 47,48\\nosupersub{}","plainCitation":"47,48","noteIndex":0},"citationItems":[{"id":7416,"uris":["http://zotero.org/users/2011173/items/W8N8PVKP"],"itemData":{"id":7416,"type":"article-journal","abstract":"A theory of magnetic circularly polarized emission (MCPE) based on the formalism and methods of quantum electrodynamics is developed for luminescent molecular systems. Differential transition probabilities for the (spontaneous) emission of left‐ and right‐circularly polarized light are calculated and these quantities are related to the observables of MCPE spectroscopy. The emission intensity variables are further related to the emission analogs of the Faraday A, B, and C parameters. The influence of photoselection and reorientational relaxation (due to rotary Brownian motion) upon the MCPE observables is also considered. Results are obtained for two excitation–emission geometries—180° (head‐on) and 90° (right angle). Explicit expressions are given for the A, B, and C Faraday parameters in both the orientationally relaxed limit (isotropic emitting sample) and the photoselected, frozen limit.","container-title":"The Journal of Chemical Physics","DOI":"10.1063/1.434156","ISSN":"0021-9606","issue":"5","journalAbbreviation":"J. Chem. Phys.","page":"1988-1998","source":"Silverchair","title":"Theory of magnetic circularly polarized emission","volume":"66","author":[{"family":"Riehl","given":"J. P."},{"family":"Richardson","given":"F. S."}],"issued":{"date-parts":[["1977",3,1]]}}},{"id":7412,"uris":["http://zotero.org/users/2011173/items/NBA68FC2"],"itemData":{"id":7412,"type":"book","abstract":"Using classical and quantum methods with a strong emphasis on symmetry principles, this book, a reissue of the 2004 second edition, develops the theory of a variety of optical activity and related phenomena from the perspective of molecular scattering of polarised light. In addition to the traditional topic of optical rotation and circular dichroism in the visible and near-ultraviolet associated with electronic transitions, the newer topic of optical activity associated with vibrational transitions, which may be studied using both infrared and Raman techniques, is also treated. Ranging from the physics of elementary particles to the structure of viruses, the subject matter of the book reflects the importance of optical activity and chirality in much of modern science and will be of interest to a wide range of physical and life scientists.","ISBN":"978-1-139-45341-7","language":"en","note":"Google-Books-ID: rTx7aG18854C","number-of-pages":"467","publisher":"Cambridge University Press","source":"Google Books","title":"Molecular Light Scattering and Optical Activity","author":[{"family":"Barron","given":"Laurence D."}],"issued":{"date-parts":[["2009",10,15]]}}}],"schema":"https://github.com/citation-style-language/schema/raw/master/csl-citation.json"}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47,48</w:t>
      </w:r>
      <w:r w:rsidRPr="00F9084A">
        <w:rPr>
          <w:sz w:val="18"/>
          <w:szCs w:val="18"/>
        </w:rPr>
        <w:fldChar w:fldCharType="end"/>
      </w:r>
      <w:r w:rsidRPr="00F9084A">
        <w:rPr>
          <w:sz w:val="18"/>
          <w:szCs w:val="18"/>
        </w:rPr>
        <w:t xml:space="preserve"> Those expressions are associated to the so-called Faraday </w:t>
      </w:r>
      <w:r w:rsidRPr="00F9084A">
        <w:rPr>
          <w:i/>
          <w:iCs/>
          <w:sz w:val="18"/>
          <w:szCs w:val="18"/>
        </w:rPr>
        <w:t>A-</w:t>
      </w:r>
      <w:r w:rsidRPr="00F9084A">
        <w:rPr>
          <w:sz w:val="18"/>
          <w:szCs w:val="18"/>
        </w:rPr>
        <w:t xml:space="preserve"> and </w:t>
      </w:r>
      <w:r w:rsidRPr="00F9084A">
        <w:rPr>
          <w:i/>
          <w:iCs/>
          <w:sz w:val="18"/>
          <w:szCs w:val="18"/>
        </w:rPr>
        <w:t>C</w:t>
      </w:r>
      <w:r w:rsidRPr="00F9084A">
        <w:rPr>
          <w:sz w:val="18"/>
          <w:szCs w:val="18"/>
        </w:rPr>
        <w:t>-terms.</w:t>
      </w:r>
      <w:r w:rsidRPr="00F9084A">
        <w:rPr>
          <w:sz w:val="18"/>
          <w:szCs w:val="18"/>
        </w:rPr>
        <w:fldChar w:fldCharType="begin"/>
      </w:r>
      <w:r w:rsidR="006C0F30" w:rsidRPr="00F9084A">
        <w:rPr>
          <w:sz w:val="18"/>
          <w:szCs w:val="18"/>
        </w:rPr>
        <w:instrText xml:space="preserve"> ADDIN ZOTERO_ITEM CSL_CITATION {"citationID":"IztH1bBS","properties":{"formattedCitation":"\\super 44,47,49,50\\nosupersub{}","plainCitation":"44,47,49,50","noteIndex":0},"citationItems":[{"id":7416,"uris":["http://zotero.org/users/2011173/items/W8N8PVKP"],"itemData":{"id":7416,"type":"article-journal","abstract":"A theory of magnetic circularly polarized emission (MCPE) based on the formalism and methods of quantum electrodynamics is developed for luminescent molecular systems. Differential transition probabilities for the (spontaneous) emission of left‐ and right‐circularly polarized light are calculated and these quantities are related to the observables of MCPE spectroscopy. The emission intensity variables are further related to the emission analogs of the Faraday A, B, and C parameters. The influence of photoselection and reorientational relaxation (due to rotary Brownian motion) upon the MCPE observables is also considered. Results are obtained for two excitation–emission geometries—180° (head‐on) and 90° (right angle). Explicit expressions are given for the A, B, and C Faraday parameters in both the orientationally relaxed limit (isotropic emitting sample) and the photoselected, frozen limit.","container-title":"The Journal of Chemical Physics","DOI":"10.1063/1.434156","ISSN":"0021-9606","issue":"5","journalAbbreviation":"J. Chem. Phys.","page":"1988-1998","source":"Silverchair","title":"Theory of magnetic circularly polarized emission","volume":"66","author":[{"family":"Riehl","given":"J. P."},{"family":"Richardson","given":"F. S."}],"issued":{"date-parts":[["1977",3,1]]}}},{"id":7418,"uris":["http://zotero.org/users/2011173/items/JRNBY8N5"],"itemData":{"id":7418,"type":"article-journal","abstract":"The magnetic circular dichroism of systems of localized absorbing centers is treated on the basis of the semiclassical theory of radiation absorption. The extreme cases of simple line spectra and smooth absorption bands are discussed in detail. Moment analysis is employed for bands and general expressions for their zeroth and first moments are derived. These are applied to electronic absorption bands, with emphasis on allowed transitions. The particular case of molecular solutions is considered explicitly. The relationship of the results to earlier theoretical treatments is discussed, and their relevance to the interpretation of experimental data indicated.","container-title":"The Journal of Chemical Physics","DOI":"10.1063/1.1673514","ISSN":"0021-9606","issue":"7","journalAbbreviation":"J. Chem. Phys.","page":"3489-3516","source":"Silverchair","title":"Theory of Magnetic Circular Dichroism","volume":"52","author":[{"family":"Stephens","given":"P. J."}],"issued":{"date-parts":[["1970",4,1]]}}},{"id":7420,"uris":["http://zotero.org/users/2011173/items/NI738KHN"],"itemData":{"id":7420,"type":"article-journal","abstract":"Faraday rotation is a magneto-optical effect central to a number of commercial technologies including optical isolation and magneto-optical imaging. Today, the performance needs of these technologies are met by inorganic materials containing paramagnetic heavy elements. However, organic thin films are increasingly being evaluated as replacement materials, promising higher magneto-optical performance and facile fabrication of structures that enable expanded applications. Despite being an object of research for more than 175 years, our understanding of the Faraday effect in solid-state organic materials remains incomplete, hindering our attempts to methodically improve magneto-optical performance. This Perspective aims to place several recent advances in the field of thin-film organic Faraday rotators within the well-established theoretical framework developed by solution-state magnetic circular dichroism spectroscopists: the Faraday A, B, and C terms. Through careful consideration of these quantum mechanical mechanisms in example molecules, an intuitive understanding of the impact of chemical structure in thin-film Faraday rotators can be achieved, including the critical roles of molecular symmetry, rigidity, absorptivity, and magnetism. Future work seeking to maximize the magneto-optical performance of organic thin films may more readily evaluate candidate chromophores based on the Faraday A, B, and C term framework presented herein.","container-title":"Journal of the American Chemical Society","DOI":"10.1021/jacs.2c01983","ISSN":"0002-7863","issue":"27","journalAbbreviation":"J. Am. Chem. Soc.","note":"publisher: American Chemical Society","page":"11912-11926","source":"ACS Publications","title":"ABCs of Faraday Rotation in Organic Materials","volume":"144","author":[{"family":"Nelson","given":"Zachary"},{"family":"Delage-Laurin","given":"Léo"},{"family":"Swager","given":"Timothy M."}],"issued":{"date-parts":[["2022",7,13]]}}},{"id":7421,"uris":["http://zotero.org/users/2011173/items/EZWQVTTN"],"itemData":{"id":7421,"type":"article-journal","abstract":"Achiral purely organic molecules can show selectivity towards circularly polarized light in emission in the presence of a magnetic field. This phenomenon is called magnetic circularly polarized luminescence (MCPL). Recently a few examples of MCPL from organic molecules have appeared in the literature. Through this technique, interesting photophysical information can be inferred and, moreover, a few technological applications can be devised based on this principle. This short review has the purpose to give a general introduction to this recent field of research and some critical insights on the reported examples.","container-title":"European Journal of Organic Chemistry","DOI":"10.1002/ejoc.202300509","ISSN":"1099-0690","issue":"37","journalAbbreviation":"Eur. J. Org. Chem.","language":"en","license":"© 2023 The Authors. European Journal of Organic Chemistry published by Wiley-VCH GmbH","note":"_eprint: https://onlinelibrary.wiley.com/doi/pdf/10.1002/ejoc.202300509","page":"e202300509","source":"Wiley Online Library","title":"Magnetic Circularly Polarized Luminescence of Organic Compounds","volume":"26","author":[{"family":"Zinna","given":"Francesco"},{"family":"Pescitelli","given":"Gennaro"}],"issued":{"date-parts":[["2023"]]}}}],"schema":"https://github.com/citation-style-language/schema/raw/master/csl-citation.json"}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44,47,49,50</w:t>
      </w:r>
      <w:r w:rsidRPr="00F9084A">
        <w:rPr>
          <w:sz w:val="18"/>
          <w:szCs w:val="18"/>
        </w:rPr>
        <w:fldChar w:fldCharType="end"/>
      </w:r>
      <w:r w:rsidRPr="00F9084A">
        <w:rPr>
          <w:sz w:val="18"/>
          <w:szCs w:val="18"/>
        </w:rPr>
        <w:t xml:space="preserve"> Emitting compounds characterized by a strong spin-orbit coupling, which allows for a significant mixing of states, are good candidates for </w:t>
      </w:r>
      <w:proofErr w:type="spellStart"/>
      <w:r w:rsidRPr="00F9084A">
        <w:rPr>
          <w:sz w:val="18"/>
          <w:szCs w:val="18"/>
        </w:rPr>
        <w:t>magnetoptical</w:t>
      </w:r>
      <w:proofErr w:type="spellEnd"/>
      <w:r w:rsidRPr="00F9084A">
        <w:rPr>
          <w:sz w:val="18"/>
          <w:szCs w:val="18"/>
        </w:rPr>
        <w:t xml:space="preserve"> </w:t>
      </w:r>
      <w:r w:rsidR="0063468A" w:rsidRPr="00F9084A">
        <w:rPr>
          <w:sz w:val="18"/>
          <w:szCs w:val="18"/>
        </w:rPr>
        <w:t>spe</w:t>
      </w:r>
      <w:r w:rsidR="005D2E59" w:rsidRPr="00F9084A">
        <w:rPr>
          <w:sz w:val="18"/>
          <w:szCs w:val="18"/>
        </w:rPr>
        <w:t>c</w:t>
      </w:r>
      <w:r w:rsidR="0063468A" w:rsidRPr="00F9084A">
        <w:rPr>
          <w:sz w:val="18"/>
          <w:szCs w:val="18"/>
        </w:rPr>
        <w:t>troscopies</w:t>
      </w:r>
      <w:r w:rsidRPr="00F9084A">
        <w:rPr>
          <w:sz w:val="18"/>
          <w:szCs w:val="18"/>
        </w:rPr>
        <w:t>, including MCPL.</w:t>
      </w:r>
    </w:p>
    <w:p w14:paraId="48697E25" w14:textId="27932F52" w:rsidR="00C467EE" w:rsidRPr="00F9084A" w:rsidRDefault="00C467EE" w:rsidP="007266AB">
      <w:pPr>
        <w:spacing w:after="0"/>
        <w:jc w:val="both"/>
        <w:rPr>
          <w:sz w:val="18"/>
          <w:szCs w:val="18"/>
        </w:rPr>
      </w:pPr>
      <w:r w:rsidRPr="00F9084A">
        <w:rPr>
          <w:sz w:val="18"/>
          <w:szCs w:val="18"/>
        </w:rPr>
        <w:t>MCPL has been</w:t>
      </w:r>
      <w:r w:rsidR="00272B83" w:rsidRPr="00F9084A">
        <w:rPr>
          <w:sz w:val="18"/>
          <w:szCs w:val="18"/>
        </w:rPr>
        <w:t xml:space="preserve"> thus</w:t>
      </w:r>
      <w:r w:rsidRPr="00F9084A">
        <w:rPr>
          <w:sz w:val="18"/>
          <w:szCs w:val="18"/>
        </w:rPr>
        <w:t xml:space="preserve"> studied in the case of </w:t>
      </w:r>
      <w:r w:rsidRPr="00F9084A">
        <w:rPr>
          <w:i/>
          <w:iCs/>
          <w:sz w:val="18"/>
          <w:szCs w:val="18"/>
        </w:rPr>
        <w:t>f-f</w:t>
      </w:r>
      <w:r w:rsidRPr="00F9084A">
        <w:rPr>
          <w:sz w:val="18"/>
          <w:szCs w:val="18"/>
        </w:rPr>
        <w:t xml:space="preserve"> transitions of lanthanide complexes,</w:t>
      </w:r>
      <w:r w:rsidRPr="00F9084A">
        <w:rPr>
          <w:sz w:val="18"/>
          <w:szCs w:val="18"/>
        </w:rPr>
        <w:fldChar w:fldCharType="begin"/>
      </w:r>
      <w:r w:rsidR="00DF5192" w:rsidRPr="00F9084A">
        <w:rPr>
          <w:sz w:val="18"/>
          <w:szCs w:val="18"/>
        </w:rPr>
        <w:instrText xml:space="preserve"> ADDIN ZOTERO_ITEM CSL_CITATION {"citationID":"cSJ5jLp0","properties":{"formattedCitation":"\\super 51\\uc0\\u8211{}53\\nosupersub{}","plainCitation":"51–53","noteIndex":0},"citationItems":[{"id":7424,"uris":["http://zotero.org/users/2011173/items/ILUULQNL"],"itemData":{"id":7424,"type":"article-journal","container-title":"Journal of the American Chemical Society","DOI":"10.1021/ja00391a004","ISSN":"0002-7863","issue":"1","journalAbbreviation":"J. Am. Chem. Soc.","note":"publisher: American Chemical Society","page":"18-24","source":"ACS Publications","title":"A structural study of tris(.beta.-diketonate)europium(III) complexes in solution using magnetic circularly polarized luminescence spectroscopy","volume":"103","author":[{"family":"Richardson","given":"Frederick S."},{"family":"Brittain","given":"Harry G."}],"issued":{"date-parts":[["1981",1,1]]}}},{"id":7425,"uris":["http://zotero.org/users/2011173/items/UK32VGBM"],"itemData":{"id":7425,"type":"article-journal","abstract":"Luminescence of lanthanide(III) ions sensitively reflects atomic environment. However, the signal may be weak and covered by Raman scattering. In the present study magnetic circularly polarized luminescence (MCPL) is explored as a more sensitive tool to recognize the lanthanide signal and assign underlying electronic transitions. MCPL spectra of the Na3[Ln(DPA)3] (Ln = Ce, Pr, Nd, Sm, Eu, Tb, Dy, Ho, and Er) complexes were recorded on a Raman optical activity (ROA) instrument. The ROA spectrometer equipped with the 532 nm laser excitation sensitively detects differences in scattering of left- and right-circularly polarized light caused by the magnetic field. Weak bands sometimes invisible in unpolarized measurement could be detected as MCPL. Observed transitions were assigned with the aid of the ligand-field theory. MCPL also reflects the environment: chloride and nitrate salts (LnCl3 and Ln(NO3)3) provide a different signal than the complex; for NdIII the signal responds to distribution of chloride and nitrate ions around the metal. The MCPL technique thus appears useful for identification and assignment of lanthanide transitions and increases the potential of fluorescent probes for applications in analytical chemistry and imaging.","container-title":"Analytical Chemistry","DOI":"10.1021/acs.analchem.7b00435","ISSN":"0003-2700","issue":"9","journalAbbreviation":"Anal. Chem.","note":"publisher: American Chemical Society","page":"5043-5049","source":"ACS Publications","title":"Identification of Lanthanide(III) Luminophores in Magnetic Circularly Polarized Luminescence Using Raman Optical Activity Instrumentation","volume":"89","author":[{"family":"Wu","given":"Tao"},{"family":"Kapitán","given":"Josef"},{"family":"Andrushchenko","given":"Valery"},{"family":"Bouř","given":"Petr"}],"issued":{"date-parts":[["2017",5,2]]}}},{"id":773,"uris":["http://zotero.org/users/2011173/items/9BEKYSHX"],"itemData":{"id":773,"type":"article-journal","abstract":"Five optically inactive EuIII(hfa)3, TbIII(hfa)3, EuIII(acac)3·Phen, TbIII(acac)3·Phen and EuIII(hfa)3·BDPB (hfa: hexafluoroacetylacetonate, acac: acetylacetonate, BDPB: 2,2′-bis(diphenylphosphino)biphenyl and Phen: phenanthroline) complexes showed clear mirror-image magnetic circularly polarised luminescence (MCPL) spectra in CHCl3, acetone, and DMF solutions, in a poly(methyl methacrylate) film, a KBr pellet and bulk powder at room temperature under 1.6 T as an external magnetic field with Faraday geometry. The signs of the MCPL signals were determined via N-up and S-up geometries. The gMCPL values of EuIII(hfa)3 and TbIII(hfa)3 were ±(0.046–2.0) × 10−2 T−1 at the 5D0 → 5FJ transitions (J = 1–4) in the range of 590 nm and 703 nm and ±(0.0081–1.0) × 10−2 T−1 at the 5D4 → 7FJ transitions (J = 3–6) in the range of 480 nm and 630 nm, respectively. Interestingly, the photoluminescence spectra of EuIII(hfa)3 and TbIII(hfa)3 in CHCl3 and acetone under 1.6 T considerably redshifted by 10–114 cm−1, while those of EuIII(acac)3·Phen and TbIII(acac)3·Phen did not reveal detectable redshifts.","container-title":"Dalton Transactions","DOI":"10.1039/D0DT01464H","ISSN":"1477-9234","issue":"28","journalAbbreviation":"Dalton Trans.","language":"en","note":"publisher: The Royal Society of Chemistry","page":"9588-9594","source":"pubs.rsc.org","title":"Mirror-image magnetic circularly polarized luminescence (MCPL) from optically inactive EuIII and TbIIItris(β-diketonate)","volume":"49","author":[{"family":"Yoshikawa","given":"Hiroki"},{"family":"Nakajima","given":"Gaku"},{"family":"Mimura","given":"Yuki"},{"family":"Kimoto","given":"Takahiro"},{"family":"Kondo","given":"Yoshiro"},{"family":"Suzuki","given":"Satoko"},{"family":"Fujiki","given":"Michiya"},{"family":"Imai","given":"Yoshitane"}],"issued":{"date-parts":[["2020",7,21]]}}}],"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51–53</w:t>
      </w:r>
      <w:r w:rsidRPr="00F9084A">
        <w:rPr>
          <w:sz w:val="18"/>
          <w:szCs w:val="18"/>
        </w:rPr>
        <w:fldChar w:fldCharType="end"/>
      </w:r>
      <w:r w:rsidRPr="00F9084A">
        <w:rPr>
          <w:sz w:val="18"/>
          <w:szCs w:val="18"/>
        </w:rPr>
        <w:t xml:space="preserve"> </w:t>
      </w:r>
      <w:r w:rsidRPr="00F9084A">
        <w:rPr>
          <w:i/>
          <w:iCs/>
          <w:sz w:val="18"/>
          <w:szCs w:val="18"/>
        </w:rPr>
        <w:t>d</w:t>
      </w:r>
      <w:r w:rsidRPr="00F9084A">
        <w:rPr>
          <w:sz w:val="18"/>
          <w:szCs w:val="18"/>
        </w:rPr>
        <w:t xml:space="preserve">-metals (such as Ru and </w:t>
      </w:r>
      <w:proofErr w:type="spellStart"/>
      <w:r w:rsidRPr="00F9084A">
        <w:rPr>
          <w:sz w:val="18"/>
          <w:szCs w:val="18"/>
        </w:rPr>
        <w:t>Ir</w:t>
      </w:r>
      <w:proofErr w:type="spellEnd"/>
      <w:r w:rsidRPr="00F9084A">
        <w:rPr>
          <w:sz w:val="18"/>
          <w:szCs w:val="18"/>
        </w:rPr>
        <w:t xml:space="preserve"> </w:t>
      </w:r>
      <w:r w:rsidRPr="00F9084A">
        <w:rPr>
          <w:sz w:val="18"/>
          <w:szCs w:val="18"/>
        </w:rPr>
        <w:t>complexes),</w:t>
      </w:r>
      <w:r w:rsidRPr="00F9084A">
        <w:rPr>
          <w:sz w:val="18"/>
          <w:szCs w:val="18"/>
        </w:rPr>
        <w:fldChar w:fldCharType="begin"/>
      </w:r>
      <w:r w:rsidR="006C0F30" w:rsidRPr="00F9084A">
        <w:rPr>
          <w:sz w:val="18"/>
          <w:szCs w:val="18"/>
        </w:rPr>
        <w:instrText xml:space="preserve"> ADDIN ZOTERO_ITEM CSL_CITATION {"citationID":"KvmhigHn","properties":{"formattedCitation":"\\super 54,55\\nosupersub{}","plainCitation":"54,55","noteIndex":0},"citationItems":[{"id":7428,"uris":["http://zotero.org/users/2011173/items/FGMGLPQQ"],"itemData":{"id":7428,"type":"article-journal","abstract":"The development of phosphorescent organometallic molecules, capable of full-colour circularly polarised luminescence with a controlled polarised sign in the absence of any chiral chemical influences, presents a significant scientific and engineering challenge. The current study describes the first red-green-blue-yellow (RGBY) coloured, nearly mirror-image magnetic circularly polarised luminescence (MCPL) in dimethyl sulfoxide and dichloromethane, from four optically inactive Iridium(III) complexes viz. Ir(III)(piq)3, Ir(III)(ppy)3, Ir(III)(F2-ppy)2(pic), and Ir(III)(BT)2(acac), bearing achiral organic cyclometalated and ancillary ligands. The absolute value of the anisotropy factors, |gMCPL|, ranging from 0.9×10−3 to 2.5×10−3 in the presence of an external 1.6 T magnetic field was nearly identical to the enantiomerically pure Iridium (III) complexes at zero-magnetic fields. Unexpectedly, when the same north-up/south-up Faraday geometries were used, the MCPL signs were inverted due to the achiral ligands.","container-title":"ChemistrySelect","DOI":"10.1002/slct.202103117","ISSN":"2365-6549","issue":"41","language":"en","license":"© 2021 Wiley-VCH GmbH","note":"_eprint: https://onlinelibrary.wiley.com/doi/pdf/10.1002/slct.202103117","page":"11182-11187","source":"Wiley Online Library","title":"Red-Green-Blue-Yellow (RGBY) Magnetic Circularly Polarised Luminescence (MCPL) from Optically Inactive Phosphorescent Ir(III) Complexes","volume":"6","author":[{"family":"Kitahara","given":"Maho"},{"family":"Suzuki","given":"Seika"},{"family":"Matsudaira","given":"Kana"},{"family":"Yagi","given":"Shigeyuki"},{"family":"Fujiki","given":"Michiya"},{"family":"Imai","given":"Yoshitane"}],"issued":{"date-parts":[["2021"]]}}},{"id":7430,"uris":["http://zotero.org/users/2011173/items/9LGQ56IE"],"itemData":{"id":7430,"type":"article-journal","abstract":"Luminescence decay kinetics of the title series, measured after quasi-steady-state excitation, are found to be first order under all conditions. The decay rates of the x=1 and 2 partially deuterated complexes are approximately evenly spaced between the x=0 and x=3 values. Luminescence profiles are almost identical for the series, but with the low-temperature x=0 luminescence shifted ≈40 cm−1 to higher energy relative to the x=1, 2, 3 spectra. MCPL magnitudes were found to be unaffected by deuteration. Analysis of the temperature dependence of the lifetimes in poly(vinyl alcohol) indicates an 8.2±0.2 cm−1 lowest energy gap for all four complexes, which is consistent with the zero-phonon line separations in single crystals of the PF6 salts.","container-title":"Chemical Physics Letters","DOI":"10.1016/0009-2614(90)85449-M","ISSN":"0009-2614","issue":"5","journalAbbreviation":"Chem. Phys. Lett.","page":"401-406","source":"ScienceDirect","title":"Temperature-dependent lifetimes, MCPL and shifts of the luminescence in the materials [Ru(bpy)x(bpy-&lt;i&gt;d&lt;/i&gt;8)3-x]2+, &lt;i&gt;x&lt;/i&gt;=0–3, in dilute systems","volume":"165","author":[{"family":"Krausz","given":"Elmars"},{"family":"Moran","given":"Grainne"},{"family":"Riesen","given":"Hans"}],"issued":{"date-parts":[["1990",1,26]]}}}],"schema":"https://github.com/citation-style-language/schema/raw/master/csl-citation.json"}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54,55</w:t>
      </w:r>
      <w:r w:rsidRPr="00F9084A">
        <w:rPr>
          <w:sz w:val="18"/>
          <w:szCs w:val="18"/>
        </w:rPr>
        <w:fldChar w:fldCharType="end"/>
      </w:r>
      <w:r w:rsidRPr="00F9084A">
        <w:rPr>
          <w:sz w:val="18"/>
          <w:szCs w:val="18"/>
        </w:rPr>
        <w:t xml:space="preserve"> organic and </w:t>
      </w:r>
      <w:proofErr w:type="spellStart"/>
      <w:r w:rsidR="008104E2" w:rsidRPr="00F9084A">
        <w:rPr>
          <w:sz w:val="18"/>
          <w:szCs w:val="18"/>
        </w:rPr>
        <w:t>metallo</w:t>
      </w:r>
      <w:proofErr w:type="spellEnd"/>
      <w:r w:rsidR="008104E2" w:rsidRPr="00F9084A">
        <w:rPr>
          <w:sz w:val="18"/>
          <w:szCs w:val="18"/>
        </w:rPr>
        <w:t>-organics</w:t>
      </w:r>
      <w:r w:rsidRPr="00F9084A">
        <w:rPr>
          <w:sz w:val="18"/>
          <w:szCs w:val="18"/>
        </w:rPr>
        <w:t xml:space="preserve"> compounds.</w:t>
      </w:r>
      <w:r w:rsidRPr="00F9084A">
        <w:rPr>
          <w:sz w:val="18"/>
          <w:szCs w:val="18"/>
        </w:rPr>
        <w:fldChar w:fldCharType="begin"/>
      </w:r>
      <w:r w:rsidR="006C0F30" w:rsidRPr="00F9084A">
        <w:rPr>
          <w:sz w:val="18"/>
          <w:szCs w:val="18"/>
        </w:rPr>
        <w:instrText xml:space="preserve"> ADDIN ZOTERO_ITEM CSL_CITATION {"citationID":"Xrw036Kj","properties":{"formattedCitation":"\\super 56\\uc0\\u8211{}64\\nosupersub{}","plainCitation":"56–64","noteIndex":0},"citationItems":[{"id":7432,"uris":["http://zotero.org/users/2011173/items/2LE5QTB4"],"itemData":{"id":7432,"type":"article-journal","abstract":"Herein, the synthesis, structure, room temperature phosphorescence, and magnetic chiroptical properties of phosphoramides 1-6 with donor–acceptor architecture are reported.5). The electronic interactions between donor phenothiazine (PTZ) and acceptor (C6H5)n-P = X (n = 1, 2; X = O, S, and Se)moieties in 1–6 are modulated by varying the number of donor units. The Lewis acidity of the phosphorus center is controlled by the nature of heteroatoms and the number of phenyl moieties attached to it. All compounds exhibit phosphorescence in the solid state under ambient conditions with a photoluminescence lifetime in the millisecond range (≈8–40 ms). The energy of the phosphorescence bands and their excited state lifetimes are governed by the P=X units. The phosphorescence features observed for 1–6 are in complete contrast to the observations noted for (PTZ)3P = X (X = O, S, and Se), where the phosphorescence process is completely controlled by the PTZ moiety, and there is a negligible contribution from the P = X moiety. Thus, the present and earlier studies together reveal that the steric crowding and the number of C6H5 moieties around the P = X unit play a crucial role in controlling the electronic coupling between the donor and acceptor moieties in phosphoramides containing non-planar donor moieties. Furthermore, for the first time, the magnetic chiroptical properties of achiral phosphoramides 1–6, exhibiting a luminescence dissymmetry factor (gMCPL) in the order of 10−3 (≈4.0 × 10−3–7.4 × 10−3) are demonstrated.","container-title":"Advanced Optical Materials","DOI":"10.1002/adom.202300923","ISSN":"2195-1071","issue":"22","journalAbbreviation":"Adv. Opt. Mater.","language":"en","license":"© 2023 Wiley-VCH GmbH","note":"_eprint: https://onlinelibrary.wiley.com/doi/pdf/10.1002/adom.202300923","page":"2300923","source":"Wiley Online Library","title":"Modulating the Room Temperature Phosphorescence by Tweaking SOC and P = X Interactions (X = O, S, and Se) in Phosphoramides: Magnetic Circularly Polarized Luminescence from Achiral Phosphoramides","title-short":"Modulating the Room Temperature Phosphorescence by Tweaking SOC and P = X Interactions (X = O, S, and Se) in Phosphoramides","volume":"11","author":[{"family":"Jena","given":"Satyam"},{"family":"Behera","given":"Santosh Kumar"},{"family":"Eyyathiyil","given":"Jusaina"},{"family":"Kitahara","given":"Maho"},{"family":"Imai","given":"Yoshitane"},{"family":"Thilagar","given":"Pakkirisamy"}],"issued":{"date-parts":[["2023"]]}}},{"id":7433,"uris":["http://zotero.org/users/2011173/items/ZQRQ86SK"],"itemData":{"id":7433,"type":"article-journal","abstract":"The magnetic circular dichroism (MCD) spectra of metal complexes of tetrakis(thiadiazole)porphyrazines ([TTDPzM] with M = 2HI, ZnII, MgII(H2O), and CdII) have been recorded in dimethyl formamide solution. Together with the UV–Vis spectra, the MCD spectra provide useful information about the structure and electronic properties of the complexes. The experimental UV–Vis and MCD spectra compare pretty well with DFT calculations of two sorts, based either on the sum-over-states (SOS) approach or on the complex polarization propagator approach. They further corroborate the findings and interpretation of MCD spectra of porphyrazines based on the model of Michl for peripheral molecular orbitals. Magnetic circularly polarized luminescence (MCPL) spectra, quite uncommon in the literature, have been recorded for [TTDPzM] (M = 2HI, ZnII, MgII(H2O)).","container-title":"Chirality","DOI":"10.1002/chir.23221","ISSN":"1520-636X","issue":"6","language":"en","license":"© 2020 Wiley Periodicals, Inc.","note":"_eprint: https://onlinelibrary.wiley.com/doi/pdf/10.1002/chir.23221","page":"808-816","source":"Wiley Online Library","title":"Characterization of tetrakis(thiadiazole)porphyrazine metal complexes by magnetic circular dichroism and magnetic circularly polarized luminescence","volume":"32","author":[{"family":"Ghidinelli","given":"Simone"},{"family":"Abbate","given":"Sergio"},{"family":"Mazzeo","given":"Giuseppe"},{"family":"Paoloni","given":"Lorenzo"},{"family":"Viola","given":"Elisa"},{"family":"Ercolani","given":"Claudio"},{"family":"Donzello","given":"Maria Pia"},{"family":"Longhi","given":"Giovanna"}],"issued":{"date-parts":[["2020"]]}}},{"id":7435,"uris":["http://zotero.org/users/2011173/items/4BUCNEYI"],"itemData":{"id":7435,"type":"article-journal","abstract":"Two triarylcorrole complexes, (hydroxy)[5,10,15-tritolylcorrolato]silicon-(TTC)Si(OH) and (dihydroxy)[5,10,15-tritolylcorrolato]phosphorous-(TTC)P(OH)2, have been investigated by magnetic circular dichroism (MCD) and magnetic circularly polarized luminescence (MCPL). The spectroscopic investigations have been combined with explicit calculation of MCD response through time-dependent density functional theory (TD-DFT) formalism. This has allowed us to better define the role of molecular orbitals in the transitions associated with the Soret and Q bands. Besides and more importantly, MCD has made it possible to follow the titration process of (TTC)Si(OH) in dimethyl sulfoxide (DMSO) solution with NaF and of (TTC)P(OH)2 in dichloromethane solution with alcohols in a complementary and, we dare say, more sensitive way with respect to absorption and fluorescence data. Finally, the MCPL spectra and the ancillary TD-DFT calculations have allowed us to characterize the excited state of (TTC)Si(OH).","container-title":"ACS Omega","DOI":"10.1021/acsomega.1c04028","issue":"40","journalAbbreviation":"ACS Omega","note":"publisher: American Chemical Society","page":"26659-26671","source":"ACS Publications","title":"MCD and MCPL Characterization of Luminescent Si(IV) and P(V) Tritolylcorroles: The Role of Coordination Number","title-short":"MCD and MCPL Characterization of Luminescent Si(IV) and P(V) Tritolylcorroles","volume":"6","author":[{"family":"Ghidinelli","given":"Simone"},{"family":"Abbate","given":"Sergio"},{"family":"Mazzeo","given":"Giuseppe"},{"family":"Paolesse","given":"Roberto"},{"family":"Pomarico","given":"Giuseppe"},{"family":"Longhi","given":"Giovanna"}],"issued":{"date-parts":[["2021",10,12]]}}},{"id":7437,"uris":["http://zotero.org/users/2011173/items/ILMQGR5S"],"itemData":{"id":7437,"type":"article-journal","abstract":"Stable luminescent π-radicals with doublet emission have attracted growing attention for functional molecular materials. However, their chiroptical properties, particularly their doublet emission-based circularly polarized luminescence, have never been investigated. Here, we investigate the circularly polarized luminescence (CPL) properties of a series of achiral luminescent open-shell π-radicals through various chirality regulation approaches, including induction by a magnetic field, supramolecular coassembly and chiral liquid crystal encapsulation.","container-title":"Chemical Communications","DOI":"10.1039/C9CC03281A","ISSN":"1364-548X","issue":"46","journalAbbreviation":"Chem. Commun.","language":"en","note":"publisher: The Royal Society of Chemistry","page":"6583-6586","source":"pubs.rsc.org","title":"Circularly polarized luminescence of achiral open-shell π-radicals","volume":"55","author":[{"family":"Jin","given":"Qingxian"},{"family":"Chen","given":"Sanxu"},{"family":"Sang","given":"Yutao"},{"family":"Guo","given":"Haoqing"},{"family":"Dong","given":"Shengzhi"},{"family":"Han","given":"Jianlei"},{"family":"Chen","given":"Wenjie"},{"family":"Yang","given":"Xuefeng"},{"family":"Li","given":"Feng"},{"family":"Duan","given":"Pengfei"}],"issued":{"date-parts":[["2019",6,4]]}}},{"id":7439,"uris":["http://zotero.org/users/2011173/items/ZT8LTLGV"],"itemData":{"id":7439,"type":"article-journal","abstract":"Although 12 diamagnetic fused aromatics with or without substituents exhibit mirror-symmetric magnetic circularly polarised luminescence (MCPL) through N-up and S-up Faraday geometries under a magnetic field intensity of 1.6 T, their signs (single and multiple) and magnitudes depend strongly on either the aromatic structures or the peripheral positions of the substituents.","container-title":"RSC Advances","DOI":"10.1039/D0RA09233A","ISSN":"2046-2069","issue":"3","journalAbbreviation":"RSC Adv.","language":"en","note":"publisher: The Royal Society of Chemistry","page":"1581-1585","source":"pubs.rsc.org","title":"Sign inversion in magnetic circularly polarised luminescence of fused aromatics with 1.6 T N-up/S-up Faraday geometry","volume":"11","author":[{"family":"Toda","given":"Hayato"},{"family":"Hara","given":"Nobuyuki"},{"family":"Fujiki","given":"Michiya"},{"family":"Imai","given":"Yoshitane"}],"issued":{"date-parts":[["2021",1,4]]}}},{"id":7441,"uris":["http://zotero.org/users/2011173/items/6XBJ3X4J"],"itemData":{"id":7441,"type":"article-journal","abstract":"This paper reports the first magnetic circularly polarized luminescence (MCPL) characteristics of racemic helicenes, including four unsubstituted [n]helicenes (n=3,4,5,7) and two [4]helicene derivatives bearing methoxy substituents, in tetrahydrofuran (THF) and dimethyl sulfoxide (DMSO) solutions. The value of |gMCPL| was calculated to be of the order of 10−3 T−1 within 350–430 nm under the north-up (N-up) and south-up (S-up) Faraday geometries in an external magnetic field of 1.6 T. The [n]-dependent MCPL signs were altered by the N-up and S-up geometries.","container-title":"ChemPhysChem","DOI":"10.1002/cphc.202100346","ISSN":"1439-7641","issue":"20","language":"en","license":"© 2021 Wiley-VCH GmbH","note":"_eprint: https://onlinelibrary.wiley.com/doi/pdf/10.1002/cphc.202100346","page":"2058-2062","source":"Wiley Online Library","title":"Magnetic Circularly Polarized Luminescence in the Photoexcited States of Racemic [n]Helicenes (n=3–5,7) in Tetrahydrofuran and Dimethyl Sulfoxide Solutions","volume":"22","author":[{"family":"Toda","given":"Hayato"},{"family":"Otake","given":"Shuhei"},{"family":"Ito","given":"Akari"},{"family":"Miyasaka","given":"Makoto"},{"family":"Fujiki","given":"Michiya"},{"family":"Imai","given":"Yoshitane"}],"issued":{"date-parts":[["2021"]]}}},{"id":7444,"uris":["http://zotero.org/users/2011173/items/Q5Y2TBAS"],"itemData":{"id":7444,"type":"article-journal","abstract":"Diamagnetic achiral pyrene and phenanthrene derivatives substituted with electron-donating hydroxyl/methoxy groups and electron-withdrawing carboxylic acid groups exhibited clear magnetic circularly polarised luminescence (MCPL) spectra at 360–460 nm in dilute solvents upon the application of N-up and S-up Faraday geometries under an external magnetic field of 1.6 T. Their MCPL signs were also susceptible upon application of the same Faraday geometry.","container-title":"Physical Chemistry Chemical Physics","DOI":"10.1039/D1CP00259G","ISSN":"1463-9084","issue":"14","journalAbbreviation":"Phys. Chem. Chem. Phys.","language":"en","note":"publisher: The Royal Society of Chemistry","page":"8236-8240","source":"pubs.rsc.org","title":"Sign dependence of MCPL spectra on type and position of substituent groups of pyrene and phenanthrene derivatives","volume":"23","author":[{"family":"Hara","given":"Nobuyuki"},{"family":"Kitahara","given":"Maho"},{"family":"Sugimura","given":"Takaharu"},{"family":"Toda","given":"Hayato"},{"family":"Shizuma","given":"Motohiro"},{"family":"Ito","given":"Akari"},{"family":"Miyasaka","given":"Makoto"},{"family":"Fujiki","given":"Michiya"},{"family":"Imai","given":"Yoshitane"}],"issued":{"date-parts":[["2021",4,15]]}}},{"id":7445,"uris":["http://zotero.org/users/2011173/items/Z4BQN3ZS"],"itemData":{"id":7445,"type":"article-journal","abstract":"Ambidextrous magnetic circularly polarized luminescence (MCPL) and redshift in photoluminescence (PL) spectra are observed from two types of achiral soluble diamagnetic perovskite-Pb-quantum dots in toluene solution at room temperature, when subjected to external north-up and south-up magnetic fields of 1.7 T. The magnitude of the MCPL, gMCPL, is in the order of |gMCPL|=10−3 within a wavelength range of 480–580 nm. The wavelength and the sign of the MCPL spectra can be controlled by the types of perovskite constituent atom and the direction of the magnetic field, respectively.","container-title":"European Journal of Inorganic Chemistry","DOI":"10.1002/ejic.202101066","ISSN":"1099-0682","issue":"10","journalAbbreviation":"Eur. J. Inorg. Chem.","language":"en","license":"© 2022 Wiley-VCH GmbH","note":"_eprint: https://onlinelibrary.wiley.com/doi/pdf/10.1002/ejic.202101066","page":"e202101066","source":"Wiley Online Library","title":"Mirror-Image Magnetic Circularly Polarized Luminescence from Perovskite (M+Pb2+Br3, M+=Cs+ and Amidinium) Quantum Dots","volume":"2022","author":[{"family":"Amasaki","given":"Ryo"},{"family":"Kitahara","given":"Maho"},{"family":"Kimoto","given":"Takahiro"},{"family":"Fujiki","given":"Michiya"},{"family":"Imai","given":"Yoshitane"}],"issued":{"date-parts":[["2022"]]}}},{"id":7448,"uris":["http://zotero.org/users/2011173/items/5WIKI7XN"],"itemData":{"id":7448,"type":"article-journal","abstract":"A switchable system between magnetic and natural circularly polarized luminescence via J-aggregation using photosynthetic antenna model compounds is demonstrated for the first time. The J-aggregation provides characteristic dispersion-type circularly polarised luminescence signals based on the degenerate J-band (gCPL = 0.03).","container-title":"Journal of Materials Chemistry C","DOI":"10.1039/D2TC04841H","ISSN":"2050-7534","issue":"8","journalAbbreviation":"J. Mater. Chem. C","language":"en","note":"publisher: The Royal Society of Chemistry","page":"2831-2835","source":"pubs.rsc.org","title":"A switchable system between magnetic and natural circularly polarised luminescence via J-aggregation using photosynthetic antenna model compounds","volume":"11","author":[{"family":"Tomikawa","given":"Toranosuke"},{"family":"Kitagawa","given":"Yuichi"},{"family":"Yoshioka","given":"Koki"},{"family":"Murata","given":"Kei"},{"family":"Miyatake","given":"Tomohiro"},{"family":"Hasegawa","given":"Yasuchika"},{"family":"Ishii","given":"Kazuyuki"}],"issued":{"date-parts":[["2023",2,23]]}}}],"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56–64</w:t>
      </w:r>
      <w:r w:rsidRPr="00F9084A">
        <w:rPr>
          <w:sz w:val="18"/>
          <w:szCs w:val="18"/>
        </w:rPr>
        <w:fldChar w:fldCharType="end"/>
      </w:r>
      <w:r w:rsidRPr="00F9084A">
        <w:rPr>
          <w:sz w:val="18"/>
          <w:szCs w:val="18"/>
        </w:rPr>
        <w:t xml:space="preserve"> MCPL and MCD were also reported in early studies of Cr(III) inorganic structures.</w:t>
      </w:r>
      <w:r w:rsidRPr="00F9084A">
        <w:rPr>
          <w:sz w:val="18"/>
          <w:szCs w:val="18"/>
        </w:rPr>
        <w:fldChar w:fldCharType="begin"/>
      </w:r>
      <w:r w:rsidR="00944881" w:rsidRPr="00F9084A">
        <w:rPr>
          <w:sz w:val="18"/>
          <w:szCs w:val="18"/>
        </w:rPr>
        <w:instrText xml:space="preserve"> ADDIN ZOTERO_ITEM CSL_CITATION {"citationID":"nQnBJjEY","properties":{"formattedCitation":"\\super 65,66\\nosupersub{}","plainCitation":"65,66","noteIndex":0},"citationItems":[{"id":7452,"uris":["http://zotero.org/users/2011173/items/ZT6RJ9S2"],"itemData":{"id":7452,"type":"article-journal","abstract":"We report the emission spectrum and magnetically induced circular emission, MCE, from Cr3+ ions in MgO. The principal sharp line features are the well-known emissions from undistorted Cr3+ sites and from Cr3+ sites associated with lattice vacancies which provide a tetragonally distorted environment. Of the weaker lines, we find evidence which suggests that the feature at 14 216 cm-1 is associated with a non-collinear Cr3+-vacancy-Cr3+ system. Also our results suggest that the features at 14 115 and 14 123 cm-1 are due to emission from Cr3+ perturbed by Mg2+ in an orthorhombic position and Cr3+-vacancy-Cr3+ in the orthorhombic direction. The phonon structure in the MCE suggests a strong contribution from a t 2u ‘cluster’ mode in agreement with the calculation of Sangster. Emission spectra are reported using the chronospectroscopic technique to display the 2 Eg and 4 T 2g bands separately. The spectrum from the 4 T 2g state exhibits some previously unobserved sharp features which may originate from the different Cr3+ sites in the lattice.","container-title":"Molecular Physics","DOI":"10.1080/00268977500103011","ISSN":"0026-8976","issue":"5","journalAbbreviation":"Mol. Phys.","note":"publisher: Taylor &amp; Francis\n_eprint: https://doi.org/10.1080/00268977500103011","page":"1489–1504","source":"Taylor and Francis+NEJM","title":"Magnetically induced circular emission of Cr(III): MgO","title-short":"Magnetically induced circular emission of Cr(III)","volume":"30","author":[{"family":"Shatwell","given":"R.A."},{"family":"McCaffery","given":"A.J."}],"issued":{"date-parts":[["1975",11,1]]}}},{"id":7453,"uris":["http://zotero.org/users/2011173/items/GWH8FZSA"],"itemData":{"id":7453,"type":"article-journal","abstract":"The magnetically induced, circular emission spectrum (MICE) of Cr(III) in hexagonal guanidinium aluminium sulphate hexahydrate has been measured together with the axial emission spectrum. Four lines are observed in the 2E region suggesting that these are the result of trigonal field and site symmetry splittings since each component exhibits an A term type dispersion. The MICE spectrum enables several of the vibrational features to be identified.","container-title":"Chemical Physics Letters","DOI":"10.1016/0009-2614(73)87040-X","ISSN":"0009-2614","issue":"3","journalAbbreviation":"Chem. Phys. Lett.","page":"600-602","source":"ScienceDirect","title":"The magnetically induced circular emission spectrum of Cr(III) in guanidinium aluminium sulphate","volume":"22","author":[{"family":"McCaffery","given":"A. J."},{"family":"Brint","given":"P."},{"family":"Gale","given":"R."},{"family":"Shatwell","given":"R. A."}],"issued":{"date-parts":[["1973",10,15]]}}}],"schema":"https://github.com/citation-style-language/schema/raw/master/csl-citation.json"}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65,66</w:t>
      </w:r>
      <w:r w:rsidRPr="00F9084A">
        <w:rPr>
          <w:sz w:val="18"/>
          <w:szCs w:val="18"/>
        </w:rPr>
        <w:fldChar w:fldCharType="end"/>
      </w:r>
      <w:r w:rsidRPr="00F9084A">
        <w:rPr>
          <w:sz w:val="18"/>
          <w:szCs w:val="18"/>
        </w:rPr>
        <w:t xml:space="preserve"> </w:t>
      </w:r>
      <w:r w:rsidR="008C6D49" w:rsidRPr="000C10A3">
        <w:rPr>
          <w:sz w:val="18"/>
          <w:szCs w:val="18"/>
          <w:highlight w:val="yellow"/>
        </w:rPr>
        <w:t xml:space="preserve">MCD </w:t>
      </w:r>
      <w:r w:rsidR="00321E47">
        <w:rPr>
          <w:sz w:val="18"/>
          <w:szCs w:val="18"/>
          <w:highlight w:val="yellow"/>
        </w:rPr>
        <w:t>was</w:t>
      </w:r>
      <w:r w:rsidR="00DD1574">
        <w:rPr>
          <w:sz w:val="18"/>
          <w:szCs w:val="18"/>
          <w:highlight w:val="yellow"/>
        </w:rPr>
        <w:t xml:space="preserve"> also</w:t>
      </w:r>
      <w:r w:rsidR="008C6D49" w:rsidRPr="000C10A3">
        <w:rPr>
          <w:sz w:val="18"/>
          <w:szCs w:val="18"/>
          <w:highlight w:val="yellow"/>
        </w:rPr>
        <w:t xml:space="preserve"> used to study</w:t>
      </w:r>
      <w:r w:rsidR="008103E5">
        <w:rPr>
          <w:sz w:val="18"/>
          <w:szCs w:val="18"/>
          <w:highlight w:val="yellow"/>
        </w:rPr>
        <w:t xml:space="preserve"> </w:t>
      </w:r>
      <w:r w:rsidR="00337145">
        <w:rPr>
          <w:sz w:val="18"/>
          <w:szCs w:val="18"/>
          <w:highlight w:val="yellow"/>
        </w:rPr>
        <w:t>far red/</w:t>
      </w:r>
      <w:r w:rsidR="008D0B44">
        <w:rPr>
          <w:sz w:val="18"/>
          <w:szCs w:val="18"/>
          <w:highlight w:val="yellow"/>
        </w:rPr>
        <w:t>near infrared (NIR)</w:t>
      </w:r>
      <w:r w:rsidR="008C6D49" w:rsidRPr="000C10A3">
        <w:rPr>
          <w:sz w:val="18"/>
          <w:szCs w:val="18"/>
          <w:highlight w:val="yellow"/>
        </w:rPr>
        <w:t xml:space="preserve"> transition</w:t>
      </w:r>
      <w:r w:rsidR="00AB25B3" w:rsidRPr="000C10A3">
        <w:rPr>
          <w:sz w:val="18"/>
          <w:szCs w:val="18"/>
          <w:highlight w:val="yellow"/>
        </w:rPr>
        <w:t>s</w:t>
      </w:r>
      <w:r w:rsidR="008C6D49" w:rsidRPr="000C10A3">
        <w:rPr>
          <w:sz w:val="18"/>
          <w:szCs w:val="18"/>
          <w:highlight w:val="yellow"/>
        </w:rPr>
        <w:t xml:space="preserve"> in the case of </w:t>
      </w:r>
      <w:proofErr w:type="spellStart"/>
      <w:r w:rsidR="008C6D49" w:rsidRPr="000C10A3">
        <w:rPr>
          <w:sz w:val="18"/>
          <w:szCs w:val="18"/>
          <w:highlight w:val="yellow"/>
        </w:rPr>
        <w:t>Ir</w:t>
      </w:r>
      <w:proofErr w:type="spellEnd"/>
      <w:r w:rsidR="008C6D49" w:rsidRPr="000C10A3">
        <w:rPr>
          <w:sz w:val="18"/>
          <w:szCs w:val="18"/>
          <w:highlight w:val="yellow"/>
        </w:rPr>
        <w:t xml:space="preserve"> or Pt complexes,</w:t>
      </w:r>
      <w:r w:rsidR="008C6D49" w:rsidRPr="000C10A3">
        <w:rPr>
          <w:sz w:val="18"/>
          <w:szCs w:val="18"/>
          <w:highlight w:val="yellow"/>
        </w:rPr>
        <w:fldChar w:fldCharType="begin"/>
      </w:r>
      <w:r w:rsidR="00924348" w:rsidRPr="000C10A3">
        <w:rPr>
          <w:sz w:val="18"/>
          <w:szCs w:val="18"/>
          <w:highlight w:val="yellow"/>
        </w:rPr>
        <w:instrText xml:space="preserve"> ADDIN ZOTERO_ITEM CSL_CITATION {"citationID":"dQdr2s6c","properties":{"formattedCitation":"\\super 67,68\\nosupersub{}","plainCitation":"67,68","noteIndex":0},"citationItems":[{"id":7658,"uris":["http://zotero.org/users/2011173/items/2MELDZ34"],"itemData":{"id":7658,"type":"article-journal","abstract":"The lowest excited triplet (T1) state of an iridium(III) phthalocyanine (IrPc) complex was investigated by electronic absorption, magnetic circular dichroism (MCD), and emission spectroscopy. The introduction of the iridium(III) center, which possesses strong spin–orbit coupling, induced the appearance of transitions between the singlet ground state (S0) and the T1 state (S0↔T1). These transitions were characterized by room-temperature observations of: (i) the relatively intense, sharp T1→S0 phosphorescence in the near infrared (NIR) region and (ii) the distinct S0→T1 absorption band. Further, in addition to two Faraday A terms corresponding to the Q- and B-bands, a third Faraday A term was successfully observed for the S0→T1 transition, indicating that the T1x and T1y states were degenerate in accordance with the expected D4h symmetry of the π-conjugated system of IrPc. To the best of our knowledge, this is the first observation of the Faraday A term of the S0→T1 transition in porphyrin compounds.","container-title":"European Journal of Inorganic Chemistry","DOI":"10.1002/ejic.201700668","ISSN":"1099-0682","issue":"44","language":"en","license":"© 2017 WILEY-VCH Verlag GmbH &amp; Co. KGaA, Weinheim","note":"_eprint: https://onlinelibrary.wiley.com/doi/pdf/10.1002/ejic.201700668","page":"5103-5107","source":"Wiley Online Library","title":"Near Infra-Red S0↔T1 Transitions of Iridium(III) Phthalocyanine: Degeneracy of the T1 State Evidenced by Magnetic Circular Dichroism","title-short":"Near Infra-Red S0↔T1 Transitions of Iridium(III) Phthalocyanine","volume":"2017","author":[{"family":"Murata","given":"Kei"},{"family":"Ishii","given":"Kazuyuki"}],"issued":{"date-parts":[["2017"]]}}},{"id":7656,"uris":["http://zotero.org/users/2011173/items/LR879CK4"],"itemData":{"id":7656,"type":"article-journal","abstract":"In recent years, the importance of analyzing excited triplet states has increased dramatically because of their relevance in the design and development of photofunctional molecules. Since the second lowest excited triplet (T2) state plays an important role in enhancing the nonradiative intersystem crossing (ISC) process from the lowest excited singlet (S1) state to the lowest excited triplet (T1) state, it is strongly desired to develop direct observation methods for the nonluminescent, short-lived T2 state. In this study, the excited triplet states of platinum(II) octaethylporphyrin (PtOEP), which was used as the first phosphorescent organic light emitting diode and oxygen sensor, are investigated using UV–vis absorption, magnetic circular dichroism, and phosphorescence spectroscopies. At low temperature, in highly concentrated solutions, we observe a distinct Faraday A term for the S0 → T1 transition, as well as for the S0 → T2 transition. The novel spectroscopic methodology applied allows resolution of the excited-state properties of a wide variety of molecular systems.","container-title":"The Journal of Physical Chemistry Letters","DOI":"10.1021/acs.jpclett.0c02469","issue":"22","journalAbbreviation":"J. Phys. Chem. Lett.","note":"publisher: American Chemical Society","page":"9828-9833","source":"ACS Publications","title":"Direct Observation of the S0 → T2 Transition in Phosphorescent Platinum(II) Octaethylporphyrin, Evidenced by Magnetic Circular Dichroism","volume":"11","author":[{"family":"Ishii","given":"Kazuyuki"},{"family":"Wada","given":"Junya"},{"family":"Murata","given":"Kei"}],"issued":{"date-parts":[["2020",11,19]]}}}],"schema":"https://github.com/citation-style-language/schema/raw/master/csl-citation.json"} </w:instrText>
      </w:r>
      <w:r w:rsidR="008C6D49" w:rsidRPr="000C10A3">
        <w:rPr>
          <w:sz w:val="18"/>
          <w:szCs w:val="18"/>
          <w:highlight w:val="yellow"/>
        </w:rPr>
        <w:fldChar w:fldCharType="separate"/>
      </w:r>
      <w:r w:rsidR="00924348" w:rsidRPr="000C10A3">
        <w:rPr>
          <w:rFonts w:ascii="Calibri" w:hAnsi="Calibri" w:cs="Calibri"/>
          <w:sz w:val="18"/>
          <w:highlight w:val="yellow"/>
          <w:vertAlign w:val="superscript"/>
        </w:rPr>
        <w:t>67,68</w:t>
      </w:r>
      <w:r w:rsidR="008C6D49" w:rsidRPr="000C10A3">
        <w:rPr>
          <w:sz w:val="18"/>
          <w:szCs w:val="18"/>
          <w:highlight w:val="yellow"/>
        </w:rPr>
        <w:fldChar w:fldCharType="end"/>
      </w:r>
      <w:r w:rsidR="008C6D49" w:rsidRPr="000C10A3">
        <w:rPr>
          <w:sz w:val="18"/>
          <w:szCs w:val="18"/>
          <w:highlight w:val="yellow"/>
        </w:rPr>
        <w:t xml:space="preserve"> </w:t>
      </w:r>
      <w:r w:rsidR="00AB25B3" w:rsidRPr="000C10A3">
        <w:rPr>
          <w:sz w:val="18"/>
          <w:szCs w:val="18"/>
          <w:highlight w:val="yellow"/>
        </w:rPr>
        <w:t>where their observation through emission</w:t>
      </w:r>
      <w:r w:rsidR="000910ED" w:rsidRPr="000C10A3">
        <w:rPr>
          <w:sz w:val="18"/>
          <w:szCs w:val="18"/>
          <w:highlight w:val="yellow"/>
        </w:rPr>
        <w:t xml:space="preserve">, and thus MCPL, </w:t>
      </w:r>
      <w:r w:rsidR="00AB25B3" w:rsidRPr="000C10A3">
        <w:rPr>
          <w:sz w:val="18"/>
          <w:szCs w:val="18"/>
          <w:highlight w:val="yellow"/>
        </w:rPr>
        <w:t>is challenging</w:t>
      </w:r>
      <w:r w:rsidR="008C6D49" w:rsidRPr="000C10A3">
        <w:rPr>
          <w:sz w:val="18"/>
          <w:szCs w:val="18"/>
          <w:highlight w:val="yellow"/>
        </w:rPr>
        <w:t xml:space="preserve">. </w:t>
      </w:r>
      <w:r w:rsidR="002137BD" w:rsidRPr="000C10A3">
        <w:rPr>
          <w:sz w:val="18"/>
          <w:szCs w:val="18"/>
          <w:highlight w:val="yellow"/>
        </w:rPr>
        <w:t xml:space="preserve">On the other hand, emissive </w:t>
      </w:r>
      <w:proofErr w:type="gramStart"/>
      <w:r w:rsidR="002137BD" w:rsidRPr="000C10A3">
        <w:rPr>
          <w:sz w:val="18"/>
          <w:szCs w:val="18"/>
          <w:highlight w:val="yellow"/>
        </w:rPr>
        <w:t>Cr</w:t>
      </w:r>
      <w:r w:rsidR="00427B65">
        <w:rPr>
          <w:sz w:val="18"/>
          <w:szCs w:val="18"/>
          <w:highlight w:val="yellow"/>
        </w:rPr>
        <w:t>(</w:t>
      </w:r>
      <w:proofErr w:type="gramEnd"/>
      <w:r w:rsidR="00427B65">
        <w:rPr>
          <w:sz w:val="18"/>
          <w:szCs w:val="18"/>
          <w:highlight w:val="yellow"/>
        </w:rPr>
        <w:t>III)</w:t>
      </w:r>
      <w:r w:rsidR="002137BD" w:rsidRPr="000C10A3">
        <w:rPr>
          <w:sz w:val="18"/>
          <w:szCs w:val="18"/>
          <w:highlight w:val="yellow"/>
        </w:rPr>
        <w:t xml:space="preserve"> compounds </w:t>
      </w:r>
      <w:r w:rsidR="000910ED" w:rsidRPr="000C10A3">
        <w:rPr>
          <w:sz w:val="18"/>
          <w:szCs w:val="18"/>
          <w:highlight w:val="yellow"/>
        </w:rPr>
        <w:t>are potentially</w:t>
      </w:r>
      <w:r w:rsidR="002137BD" w:rsidRPr="000C10A3">
        <w:rPr>
          <w:sz w:val="18"/>
          <w:szCs w:val="18"/>
          <w:highlight w:val="yellow"/>
        </w:rPr>
        <w:t xml:space="preserve"> a</w:t>
      </w:r>
      <w:r w:rsidR="000910ED" w:rsidRPr="000C10A3">
        <w:rPr>
          <w:sz w:val="18"/>
          <w:szCs w:val="18"/>
          <w:highlight w:val="yellow"/>
        </w:rPr>
        <w:t xml:space="preserve"> more suitable </w:t>
      </w:r>
      <w:r w:rsidR="002137BD" w:rsidRPr="000C10A3">
        <w:rPr>
          <w:sz w:val="18"/>
          <w:szCs w:val="18"/>
          <w:highlight w:val="yellow"/>
        </w:rPr>
        <w:t>platform</w:t>
      </w:r>
      <w:r w:rsidR="003A3928" w:rsidRPr="000C10A3">
        <w:rPr>
          <w:sz w:val="18"/>
          <w:szCs w:val="18"/>
          <w:highlight w:val="yellow"/>
        </w:rPr>
        <w:t xml:space="preserve"> to address </w:t>
      </w:r>
      <w:r w:rsidR="008103E5">
        <w:rPr>
          <w:sz w:val="18"/>
          <w:szCs w:val="18"/>
          <w:highlight w:val="yellow"/>
        </w:rPr>
        <w:t>metal</w:t>
      </w:r>
      <w:r w:rsidR="003A3928" w:rsidRPr="000C10A3">
        <w:rPr>
          <w:sz w:val="18"/>
          <w:szCs w:val="18"/>
          <w:highlight w:val="yellow"/>
        </w:rPr>
        <w:t xml:space="preserve"> transitions through MCPL.</w:t>
      </w:r>
      <w:r w:rsidR="003A3928">
        <w:rPr>
          <w:sz w:val="18"/>
          <w:szCs w:val="18"/>
        </w:rPr>
        <w:t xml:space="preserve"> </w:t>
      </w:r>
      <w:r w:rsidRPr="00F9084A">
        <w:rPr>
          <w:sz w:val="18"/>
          <w:szCs w:val="18"/>
        </w:rPr>
        <w:t xml:space="preserve">On a fundamental level, an analysis of the MCPL spectrum can elucidate the nature of the excited and ground states, Zeeman effects, etc., and along with other techniques can help to understand the full picture of the </w:t>
      </w:r>
      <w:proofErr w:type="spellStart"/>
      <w:r w:rsidRPr="00F9084A">
        <w:rPr>
          <w:sz w:val="18"/>
          <w:szCs w:val="18"/>
        </w:rPr>
        <w:t>photophysics</w:t>
      </w:r>
      <w:proofErr w:type="spellEnd"/>
      <w:r w:rsidRPr="00F9084A">
        <w:rPr>
          <w:sz w:val="18"/>
          <w:szCs w:val="18"/>
        </w:rPr>
        <w:t xml:space="preserve"> of a complex system.</w:t>
      </w:r>
      <w:r w:rsidRPr="00F9084A">
        <w:rPr>
          <w:sz w:val="18"/>
          <w:szCs w:val="18"/>
        </w:rPr>
        <w:fldChar w:fldCharType="begin"/>
      </w:r>
      <w:r w:rsidR="000C7757" w:rsidRPr="00F9084A">
        <w:rPr>
          <w:sz w:val="18"/>
          <w:szCs w:val="18"/>
        </w:rPr>
        <w:instrText xml:space="preserve"> ADDIN ZOTERO_ITEM CSL_CITATION {"citationID":"FaY080xf","properties":{"formattedCitation":"\\super 44\\nosupersub{}","plainCitation":"44","noteIndex":0},"citationItems":[{"id":7421,"uris":["http://zotero.org/users/2011173/items/EZWQVTTN"],"itemData":{"id":7421,"type":"article-journal","abstract":"Achiral purely organic molecules can show selectivity towards circularly polarized light in emission in the presence of a magnetic field. This phenomenon is called magnetic circularly polarized luminescence (MCPL). Recently a few examples of MCPL from organic molecules have appeared in the literature. Through this technique, interesting photophysical information can be inferred and, moreover, a few technological applications can be devised based on this principle. This short review has the purpose to give a general introduction to this recent field of research and some critical insights on the reported examples.","container-title":"European Journal of Organic Chemistry","DOI":"10.1002/ejoc.202300509","ISSN":"1099-0690","issue":"37","journalAbbreviation":"Eur. J. Org. Chem.","language":"en","license":"© 2023 The Authors. European Journal of Organic Chemistry published by Wiley-VCH GmbH","note":"_eprint: https://onlinelibrary.wiley.com/doi/pdf/10.1002/ejoc.202300509","page":"e202300509","source":"Wiley Online Library","title":"Magnetic Circularly Polarized Luminescence of Organic Compounds","volume":"26","author":[{"family":"Zinna","given":"Francesco"},{"family":"Pescitelli","given":"Gennaro"}],"issued":{"date-parts":[["2023"]]}}}],"schema":"https://github.com/citation-style-language/schema/raw/master/csl-citation.json"}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44</w:t>
      </w:r>
      <w:r w:rsidRPr="00F9084A">
        <w:rPr>
          <w:sz w:val="18"/>
          <w:szCs w:val="18"/>
        </w:rPr>
        <w:fldChar w:fldCharType="end"/>
      </w:r>
      <w:r w:rsidRPr="00F9084A">
        <w:rPr>
          <w:sz w:val="18"/>
          <w:szCs w:val="18"/>
        </w:rPr>
        <w:t xml:space="preserve"> Moreover, MCPL-active compounds have recently found applications in OLEDs able to emit circularly polarized electroluminescence in a magnetic field (MCP-OLEDs),</w:t>
      </w:r>
      <w:r w:rsidRPr="00F9084A">
        <w:rPr>
          <w:sz w:val="18"/>
          <w:szCs w:val="18"/>
        </w:rPr>
        <w:fldChar w:fldCharType="begin"/>
      </w:r>
      <w:r w:rsidR="00924348">
        <w:rPr>
          <w:sz w:val="18"/>
          <w:szCs w:val="18"/>
        </w:rPr>
        <w:instrText xml:space="preserve"> ADDIN ZOTERO_ITEM CSL_CITATION {"citationID":"stc85Qf0","properties":{"formattedCitation":"\\super 69\\uc0\\u8211{}72\\nosupersub{}","plainCitation":"69–72","noteIndex":0},"citationItems":[{"id":7455,"uris":["http://zotero.org/users/2011173/items/CG57A68X"],"itemData":{"id":7455,"type":"article-journal","abstract":"This work reports the development of external magnetic field (EMF) driven, ambidextrous, circularly polarized electroluminescence (CPEL) devices, by embedding racemic mixtures of phosphorescent organoiridium(III) emitters in the active emitting layer. Homoleptic tris-cyclometalated Ir(III)(ppy)3 and heteroleptic bis-cyclometalated Ir(III)(ppy)2(acac) (ppy=2-phenylpyridinate, acac=acetylacetonate) were used as the representative organoiridium(III) compounds. Chiroptical inversion of CPEL was influenced by the ligand environment in the Ir(III) complexes (homoleptic or heteroleptic), as well as the Faraday geometry.","container-title":"ChemPhotoChem","DOI":"10.1002/cptc.202100253","ISSN":"2367-0932","issue":"4","language":"en","license":"© 2021 Wiley-VCH GmbH","note":"_eprint: https://onlinelibrary.wiley.com/doi/pdf/10.1002/cptc.202100253","page":"e202100253","source":"Wiley Online Library","title":"External Magnetic Field Driven, Ambidextrous Circularly Polarized Electroluminescence from Organic Light Emitting Diodes Containing Racemic Cyclometalated Iridium(III) Complexes","volume":"6","author":[{"family":"Hara","given":"Kengo"},{"family":"Morimoto","given":"Ami"},{"family":"Matsudaira","given":"Kana"},{"family":"Suzuki","given":"Satoko"},{"family":"Yagi","given":"Shigeyuki"},{"family":"Fujiki","given":"Michiya"},{"family":"Imai","given":"Yoshitane"}],"issued":{"date-parts":[["2022"]]}}},{"id":7457,"uris":["http://zotero.org/users/2011173/items/BHSTEGV3"],"itemData":{"id":7457,"type":"article-journal","abstract":"An achiral optically inactive organic luminophore, 4CzIPN, exhibits circularly polarized thermally activated delayed fluorescence when photoexcited under an external magnetic field. By embedding this luminophore in an active emission layer, an external-magnetic-field-induced circularly polarized electroluminescent device is developed in this study. The Faraday geometry of the applied magnetic field completely controls the direction of rotation of 4CzIPN-derived circularly polarized luminescence and electroluminescence. This is a provisional file, not the final typeset article the small energy gap between singlet and triplet excitation states facilitates endothermic conversion of the triplet to singlet exciton via an inverse intersystem crossing (","container-title":"Frontiers in Chemistry","DOI":"10.3389/fchem.2023.1281168","ISSN":"2296-2646","journalAbbreviation":"Front. Chem.","language":"English","note":"publisher: Frontiers","source":"Frontiers","title":"External magnetic field-induced circularly polarized luminescence and electroluminescence from optically inactive thermally activated delayed fluorescence material 4CzIPN","URL":"https://www.frontiersin.org/articles/10.3389/fchem.2023.1281168","volume":"11","author":[{"family":"Kuroda","given":"Takumi"},{"family":"Kitahara","given":"Maho"},{"family":"Yagi","given":"Shigeyuki"},{"family":"Imai","given":"Yoshitane"}],"accessed":{"date-parts":[["2024",4,29]]},"issued":{"date-parts":[["2023",10,20]]}}},{"id":7458,"uris":["http://zotero.org/users/2011173/items/6DSSL9XI"],"itemData":{"id":7458,"type":"article-journal","abstract":"In this study, optically inactive racemic phosphorescent iridium(III) luminophores were embedded into the luminescent active layer of each device, and red–green–blue–yellow (RGBY)-full-color external magnetic field-driven circularly polarized electroluminescence (CPEL) was generated from organic light-emitting diodes (OLEDs). The optically inactive organic iridium(III) luminophores selected for this study were IrIII(piq)3 and IrIII(ppy)3, composed of achiral organic ligands with homoleptic tris-cyclometalated structures, and IrIII(F2-ppy)2(pic) and IrIII(BT)2(acac), with heteroleptic bis-cyclometalated structures, where piq, ppy, F2-ppy, pic, BT, and acac refer to 1-phenylisoquinolinate, 2-phenylpyridinate, 2-(4′, 6′-difluorophenyl)pyridinate, picolinate, 2-phenylbenzo[d]thiazolate, and acetylacetonate, respectively. As a result, full-color magnetic CPELs (MCPELs) were successfully generated from each magnetic circularly polarized OLED (MCP-OLED) with high efficiency, despite the use of chirality-free organic iridium(III) luminophores. In this MCP-OLED system, the direction of rotation of the MCPEL can be controlled by the ligand environment of the IrIII luminophore (homoleptic or heteroleptic structure) and the direction of the applied magnetic field (Faraday geometry).","container-title":"Organic Electronics","DOI":"10.1016/j.orgel.2023.106814","ISSN":"1566-1199","journalAbbreviation":"Organic Electronics","page":"106814","source":"ScienceDirect","title":"Red–green–blue–yellow (RGBY) magnetic circularly polarized electroluminescence from iridium(III)-magnetic circularly polarized organic light-emitting diodes","volume":"119","author":[{"family":"Kitahara","given":"Maho"},{"family":"Hara","given":"Kengo"},{"family":"Suzuki","given":"Seika"},{"family":"Iwasaki","given":"Hiroshi"},{"family":"Yagi","given":"Shigeyuki"},{"family":"Imai","given":"Yoshitane"}],"issued":{"date-parts":[["2023",8,1]]}}},{"id":7459,"uris":["http://zotero.org/users/2011173/items/K9ZM5H4T"],"itemData":{"id":7459,"type":"article-journal","abstract":"Electroluminescent devices such as circularly polarised organic light-emitting diodes (CP-OLEDs) fabricated by conventional methods do not exhibit adequate circularly polarised electroluminescence (CPEL) with high circular polarisation. Therefore, new approaches for CPEL and CP-OLED systems are needed. We developed an external-magnetic-field-driven CP-OLED device that emits red CPEL by integrating an achiral optically inactive phosphorescent platinum(II) porphyrin luminophore (PtOEP) in the emission layer (EML). This magnetic CP-OLED system can simultaneously emit circularly polarised light with opposite rotations from the EML in the N-up and S-up directions of the applied magnetic field. By utilising this mechanism that allows simultaneous emission upon the application of a magnetic field and the reflection-reversal property of circularly polarized light, we may suppress the decrease in both the luminosity and circular polarisation of CPEL. The direction of rotation of CPEL was successfully reversed by switching the Faraday geometry of the applied magnetic field. This approach can promote the development of novel CP-OLED devices.","container-title":"Journal of Materials Chemistry C","DOI":"10.1039/D4TC00048J","ISSN":"2050-7534","issue":"10","journalAbbreviation":"J. Mater. Chem. C","language":"en","note":"publisher: The Royal Society of Chemistry","page":"3430-3436","source":"pubs.rsc.org","title":"Enhancement of circularly polarized electroluminescence via reflection reversal under a magnetic field","volume":"12","author":[{"family":"Suzuki","given":"Seika"},{"family":"Yamamoto","given":"Yuta"},{"family":"Kitahara","given":"Maho"},{"family":"Shikura","given":"Ryuta"},{"family":"Yagi","given":"Shigeyuki"},{"family":"Imai","given":"Yoshitane"}],"issued":{"date-parts":[["2024",3,7]]}}}],"schema":"https://github.com/citation-style-language/schema/raw/master/csl-citation.json"} </w:instrText>
      </w:r>
      <w:r w:rsidRPr="00F9084A">
        <w:rPr>
          <w:sz w:val="18"/>
          <w:szCs w:val="18"/>
        </w:rPr>
        <w:fldChar w:fldCharType="separate"/>
      </w:r>
      <w:r w:rsidR="00924348" w:rsidRPr="00924348">
        <w:rPr>
          <w:rFonts w:ascii="Aptos" w:hAnsi="Aptos" w:cs="Times New Roman"/>
          <w:sz w:val="18"/>
          <w:vertAlign w:val="superscript"/>
        </w:rPr>
        <w:t>69–72</w:t>
      </w:r>
      <w:r w:rsidRPr="00F9084A">
        <w:rPr>
          <w:sz w:val="18"/>
          <w:szCs w:val="18"/>
        </w:rPr>
        <w:fldChar w:fldCharType="end"/>
      </w:r>
      <w:r w:rsidRPr="00F9084A">
        <w:rPr>
          <w:sz w:val="18"/>
          <w:szCs w:val="18"/>
        </w:rPr>
        <w:t xml:space="preserve"> therefore there is also a practical interest in unveiling different types of emitters endowed with significant MCPL.</w:t>
      </w:r>
    </w:p>
    <w:p w14:paraId="12192C42" w14:textId="2D066C94" w:rsidR="00C467EE" w:rsidRPr="00F9084A" w:rsidRDefault="00C467EE" w:rsidP="00C467EE">
      <w:pPr>
        <w:jc w:val="both"/>
        <w:rPr>
          <w:sz w:val="18"/>
          <w:szCs w:val="18"/>
        </w:rPr>
      </w:pPr>
      <w:r w:rsidRPr="00F9084A">
        <w:rPr>
          <w:sz w:val="18"/>
          <w:szCs w:val="18"/>
        </w:rPr>
        <w:t xml:space="preserve">In the following, we investigate the racemic </w:t>
      </w:r>
      <w:bookmarkStart w:id="4" w:name="_Hlk165994786"/>
      <w:r w:rsidRPr="00F9084A">
        <w:rPr>
          <w:sz w:val="18"/>
          <w:szCs w:val="18"/>
        </w:rPr>
        <w:t>[Cr(</w:t>
      </w:r>
      <w:proofErr w:type="spellStart"/>
      <w:r w:rsidRPr="00F9084A">
        <w:rPr>
          <w:sz w:val="18"/>
          <w:szCs w:val="18"/>
        </w:rPr>
        <w:t>dqp</w:t>
      </w:r>
      <w:proofErr w:type="spellEnd"/>
      <w:r w:rsidRPr="00F9084A">
        <w:rPr>
          <w:sz w:val="18"/>
          <w:szCs w:val="18"/>
        </w:rPr>
        <w:t>)</w:t>
      </w:r>
      <w:proofErr w:type="gramStart"/>
      <w:r w:rsidRPr="00F9084A">
        <w:rPr>
          <w:sz w:val="18"/>
          <w:szCs w:val="18"/>
          <w:vertAlign w:val="subscript"/>
        </w:rPr>
        <w:t>2</w:t>
      </w:r>
      <w:r w:rsidRPr="00F9084A">
        <w:rPr>
          <w:sz w:val="18"/>
          <w:szCs w:val="18"/>
        </w:rPr>
        <w:t>](</w:t>
      </w:r>
      <w:proofErr w:type="gramEnd"/>
      <w:r w:rsidRPr="00F9084A">
        <w:rPr>
          <w:sz w:val="18"/>
          <w:szCs w:val="18"/>
        </w:rPr>
        <w:t>PF</w:t>
      </w:r>
      <w:r w:rsidRPr="00F9084A">
        <w:rPr>
          <w:sz w:val="18"/>
          <w:szCs w:val="18"/>
          <w:vertAlign w:val="subscript"/>
        </w:rPr>
        <w:t>6</w:t>
      </w:r>
      <w:r w:rsidRPr="00F9084A">
        <w:rPr>
          <w:sz w:val="18"/>
          <w:szCs w:val="18"/>
        </w:rPr>
        <w:t>)</w:t>
      </w:r>
      <w:r w:rsidRPr="00F9084A">
        <w:rPr>
          <w:sz w:val="18"/>
          <w:szCs w:val="18"/>
          <w:vertAlign w:val="subscript"/>
        </w:rPr>
        <w:t>3</w:t>
      </w:r>
      <w:r w:rsidRPr="00F9084A">
        <w:rPr>
          <w:sz w:val="18"/>
          <w:szCs w:val="18"/>
        </w:rPr>
        <w:t xml:space="preserve"> </w:t>
      </w:r>
      <w:bookmarkEnd w:id="4"/>
      <w:r w:rsidR="00272B83" w:rsidRPr="00F9084A">
        <w:rPr>
          <w:sz w:val="18"/>
          <w:szCs w:val="18"/>
        </w:rPr>
        <w:t xml:space="preserve">material </w:t>
      </w:r>
      <w:r w:rsidRPr="00F9084A">
        <w:rPr>
          <w:sz w:val="18"/>
          <w:szCs w:val="18"/>
        </w:rPr>
        <w:t xml:space="preserve">by MCPL and </w:t>
      </w:r>
      <w:r w:rsidR="00D9458E" w:rsidRPr="00F9084A">
        <w:rPr>
          <w:sz w:val="18"/>
          <w:szCs w:val="18"/>
        </w:rPr>
        <w:t>MCD</w:t>
      </w:r>
      <w:r w:rsidR="0024706C" w:rsidRPr="00F9084A">
        <w:rPr>
          <w:sz w:val="18"/>
          <w:szCs w:val="18"/>
        </w:rPr>
        <w:t xml:space="preserve"> </w:t>
      </w:r>
      <w:r w:rsidRPr="00F9084A">
        <w:rPr>
          <w:sz w:val="18"/>
          <w:szCs w:val="18"/>
        </w:rPr>
        <w:t>(Figure 1b). As introduced above, [Cr(</w:t>
      </w:r>
      <w:proofErr w:type="spellStart"/>
      <w:r w:rsidRPr="00F9084A">
        <w:rPr>
          <w:sz w:val="18"/>
          <w:szCs w:val="18"/>
        </w:rPr>
        <w:t>dqp</w:t>
      </w:r>
      <w:proofErr w:type="spellEnd"/>
      <w:r w:rsidRPr="00F9084A">
        <w:rPr>
          <w:sz w:val="18"/>
          <w:szCs w:val="18"/>
        </w:rPr>
        <w:t>)</w:t>
      </w:r>
      <w:r w:rsidRPr="00F9084A">
        <w:rPr>
          <w:sz w:val="18"/>
          <w:szCs w:val="18"/>
          <w:vertAlign w:val="subscript"/>
        </w:rPr>
        <w:t>2</w:t>
      </w:r>
      <w:r w:rsidRPr="00F9084A">
        <w:rPr>
          <w:sz w:val="18"/>
          <w:szCs w:val="18"/>
        </w:rPr>
        <w:t>]</w:t>
      </w:r>
      <w:r w:rsidRPr="00F9084A">
        <w:rPr>
          <w:sz w:val="18"/>
          <w:szCs w:val="18"/>
          <w:vertAlign w:val="superscript"/>
        </w:rPr>
        <w:t>3+</w:t>
      </w:r>
      <w:r w:rsidRPr="00F9084A">
        <w:rPr>
          <w:sz w:val="18"/>
          <w:szCs w:val="18"/>
        </w:rPr>
        <w:t xml:space="preserve"> is one of the archetypes of a molecular ruby and the same concept shown here may be applied to similar systems.</w:t>
      </w:r>
    </w:p>
    <w:p w14:paraId="43BDA205" w14:textId="01430C68" w:rsidR="00993266" w:rsidRPr="00F9084A" w:rsidRDefault="00993266" w:rsidP="004F580F">
      <w:pPr>
        <w:jc w:val="both"/>
        <w:rPr>
          <w:b/>
          <w:bCs/>
        </w:rPr>
      </w:pPr>
      <w:r w:rsidRPr="00F9084A">
        <w:rPr>
          <w:b/>
          <w:bCs/>
        </w:rPr>
        <w:t>Results and Discussion</w:t>
      </w:r>
    </w:p>
    <w:p w14:paraId="0C164A8E" w14:textId="44D990DB" w:rsidR="004F580F" w:rsidRPr="00F9084A" w:rsidRDefault="00972949" w:rsidP="004D3685">
      <w:pPr>
        <w:spacing w:after="0"/>
        <w:jc w:val="both"/>
        <w:rPr>
          <w:sz w:val="18"/>
          <w:szCs w:val="18"/>
        </w:rPr>
      </w:pPr>
      <w:r w:rsidRPr="000C10A3">
        <w:rPr>
          <w:sz w:val="18"/>
          <w:szCs w:val="18"/>
          <w:highlight w:val="yellow"/>
        </w:rPr>
        <w:t xml:space="preserve">Optical and magneto-optical studies reported here were performed on </w:t>
      </w:r>
      <w:proofErr w:type="spellStart"/>
      <w:r w:rsidR="009B2CA1" w:rsidRPr="000C10A3">
        <w:rPr>
          <w:sz w:val="18"/>
          <w:szCs w:val="18"/>
          <w:highlight w:val="yellow"/>
        </w:rPr>
        <w:t>deareated</w:t>
      </w:r>
      <w:proofErr w:type="spellEnd"/>
      <w:r w:rsidR="009B2CA1" w:rsidRPr="000C10A3">
        <w:rPr>
          <w:sz w:val="18"/>
          <w:szCs w:val="18"/>
          <w:highlight w:val="yellow"/>
        </w:rPr>
        <w:t xml:space="preserve"> </w:t>
      </w:r>
      <w:r w:rsidR="00E968D4" w:rsidRPr="000C10A3">
        <w:rPr>
          <w:sz w:val="18"/>
          <w:szCs w:val="18"/>
          <w:highlight w:val="yellow"/>
        </w:rPr>
        <w:t>acetonitrile solutions of the racemic compound ([Cr(</w:t>
      </w:r>
      <w:proofErr w:type="spellStart"/>
      <w:r w:rsidR="00E968D4" w:rsidRPr="000C10A3">
        <w:rPr>
          <w:sz w:val="18"/>
          <w:szCs w:val="18"/>
          <w:highlight w:val="yellow"/>
        </w:rPr>
        <w:t>dqp</w:t>
      </w:r>
      <w:proofErr w:type="spellEnd"/>
      <w:r w:rsidR="00E968D4" w:rsidRPr="000C10A3">
        <w:rPr>
          <w:sz w:val="18"/>
          <w:szCs w:val="18"/>
          <w:highlight w:val="yellow"/>
        </w:rPr>
        <w:t>)</w:t>
      </w:r>
      <w:proofErr w:type="gramStart"/>
      <w:r w:rsidR="00E968D4" w:rsidRPr="000C10A3">
        <w:rPr>
          <w:sz w:val="18"/>
          <w:szCs w:val="18"/>
          <w:highlight w:val="yellow"/>
          <w:vertAlign w:val="subscript"/>
        </w:rPr>
        <w:t>2</w:t>
      </w:r>
      <w:r w:rsidR="00E968D4" w:rsidRPr="000C10A3">
        <w:rPr>
          <w:sz w:val="18"/>
          <w:szCs w:val="18"/>
          <w:highlight w:val="yellow"/>
        </w:rPr>
        <w:t>](</w:t>
      </w:r>
      <w:proofErr w:type="gramEnd"/>
      <w:r w:rsidR="00E968D4" w:rsidRPr="000C10A3">
        <w:rPr>
          <w:sz w:val="18"/>
          <w:szCs w:val="18"/>
          <w:highlight w:val="yellow"/>
        </w:rPr>
        <w:t>PF</w:t>
      </w:r>
      <w:r w:rsidR="00E968D4" w:rsidRPr="000C10A3">
        <w:rPr>
          <w:sz w:val="18"/>
          <w:szCs w:val="18"/>
          <w:highlight w:val="yellow"/>
          <w:vertAlign w:val="subscript"/>
        </w:rPr>
        <w:t>6</w:t>
      </w:r>
      <w:r w:rsidR="00E968D4" w:rsidRPr="000C10A3">
        <w:rPr>
          <w:sz w:val="18"/>
          <w:szCs w:val="18"/>
          <w:highlight w:val="yellow"/>
        </w:rPr>
        <w:t>)</w:t>
      </w:r>
      <w:r w:rsidR="00E968D4" w:rsidRPr="000C10A3">
        <w:rPr>
          <w:sz w:val="18"/>
          <w:szCs w:val="18"/>
          <w:highlight w:val="yellow"/>
          <w:vertAlign w:val="subscript"/>
        </w:rPr>
        <w:t>3</w:t>
      </w:r>
      <w:r w:rsidR="00E968D4" w:rsidRPr="000C10A3">
        <w:rPr>
          <w:sz w:val="18"/>
          <w:szCs w:val="18"/>
          <w:highlight w:val="yellow"/>
        </w:rPr>
        <w:t>).</w:t>
      </w:r>
      <w:r w:rsidR="00F409D1">
        <w:rPr>
          <w:sz w:val="18"/>
          <w:szCs w:val="18"/>
        </w:rPr>
        <w:t xml:space="preserve"> </w:t>
      </w:r>
      <w:r w:rsidR="004F580F" w:rsidRPr="00F9084A">
        <w:rPr>
          <w:sz w:val="18"/>
          <w:szCs w:val="18"/>
        </w:rPr>
        <w:t>The photoluminescence (PL) spectrum of [Cr(</w:t>
      </w:r>
      <w:proofErr w:type="spellStart"/>
      <w:r w:rsidR="004F580F" w:rsidRPr="00F9084A">
        <w:rPr>
          <w:sz w:val="18"/>
          <w:szCs w:val="18"/>
        </w:rPr>
        <w:t>dqp</w:t>
      </w:r>
      <w:proofErr w:type="spellEnd"/>
      <w:r w:rsidR="004F580F" w:rsidRPr="00F9084A">
        <w:rPr>
          <w:sz w:val="18"/>
          <w:szCs w:val="18"/>
        </w:rPr>
        <w:t>)</w:t>
      </w:r>
      <w:r w:rsidR="004F580F" w:rsidRPr="00F9084A">
        <w:rPr>
          <w:sz w:val="18"/>
          <w:szCs w:val="18"/>
          <w:vertAlign w:val="subscript"/>
        </w:rPr>
        <w:t>2</w:t>
      </w:r>
      <w:r w:rsidR="004F580F" w:rsidRPr="00F9084A">
        <w:rPr>
          <w:sz w:val="18"/>
          <w:szCs w:val="18"/>
        </w:rPr>
        <w:t>]</w:t>
      </w:r>
      <w:r w:rsidR="004F580F" w:rsidRPr="00F9084A">
        <w:rPr>
          <w:sz w:val="18"/>
          <w:szCs w:val="18"/>
          <w:vertAlign w:val="superscript"/>
        </w:rPr>
        <w:t>3+</w:t>
      </w:r>
      <w:r w:rsidR="004F580F" w:rsidRPr="00F9084A">
        <w:rPr>
          <w:sz w:val="18"/>
          <w:szCs w:val="18"/>
        </w:rPr>
        <w:t xml:space="preserve"> shows two main emission bands </w:t>
      </w:r>
      <w:r w:rsidR="0037164E" w:rsidRPr="00F9084A">
        <w:rPr>
          <w:sz w:val="18"/>
          <w:szCs w:val="18"/>
        </w:rPr>
        <w:t>centred</w:t>
      </w:r>
      <w:r w:rsidR="004F580F" w:rsidRPr="00F9084A">
        <w:rPr>
          <w:sz w:val="18"/>
          <w:szCs w:val="18"/>
        </w:rPr>
        <w:t xml:space="preserve"> at 7</w:t>
      </w:r>
      <w:r w:rsidR="002F7E0D">
        <w:rPr>
          <w:sz w:val="18"/>
          <w:szCs w:val="18"/>
        </w:rPr>
        <w:t>50</w:t>
      </w:r>
      <w:r w:rsidR="004F580F" w:rsidRPr="00F9084A">
        <w:rPr>
          <w:sz w:val="18"/>
          <w:szCs w:val="18"/>
        </w:rPr>
        <w:t xml:space="preserve"> and 72</w:t>
      </w:r>
      <w:r w:rsidR="002F7E0D">
        <w:rPr>
          <w:sz w:val="18"/>
          <w:szCs w:val="18"/>
        </w:rPr>
        <w:t>9</w:t>
      </w:r>
      <w:r w:rsidR="004F580F" w:rsidRPr="00F9084A">
        <w:rPr>
          <w:sz w:val="18"/>
          <w:szCs w:val="18"/>
        </w:rPr>
        <w:t xml:space="preserve"> nm (Figure 2), associated to the SF transitions (</w:t>
      </w:r>
      <w:r w:rsidR="004F580F" w:rsidRPr="00F9084A">
        <w:rPr>
          <w:sz w:val="18"/>
          <w:szCs w:val="18"/>
          <w:vertAlign w:val="superscript"/>
        </w:rPr>
        <w:t>2</w:t>
      </w:r>
      <w:r w:rsidR="004F580F" w:rsidRPr="00F9084A">
        <w:rPr>
          <w:sz w:val="18"/>
          <w:szCs w:val="18"/>
        </w:rPr>
        <w:t>E/</w:t>
      </w:r>
      <w:r w:rsidR="004F580F" w:rsidRPr="00F9084A">
        <w:rPr>
          <w:sz w:val="18"/>
          <w:szCs w:val="18"/>
          <w:vertAlign w:val="superscript"/>
        </w:rPr>
        <w:t>2</w:t>
      </w:r>
      <w:r w:rsidR="004F580F" w:rsidRPr="00F9084A">
        <w:rPr>
          <w:sz w:val="18"/>
          <w:szCs w:val="18"/>
        </w:rPr>
        <w:t>T</w:t>
      </w:r>
      <w:r w:rsidR="004F580F" w:rsidRPr="00F9084A">
        <w:rPr>
          <w:sz w:val="18"/>
          <w:szCs w:val="18"/>
          <w:vertAlign w:val="subscript"/>
        </w:rPr>
        <w:t>1</w:t>
      </w:r>
      <w:r w:rsidR="004F580F" w:rsidRPr="00F9084A">
        <w:rPr>
          <w:sz w:val="18"/>
          <w:szCs w:val="18"/>
        </w:rPr>
        <w:t xml:space="preserve"> </w:t>
      </w:r>
      <w:r w:rsidR="004F580F" w:rsidRPr="00F9084A">
        <w:rPr>
          <w:rFonts w:ascii="Symbol" w:eastAsia="Symbol" w:hAnsi="Symbol" w:cs="Symbol"/>
          <w:sz w:val="18"/>
          <w:szCs w:val="18"/>
        </w:rPr>
        <w:t></w:t>
      </w:r>
      <w:r w:rsidR="004F580F" w:rsidRPr="00F9084A">
        <w:rPr>
          <w:sz w:val="18"/>
          <w:szCs w:val="18"/>
        </w:rPr>
        <w:t xml:space="preserve"> </w:t>
      </w:r>
      <w:r w:rsidR="004F580F" w:rsidRPr="00F9084A">
        <w:rPr>
          <w:sz w:val="18"/>
          <w:szCs w:val="18"/>
          <w:vertAlign w:val="superscript"/>
        </w:rPr>
        <w:t>4</w:t>
      </w:r>
      <w:r w:rsidR="004F580F" w:rsidRPr="00F9084A">
        <w:rPr>
          <w:sz w:val="18"/>
          <w:szCs w:val="18"/>
        </w:rPr>
        <w:t>A</w:t>
      </w:r>
      <w:r w:rsidR="004F580F" w:rsidRPr="00F9084A">
        <w:rPr>
          <w:sz w:val="18"/>
          <w:szCs w:val="18"/>
          <w:vertAlign w:val="subscript"/>
        </w:rPr>
        <w:t>2</w:t>
      </w:r>
      <w:r w:rsidR="004F580F" w:rsidRPr="00F9084A">
        <w:rPr>
          <w:sz w:val="18"/>
          <w:szCs w:val="18"/>
        </w:rPr>
        <w:t xml:space="preserve">) from </w:t>
      </w:r>
      <w:r w:rsidR="00272B83" w:rsidRPr="00F9084A">
        <w:rPr>
          <w:sz w:val="18"/>
          <w:szCs w:val="18"/>
        </w:rPr>
        <w:t xml:space="preserve">the </w:t>
      </w:r>
      <w:r w:rsidR="004F580F" w:rsidRPr="00F9084A">
        <w:rPr>
          <w:sz w:val="18"/>
          <w:szCs w:val="18"/>
        </w:rPr>
        <w:t xml:space="preserve">sublevels of the doublet excited states (see Figure 1a) </w:t>
      </w:r>
      <w:r w:rsidR="00272B83" w:rsidRPr="00F9084A">
        <w:rPr>
          <w:sz w:val="18"/>
          <w:szCs w:val="18"/>
        </w:rPr>
        <w:t xml:space="preserve">to </w:t>
      </w:r>
      <w:r w:rsidR="004F580F" w:rsidRPr="00F9084A">
        <w:rPr>
          <w:sz w:val="18"/>
          <w:szCs w:val="18"/>
        </w:rPr>
        <w:t xml:space="preserve">the ground </w:t>
      </w:r>
      <w:r w:rsidR="004F580F" w:rsidRPr="00F9084A">
        <w:rPr>
          <w:sz w:val="18"/>
          <w:szCs w:val="18"/>
        </w:rPr>
        <w:lastRenderedPageBreak/>
        <w:t xml:space="preserve">state. The lower energy band appears </w:t>
      </w:r>
      <w:r w:rsidR="000D51F2">
        <w:rPr>
          <w:sz w:val="18"/>
          <w:szCs w:val="18"/>
        </w:rPr>
        <w:t>more intense</w:t>
      </w:r>
      <w:r w:rsidR="000D51F2" w:rsidRPr="00F9084A">
        <w:rPr>
          <w:sz w:val="18"/>
          <w:szCs w:val="18"/>
        </w:rPr>
        <w:t xml:space="preserve"> </w:t>
      </w:r>
      <w:r w:rsidR="004F580F" w:rsidRPr="00F9084A">
        <w:rPr>
          <w:sz w:val="18"/>
          <w:szCs w:val="18"/>
        </w:rPr>
        <w:t xml:space="preserve">than the higher energy one by a factor of 1.53 at 300 K, due to a higher Boltzmann population with an energy gap of </w:t>
      </w:r>
      <w:r w:rsidR="00F1797F">
        <w:rPr>
          <w:rFonts w:cstheme="minorHAnsi"/>
          <w:sz w:val="18"/>
          <w:szCs w:val="18"/>
        </w:rPr>
        <w:t>≈</w:t>
      </w:r>
      <w:r w:rsidR="004F580F" w:rsidRPr="00F9084A">
        <w:rPr>
          <w:sz w:val="18"/>
          <w:szCs w:val="18"/>
        </w:rPr>
        <w:t>42</w:t>
      </w:r>
      <w:r w:rsidR="00F1797F">
        <w:rPr>
          <w:sz w:val="18"/>
          <w:szCs w:val="18"/>
        </w:rPr>
        <w:t>0</w:t>
      </w:r>
      <w:r w:rsidR="004F580F" w:rsidRPr="00F9084A">
        <w:rPr>
          <w:sz w:val="18"/>
          <w:szCs w:val="18"/>
        </w:rPr>
        <w:t xml:space="preserve"> cm</w:t>
      </w:r>
      <w:r w:rsidR="004F580F" w:rsidRPr="00F9084A">
        <w:rPr>
          <w:sz w:val="18"/>
          <w:szCs w:val="18"/>
          <w:vertAlign w:val="superscript"/>
        </w:rPr>
        <w:t>-1</w:t>
      </w:r>
      <w:r w:rsidR="004F580F" w:rsidRPr="00F9084A">
        <w:rPr>
          <w:sz w:val="18"/>
          <w:szCs w:val="18"/>
        </w:rPr>
        <w:t xml:space="preserve"> between the two bands.</w:t>
      </w:r>
      <w:r w:rsidR="004F580F" w:rsidRPr="00F9084A">
        <w:rPr>
          <w:sz w:val="18"/>
          <w:szCs w:val="18"/>
          <w:vertAlign w:val="superscript"/>
        </w:rPr>
        <w:t>27</w:t>
      </w:r>
      <w:r w:rsidR="004F580F" w:rsidRPr="00F9084A">
        <w:rPr>
          <w:sz w:val="18"/>
          <w:szCs w:val="18"/>
        </w:rPr>
        <w:t xml:space="preserve"> </w:t>
      </w:r>
    </w:p>
    <w:p w14:paraId="4E36EE38" w14:textId="32FEA567" w:rsidR="004F580F" w:rsidRPr="00F9084A" w:rsidRDefault="004F580F" w:rsidP="004F580F">
      <w:pPr>
        <w:jc w:val="both"/>
        <w:rPr>
          <w:sz w:val="18"/>
          <w:szCs w:val="18"/>
        </w:rPr>
      </w:pPr>
      <w:r w:rsidRPr="00F9084A">
        <w:rPr>
          <w:sz w:val="18"/>
          <w:szCs w:val="18"/>
        </w:rPr>
        <w:t>We measured the MCPL emission at 300 K under a magnetic field of ±0.4 T</w:t>
      </w:r>
      <w:r w:rsidR="007412B1">
        <w:rPr>
          <w:sz w:val="18"/>
          <w:szCs w:val="18"/>
        </w:rPr>
        <w:t xml:space="preserve"> </w:t>
      </w:r>
      <w:r w:rsidR="007412B1" w:rsidRPr="007412B1">
        <w:rPr>
          <w:sz w:val="18"/>
          <w:szCs w:val="18"/>
          <w:highlight w:val="yellow"/>
        </w:rPr>
        <w:t>generated by a permanent magnet</w:t>
      </w:r>
      <w:r w:rsidRPr="00F9084A">
        <w:rPr>
          <w:sz w:val="18"/>
          <w:szCs w:val="18"/>
        </w:rPr>
        <w:t>, exciting the sample at 365 nm (see the ESI</w:t>
      </w:r>
      <w:r w:rsidR="00B041A7" w:rsidRPr="00F9084A">
        <w:rPr>
          <w:sz w:val="18"/>
          <w:szCs w:val="18"/>
        </w:rPr>
        <w:t xml:space="preserve"> and Figure S1</w:t>
      </w:r>
      <w:r w:rsidRPr="00F9084A">
        <w:rPr>
          <w:sz w:val="18"/>
          <w:szCs w:val="18"/>
        </w:rPr>
        <w:t xml:space="preserve"> for the details of the measurement set-up). In these conditions, a relatively strong and slightly asymmetric </w:t>
      </w:r>
      <w:proofErr w:type="spellStart"/>
      <w:r w:rsidRPr="00F9084A">
        <w:rPr>
          <w:sz w:val="18"/>
          <w:szCs w:val="18"/>
        </w:rPr>
        <w:t>bisignate</w:t>
      </w:r>
      <w:proofErr w:type="spellEnd"/>
      <w:r w:rsidRPr="00F9084A">
        <w:rPr>
          <w:sz w:val="18"/>
          <w:szCs w:val="18"/>
        </w:rPr>
        <w:t xml:space="preserve"> MCPL band was observed corresponding to the higher energy doublet transition (Figure 2). Such band has a cross-over point at 725 nm, matching the maximum of the corresponding photoluminescence band. This derivative-like shape is consistent with a signal originating from Zeeman-split states (see below). The MCPL strength can be quantified by a magnetic field (H) normalized dissymmetry factor (</w:t>
      </w:r>
      <w:proofErr w:type="spellStart"/>
      <w:r w:rsidRPr="00F9084A">
        <w:rPr>
          <w:sz w:val="18"/>
          <w:szCs w:val="18"/>
        </w:rPr>
        <w:t>g</w:t>
      </w:r>
      <w:r w:rsidRPr="00F9084A">
        <w:rPr>
          <w:sz w:val="18"/>
          <w:szCs w:val="18"/>
          <w:vertAlign w:val="subscript"/>
        </w:rPr>
        <w:t>MCPL</w:t>
      </w:r>
      <w:proofErr w:type="spellEnd"/>
      <w:r w:rsidRPr="00F9084A">
        <w:rPr>
          <w:sz w:val="18"/>
          <w:szCs w:val="18"/>
        </w:rPr>
        <w:t>), defined as:</w:t>
      </w:r>
    </w:p>
    <w:p w14:paraId="2C5DC2DF" w14:textId="5921E2E4" w:rsidR="004F580F" w:rsidRPr="00F9084A" w:rsidRDefault="00000000" w:rsidP="004F580F">
      <w:pPr>
        <w:jc w:val="both"/>
        <w:rPr>
          <w:iCs/>
          <w:sz w:val="18"/>
          <w:szCs w:val="18"/>
        </w:rPr>
      </w:pPr>
      <m:oMath>
        <m:sSub>
          <m:sSubPr>
            <m:ctrlPr>
              <w:rPr>
                <w:rFonts w:ascii="Cambria Math" w:hAnsi="Cambria Math"/>
                <w:iCs/>
                <w:sz w:val="18"/>
                <w:szCs w:val="18"/>
              </w:rPr>
            </m:ctrlPr>
          </m:sSubPr>
          <m:e>
            <m:r>
              <m:rPr>
                <m:sty m:val="p"/>
              </m:rPr>
              <w:rPr>
                <w:rFonts w:ascii="Cambria Math" w:hAnsi="Cambria Math"/>
                <w:sz w:val="18"/>
                <w:szCs w:val="18"/>
              </w:rPr>
              <m:t>g</m:t>
            </m:r>
          </m:e>
          <m:sub>
            <m:r>
              <m:rPr>
                <m:sty m:val="p"/>
              </m:rPr>
              <w:rPr>
                <w:rFonts w:ascii="Cambria Math" w:hAnsi="Cambria Math"/>
                <w:sz w:val="18"/>
                <w:szCs w:val="18"/>
              </w:rPr>
              <m:t>MCPL</m:t>
            </m:r>
          </m:sub>
        </m:sSub>
        <m:r>
          <m:rPr>
            <m:sty m:val="p"/>
          </m:rPr>
          <w:rPr>
            <w:rFonts w:ascii="Cambria Math" w:hAnsi="Cambria Math"/>
            <w:sz w:val="18"/>
            <w:szCs w:val="18"/>
          </w:rPr>
          <m:t>=2</m:t>
        </m:r>
        <m:f>
          <m:fPr>
            <m:ctrlPr>
              <w:rPr>
                <w:rFonts w:ascii="Cambria Math" w:hAnsi="Cambria Math"/>
                <w:iCs/>
                <w:sz w:val="18"/>
                <w:szCs w:val="18"/>
              </w:rPr>
            </m:ctrlPr>
          </m:fPr>
          <m:num>
            <m:r>
              <m:rPr>
                <m:sty m:val="p"/>
              </m:rPr>
              <w:rPr>
                <w:rFonts w:ascii="Cambria Math" w:hAnsi="Cambria Math"/>
                <w:sz w:val="18"/>
                <w:szCs w:val="18"/>
              </w:rPr>
              <m:t>1</m:t>
            </m:r>
          </m:num>
          <m:den>
            <m:r>
              <m:rPr>
                <m:sty m:val="p"/>
              </m:rPr>
              <w:rPr>
                <w:rFonts w:ascii="Cambria Math" w:hAnsi="Cambria Math"/>
                <w:sz w:val="18"/>
                <w:szCs w:val="18"/>
              </w:rPr>
              <m:t>H</m:t>
            </m:r>
          </m:den>
        </m:f>
        <m:f>
          <m:fPr>
            <m:ctrlPr>
              <w:rPr>
                <w:rFonts w:ascii="Cambria Math" w:hAnsi="Cambria Math"/>
                <w:iCs/>
                <w:sz w:val="18"/>
                <w:szCs w:val="18"/>
              </w:rPr>
            </m:ctrlPr>
          </m:fPr>
          <m:num>
            <m:d>
              <m:dPr>
                <m:ctrlPr>
                  <w:rPr>
                    <w:rFonts w:ascii="Cambria Math" w:hAnsi="Cambria Math"/>
                    <w:iCs/>
                    <w:sz w:val="18"/>
                    <w:szCs w:val="18"/>
                  </w:rPr>
                </m:ctrlPr>
              </m:dPr>
              <m:e>
                <m:sSub>
                  <m:sSubPr>
                    <m:ctrlPr>
                      <w:rPr>
                        <w:rFonts w:ascii="Cambria Math" w:hAnsi="Cambria Math"/>
                        <w:iCs/>
                        <w:sz w:val="18"/>
                        <w:szCs w:val="18"/>
                      </w:rPr>
                    </m:ctrlPr>
                  </m:sSubPr>
                  <m:e>
                    <m:r>
                      <m:rPr>
                        <m:sty m:val="p"/>
                      </m:rPr>
                      <w:rPr>
                        <w:rFonts w:ascii="Cambria Math" w:hAnsi="Cambria Math"/>
                        <w:sz w:val="18"/>
                        <w:szCs w:val="18"/>
                      </w:rPr>
                      <m:t>I</m:t>
                    </m:r>
                  </m:e>
                  <m:sub>
                    <m:r>
                      <m:rPr>
                        <m:sty m:val="p"/>
                      </m:rPr>
                      <w:rPr>
                        <w:rFonts w:ascii="Cambria Math" w:hAnsi="Cambria Math"/>
                        <w:sz w:val="18"/>
                        <w:szCs w:val="18"/>
                      </w:rPr>
                      <m:t>L</m:t>
                    </m:r>
                  </m:sub>
                </m:sSub>
                <m:r>
                  <m:rPr>
                    <m:sty m:val="p"/>
                  </m:rPr>
                  <w:rPr>
                    <w:rFonts w:ascii="Cambria Math" w:hAnsi="Cambria Math"/>
                    <w:sz w:val="18"/>
                    <w:szCs w:val="18"/>
                  </w:rPr>
                  <m:t>-</m:t>
                </m:r>
                <m:sSub>
                  <m:sSubPr>
                    <m:ctrlPr>
                      <w:rPr>
                        <w:rFonts w:ascii="Cambria Math" w:hAnsi="Cambria Math"/>
                        <w:iCs/>
                        <w:sz w:val="18"/>
                        <w:szCs w:val="18"/>
                      </w:rPr>
                    </m:ctrlPr>
                  </m:sSubPr>
                  <m:e>
                    <m:r>
                      <m:rPr>
                        <m:sty m:val="p"/>
                      </m:rPr>
                      <w:rPr>
                        <w:rFonts w:ascii="Cambria Math" w:hAnsi="Cambria Math"/>
                        <w:sz w:val="18"/>
                        <w:szCs w:val="18"/>
                      </w:rPr>
                      <m:t>I</m:t>
                    </m:r>
                  </m:e>
                  <m:sub>
                    <m:r>
                      <m:rPr>
                        <m:sty m:val="p"/>
                      </m:rPr>
                      <w:rPr>
                        <w:rFonts w:ascii="Cambria Math" w:hAnsi="Cambria Math"/>
                        <w:sz w:val="18"/>
                        <w:szCs w:val="18"/>
                      </w:rPr>
                      <m:t>R</m:t>
                    </m:r>
                  </m:sub>
                </m:sSub>
              </m:e>
            </m:d>
          </m:num>
          <m:den>
            <m:d>
              <m:dPr>
                <m:ctrlPr>
                  <w:rPr>
                    <w:rFonts w:ascii="Cambria Math" w:hAnsi="Cambria Math"/>
                    <w:iCs/>
                    <w:sz w:val="18"/>
                    <w:szCs w:val="18"/>
                  </w:rPr>
                </m:ctrlPr>
              </m:dPr>
              <m:e>
                <m:sSub>
                  <m:sSubPr>
                    <m:ctrlPr>
                      <w:rPr>
                        <w:rFonts w:ascii="Cambria Math" w:hAnsi="Cambria Math"/>
                        <w:iCs/>
                        <w:sz w:val="18"/>
                        <w:szCs w:val="18"/>
                      </w:rPr>
                    </m:ctrlPr>
                  </m:sSubPr>
                  <m:e>
                    <m:r>
                      <m:rPr>
                        <m:sty m:val="p"/>
                      </m:rPr>
                      <w:rPr>
                        <w:rFonts w:ascii="Cambria Math" w:hAnsi="Cambria Math"/>
                        <w:sz w:val="18"/>
                        <w:szCs w:val="18"/>
                      </w:rPr>
                      <m:t>I</m:t>
                    </m:r>
                  </m:e>
                  <m:sub>
                    <m:r>
                      <m:rPr>
                        <m:sty m:val="p"/>
                      </m:rPr>
                      <w:rPr>
                        <w:rFonts w:ascii="Cambria Math" w:hAnsi="Cambria Math"/>
                        <w:sz w:val="18"/>
                        <w:szCs w:val="18"/>
                      </w:rPr>
                      <m:t>L</m:t>
                    </m:r>
                  </m:sub>
                </m:sSub>
                <m:r>
                  <m:rPr>
                    <m:sty m:val="p"/>
                  </m:rPr>
                  <w:rPr>
                    <w:rFonts w:ascii="Cambria Math" w:hAnsi="Cambria Math"/>
                    <w:sz w:val="18"/>
                    <w:szCs w:val="18"/>
                  </w:rPr>
                  <m:t>+</m:t>
                </m:r>
                <m:sSub>
                  <m:sSubPr>
                    <m:ctrlPr>
                      <w:rPr>
                        <w:rFonts w:ascii="Cambria Math" w:hAnsi="Cambria Math"/>
                        <w:iCs/>
                        <w:sz w:val="18"/>
                        <w:szCs w:val="18"/>
                      </w:rPr>
                    </m:ctrlPr>
                  </m:sSubPr>
                  <m:e>
                    <m:r>
                      <m:rPr>
                        <m:sty m:val="p"/>
                      </m:rPr>
                      <w:rPr>
                        <w:rFonts w:ascii="Cambria Math" w:hAnsi="Cambria Math"/>
                        <w:sz w:val="18"/>
                        <w:szCs w:val="18"/>
                      </w:rPr>
                      <m:t>I</m:t>
                    </m:r>
                  </m:e>
                  <m:sub>
                    <m:r>
                      <m:rPr>
                        <m:sty m:val="p"/>
                      </m:rPr>
                      <w:rPr>
                        <w:rFonts w:ascii="Cambria Math" w:hAnsi="Cambria Math"/>
                        <w:sz w:val="18"/>
                        <w:szCs w:val="18"/>
                      </w:rPr>
                      <m:t>R</m:t>
                    </m:r>
                  </m:sub>
                </m:sSub>
              </m:e>
            </m:d>
          </m:den>
        </m:f>
      </m:oMath>
      <w:r w:rsidR="004F580F" w:rsidRPr="00F9084A">
        <w:rPr>
          <w:rFonts w:eastAsiaTheme="minorEastAsia"/>
          <w:iCs/>
          <w:sz w:val="18"/>
          <w:szCs w:val="18"/>
        </w:rPr>
        <w:tab/>
      </w:r>
      <w:r w:rsidR="004F580F"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4F580F" w:rsidRPr="00F9084A">
        <w:rPr>
          <w:rFonts w:eastAsiaTheme="minorEastAsia"/>
          <w:iCs/>
          <w:sz w:val="18"/>
          <w:szCs w:val="18"/>
        </w:rPr>
        <w:t>Eq. 1</w:t>
      </w:r>
    </w:p>
    <w:p w14:paraId="2409A766" w14:textId="5AFCBA6E" w:rsidR="004F580F" w:rsidRPr="00F9084A" w:rsidRDefault="004F580F" w:rsidP="004F580F">
      <w:pPr>
        <w:jc w:val="both"/>
        <w:rPr>
          <w:sz w:val="18"/>
          <w:szCs w:val="18"/>
        </w:rPr>
      </w:pPr>
      <w:r w:rsidRPr="00F9084A">
        <w:rPr>
          <w:sz w:val="18"/>
          <w:szCs w:val="18"/>
        </w:rPr>
        <w:t>where I</w:t>
      </w:r>
      <w:r w:rsidRPr="00F9084A">
        <w:rPr>
          <w:sz w:val="18"/>
          <w:szCs w:val="18"/>
          <w:vertAlign w:val="subscript"/>
        </w:rPr>
        <w:t>L</w:t>
      </w:r>
      <w:r w:rsidRPr="00F9084A">
        <w:rPr>
          <w:sz w:val="18"/>
          <w:szCs w:val="18"/>
        </w:rPr>
        <w:t xml:space="preserve"> and I</w:t>
      </w:r>
      <w:r w:rsidRPr="00F9084A">
        <w:rPr>
          <w:sz w:val="18"/>
          <w:szCs w:val="18"/>
          <w:vertAlign w:val="subscript"/>
        </w:rPr>
        <w:t>R</w:t>
      </w:r>
      <w:r w:rsidRPr="00F9084A">
        <w:rPr>
          <w:sz w:val="18"/>
          <w:szCs w:val="18"/>
        </w:rPr>
        <w:t xml:space="preserve"> are the left and right circularly polarized components of the emission under the magnetic field. In our case, we found a </w:t>
      </w:r>
      <w:bookmarkStart w:id="5" w:name="_Hlk175329084"/>
      <w:proofErr w:type="spellStart"/>
      <w:r w:rsidRPr="00F9084A">
        <w:rPr>
          <w:sz w:val="18"/>
          <w:szCs w:val="18"/>
        </w:rPr>
        <w:t>g</w:t>
      </w:r>
      <w:r w:rsidRPr="00F9084A">
        <w:rPr>
          <w:sz w:val="18"/>
          <w:szCs w:val="18"/>
          <w:vertAlign w:val="subscript"/>
        </w:rPr>
        <w:t>MCPL</w:t>
      </w:r>
      <w:proofErr w:type="spellEnd"/>
      <w:r w:rsidRPr="00F9084A">
        <w:rPr>
          <w:sz w:val="18"/>
          <w:szCs w:val="18"/>
        </w:rPr>
        <w:t xml:space="preserve"> of 6.3∙10</w:t>
      </w:r>
      <w:r w:rsidRPr="00F9084A">
        <w:rPr>
          <w:sz w:val="18"/>
          <w:szCs w:val="18"/>
          <w:vertAlign w:val="superscript"/>
        </w:rPr>
        <w:t>-3</w:t>
      </w:r>
      <w:r w:rsidRPr="00F9084A">
        <w:rPr>
          <w:sz w:val="18"/>
          <w:szCs w:val="18"/>
        </w:rPr>
        <w:t xml:space="preserve"> T</w:t>
      </w:r>
      <w:r w:rsidRPr="00F9084A">
        <w:rPr>
          <w:sz w:val="18"/>
          <w:szCs w:val="18"/>
          <w:vertAlign w:val="superscript"/>
        </w:rPr>
        <w:t>-1</w:t>
      </w:r>
      <w:r w:rsidRPr="00F9084A">
        <w:rPr>
          <w:sz w:val="18"/>
          <w:szCs w:val="18"/>
        </w:rPr>
        <w:t xml:space="preserve"> </w:t>
      </w:r>
      <w:bookmarkEnd w:id="5"/>
      <w:r w:rsidRPr="00F9084A">
        <w:rPr>
          <w:sz w:val="18"/>
          <w:szCs w:val="18"/>
        </w:rPr>
        <w:t>at 722 nm and -2.1∙10</w:t>
      </w:r>
      <w:r w:rsidRPr="00F9084A">
        <w:rPr>
          <w:sz w:val="18"/>
          <w:szCs w:val="18"/>
          <w:vertAlign w:val="superscript"/>
        </w:rPr>
        <w:t>-3</w:t>
      </w:r>
      <w:r w:rsidRPr="00F9084A">
        <w:rPr>
          <w:sz w:val="18"/>
          <w:szCs w:val="18"/>
        </w:rPr>
        <w:t xml:space="preserve"> T</w:t>
      </w:r>
      <w:r w:rsidRPr="00F9084A">
        <w:rPr>
          <w:sz w:val="18"/>
          <w:szCs w:val="18"/>
          <w:vertAlign w:val="superscript"/>
        </w:rPr>
        <w:t>-1</w:t>
      </w:r>
      <w:r w:rsidRPr="00F9084A">
        <w:rPr>
          <w:sz w:val="18"/>
          <w:szCs w:val="18"/>
        </w:rPr>
        <w:t xml:space="preserve"> at 733 nm. These values are in line with those obtained for other </w:t>
      </w:r>
      <w:r w:rsidRPr="00F9084A">
        <w:rPr>
          <w:i/>
          <w:iCs/>
          <w:sz w:val="18"/>
          <w:szCs w:val="18"/>
        </w:rPr>
        <w:t>d or f</w:t>
      </w:r>
      <w:r w:rsidRPr="00F9084A">
        <w:rPr>
          <w:sz w:val="18"/>
          <w:szCs w:val="18"/>
        </w:rPr>
        <w:t>-metal complexes.</w:t>
      </w:r>
      <w:r w:rsidRPr="00F9084A">
        <w:rPr>
          <w:sz w:val="18"/>
          <w:szCs w:val="18"/>
        </w:rPr>
        <w:fldChar w:fldCharType="begin"/>
      </w:r>
      <w:r w:rsidR="00924348">
        <w:rPr>
          <w:sz w:val="18"/>
          <w:szCs w:val="18"/>
        </w:rPr>
        <w:instrText xml:space="preserve"> ADDIN ZOTERO_ITEM CSL_CITATION {"citationID":"1qXK0ZDm","properties":{"formattedCitation":"\\super 52\\uc0\\u8211{}54,73\\nosupersub{}","plainCitation":"52–54,73","noteIndex":0},"citationItems":[{"id":7425,"uris":["http://zotero.org/users/2011173/items/UK32VGBM"],"itemData":{"id":7425,"type":"article-journal","abstract":"Luminescence of lanthanide(III) ions sensitively reflects atomic environment. However, the signal may be weak and covered by Raman scattering. In the present study magnetic circularly polarized luminescence (MCPL) is explored as a more sensitive tool to recognize the lanthanide signal and assign underlying electronic transitions. MCPL spectra of the Na3[Ln(DPA)3] (Ln = Ce, Pr, Nd, Sm, Eu, Tb, Dy, Ho, and Er) complexes were recorded on a Raman optical activity (ROA) instrument. The ROA spectrometer equipped with the 532 nm laser excitation sensitively detects differences in scattering of left- and right-circularly polarized light caused by the magnetic field. Weak bands sometimes invisible in unpolarized measurement could be detected as MCPL. Observed transitions were assigned with the aid of the ligand-field theory. MCPL also reflects the environment: chloride and nitrate salts (LnCl3 and Ln(NO3)3) provide a different signal than the complex; for NdIII the signal responds to distribution of chloride and nitrate ions around the metal. The MCPL technique thus appears useful for identification and assignment of lanthanide transitions and increases the potential of fluorescent probes for applications in analytical chemistry and imaging.","container-title":"Analytical Chemistry","DOI":"10.1021/acs.analchem.7b00435","ISSN":"0003-2700","issue":"9","journalAbbreviation":"Anal. Chem.","note":"publisher: American Chemical Society","page":"5043-5049","source":"ACS Publications","title":"Identification of Lanthanide(III) Luminophores in Magnetic Circularly Polarized Luminescence Using Raman Optical Activity Instrumentation","volume":"89","author":[{"family":"Wu","given":"Tao"},{"family":"Kapitán","given":"Josef"},{"family":"Andrushchenko","given":"Valery"},{"family":"Bouř","given":"Petr"}],"issued":{"date-parts":[["2017",5,2]]}}},{"id":773,"uris":["http://zotero.org/users/2011173/items/9BEKYSHX"],"itemData":{"id":773,"type":"article-journal","abstract":"Five optically inactive EuIII(hfa)3, TbIII(hfa)3, EuIII(acac)3·Phen, TbIII(acac)3·Phen and EuIII(hfa)3·BDPB (hfa: hexafluoroacetylacetonate, acac: acetylacetonate, BDPB: 2,2′-bis(diphenylphosphino)biphenyl and Phen: phenanthroline) complexes showed clear mirror-image magnetic circularly polarised luminescence (MCPL) spectra in CHCl3, acetone, and DMF solutions, in a poly(methyl methacrylate) film, a KBr pellet and bulk powder at room temperature under 1.6 T as an external magnetic field with Faraday geometry. The signs of the MCPL signals were determined via N-up and S-up geometries. The gMCPL values of EuIII(hfa)3 and TbIII(hfa)3 were ±(0.046–2.0) × 10−2 T−1 at the 5D0 → 5FJ transitions (J = 1–4) in the range of 590 nm and 703 nm and ±(0.0081–1.0) × 10−2 T−1 at the 5D4 → 7FJ transitions (J = 3–6) in the range of 480 nm and 630 nm, respectively. Interestingly, the photoluminescence spectra of EuIII(hfa)3 and TbIII(hfa)3 in CHCl3 and acetone under 1.6 T considerably redshifted by 10–114 cm−1, while those of EuIII(acac)3·Phen and TbIII(acac)3·Phen did not reveal detectable redshifts.","container-title":"Dalton Transactions","DOI":"10.1039/D0DT01464H","ISSN":"1477-9234","issue":"28","journalAbbreviation":"Dalton Trans.","language":"en","note":"publisher: The Royal Society of Chemistry","page":"9588-9594","source":"pubs.rsc.org","title":"Mirror-image magnetic circularly polarized luminescence (MCPL) from optically inactive EuIII and TbIIItris(β-diketonate)","volume":"49","author":[{"family":"Yoshikawa","given":"Hiroki"},{"family":"Nakajima","given":"Gaku"},{"family":"Mimura","given":"Yuki"},{"family":"Kimoto","given":"Takahiro"},{"family":"Kondo","given":"Yoshiro"},{"family":"Suzuki","given":"Satoko"},{"family":"Fujiki","given":"Michiya"},{"family":"Imai","given":"Yoshitane"}],"issued":{"date-parts":[["2020",7,21]]}}},{"id":7428,"uris":["http://zotero.org/users/2011173/items/FGMGLPQQ"],"itemData":{"id":7428,"type":"article-journal","abstract":"The development of phosphorescent organometallic molecules, capable of full-colour circularly polarised luminescence with a controlled polarised sign in the absence of any chiral chemical influences, presents a significant scientific and engineering challenge. The current study describes the first red-green-blue-yellow (RGBY) coloured, nearly mirror-image magnetic circularly polarised luminescence (MCPL) in dimethyl sulfoxide and dichloromethane, from four optically inactive Iridium(III) complexes viz. Ir(III)(piq)3, Ir(III)(ppy)3, Ir(III)(F2-ppy)2(pic), and Ir(III)(BT)2(acac), bearing achiral organic cyclometalated and ancillary ligands. The absolute value of the anisotropy factors, |gMCPL|, ranging from 0.9×10−3 to 2.5×10−3 in the presence of an external 1.6 T magnetic field was nearly identical to the enantiomerically pure Iridium (III) complexes at zero-magnetic fields. Unexpectedly, when the same north-up/south-up Faraday geometries were used, the MCPL signs were inverted due to the achiral ligands.","container-title":"ChemistrySelect","DOI":"10.1002/slct.202103117","ISSN":"2365-6549","issue":"41","language":"en","license":"© 2021 Wiley-VCH GmbH","note":"_eprint: https://onlinelibrary.wiley.com/doi/pdf/10.1002/slct.202103117","page":"11182-11187","source":"Wiley Online Library","title":"Red-Green-Blue-Yellow (RGBY) Magnetic Circularly Polarised Luminescence (MCPL) from Optically Inactive Phosphorescent Ir(III) Complexes","volume":"6","author":[{"family":"Kitahara","given":"Maho"},{"family":"Suzuki","given":"Seika"},{"family":"Matsudaira","given":"Kana"},{"family":"Yagi","given":"Shigeyuki"},{"family":"Fujiki","given":"Michiya"},{"family":"Imai","given":"Yoshitane"}],"issued":{"date-parts":[["2021"]]}}},{"id":7463,"uris":["http://zotero.org/users/2011173/items/AJQV2642"],"itemData":{"id":7463,"type":"article-journal","abstract":"In general, circularly polarized luminescence (CPL) is generated by a chiral luminophore, that is, chiral structures and chiral packing styles are essential for organic and organometallic luminophores to exhibit CPL properties. However, it is difficult to introduce a chiral structure into inorganic and metal-cluster luminophores. In this minireview, we have reported magnetic circularly polarized luminescence (MCPL) systems. Upon the application of an external magnetic field, achiral and racemic luminophores too can exhibit MCPL. Such MCPL systems are beneficial for developing versatile CPL systems from various luminophores, which could prospectively cover a wide range of UV-visible-near-infrared regions.","container-title":"ChemPhotoChem","DOI":"10.1002/cptc.202100142","ISSN":"2367-0932","issue":"11","language":"en","license":"© 2021 Wiley-VCH GmbH","note":"_eprint: https://onlinelibrary.wiley.com/doi/pdf/10.1002/cptc.202100142","page":"969-973","source":"Wiley Online Library","title":"Circularly Polarized Luminescence (CPL) Induced by an External Magnetic Field: Magnetic CPL (MCPL)","title-short":"Circularly Polarized Luminescence (CPL) Induced by an External Magnetic Field","volume":"5","author":[{"family":"Imai","given":"Yoshitane"}],"issued":{"date-parts":[["2021"]]}}}],"schema":"https://github.com/citation-style-language/schema/raw/master/csl-citation.json"} </w:instrText>
      </w:r>
      <w:r w:rsidRPr="00F9084A">
        <w:rPr>
          <w:sz w:val="18"/>
          <w:szCs w:val="18"/>
        </w:rPr>
        <w:fldChar w:fldCharType="separate"/>
      </w:r>
      <w:r w:rsidR="00924348" w:rsidRPr="00924348">
        <w:rPr>
          <w:rFonts w:ascii="Aptos" w:hAnsi="Aptos" w:cs="Times New Roman"/>
          <w:sz w:val="18"/>
          <w:vertAlign w:val="superscript"/>
        </w:rPr>
        <w:t>52–54,73</w:t>
      </w:r>
      <w:r w:rsidRPr="00F9084A">
        <w:rPr>
          <w:sz w:val="18"/>
          <w:szCs w:val="18"/>
        </w:rPr>
        <w:fldChar w:fldCharType="end"/>
      </w:r>
      <w:r w:rsidRPr="00F9084A">
        <w:rPr>
          <w:sz w:val="18"/>
          <w:szCs w:val="18"/>
        </w:rPr>
        <w:t xml:space="preserve"> A much weaker (</w:t>
      </w:r>
      <w:r w:rsidRPr="00F9084A">
        <w:rPr>
          <w:rStyle w:val="eetcfd"/>
          <w:sz w:val="18"/>
          <w:szCs w:val="18"/>
        </w:rPr>
        <w:t>≈-</w:t>
      </w:r>
      <w:r w:rsidRPr="00F9084A">
        <w:rPr>
          <w:sz w:val="18"/>
          <w:szCs w:val="18"/>
        </w:rPr>
        <w:t>0.9∙10</w:t>
      </w:r>
      <w:r w:rsidRPr="00F9084A">
        <w:rPr>
          <w:sz w:val="18"/>
          <w:szCs w:val="18"/>
          <w:vertAlign w:val="superscript"/>
        </w:rPr>
        <w:t>-3</w:t>
      </w:r>
      <w:r w:rsidRPr="00F9084A">
        <w:rPr>
          <w:sz w:val="18"/>
          <w:szCs w:val="18"/>
        </w:rPr>
        <w:t xml:space="preserve"> T</w:t>
      </w:r>
      <w:r w:rsidRPr="00F9084A">
        <w:rPr>
          <w:sz w:val="18"/>
          <w:szCs w:val="18"/>
          <w:vertAlign w:val="superscript"/>
        </w:rPr>
        <w:t>-1</w:t>
      </w:r>
      <w:r w:rsidRPr="00F9084A">
        <w:rPr>
          <w:sz w:val="18"/>
          <w:szCs w:val="18"/>
        </w:rPr>
        <w:t>) band around 750 nm associated the lower energy SF transition was also observed. As expected, roughly mirror image MCPL spectra were obtained for +/- magnetic field (Figure S</w:t>
      </w:r>
      <w:r w:rsidR="00630F7E" w:rsidRPr="00F9084A">
        <w:rPr>
          <w:sz w:val="18"/>
          <w:szCs w:val="18"/>
        </w:rPr>
        <w:t>3a</w:t>
      </w:r>
      <w:r w:rsidRPr="00F9084A">
        <w:rPr>
          <w:sz w:val="18"/>
          <w:szCs w:val="18"/>
        </w:rPr>
        <w:t>)</w:t>
      </w:r>
      <w:r w:rsidR="002F37C7">
        <w:rPr>
          <w:sz w:val="18"/>
          <w:szCs w:val="18"/>
        </w:rPr>
        <w:t xml:space="preserve">, </w:t>
      </w:r>
      <w:r w:rsidR="002F37C7" w:rsidRPr="002F37C7">
        <w:rPr>
          <w:sz w:val="18"/>
          <w:szCs w:val="18"/>
          <w:highlight w:val="yellow"/>
        </w:rPr>
        <w:t xml:space="preserve">by reversing the </w:t>
      </w:r>
      <w:r w:rsidR="00587D77">
        <w:rPr>
          <w:sz w:val="18"/>
          <w:szCs w:val="18"/>
          <w:highlight w:val="yellow"/>
        </w:rPr>
        <w:t>orientation</w:t>
      </w:r>
      <w:r w:rsidR="001F2F65">
        <w:rPr>
          <w:sz w:val="18"/>
          <w:szCs w:val="18"/>
          <w:highlight w:val="yellow"/>
        </w:rPr>
        <w:t xml:space="preserve"> the </w:t>
      </w:r>
      <w:r w:rsidR="002F37C7" w:rsidRPr="002F37C7">
        <w:rPr>
          <w:sz w:val="18"/>
          <w:szCs w:val="18"/>
          <w:highlight w:val="yellow"/>
        </w:rPr>
        <w:t>permanent magnet</w:t>
      </w:r>
      <w:r w:rsidRPr="00F9084A">
        <w:rPr>
          <w:sz w:val="18"/>
          <w:szCs w:val="18"/>
        </w:rPr>
        <w:t xml:space="preserve">. </w:t>
      </w:r>
      <w:r w:rsidRPr="00F9084A">
        <w:rPr>
          <w:sz w:val="18"/>
          <w:szCs w:val="18"/>
        </w:rPr>
        <w:t>In Figure 2, we report the MCPL as the semi-difference of the polarized signal S obtained under positive (</w:t>
      </w:r>
      <m:oMath>
        <m:r>
          <m:rPr>
            <m:sty m:val="p"/>
          </m:rPr>
          <w:rPr>
            <w:rFonts w:ascii="Cambria Math" w:hAnsi="Cambria Math"/>
            <w:sz w:val="18"/>
            <w:szCs w:val="18"/>
          </w:rPr>
          <m:t>S</m:t>
        </m:r>
        <m:d>
          <m:dPr>
            <m:ctrlPr>
              <w:rPr>
                <w:rFonts w:ascii="Cambria Math" w:hAnsi="Cambria Math"/>
                <w:iCs/>
                <w:sz w:val="18"/>
                <w:szCs w:val="18"/>
              </w:rPr>
            </m:ctrlPr>
          </m:dPr>
          <m:e>
            <m:r>
              <m:rPr>
                <m:sty m:val="p"/>
              </m:rPr>
              <w:rPr>
                <w:rFonts w:ascii="Cambria Math" w:hAnsi="Cambria Math"/>
                <w:sz w:val="18"/>
                <w:szCs w:val="18"/>
              </w:rPr>
              <m:t>+</m:t>
            </m:r>
          </m:e>
        </m:d>
      </m:oMath>
      <w:r w:rsidRPr="00F9084A">
        <w:rPr>
          <w:sz w:val="18"/>
          <w:szCs w:val="18"/>
        </w:rPr>
        <w:t>) and negative (</w:t>
      </w:r>
      <m:oMath>
        <m:r>
          <m:rPr>
            <m:sty m:val="p"/>
          </m:rPr>
          <w:rPr>
            <w:rFonts w:ascii="Cambria Math" w:hAnsi="Cambria Math"/>
            <w:sz w:val="18"/>
            <w:szCs w:val="18"/>
          </w:rPr>
          <m:t>S</m:t>
        </m:r>
        <m:d>
          <m:dPr>
            <m:ctrlPr>
              <w:rPr>
                <w:rFonts w:ascii="Cambria Math" w:hAnsi="Cambria Math"/>
                <w:iCs/>
                <w:sz w:val="18"/>
                <w:szCs w:val="18"/>
              </w:rPr>
            </m:ctrlPr>
          </m:dPr>
          <m:e>
            <m:r>
              <m:rPr>
                <m:sty m:val="p"/>
              </m:rPr>
              <w:rPr>
                <w:rFonts w:ascii="Cambria Math" w:hAnsi="Cambria Math"/>
                <w:sz w:val="18"/>
                <w:szCs w:val="18"/>
              </w:rPr>
              <m:t>-</m:t>
            </m:r>
          </m:e>
        </m:d>
      </m:oMath>
      <w:r w:rsidRPr="00F9084A">
        <w:rPr>
          <w:sz w:val="18"/>
          <w:szCs w:val="18"/>
        </w:rPr>
        <w:t>) H, as:</w:t>
      </w:r>
    </w:p>
    <w:p w14:paraId="2167CB59" w14:textId="734BABA4" w:rsidR="004F580F" w:rsidRPr="00F9084A" w:rsidRDefault="004F580F" w:rsidP="004F580F">
      <w:pPr>
        <w:jc w:val="both"/>
        <w:rPr>
          <w:iCs/>
          <w:sz w:val="18"/>
          <w:szCs w:val="18"/>
        </w:rPr>
      </w:pPr>
      <m:oMath>
        <m:r>
          <m:rPr>
            <m:sty m:val="p"/>
          </m:rPr>
          <w:rPr>
            <w:rFonts w:ascii="Cambria Math" w:hAnsi="Cambria Math"/>
            <w:sz w:val="18"/>
            <w:szCs w:val="18"/>
          </w:rPr>
          <m:t>MCPL=</m:t>
        </m:r>
        <m:box>
          <m:boxPr>
            <m:ctrlPr>
              <w:rPr>
                <w:rFonts w:ascii="Cambria Math" w:hAnsi="Cambria Math"/>
                <w:iCs/>
                <w:sz w:val="18"/>
                <w:szCs w:val="18"/>
              </w:rPr>
            </m:ctrlPr>
          </m:boxPr>
          <m:e>
            <m:argPr>
              <m:argSz m:val="-1"/>
            </m:argPr>
            <m:f>
              <m:fPr>
                <m:ctrlPr>
                  <w:rPr>
                    <w:rFonts w:ascii="Cambria Math" w:hAnsi="Cambria Math"/>
                    <w:iCs/>
                    <w:sz w:val="18"/>
                    <w:szCs w:val="18"/>
                  </w:rPr>
                </m:ctrlPr>
              </m:fPr>
              <m:num>
                <m:r>
                  <m:rPr>
                    <m:sty m:val="p"/>
                  </m:rPr>
                  <w:rPr>
                    <w:rFonts w:ascii="Cambria Math" w:hAnsi="Cambria Math"/>
                    <w:sz w:val="18"/>
                    <w:szCs w:val="18"/>
                  </w:rPr>
                  <m:t>1</m:t>
                </m:r>
              </m:num>
              <m:den>
                <m:r>
                  <m:rPr>
                    <m:sty m:val="p"/>
                  </m:rPr>
                  <w:rPr>
                    <w:rFonts w:ascii="Cambria Math" w:hAnsi="Cambria Math"/>
                    <w:sz w:val="18"/>
                    <w:szCs w:val="18"/>
                  </w:rPr>
                  <m:t>2</m:t>
                </m:r>
              </m:den>
            </m:f>
            <m:d>
              <m:dPr>
                <m:begChr m:val="["/>
                <m:endChr m:val="]"/>
                <m:ctrlPr>
                  <w:rPr>
                    <w:rFonts w:ascii="Cambria Math" w:hAnsi="Cambria Math"/>
                    <w:iCs/>
                    <w:sz w:val="18"/>
                    <w:szCs w:val="18"/>
                  </w:rPr>
                </m:ctrlPr>
              </m:dPr>
              <m:e>
                <m:r>
                  <m:rPr>
                    <m:sty m:val="p"/>
                  </m:rPr>
                  <w:rPr>
                    <w:rFonts w:ascii="Cambria Math" w:hAnsi="Cambria Math"/>
                    <w:sz w:val="18"/>
                    <w:szCs w:val="18"/>
                  </w:rPr>
                  <m:t>S</m:t>
                </m:r>
                <m:d>
                  <m:dPr>
                    <m:ctrlPr>
                      <w:rPr>
                        <w:rFonts w:ascii="Cambria Math" w:hAnsi="Cambria Math"/>
                        <w:iCs/>
                        <w:sz w:val="18"/>
                        <w:szCs w:val="18"/>
                      </w:rPr>
                    </m:ctrlPr>
                  </m:dPr>
                  <m:e>
                    <m:r>
                      <m:rPr>
                        <m:sty m:val="p"/>
                      </m:rPr>
                      <w:rPr>
                        <w:rFonts w:ascii="Cambria Math" w:hAnsi="Cambria Math"/>
                        <w:sz w:val="18"/>
                        <w:szCs w:val="18"/>
                      </w:rPr>
                      <m:t>+</m:t>
                    </m:r>
                  </m:e>
                </m:d>
                <m:r>
                  <m:rPr>
                    <m:sty m:val="p"/>
                  </m:rPr>
                  <w:rPr>
                    <w:rFonts w:ascii="Cambria Math" w:hAnsi="Cambria Math"/>
                    <w:sz w:val="18"/>
                    <w:szCs w:val="18"/>
                  </w:rPr>
                  <m:t>-S(-)</m:t>
                </m:r>
              </m:e>
            </m:d>
          </m:e>
        </m:box>
      </m:oMath>
      <w:r w:rsidRPr="00F9084A">
        <w:rPr>
          <w:rFonts w:eastAsiaTheme="minorEastAsia"/>
          <w:iCs/>
          <w:sz w:val="18"/>
          <w:szCs w:val="18"/>
        </w:rPr>
        <w:tab/>
        <w:t>Eq. 2</w:t>
      </w:r>
    </w:p>
    <w:p w14:paraId="25F0E043" w14:textId="53F6A9AD" w:rsidR="004F580F" w:rsidRPr="00F9084A" w:rsidRDefault="00A472B9" w:rsidP="004F580F">
      <w:pPr>
        <w:jc w:val="both"/>
        <w:rPr>
          <w:sz w:val="18"/>
          <w:szCs w:val="18"/>
        </w:rPr>
      </w:pPr>
      <w:r w:rsidRPr="000C10A3">
        <w:rPr>
          <w:sz w:val="18"/>
          <w:szCs w:val="18"/>
          <w:highlight w:val="yellow"/>
        </w:rPr>
        <w:t>Positive and negative fields are here defined as parallel and anti-parallel to the k-vector, i.e. the propagating direction of light.</w:t>
      </w:r>
      <w:r>
        <w:rPr>
          <w:sz w:val="18"/>
          <w:szCs w:val="18"/>
        </w:rPr>
        <w:t xml:space="preserve"> </w:t>
      </w:r>
      <w:r w:rsidR="008B749B">
        <w:rPr>
          <w:sz w:val="18"/>
          <w:szCs w:val="18"/>
        </w:rPr>
        <w:t>B</w:t>
      </w:r>
      <w:r w:rsidR="008300E2" w:rsidRPr="008300E2">
        <w:rPr>
          <w:sz w:val="18"/>
          <w:szCs w:val="18"/>
        </w:rPr>
        <w:t xml:space="preserve">aseline effects and possible artefact signals due to </w:t>
      </w:r>
      <w:proofErr w:type="spellStart"/>
      <w:r w:rsidR="008300E2" w:rsidRPr="008300E2">
        <w:rPr>
          <w:sz w:val="18"/>
          <w:szCs w:val="18"/>
        </w:rPr>
        <w:t>photoselection</w:t>
      </w:r>
      <w:proofErr w:type="spellEnd"/>
      <w:r w:rsidR="008300E2" w:rsidRPr="008300E2">
        <w:rPr>
          <w:sz w:val="18"/>
          <w:szCs w:val="18"/>
        </w:rPr>
        <w:t xml:space="preserve"> </w:t>
      </w:r>
      <w:r w:rsidR="008300E2" w:rsidRPr="008300E2">
        <w:rPr>
          <w:sz w:val="18"/>
          <w:szCs w:val="18"/>
          <w:highlight w:val="yellow"/>
        </w:rPr>
        <w:t>cause some deviation from the mirror image relationship expected for spectra obtained under opposite magnetic field, especially in the case of small signals (Figure S3a). The data treated according to Eq. 2 ensures that such artefacts</w:t>
      </w:r>
      <w:r w:rsidR="008B749B">
        <w:rPr>
          <w:sz w:val="18"/>
          <w:szCs w:val="18"/>
          <w:highlight w:val="yellow"/>
        </w:rPr>
        <w:t>, which are magnetic field-independent,</w:t>
      </w:r>
      <w:r w:rsidR="008300E2" w:rsidRPr="008300E2">
        <w:rPr>
          <w:sz w:val="18"/>
          <w:szCs w:val="18"/>
          <w:highlight w:val="yellow"/>
        </w:rPr>
        <w:t xml:space="preserve"> </w:t>
      </w:r>
      <w:r w:rsidR="004F580F" w:rsidRPr="008300E2">
        <w:rPr>
          <w:sz w:val="18"/>
          <w:szCs w:val="18"/>
          <w:highlight w:val="yellow"/>
        </w:rPr>
        <w:t>are</w:t>
      </w:r>
      <w:r w:rsidR="004F580F" w:rsidRPr="00F9084A">
        <w:rPr>
          <w:sz w:val="18"/>
          <w:szCs w:val="18"/>
        </w:rPr>
        <w:t xml:space="preserve"> eliminated and only the true MCPL is recovered (Figure</w:t>
      </w:r>
      <w:r w:rsidR="008300E2">
        <w:rPr>
          <w:sz w:val="18"/>
          <w:szCs w:val="18"/>
        </w:rPr>
        <w:t> </w:t>
      </w:r>
      <w:r w:rsidR="004F580F" w:rsidRPr="00F9084A">
        <w:rPr>
          <w:sz w:val="18"/>
          <w:szCs w:val="18"/>
        </w:rPr>
        <w:t>S</w:t>
      </w:r>
      <w:r w:rsidR="00630F7E" w:rsidRPr="00F9084A">
        <w:rPr>
          <w:sz w:val="18"/>
          <w:szCs w:val="18"/>
        </w:rPr>
        <w:t>3b</w:t>
      </w:r>
      <w:r w:rsidR="004F580F" w:rsidRPr="00F9084A">
        <w:rPr>
          <w:sz w:val="18"/>
          <w:szCs w:val="18"/>
        </w:rPr>
        <w:t>).</w:t>
      </w:r>
    </w:p>
    <w:p w14:paraId="7A9D35D1" w14:textId="02708689" w:rsidR="00A76323" w:rsidRPr="00F9084A" w:rsidRDefault="00357D86" w:rsidP="00A76323">
      <w:pPr>
        <w:jc w:val="center"/>
      </w:pPr>
      <w:r>
        <w:rPr>
          <w:noProof/>
        </w:rPr>
        <w:drawing>
          <wp:inline distT="0" distB="0" distL="0" distR="0" wp14:anchorId="31E5F622" wp14:editId="1387CB78">
            <wp:extent cx="3168015" cy="2425065"/>
            <wp:effectExtent l="0" t="0" r="0" b="0"/>
            <wp:docPr id="1469111987" name="Immagine 8"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111987" name="Immagine 8" descr="Immagine che contiene testo, diagramma, linea, Diagramma&#10;&#10;Descrizione generata automaticament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68015" cy="2425065"/>
                    </a:xfrm>
                    <a:prstGeom prst="rect">
                      <a:avLst/>
                    </a:prstGeom>
                  </pic:spPr>
                </pic:pic>
              </a:graphicData>
            </a:graphic>
          </wp:inline>
        </w:drawing>
      </w:r>
    </w:p>
    <w:p w14:paraId="7C269E70" w14:textId="5029C06A" w:rsidR="00A76323" w:rsidRPr="00F9084A" w:rsidRDefault="00A76323" w:rsidP="00A76323">
      <w:pPr>
        <w:jc w:val="both"/>
        <w:rPr>
          <w:sz w:val="18"/>
          <w:szCs w:val="18"/>
        </w:rPr>
      </w:pPr>
      <w:r w:rsidRPr="00F9084A">
        <w:rPr>
          <w:b/>
          <w:bCs/>
          <w:sz w:val="18"/>
          <w:szCs w:val="18"/>
        </w:rPr>
        <w:t>Figure 2.</w:t>
      </w:r>
      <w:r w:rsidRPr="00F9084A">
        <w:rPr>
          <w:sz w:val="18"/>
          <w:szCs w:val="18"/>
        </w:rPr>
        <w:t xml:space="preserve"> PL and </w:t>
      </w:r>
      <w:r w:rsidR="0064283E" w:rsidRPr="00F9084A">
        <w:rPr>
          <w:sz w:val="18"/>
          <w:szCs w:val="18"/>
        </w:rPr>
        <w:t xml:space="preserve">MCPL </w:t>
      </w:r>
      <w:r w:rsidR="0064283E" w:rsidRPr="0017006A">
        <w:rPr>
          <w:sz w:val="18"/>
          <w:szCs w:val="18"/>
          <w:highlight w:val="yellow"/>
        </w:rPr>
        <w:t xml:space="preserve">at 0.4 T, </w:t>
      </w:r>
      <w:r w:rsidRPr="0017006A">
        <w:rPr>
          <w:sz w:val="18"/>
          <w:szCs w:val="18"/>
          <w:highlight w:val="yellow"/>
        </w:rPr>
        <w:t xml:space="preserve">normalized </w:t>
      </w:r>
      <w:r w:rsidR="0064283E" w:rsidRPr="0017006A">
        <w:rPr>
          <w:sz w:val="18"/>
          <w:szCs w:val="18"/>
          <w:highlight w:val="yellow"/>
        </w:rPr>
        <w:t>for the PL maximum</w:t>
      </w:r>
      <w:r w:rsidR="0017006A" w:rsidRPr="0017006A">
        <w:rPr>
          <w:sz w:val="18"/>
          <w:szCs w:val="18"/>
          <w:highlight w:val="yellow"/>
        </w:rPr>
        <w:t>,</w:t>
      </w:r>
      <w:r w:rsidRPr="0017006A">
        <w:rPr>
          <w:sz w:val="18"/>
          <w:szCs w:val="18"/>
          <w:highlight w:val="yellow"/>
        </w:rPr>
        <w:t xml:space="preserve"> </w:t>
      </w:r>
      <w:r w:rsidR="00AC5954" w:rsidRPr="0017006A">
        <w:rPr>
          <w:sz w:val="18"/>
          <w:szCs w:val="18"/>
          <w:highlight w:val="yellow"/>
        </w:rPr>
        <w:t xml:space="preserve">of </w:t>
      </w:r>
      <w:r w:rsidR="00AC5954" w:rsidRPr="000C10A3">
        <w:rPr>
          <w:sz w:val="18"/>
          <w:szCs w:val="18"/>
          <w:highlight w:val="yellow"/>
        </w:rPr>
        <w:t>the Cr</w:t>
      </w:r>
      <w:r w:rsidR="00AC5954" w:rsidRPr="00FC769A">
        <w:rPr>
          <w:sz w:val="18"/>
          <w:szCs w:val="18"/>
          <w:highlight w:val="yellow"/>
          <w:vertAlign w:val="superscript"/>
        </w:rPr>
        <w:t>3+</w:t>
      </w:r>
      <w:r w:rsidR="00AC5954" w:rsidRPr="000C10A3">
        <w:rPr>
          <w:sz w:val="18"/>
          <w:szCs w:val="18"/>
          <w:highlight w:val="yellow"/>
        </w:rPr>
        <w:t xml:space="preserve"> complex dissolved in </w:t>
      </w:r>
      <w:proofErr w:type="spellStart"/>
      <w:r w:rsidR="00AC5954" w:rsidRPr="000C10A3">
        <w:rPr>
          <w:sz w:val="18"/>
          <w:szCs w:val="18"/>
          <w:highlight w:val="yellow"/>
        </w:rPr>
        <w:t>deareated</w:t>
      </w:r>
      <w:proofErr w:type="spellEnd"/>
      <w:r w:rsidR="00AC5954" w:rsidRPr="000C10A3">
        <w:rPr>
          <w:sz w:val="18"/>
          <w:szCs w:val="18"/>
          <w:highlight w:val="yellow"/>
        </w:rPr>
        <w:t xml:space="preserve"> acetonitrile,</w:t>
      </w:r>
      <w:r w:rsidR="00AC5954">
        <w:rPr>
          <w:sz w:val="18"/>
          <w:szCs w:val="18"/>
        </w:rPr>
        <w:t xml:space="preserve"> </w:t>
      </w:r>
      <w:r w:rsidRPr="00F9084A">
        <w:rPr>
          <w:sz w:val="18"/>
          <w:szCs w:val="18"/>
        </w:rPr>
        <w:t>along with the corresponding fittings according to the rigid-shift model</w:t>
      </w:r>
      <w:r w:rsidR="005A365D">
        <w:rPr>
          <w:sz w:val="18"/>
          <w:szCs w:val="18"/>
        </w:rPr>
        <w:t xml:space="preserve"> </w:t>
      </w:r>
      <w:r w:rsidR="005A365D" w:rsidRPr="005A365D">
        <w:rPr>
          <w:sz w:val="18"/>
          <w:szCs w:val="18"/>
          <w:highlight w:val="yellow"/>
        </w:rPr>
        <w:t xml:space="preserve">(see </w:t>
      </w:r>
      <w:r w:rsidR="00EA1B03">
        <w:rPr>
          <w:sz w:val="18"/>
          <w:szCs w:val="18"/>
          <w:highlight w:val="yellow"/>
        </w:rPr>
        <w:t>the text</w:t>
      </w:r>
      <w:r w:rsidR="005A365D" w:rsidRPr="005A365D">
        <w:rPr>
          <w:sz w:val="18"/>
          <w:szCs w:val="18"/>
          <w:highlight w:val="yellow"/>
        </w:rPr>
        <w:t>)</w:t>
      </w:r>
      <w:r w:rsidRPr="00F9084A">
        <w:rPr>
          <w:sz w:val="18"/>
          <w:szCs w:val="18"/>
        </w:rPr>
        <w:t>.</w:t>
      </w:r>
      <w:r w:rsidR="00AC5954">
        <w:rPr>
          <w:sz w:val="18"/>
          <w:szCs w:val="18"/>
        </w:rPr>
        <w:t xml:space="preserve"> </w:t>
      </w:r>
    </w:p>
    <w:p w14:paraId="6C9BE55C" w14:textId="1A16B99B" w:rsidR="00BF1026" w:rsidRPr="00F9084A" w:rsidRDefault="00BF1026" w:rsidP="00BF1026">
      <w:pPr>
        <w:jc w:val="both"/>
        <w:rPr>
          <w:sz w:val="18"/>
          <w:szCs w:val="18"/>
        </w:rPr>
      </w:pPr>
      <w:r w:rsidRPr="00F9084A">
        <w:rPr>
          <w:sz w:val="18"/>
          <w:szCs w:val="18"/>
        </w:rPr>
        <w:t xml:space="preserve">The same SF transitions were also studied in absorption through MCD, on a concentrated solution of the complex under </w:t>
      </w:r>
      <w:r w:rsidR="007412B1" w:rsidRPr="00F9084A">
        <w:rPr>
          <w:sz w:val="18"/>
          <w:szCs w:val="18"/>
        </w:rPr>
        <w:t>±</w:t>
      </w:r>
      <w:r w:rsidRPr="00F9084A">
        <w:rPr>
          <w:sz w:val="18"/>
          <w:szCs w:val="18"/>
        </w:rPr>
        <w:t>1.4 T magnetic field (Figure 3</w:t>
      </w:r>
      <w:r w:rsidR="007038E9" w:rsidRPr="00F9084A">
        <w:rPr>
          <w:sz w:val="18"/>
          <w:szCs w:val="18"/>
        </w:rPr>
        <w:t>b</w:t>
      </w:r>
      <w:r w:rsidRPr="00F9084A">
        <w:rPr>
          <w:sz w:val="18"/>
          <w:szCs w:val="18"/>
        </w:rPr>
        <w:t>)</w:t>
      </w:r>
      <w:r w:rsidR="007412B1">
        <w:rPr>
          <w:sz w:val="18"/>
          <w:szCs w:val="18"/>
        </w:rPr>
        <w:t xml:space="preserve">, </w:t>
      </w:r>
      <w:r w:rsidR="007412B1" w:rsidRPr="007412B1">
        <w:rPr>
          <w:sz w:val="18"/>
          <w:szCs w:val="18"/>
          <w:highlight w:val="yellow"/>
        </w:rPr>
        <w:t>generated by an electromagnet</w:t>
      </w:r>
      <w:r w:rsidRPr="00F9084A">
        <w:rPr>
          <w:sz w:val="18"/>
          <w:szCs w:val="18"/>
        </w:rPr>
        <w:t xml:space="preserve">. A derivative-like signal was observed associated to the higher energy doublet transition, </w:t>
      </w:r>
      <w:proofErr w:type="gramStart"/>
      <w:r w:rsidRPr="00F9084A">
        <w:rPr>
          <w:sz w:val="18"/>
          <w:szCs w:val="18"/>
        </w:rPr>
        <w:t>similar to</w:t>
      </w:r>
      <w:proofErr w:type="gramEnd"/>
      <w:r w:rsidRPr="00F9084A">
        <w:rPr>
          <w:sz w:val="18"/>
          <w:szCs w:val="18"/>
        </w:rPr>
        <w:t xml:space="preserve"> the corresponding MCPL band. No significant MCD corresponding to the lower energy </w:t>
      </w:r>
      <w:r w:rsidR="001B1C1D" w:rsidRPr="00F9084A">
        <w:rPr>
          <w:sz w:val="18"/>
          <w:szCs w:val="18"/>
        </w:rPr>
        <w:t xml:space="preserve">SF </w:t>
      </w:r>
      <w:r w:rsidRPr="00F9084A">
        <w:rPr>
          <w:sz w:val="18"/>
          <w:szCs w:val="18"/>
        </w:rPr>
        <w:t>transition was detected. Similarly to the MCPL, MCD dissymmetry factor (</w:t>
      </w:r>
      <w:proofErr w:type="spellStart"/>
      <w:r w:rsidRPr="00F9084A">
        <w:rPr>
          <w:sz w:val="18"/>
          <w:szCs w:val="18"/>
        </w:rPr>
        <w:t>g</w:t>
      </w:r>
      <w:r w:rsidRPr="00F9084A">
        <w:rPr>
          <w:sz w:val="18"/>
          <w:szCs w:val="18"/>
          <w:vertAlign w:val="subscript"/>
        </w:rPr>
        <w:t>MCD</w:t>
      </w:r>
      <w:proofErr w:type="spellEnd"/>
      <w:r w:rsidRPr="00F9084A">
        <w:rPr>
          <w:sz w:val="18"/>
          <w:szCs w:val="18"/>
        </w:rPr>
        <w:t>) can be defined as:</w:t>
      </w:r>
    </w:p>
    <w:p w14:paraId="33BADE27" w14:textId="3C91C3DD" w:rsidR="00BF1026" w:rsidRPr="00F9084A" w:rsidRDefault="00000000" w:rsidP="00BF1026">
      <w:pPr>
        <w:jc w:val="both"/>
        <w:rPr>
          <w:iCs/>
          <w:sz w:val="18"/>
          <w:szCs w:val="18"/>
        </w:rPr>
      </w:pPr>
      <m:oMath>
        <m:sSub>
          <m:sSubPr>
            <m:ctrlPr>
              <w:rPr>
                <w:rFonts w:ascii="Cambria Math" w:hAnsi="Cambria Math"/>
                <w:iCs/>
                <w:sz w:val="18"/>
                <w:szCs w:val="18"/>
              </w:rPr>
            </m:ctrlPr>
          </m:sSubPr>
          <m:e>
            <m:r>
              <m:rPr>
                <m:sty m:val="p"/>
              </m:rPr>
              <w:rPr>
                <w:rFonts w:ascii="Cambria Math" w:hAnsi="Cambria Math"/>
                <w:sz w:val="18"/>
                <w:szCs w:val="18"/>
              </w:rPr>
              <m:t>g</m:t>
            </m:r>
          </m:e>
          <m:sub>
            <m:r>
              <m:rPr>
                <m:sty m:val="p"/>
              </m:rPr>
              <w:rPr>
                <w:rFonts w:ascii="Cambria Math" w:hAnsi="Cambria Math"/>
                <w:sz w:val="18"/>
                <w:szCs w:val="18"/>
              </w:rPr>
              <m:t>MCD</m:t>
            </m:r>
          </m:sub>
        </m:sSub>
        <m:r>
          <m:rPr>
            <m:sty m:val="p"/>
          </m:rPr>
          <w:rPr>
            <w:rFonts w:ascii="Cambria Math" w:hAnsi="Cambria Math"/>
            <w:sz w:val="18"/>
            <w:szCs w:val="18"/>
          </w:rPr>
          <m:t>=2</m:t>
        </m:r>
        <m:f>
          <m:fPr>
            <m:ctrlPr>
              <w:rPr>
                <w:rFonts w:ascii="Cambria Math" w:hAnsi="Cambria Math"/>
                <w:iCs/>
                <w:sz w:val="18"/>
                <w:szCs w:val="18"/>
              </w:rPr>
            </m:ctrlPr>
          </m:fPr>
          <m:num>
            <m:r>
              <m:rPr>
                <m:sty m:val="p"/>
              </m:rPr>
              <w:rPr>
                <w:rFonts w:ascii="Cambria Math" w:hAnsi="Cambria Math"/>
                <w:sz w:val="18"/>
                <w:szCs w:val="18"/>
              </w:rPr>
              <m:t>1</m:t>
            </m:r>
          </m:num>
          <m:den>
            <m:r>
              <m:rPr>
                <m:sty m:val="p"/>
              </m:rPr>
              <w:rPr>
                <w:rFonts w:ascii="Cambria Math" w:hAnsi="Cambria Math"/>
                <w:sz w:val="18"/>
                <w:szCs w:val="18"/>
              </w:rPr>
              <m:t>H</m:t>
            </m:r>
          </m:den>
        </m:f>
        <m:f>
          <m:fPr>
            <m:ctrlPr>
              <w:rPr>
                <w:rFonts w:ascii="Cambria Math" w:hAnsi="Cambria Math"/>
                <w:iCs/>
                <w:sz w:val="18"/>
                <w:szCs w:val="18"/>
              </w:rPr>
            </m:ctrlPr>
          </m:fPr>
          <m:num>
            <m:d>
              <m:dPr>
                <m:ctrlPr>
                  <w:rPr>
                    <w:rFonts w:ascii="Cambria Math" w:hAnsi="Cambria Math"/>
                    <w:iCs/>
                    <w:sz w:val="18"/>
                    <w:szCs w:val="18"/>
                  </w:rPr>
                </m:ctrlPr>
              </m:dPr>
              <m:e>
                <m:sSub>
                  <m:sSubPr>
                    <m:ctrlPr>
                      <w:rPr>
                        <w:rFonts w:ascii="Cambria Math" w:hAnsi="Cambria Math"/>
                        <w:iCs/>
                        <w:sz w:val="18"/>
                        <w:szCs w:val="18"/>
                      </w:rPr>
                    </m:ctrlPr>
                  </m:sSubPr>
                  <m:e>
                    <m:r>
                      <m:rPr>
                        <m:sty m:val="p"/>
                      </m:rPr>
                      <w:rPr>
                        <w:rFonts w:ascii="Cambria Math" w:hAnsi="Cambria Math"/>
                        <w:sz w:val="18"/>
                        <w:szCs w:val="18"/>
                      </w:rPr>
                      <m:t>A</m:t>
                    </m:r>
                  </m:e>
                  <m:sub>
                    <m:r>
                      <m:rPr>
                        <m:sty m:val="p"/>
                      </m:rPr>
                      <w:rPr>
                        <w:rFonts w:ascii="Cambria Math" w:hAnsi="Cambria Math"/>
                        <w:sz w:val="18"/>
                        <w:szCs w:val="18"/>
                      </w:rPr>
                      <m:t>L</m:t>
                    </m:r>
                  </m:sub>
                </m:sSub>
                <m:r>
                  <m:rPr>
                    <m:sty m:val="p"/>
                  </m:rPr>
                  <w:rPr>
                    <w:rFonts w:ascii="Cambria Math" w:hAnsi="Cambria Math"/>
                    <w:sz w:val="18"/>
                    <w:szCs w:val="18"/>
                  </w:rPr>
                  <m:t>-</m:t>
                </m:r>
                <m:sSub>
                  <m:sSubPr>
                    <m:ctrlPr>
                      <w:rPr>
                        <w:rFonts w:ascii="Cambria Math" w:hAnsi="Cambria Math"/>
                        <w:iCs/>
                        <w:sz w:val="18"/>
                        <w:szCs w:val="18"/>
                      </w:rPr>
                    </m:ctrlPr>
                  </m:sSubPr>
                  <m:e>
                    <m:r>
                      <m:rPr>
                        <m:sty m:val="p"/>
                      </m:rPr>
                      <w:rPr>
                        <w:rFonts w:ascii="Cambria Math" w:hAnsi="Cambria Math"/>
                        <w:sz w:val="18"/>
                        <w:szCs w:val="18"/>
                      </w:rPr>
                      <m:t>A</m:t>
                    </m:r>
                  </m:e>
                  <m:sub>
                    <m:r>
                      <m:rPr>
                        <m:sty m:val="p"/>
                      </m:rPr>
                      <w:rPr>
                        <w:rFonts w:ascii="Cambria Math" w:hAnsi="Cambria Math"/>
                        <w:sz w:val="18"/>
                        <w:szCs w:val="18"/>
                      </w:rPr>
                      <m:t>R</m:t>
                    </m:r>
                  </m:sub>
                </m:sSub>
              </m:e>
            </m:d>
          </m:num>
          <m:den>
            <m:d>
              <m:dPr>
                <m:ctrlPr>
                  <w:rPr>
                    <w:rFonts w:ascii="Cambria Math" w:hAnsi="Cambria Math"/>
                    <w:iCs/>
                    <w:sz w:val="18"/>
                    <w:szCs w:val="18"/>
                  </w:rPr>
                </m:ctrlPr>
              </m:dPr>
              <m:e>
                <m:sSub>
                  <m:sSubPr>
                    <m:ctrlPr>
                      <w:rPr>
                        <w:rFonts w:ascii="Cambria Math" w:hAnsi="Cambria Math"/>
                        <w:iCs/>
                        <w:sz w:val="18"/>
                        <w:szCs w:val="18"/>
                      </w:rPr>
                    </m:ctrlPr>
                  </m:sSubPr>
                  <m:e>
                    <m:r>
                      <m:rPr>
                        <m:sty m:val="p"/>
                      </m:rPr>
                      <w:rPr>
                        <w:rFonts w:ascii="Cambria Math" w:hAnsi="Cambria Math"/>
                        <w:sz w:val="18"/>
                        <w:szCs w:val="18"/>
                      </w:rPr>
                      <m:t>A</m:t>
                    </m:r>
                  </m:e>
                  <m:sub>
                    <m:r>
                      <m:rPr>
                        <m:sty m:val="p"/>
                      </m:rPr>
                      <w:rPr>
                        <w:rFonts w:ascii="Cambria Math" w:hAnsi="Cambria Math"/>
                        <w:sz w:val="18"/>
                        <w:szCs w:val="18"/>
                      </w:rPr>
                      <m:t>L</m:t>
                    </m:r>
                  </m:sub>
                </m:sSub>
                <m:r>
                  <m:rPr>
                    <m:sty m:val="p"/>
                  </m:rPr>
                  <w:rPr>
                    <w:rFonts w:ascii="Cambria Math" w:hAnsi="Cambria Math"/>
                    <w:sz w:val="18"/>
                    <w:szCs w:val="18"/>
                  </w:rPr>
                  <m:t>+</m:t>
                </m:r>
                <m:sSub>
                  <m:sSubPr>
                    <m:ctrlPr>
                      <w:rPr>
                        <w:rFonts w:ascii="Cambria Math" w:hAnsi="Cambria Math"/>
                        <w:iCs/>
                        <w:sz w:val="18"/>
                        <w:szCs w:val="18"/>
                      </w:rPr>
                    </m:ctrlPr>
                  </m:sSubPr>
                  <m:e>
                    <m:r>
                      <m:rPr>
                        <m:sty m:val="p"/>
                      </m:rPr>
                      <w:rPr>
                        <w:rFonts w:ascii="Cambria Math" w:hAnsi="Cambria Math"/>
                        <w:sz w:val="18"/>
                        <w:szCs w:val="18"/>
                      </w:rPr>
                      <m:t>A</m:t>
                    </m:r>
                  </m:e>
                  <m:sub>
                    <m:r>
                      <m:rPr>
                        <m:sty m:val="p"/>
                      </m:rPr>
                      <w:rPr>
                        <w:rFonts w:ascii="Cambria Math" w:hAnsi="Cambria Math"/>
                        <w:sz w:val="18"/>
                        <w:szCs w:val="18"/>
                      </w:rPr>
                      <m:t>R</m:t>
                    </m:r>
                  </m:sub>
                </m:sSub>
              </m:e>
            </m:d>
          </m:den>
        </m:f>
      </m:oMath>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8A0210" w:rsidRPr="00F9084A">
        <w:rPr>
          <w:rFonts w:eastAsiaTheme="minorEastAsia"/>
          <w:iCs/>
          <w:sz w:val="18"/>
          <w:szCs w:val="18"/>
        </w:rPr>
        <w:tab/>
      </w:r>
      <w:r w:rsidR="00BF1026" w:rsidRPr="00F9084A">
        <w:rPr>
          <w:rFonts w:eastAsiaTheme="minorEastAsia"/>
          <w:iCs/>
          <w:sz w:val="18"/>
          <w:szCs w:val="18"/>
        </w:rPr>
        <w:tab/>
        <w:t>Eq. 3</w:t>
      </w:r>
    </w:p>
    <w:p w14:paraId="22E94F05" w14:textId="5760B25E" w:rsidR="00BF1026" w:rsidRPr="00F9084A" w:rsidRDefault="00BF1026" w:rsidP="00951FAA">
      <w:pPr>
        <w:spacing w:after="0"/>
        <w:jc w:val="both"/>
        <w:rPr>
          <w:sz w:val="18"/>
          <w:szCs w:val="18"/>
        </w:rPr>
      </w:pPr>
      <w:r w:rsidRPr="00F9084A">
        <w:rPr>
          <w:sz w:val="18"/>
          <w:szCs w:val="18"/>
        </w:rPr>
        <w:t>With A</w:t>
      </w:r>
      <w:r w:rsidRPr="00F9084A">
        <w:rPr>
          <w:sz w:val="18"/>
          <w:szCs w:val="18"/>
          <w:vertAlign w:val="subscript"/>
        </w:rPr>
        <w:t>L</w:t>
      </w:r>
      <w:r w:rsidR="00BB4980">
        <w:rPr>
          <w:sz w:val="18"/>
          <w:szCs w:val="18"/>
        </w:rPr>
        <w:t xml:space="preserve"> (</w:t>
      </w:r>
      <w:r w:rsidRPr="00F9084A">
        <w:rPr>
          <w:sz w:val="18"/>
          <w:szCs w:val="18"/>
        </w:rPr>
        <w:t>A</w:t>
      </w:r>
      <w:r w:rsidRPr="00F9084A">
        <w:rPr>
          <w:sz w:val="18"/>
          <w:szCs w:val="18"/>
          <w:vertAlign w:val="subscript"/>
        </w:rPr>
        <w:t>R</w:t>
      </w:r>
      <w:r w:rsidR="00BB4980">
        <w:rPr>
          <w:sz w:val="18"/>
          <w:szCs w:val="18"/>
        </w:rPr>
        <w:t>)</w:t>
      </w:r>
      <w:r w:rsidRPr="00F9084A">
        <w:rPr>
          <w:sz w:val="18"/>
          <w:szCs w:val="18"/>
        </w:rPr>
        <w:t xml:space="preserve"> the absorbance of left </w:t>
      </w:r>
      <w:r w:rsidR="00BB4980">
        <w:rPr>
          <w:sz w:val="18"/>
          <w:szCs w:val="18"/>
        </w:rPr>
        <w:t>(</w:t>
      </w:r>
      <w:r w:rsidRPr="00F9084A">
        <w:rPr>
          <w:sz w:val="18"/>
          <w:szCs w:val="18"/>
        </w:rPr>
        <w:t>right</w:t>
      </w:r>
      <w:r w:rsidR="00BB4980">
        <w:rPr>
          <w:sz w:val="18"/>
          <w:szCs w:val="18"/>
        </w:rPr>
        <w:t>)</w:t>
      </w:r>
      <w:r w:rsidRPr="00F9084A">
        <w:rPr>
          <w:sz w:val="18"/>
          <w:szCs w:val="18"/>
        </w:rPr>
        <w:t xml:space="preserve"> circularly polarized light. The g</w:t>
      </w:r>
      <w:r w:rsidRPr="00F9084A">
        <w:rPr>
          <w:sz w:val="18"/>
          <w:szCs w:val="18"/>
          <w:vertAlign w:val="subscript"/>
        </w:rPr>
        <w:t>abs</w:t>
      </w:r>
      <w:r w:rsidRPr="00F9084A">
        <w:rPr>
          <w:sz w:val="18"/>
          <w:szCs w:val="18"/>
        </w:rPr>
        <w:t xml:space="preserve"> </w:t>
      </w:r>
      <w:r w:rsidR="001B1C1D" w:rsidRPr="00F9084A">
        <w:rPr>
          <w:sz w:val="18"/>
          <w:szCs w:val="18"/>
        </w:rPr>
        <w:t>were</w:t>
      </w:r>
      <w:r w:rsidRPr="00F9084A">
        <w:rPr>
          <w:sz w:val="18"/>
          <w:szCs w:val="18"/>
        </w:rPr>
        <w:t xml:space="preserve"> estimated approximately +1.7 and -1.4∙10</w:t>
      </w:r>
      <w:r w:rsidRPr="00F9084A">
        <w:rPr>
          <w:sz w:val="18"/>
          <w:szCs w:val="18"/>
          <w:vertAlign w:val="superscript"/>
        </w:rPr>
        <w:t>-2</w:t>
      </w:r>
      <w:r w:rsidRPr="00F9084A">
        <w:rPr>
          <w:sz w:val="18"/>
          <w:szCs w:val="18"/>
        </w:rPr>
        <w:t xml:space="preserve"> T</w:t>
      </w:r>
      <w:r w:rsidRPr="00F9084A">
        <w:rPr>
          <w:sz w:val="18"/>
          <w:szCs w:val="18"/>
          <w:vertAlign w:val="superscript"/>
        </w:rPr>
        <w:t>-1</w:t>
      </w:r>
      <w:r w:rsidRPr="00F9084A">
        <w:rPr>
          <w:sz w:val="18"/>
          <w:szCs w:val="18"/>
        </w:rPr>
        <w:t xml:space="preserve"> at 725 and 728 nm respectively. Such values are 2 orders of magnitude higher than those observed for the MCD bands observed between 500 and 250 nm</w:t>
      </w:r>
      <w:r w:rsidR="007038E9" w:rsidRPr="00F9084A">
        <w:rPr>
          <w:sz w:val="18"/>
          <w:szCs w:val="18"/>
        </w:rPr>
        <w:t xml:space="preserve"> (Figure 3 a)</w:t>
      </w:r>
      <w:r w:rsidRPr="00F9084A">
        <w:rPr>
          <w:sz w:val="18"/>
          <w:szCs w:val="18"/>
        </w:rPr>
        <w:t>, associated with the</w:t>
      </w:r>
      <w:r w:rsidRPr="00F9084A">
        <w:rPr>
          <w:rFonts w:ascii="ArnoPro-Regular" w:eastAsia="ArnoPro-Regular" w:cs="ArnoPro-Regular"/>
          <w:sz w:val="16"/>
          <w:szCs w:val="16"/>
        </w:rPr>
        <w:t xml:space="preserve"> </w:t>
      </w:r>
      <w:r w:rsidRPr="00F9084A">
        <w:rPr>
          <w:sz w:val="18"/>
          <w:szCs w:val="18"/>
        </w:rPr>
        <w:t>ligand-</w:t>
      </w:r>
      <w:r w:rsidR="00C94D7C" w:rsidRPr="00F9084A">
        <w:rPr>
          <w:sz w:val="18"/>
          <w:szCs w:val="18"/>
        </w:rPr>
        <w:t>centred</w:t>
      </w:r>
      <w:r w:rsidRPr="00F9084A">
        <w:rPr>
          <w:sz w:val="18"/>
          <w:szCs w:val="18"/>
        </w:rPr>
        <w:t xml:space="preserve"> (LC) and ligand-to-metal charge-transfer transitions (</w:t>
      </w:r>
      <w:proofErr w:type="spellStart"/>
      <w:r w:rsidRPr="00F9084A">
        <w:rPr>
          <w:sz w:val="18"/>
          <w:szCs w:val="18"/>
        </w:rPr>
        <w:t>g</w:t>
      </w:r>
      <w:r w:rsidRPr="00F9084A">
        <w:rPr>
          <w:sz w:val="18"/>
          <w:szCs w:val="18"/>
          <w:vertAlign w:val="subscript"/>
        </w:rPr>
        <w:t>MCD</w:t>
      </w:r>
      <w:proofErr w:type="spellEnd"/>
      <w:r w:rsidRPr="00F9084A">
        <w:rPr>
          <w:sz w:val="18"/>
          <w:szCs w:val="18"/>
        </w:rPr>
        <w:t xml:space="preserve"> </w:t>
      </w:r>
      <w:r w:rsidRPr="00F9084A">
        <w:rPr>
          <w:rStyle w:val="eetcfd"/>
          <w:sz w:val="18"/>
          <w:szCs w:val="18"/>
        </w:rPr>
        <w:t>≈ 1</w:t>
      </w:r>
      <w:r w:rsidRPr="00F9084A">
        <w:rPr>
          <w:sz w:val="18"/>
          <w:szCs w:val="18"/>
        </w:rPr>
        <w:t>∙</w:t>
      </w:r>
      <w:r w:rsidRPr="00F9084A">
        <w:rPr>
          <w:rStyle w:val="eetcfd"/>
          <w:sz w:val="18"/>
          <w:szCs w:val="18"/>
        </w:rPr>
        <w:t>10</w:t>
      </w:r>
      <w:r w:rsidRPr="00F9084A">
        <w:rPr>
          <w:rStyle w:val="eetcfd"/>
          <w:sz w:val="18"/>
          <w:szCs w:val="18"/>
          <w:vertAlign w:val="superscript"/>
        </w:rPr>
        <w:t>-4</w:t>
      </w:r>
      <w:r w:rsidRPr="00F9084A">
        <w:rPr>
          <w:rStyle w:val="eetcfd"/>
          <w:sz w:val="18"/>
          <w:szCs w:val="18"/>
        </w:rPr>
        <w:t xml:space="preserve"> T</w:t>
      </w:r>
      <w:r w:rsidRPr="00F9084A">
        <w:rPr>
          <w:rStyle w:val="eetcfd"/>
          <w:sz w:val="18"/>
          <w:szCs w:val="18"/>
          <w:vertAlign w:val="superscript"/>
        </w:rPr>
        <w:t>-1</w:t>
      </w:r>
      <w:r w:rsidRPr="00F9084A">
        <w:rPr>
          <w:rStyle w:val="eetcfd"/>
          <w:sz w:val="18"/>
          <w:szCs w:val="18"/>
        </w:rPr>
        <w:t xml:space="preserve">). This confirms that magneto-optical techniques are excellent tools to study SF transitions. Such studies are particularly challenging in standard absorption spectroscopy experiments due to the very weak extinction coefficient </w:t>
      </w:r>
      <w:r w:rsidR="00676893" w:rsidRPr="00F9084A">
        <w:rPr>
          <w:rStyle w:val="eetcfd"/>
          <w:sz w:val="18"/>
          <w:szCs w:val="18"/>
        </w:rPr>
        <w:t xml:space="preserve">of SF transitions </w:t>
      </w:r>
      <w:r w:rsidRPr="00F9084A">
        <w:rPr>
          <w:rStyle w:val="eetcfd"/>
          <w:sz w:val="18"/>
          <w:szCs w:val="18"/>
        </w:rPr>
        <w:t>(below 1 M</w:t>
      </w:r>
      <w:r w:rsidRPr="00F9084A">
        <w:rPr>
          <w:rStyle w:val="eetcfd"/>
          <w:sz w:val="18"/>
          <w:szCs w:val="18"/>
          <w:vertAlign w:val="superscript"/>
        </w:rPr>
        <w:t>-1</w:t>
      </w:r>
      <w:r w:rsidRPr="00F9084A">
        <w:rPr>
          <w:rStyle w:val="eetcfd"/>
          <w:sz w:val="18"/>
          <w:szCs w:val="18"/>
        </w:rPr>
        <w:t xml:space="preserve"> cm</w:t>
      </w:r>
      <w:r w:rsidRPr="00F9084A">
        <w:rPr>
          <w:rStyle w:val="eetcfd"/>
          <w:sz w:val="18"/>
          <w:szCs w:val="18"/>
          <w:vertAlign w:val="superscript"/>
        </w:rPr>
        <w:t>-1</w:t>
      </w:r>
      <w:r w:rsidRPr="00F9084A">
        <w:rPr>
          <w:rStyle w:val="eetcfd"/>
          <w:sz w:val="18"/>
          <w:szCs w:val="18"/>
        </w:rPr>
        <w:t xml:space="preserve">, see Figure 3b), which requires high concentrations and deconvolution from the tail of the high energy absorption transitions, making it difficult to distinguish the extinction peaks from the instrumental noise. On the other hand, we show here that MCD experiments can give signals well above the instrumental noise, without the need </w:t>
      </w:r>
      <w:r w:rsidR="00167494" w:rsidRPr="00F9084A">
        <w:rPr>
          <w:rStyle w:val="eetcfd"/>
          <w:sz w:val="18"/>
          <w:szCs w:val="18"/>
        </w:rPr>
        <w:t xml:space="preserve">for </w:t>
      </w:r>
      <w:r w:rsidRPr="00F9084A">
        <w:rPr>
          <w:rStyle w:val="eetcfd"/>
          <w:sz w:val="18"/>
          <w:szCs w:val="18"/>
        </w:rPr>
        <w:t>deconvolution procedures.</w:t>
      </w:r>
      <w:r w:rsidRPr="00F9084A">
        <w:rPr>
          <w:sz w:val="18"/>
          <w:szCs w:val="18"/>
        </w:rPr>
        <w:t xml:space="preserve"> As expected, the MCD signal intensity was found to be linear with the applied field H (Figure S</w:t>
      </w:r>
      <w:r w:rsidR="003256E1" w:rsidRPr="00F9084A">
        <w:rPr>
          <w:sz w:val="18"/>
          <w:szCs w:val="18"/>
        </w:rPr>
        <w:t>4</w:t>
      </w:r>
      <w:r w:rsidRPr="00F9084A">
        <w:rPr>
          <w:sz w:val="18"/>
          <w:szCs w:val="18"/>
        </w:rPr>
        <w:t xml:space="preserve">). The overall similarity of the MCD and MCPL shape and signature is consistent with minor structural differences between the ground state and the doublet states of </w:t>
      </w:r>
      <w:proofErr w:type="gramStart"/>
      <w:r w:rsidRPr="00F9084A">
        <w:rPr>
          <w:sz w:val="18"/>
          <w:szCs w:val="18"/>
        </w:rPr>
        <w:t>Cr(</w:t>
      </w:r>
      <w:proofErr w:type="gramEnd"/>
      <w:r w:rsidRPr="00F9084A">
        <w:rPr>
          <w:sz w:val="18"/>
          <w:szCs w:val="18"/>
        </w:rPr>
        <w:t xml:space="preserve">III). Indeed, SF states have a nested nature and therefore they are expected to be only weakly distorted with respect to the ground state. </w:t>
      </w:r>
      <w:r w:rsidRPr="00F9084A">
        <w:rPr>
          <w:sz w:val="18"/>
          <w:szCs w:val="18"/>
        </w:rPr>
        <w:fldChar w:fldCharType="begin"/>
      </w:r>
      <w:r w:rsidR="00AA5428" w:rsidRPr="00F9084A">
        <w:rPr>
          <w:sz w:val="18"/>
          <w:szCs w:val="18"/>
        </w:rPr>
        <w:instrText xml:space="preserve"> ADDIN ZOTERO_ITEM CSL_CITATION {"citationID":"On8geYrd","properties":{"formattedCitation":"\\super 10,23\\nosupersub{}","plainCitation":"10,23","noteIndex":0},"citationItems":[{"id":7338,"uris":["http://zotero.org/users/2011173/items/G2UV8LFK"],"itemData":{"id":7338,"type":"article-journal","abstract":"In molecular photochemistry, charge-transfer emission is well understood and widely exploited. In contrast, luminescent metal-centered transitions only came into focus in recent years. This gave rise to strongly phosphorescent CrIII complexes with a d3 electronic configuration featuring luminescent metal-centered excited states which are characterized by the flip of a single spin. These so-called spin-flip emitters possess unique properties and require different design strategies than traditional charge-transfer phosphors. In this review, we give a brief introduction to ligand field theory as a framework to understand this phenomenon and outline prerequisites for efficient spin-flip emission including ligand field strength, symmetry, intersystem crossing and common deactivation pathways using CrIII complexes as instructive examples. The recent progress and associated challenges of tuning the energies of emissive excited states and of emerging applications of the unique photophysical properties of spin-flip emitters are discussed. Finally, we summarize the current state-of-the-art and challenges of spin-flip emitters beyond CrIII with d2, d3, d4 and d8 electronic configuration, where we mainly cover pseudooctahedral molecular complexes of V, Mo, W, Mn, Re and Ni, and highlight possible future research opportunities.","container-title":"Photochemical &amp; Photobiological Sciences","DOI":"10.1007/s43630-022-00186-3","ISSN":"1474-9092","issue":"7","journalAbbreviation":"Photochem Photobiol Sci","language":"en","page":"1309-1331","source":"Springer Link","title":"Spin-flip luminescence","volume":"21","author":[{"family":"Kitzmann","given":"Winald Robert"},{"family":"Moll","given":"Johannes"},{"family":"Heinze","given":"Katja"}],"issued":{"date-parts":[["2022",7,1]]}}},{"id":7359,"uris":["http://zotero.org/users/2011173/items/HE48AMQ9"],"itemData":{"id":7359,"type":"article-journal","abstract":"Transition metal complexes with photoactive charge-transfer excited states are pervasive throughout the literature. In particular, [Ru(bpy)3]2+ (bpy=2,2′-bipyridine), with its metal-to-ligand charge-transfer emission, has been established as a key complex. Meanwhile, interest in so-called spin-flip metal-centered states has risen dramatically after the molecular ruby [Cr(ddpd)2]3+ (ddpd=N,N′-dimethyl-N,N′-dipyridin-2-yl-pyridine-2,6-diamine) led to design principles to access strong, long-lived emission from photostable chromium(III) complexes. This Review contrasts the properties of emissive charge-transfer and spin-flip states by using [Ru(bpy)3]2+ and [Cr(ddpd)2]3+ as prototypical examples. We discuss the relevant excited states, the tunability of their energy and lifetimes, and their response to external stimuli. Finally, we identify strengths and weaknesses of charge-transfer and spin-flip states in applications such as photocatalysis and circularly polarized luminescence.","container-title":"Angewandte Chemie International Edition","DOI":"10.1002/anie.202213207","ISSN":"1521-3773","issue":"15","journalAbbreviation":"Angew. Chem. Int. Ed.","language":"en","license":"© 2022 The Authors. Angewandte Chemie International Edition published by Wiley-VCH GmbH","note":"_eprint: https://onlinelibrary.wiley.com/doi/pdf/10.1002/anie.202213207","page":"e202213207","source":"Wiley Online Library","title":"Charge-Transfer and Spin-Flip States: Thriving as Complements","title-short":"Charge-Transfer and Spin-Flip States","volume":"62","author":[{"family":"Kitzmann","given":"Winald R."},{"family":"Heinze","given":"Katja"}],"issued":{"date-parts":[["2023"]]}}}],"schema":"https://github.com/citation-style-language/schema/raw/master/csl-citation.json"} </w:instrText>
      </w:r>
      <w:r w:rsidRPr="00F9084A">
        <w:rPr>
          <w:sz w:val="18"/>
          <w:szCs w:val="18"/>
        </w:rPr>
        <w:fldChar w:fldCharType="separate"/>
      </w:r>
      <w:r w:rsidR="00DF5192" w:rsidRPr="00F9084A">
        <w:rPr>
          <w:rFonts w:ascii="Aptos" w:hAnsi="Aptos" w:cs="Times New Roman"/>
          <w:sz w:val="18"/>
          <w:vertAlign w:val="superscript"/>
        </w:rPr>
        <w:t>10,23</w:t>
      </w:r>
      <w:r w:rsidRPr="00F9084A">
        <w:rPr>
          <w:sz w:val="18"/>
          <w:szCs w:val="18"/>
        </w:rPr>
        <w:fldChar w:fldCharType="end"/>
      </w:r>
    </w:p>
    <w:p w14:paraId="04DF25E9" w14:textId="006CE2C0" w:rsidR="001D1209" w:rsidRPr="00F9084A" w:rsidRDefault="001D1209" w:rsidP="00951FAA">
      <w:pPr>
        <w:spacing w:after="0"/>
        <w:jc w:val="both"/>
        <w:rPr>
          <w:sz w:val="18"/>
          <w:szCs w:val="18"/>
        </w:rPr>
      </w:pPr>
      <w:r w:rsidRPr="00F9084A">
        <w:rPr>
          <w:sz w:val="18"/>
          <w:szCs w:val="18"/>
        </w:rPr>
        <w:lastRenderedPageBreak/>
        <w:t xml:space="preserve">To rationalize these results, it is worth </w:t>
      </w:r>
      <w:r w:rsidR="00961404" w:rsidRPr="00F9084A">
        <w:rPr>
          <w:sz w:val="18"/>
          <w:szCs w:val="18"/>
        </w:rPr>
        <w:t xml:space="preserve">analysing </w:t>
      </w:r>
      <w:r w:rsidRPr="00F9084A">
        <w:rPr>
          <w:sz w:val="18"/>
          <w:szCs w:val="18"/>
        </w:rPr>
        <w:t xml:space="preserve">the states involved in the SF transitions giving origin to the MCD and MCPL spectra. In the complex, the presence of the helically twisted tridentate </w:t>
      </w:r>
      <w:proofErr w:type="spellStart"/>
      <w:r w:rsidRPr="00F9084A">
        <w:rPr>
          <w:sz w:val="18"/>
          <w:szCs w:val="18"/>
        </w:rPr>
        <w:t>dqp</w:t>
      </w:r>
      <w:proofErr w:type="spellEnd"/>
      <w:r w:rsidRPr="00F9084A">
        <w:rPr>
          <w:sz w:val="18"/>
          <w:szCs w:val="18"/>
        </w:rPr>
        <w:t xml:space="preserve"> suppresses any symmetry plane and lowers the overall symmetry to </w:t>
      </w:r>
      <w:r w:rsidRPr="00F9084A">
        <w:rPr>
          <w:i/>
          <w:sz w:val="18"/>
          <w:szCs w:val="18"/>
        </w:rPr>
        <w:t>D</w:t>
      </w:r>
      <w:r w:rsidRPr="00F9084A">
        <w:rPr>
          <w:sz w:val="18"/>
          <w:szCs w:val="18"/>
          <w:vertAlign w:val="subscript"/>
        </w:rPr>
        <w:t>2</w:t>
      </w:r>
      <w:r w:rsidRPr="00F9084A">
        <w:rPr>
          <w:sz w:val="18"/>
          <w:szCs w:val="18"/>
        </w:rPr>
        <w:t xml:space="preserve">. In such symmetry, the orbital degeneracy of the excited states is removed, and </w:t>
      </w:r>
      <w:r w:rsidRPr="00F9084A">
        <w:rPr>
          <w:sz w:val="18"/>
          <w:szCs w:val="18"/>
          <w:vertAlign w:val="superscript"/>
        </w:rPr>
        <w:t>2</w:t>
      </w:r>
      <w:r w:rsidRPr="00F9084A">
        <w:rPr>
          <w:sz w:val="18"/>
          <w:szCs w:val="18"/>
        </w:rPr>
        <w:t>T</w:t>
      </w:r>
      <w:r w:rsidRPr="00F9084A">
        <w:rPr>
          <w:sz w:val="18"/>
          <w:szCs w:val="18"/>
          <w:vertAlign w:val="subscript"/>
        </w:rPr>
        <w:t>1</w:t>
      </w:r>
      <w:r w:rsidRPr="00F9084A">
        <w:rPr>
          <w:sz w:val="18"/>
          <w:szCs w:val="18"/>
        </w:rPr>
        <w:t xml:space="preserve"> and </w:t>
      </w:r>
      <w:r w:rsidRPr="00F9084A">
        <w:rPr>
          <w:sz w:val="18"/>
          <w:szCs w:val="18"/>
          <w:vertAlign w:val="superscript"/>
        </w:rPr>
        <w:t>2</w:t>
      </w:r>
      <w:r w:rsidRPr="00F9084A">
        <w:rPr>
          <w:sz w:val="18"/>
          <w:szCs w:val="18"/>
        </w:rPr>
        <w:t xml:space="preserve">E states are split into 3 and </w:t>
      </w:r>
      <w:r w:rsidR="00676893" w:rsidRPr="00F9084A">
        <w:rPr>
          <w:sz w:val="18"/>
          <w:szCs w:val="18"/>
        </w:rPr>
        <w:t xml:space="preserve">2 </w:t>
      </w:r>
      <w:r w:rsidRPr="00F9084A">
        <w:rPr>
          <w:sz w:val="18"/>
          <w:szCs w:val="18"/>
        </w:rPr>
        <w:t>components respectively (Figure 1a)</w:t>
      </w:r>
      <w:r w:rsidR="00F012CB" w:rsidRPr="00F9084A">
        <w:rPr>
          <w:sz w:val="18"/>
          <w:szCs w:val="18"/>
        </w:rPr>
        <w:t xml:space="preserve">, </w:t>
      </w:r>
      <w:r w:rsidR="00641968" w:rsidRPr="00641968">
        <w:rPr>
          <w:sz w:val="18"/>
          <w:szCs w:val="18"/>
          <w:highlight w:val="yellow"/>
        </w:rPr>
        <w:t xml:space="preserve">The main MCPL signal </w:t>
      </w:r>
      <w:r w:rsidR="00CC0F3F" w:rsidRPr="00641968">
        <w:rPr>
          <w:sz w:val="18"/>
          <w:szCs w:val="18"/>
          <w:highlight w:val="yellow"/>
        </w:rPr>
        <w:t>at 72</w:t>
      </w:r>
      <w:r w:rsidR="002F7E0D" w:rsidRPr="00641968">
        <w:rPr>
          <w:sz w:val="18"/>
          <w:szCs w:val="18"/>
          <w:highlight w:val="yellow"/>
        </w:rPr>
        <w:t>9</w:t>
      </w:r>
      <w:r w:rsidR="00CC0F3F" w:rsidRPr="00641968">
        <w:rPr>
          <w:sz w:val="18"/>
          <w:szCs w:val="18"/>
          <w:highlight w:val="yellow"/>
        </w:rPr>
        <w:t xml:space="preserve"> nm</w:t>
      </w:r>
      <w:r w:rsidR="00641968" w:rsidRPr="00641968">
        <w:rPr>
          <w:sz w:val="18"/>
          <w:szCs w:val="18"/>
          <w:highlight w:val="yellow"/>
        </w:rPr>
        <w:t xml:space="preserve"> is associated </w:t>
      </w:r>
      <w:r w:rsidR="005A42D4">
        <w:rPr>
          <w:sz w:val="18"/>
          <w:szCs w:val="18"/>
          <w:highlight w:val="yellow"/>
        </w:rPr>
        <w:t>with</w:t>
      </w:r>
      <w:r w:rsidR="005A42D4" w:rsidRPr="00641968">
        <w:rPr>
          <w:sz w:val="18"/>
          <w:szCs w:val="18"/>
          <w:highlight w:val="yellow"/>
        </w:rPr>
        <w:t xml:space="preserve"> </w:t>
      </w:r>
      <w:r w:rsidR="00641968" w:rsidRPr="00641968">
        <w:rPr>
          <w:sz w:val="18"/>
          <w:szCs w:val="18"/>
          <w:highlight w:val="yellow"/>
        </w:rPr>
        <w:t>the lower</w:t>
      </w:r>
      <w:r w:rsidR="00641968">
        <w:rPr>
          <w:sz w:val="18"/>
          <w:szCs w:val="18"/>
          <w:highlight w:val="yellow"/>
        </w:rPr>
        <w:t xml:space="preserve"> component of the doubly degenerate</w:t>
      </w:r>
      <w:r w:rsidR="00641968" w:rsidRPr="00641968">
        <w:rPr>
          <w:sz w:val="18"/>
          <w:szCs w:val="18"/>
          <w:highlight w:val="yellow"/>
        </w:rPr>
        <w:t xml:space="preserve"> </w:t>
      </w:r>
      <w:r w:rsidR="00641968" w:rsidRPr="00641968">
        <w:rPr>
          <w:sz w:val="18"/>
          <w:szCs w:val="18"/>
          <w:highlight w:val="yellow"/>
          <w:vertAlign w:val="superscript"/>
        </w:rPr>
        <w:t>2</w:t>
      </w:r>
      <w:r w:rsidR="00641968" w:rsidRPr="00641968">
        <w:rPr>
          <w:sz w:val="18"/>
          <w:szCs w:val="18"/>
          <w:highlight w:val="yellow"/>
        </w:rPr>
        <w:t>E</w:t>
      </w:r>
      <w:r w:rsidR="00641968">
        <w:rPr>
          <w:sz w:val="18"/>
          <w:szCs w:val="18"/>
          <w:highlight w:val="yellow"/>
        </w:rPr>
        <w:t xml:space="preserve"> state.</w:t>
      </w:r>
      <w:r w:rsidR="00641968" w:rsidRPr="00641968">
        <w:rPr>
          <w:sz w:val="18"/>
          <w:szCs w:val="18"/>
          <w:highlight w:val="yellow"/>
        </w:rPr>
        <w:t xml:space="preserve"> </w:t>
      </w:r>
      <w:r w:rsidR="00641968">
        <w:rPr>
          <w:sz w:val="18"/>
          <w:szCs w:val="18"/>
          <w:highlight w:val="yellow"/>
        </w:rPr>
        <w:t>A</w:t>
      </w:r>
      <w:r w:rsidR="00641968" w:rsidRPr="00641968">
        <w:rPr>
          <w:sz w:val="18"/>
          <w:szCs w:val="18"/>
          <w:highlight w:val="yellow"/>
        </w:rPr>
        <w:t xml:space="preserve"> small contribution to the PL</w:t>
      </w:r>
      <w:r w:rsidR="00641968">
        <w:rPr>
          <w:sz w:val="18"/>
          <w:szCs w:val="18"/>
          <w:highlight w:val="yellow"/>
        </w:rPr>
        <w:t>,</w:t>
      </w:r>
      <w:r w:rsidR="00641968" w:rsidRPr="00641968">
        <w:rPr>
          <w:sz w:val="18"/>
          <w:szCs w:val="18"/>
          <w:highlight w:val="yellow"/>
        </w:rPr>
        <w:t xml:space="preserve"> </w:t>
      </w:r>
      <w:r w:rsidR="00641968">
        <w:rPr>
          <w:sz w:val="18"/>
          <w:szCs w:val="18"/>
          <w:highlight w:val="yellow"/>
        </w:rPr>
        <w:t>giving</w:t>
      </w:r>
      <w:r w:rsidR="00641968" w:rsidRPr="00641968">
        <w:rPr>
          <w:sz w:val="18"/>
          <w:szCs w:val="18"/>
          <w:highlight w:val="yellow"/>
        </w:rPr>
        <w:t xml:space="preserve"> non-significant MCPL</w:t>
      </w:r>
      <w:r w:rsidR="00641968">
        <w:rPr>
          <w:sz w:val="18"/>
          <w:szCs w:val="18"/>
          <w:highlight w:val="yellow"/>
        </w:rPr>
        <w:t>,</w:t>
      </w:r>
      <w:r w:rsidR="00641968" w:rsidRPr="00641968">
        <w:rPr>
          <w:sz w:val="18"/>
          <w:szCs w:val="18"/>
          <w:highlight w:val="yellow"/>
        </w:rPr>
        <w:t xml:space="preserve"> is observed at approximately 710 nm</w:t>
      </w:r>
      <w:r w:rsidR="00641968">
        <w:rPr>
          <w:sz w:val="18"/>
          <w:szCs w:val="18"/>
          <w:highlight w:val="yellow"/>
        </w:rPr>
        <w:t xml:space="preserve">, possibly stemming from the higher energy component of the </w:t>
      </w:r>
      <w:r w:rsidR="00641968" w:rsidRPr="00641968">
        <w:rPr>
          <w:sz w:val="18"/>
          <w:szCs w:val="18"/>
          <w:highlight w:val="yellow"/>
          <w:vertAlign w:val="superscript"/>
        </w:rPr>
        <w:t>2</w:t>
      </w:r>
      <w:r w:rsidR="00641968" w:rsidRPr="00641968">
        <w:rPr>
          <w:sz w:val="18"/>
          <w:szCs w:val="18"/>
          <w:highlight w:val="yellow"/>
        </w:rPr>
        <w:t>E</w:t>
      </w:r>
      <w:r w:rsidR="00641968">
        <w:rPr>
          <w:sz w:val="18"/>
          <w:szCs w:val="18"/>
          <w:highlight w:val="yellow"/>
        </w:rPr>
        <w:t xml:space="preserve"> state</w:t>
      </w:r>
      <w:r w:rsidR="00CF59B1">
        <w:rPr>
          <w:sz w:val="18"/>
          <w:szCs w:val="18"/>
          <w:highlight w:val="yellow"/>
        </w:rPr>
        <w:t xml:space="preserve"> (Figure S2)</w:t>
      </w:r>
      <w:r w:rsidRPr="00641968">
        <w:rPr>
          <w:sz w:val="18"/>
          <w:szCs w:val="18"/>
          <w:highlight w:val="yellow"/>
        </w:rPr>
        <w:t>.</w:t>
      </w:r>
      <w:r w:rsidRPr="00F9084A">
        <w:rPr>
          <w:sz w:val="18"/>
          <w:szCs w:val="18"/>
        </w:rPr>
        <w:t xml:space="preserve"> Moreover, even in the absence of an external field, the </w:t>
      </w:r>
      <w:proofErr w:type="gramStart"/>
      <w:r w:rsidRPr="00F9084A">
        <w:rPr>
          <w:sz w:val="18"/>
          <w:szCs w:val="18"/>
        </w:rPr>
        <w:t>orbitally-nondegenerate</w:t>
      </w:r>
      <w:proofErr w:type="gramEnd"/>
      <w:r w:rsidRPr="00F9084A">
        <w:rPr>
          <w:sz w:val="18"/>
          <w:szCs w:val="18"/>
        </w:rPr>
        <w:t xml:space="preserve"> quartet ground state (</w:t>
      </w:r>
      <w:r w:rsidRPr="00F9084A">
        <w:rPr>
          <w:sz w:val="18"/>
          <w:szCs w:val="18"/>
          <w:vertAlign w:val="superscript"/>
        </w:rPr>
        <w:t>4</w:t>
      </w:r>
      <w:r w:rsidRPr="00F9084A">
        <w:rPr>
          <w:sz w:val="18"/>
          <w:szCs w:val="18"/>
        </w:rPr>
        <w:t>A</w:t>
      </w:r>
      <w:r w:rsidRPr="00F9084A">
        <w:rPr>
          <w:sz w:val="18"/>
          <w:szCs w:val="18"/>
          <w:vertAlign w:val="subscript"/>
        </w:rPr>
        <w:t>2</w:t>
      </w:r>
      <w:r w:rsidRPr="00F9084A">
        <w:rPr>
          <w:sz w:val="18"/>
          <w:szCs w:val="18"/>
        </w:rPr>
        <w:t xml:space="preserve">) is split by the zero-field splitting (ZFS) into two </w:t>
      </w:r>
      <w:proofErr w:type="spellStart"/>
      <w:r w:rsidRPr="00F9084A">
        <w:rPr>
          <w:sz w:val="18"/>
          <w:szCs w:val="18"/>
        </w:rPr>
        <w:t>Kramers</w:t>
      </w:r>
      <w:proofErr w:type="spellEnd"/>
      <w:r w:rsidRPr="00F9084A">
        <w:rPr>
          <w:sz w:val="18"/>
          <w:szCs w:val="18"/>
        </w:rPr>
        <w:t xml:space="preserve"> doublets (KD) |±1/2&gt; and |±3/2&gt; (Figure 4). </w:t>
      </w:r>
    </w:p>
    <w:p w14:paraId="36A5C3E3" w14:textId="6B42E608" w:rsidR="00AE7FC7" w:rsidRPr="00F9084A" w:rsidRDefault="001D1209" w:rsidP="00C94D7C">
      <w:pPr>
        <w:spacing w:after="0"/>
        <w:jc w:val="both"/>
        <w:rPr>
          <w:rFonts w:eastAsia="Calibri" w:cs="Times New Roman"/>
          <w:sz w:val="18"/>
          <w:szCs w:val="18"/>
        </w:rPr>
        <w:sectPr w:rsidR="00AE7FC7" w:rsidRPr="00F9084A" w:rsidSect="00514CBA">
          <w:type w:val="continuous"/>
          <w:pgSz w:w="11907" w:h="16840" w:code="9"/>
          <w:pgMar w:top="1009" w:right="851" w:bottom="1758" w:left="851" w:header="851" w:footer="1049" w:gutter="0"/>
          <w:cols w:num="2" w:space="227"/>
          <w:titlePg/>
          <w:docGrid w:linePitch="360"/>
        </w:sectPr>
      </w:pPr>
      <w:r w:rsidRPr="00F9084A">
        <w:rPr>
          <w:sz w:val="18"/>
          <w:szCs w:val="18"/>
        </w:rPr>
        <w:t xml:space="preserve">To extract the ZFS and the corresponding spin Hamiltonian </w:t>
      </w:r>
      <w:r w:rsidRPr="00F9084A">
        <w:rPr>
          <w:i/>
          <w:iCs/>
          <w:sz w:val="18"/>
          <w:szCs w:val="18"/>
        </w:rPr>
        <w:t>D</w:t>
      </w:r>
      <w:r w:rsidRPr="00F9084A">
        <w:rPr>
          <w:sz w:val="18"/>
          <w:szCs w:val="18"/>
        </w:rPr>
        <w:t xml:space="preserve"> and </w:t>
      </w:r>
      <w:r w:rsidRPr="00F9084A">
        <w:rPr>
          <w:i/>
          <w:iCs/>
          <w:sz w:val="18"/>
          <w:szCs w:val="18"/>
        </w:rPr>
        <w:t>E</w:t>
      </w:r>
      <w:r w:rsidRPr="00F9084A">
        <w:rPr>
          <w:sz w:val="18"/>
          <w:szCs w:val="18"/>
        </w:rPr>
        <w:t xml:space="preserve"> parameters, we followed the method proposed by van </w:t>
      </w:r>
      <w:proofErr w:type="spellStart"/>
      <w:r w:rsidRPr="00F9084A">
        <w:rPr>
          <w:sz w:val="18"/>
          <w:szCs w:val="18"/>
        </w:rPr>
        <w:t>Slageren</w:t>
      </w:r>
      <w:proofErr w:type="spellEnd"/>
      <w:r w:rsidRPr="00F9084A">
        <w:rPr>
          <w:sz w:val="18"/>
          <w:szCs w:val="18"/>
        </w:rPr>
        <w:t xml:space="preserve"> </w:t>
      </w:r>
      <w:r w:rsidRPr="00FC769A">
        <w:rPr>
          <w:i/>
          <w:iCs/>
          <w:sz w:val="18"/>
          <w:szCs w:val="18"/>
        </w:rPr>
        <w:t xml:space="preserve">et </w:t>
      </w:r>
      <w:r w:rsidRPr="00FC769A">
        <w:rPr>
          <w:i/>
          <w:iCs/>
          <w:sz w:val="18"/>
          <w:szCs w:val="18"/>
        </w:rPr>
        <w:t>al</w:t>
      </w:r>
      <w:r w:rsidRPr="00562691">
        <w:rPr>
          <w:i/>
          <w:iCs/>
          <w:sz w:val="18"/>
          <w:szCs w:val="18"/>
        </w:rPr>
        <w:t>.</w:t>
      </w:r>
      <w:r w:rsidRPr="00F9084A">
        <w:rPr>
          <w:sz w:val="18"/>
          <w:szCs w:val="18"/>
        </w:rPr>
        <w:t xml:space="preserve"> (see ESI).</w:t>
      </w:r>
      <w:r w:rsidR="00694FC7" w:rsidRPr="00FC769A">
        <w:rPr>
          <w:color w:val="FF0000"/>
          <w:sz w:val="18"/>
          <w:szCs w:val="18"/>
        </w:rPr>
        <w:fldChar w:fldCharType="begin"/>
      </w:r>
      <w:r w:rsidR="00924348">
        <w:rPr>
          <w:color w:val="FF0000"/>
          <w:sz w:val="18"/>
          <w:szCs w:val="18"/>
        </w:rPr>
        <w:instrText xml:space="preserve"> ADDIN ZOTERO_ITEM CSL_CITATION {"citationID":"owStyHMc","properties":{"formattedCitation":"\\super 74\\nosupersub{}","plainCitation":"74","noteIndex":0},"citationItems":[{"id":7467,"uris":["http://zotero.org/users/2011173/items/2MTELDL6"],"itemData":{"id":7467,"type":"article-journal","abstract":"Molecular quantum bits based on copper(II) or vanadium(IV) have been shown to possess long coherence times on multiple occasions. In contrast, studies in which non-spin-½ ions are employed are relatively scarce. High-spin ions provide additional states that can be used to encode further quantum bits. Furthermore, an optical rather than a microwave readout of molecular quantum bits is highly desirable, because in principle it could allow addressing at the single quantum bit level. The chromium(III) complex [Cr(ddpd)2]3+ (ddpd = N,N′-dimethyl-N,N′-dipyridine-2-yl-pyridine-2,6-diamine) combines both the large spin (S = 3/2) and optical activity (strong, long lived luminescence). Here we demonstrate that the compound possesses coherence times of up to 8.4(1) μs, which are much longer (at least three times) than those for other chromium(III)-based compounds. On the other hand, it is proved to be impossible to read out or influence the quantum state by optical means, underlining that further work is needed in this direction.","container-title":"Physical Chemistry Chemical Physics","DOI":"10.1039/C9CP00745H","ISSN":"1463-9084","issue":"13","journalAbbreviation":"Phys. Chem. Chem. Phys.","language":"en","note":"publisher: The Royal Society of Chemistry","page":"6976-6983","source":"pubs.rsc.org","title":"Chromium(III)-based potential molecular quantum bits with long coherence times","volume":"21","author":[{"family":"Lenz","given":"Samuel"},{"family":"Bamberger","given":"Heiko"},{"family":"Hallmen","given":"Philipp P."},{"family":"Thiebes","given":"Yannick"},{"family":"Otto","given":"Sven"},{"family":"Heinze","given":"Katja"},{"family":"Slageren","given":"Joris","dropping-particle":"van"}],"issued":{"date-parts":[["2019",3,27]]}}}],"schema":"https://github.com/citation-style-language/schema/raw/master/csl-citation.json"} </w:instrText>
      </w:r>
      <w:r w:rsidR="00694FC7" w:rsidRPr="00FC769A">
        <w:rPr>
          <w:color w:val="FF0000"/>
          <w:sz w:val="18"/>
          <w:szCs w:val="18"/>
        </w:rPr>
        <w:fldChar w:fldCharType="separate"/>
      </w:r>
      <w:r w:rsidR="00924348" w:rsidRPr="00924348">
        <w:rPr>
          <w:rFonts w:ascii="Aptos" w:hAnsi="Aptos" w:cs="Times New Roman"/>
          <w:sz w:val="18"/>
          <w:vertAlign w:val="superscript"/>
        </w:rPr>
        <w:t>74</w:t>
      </w:r>
      <w:r w:rsidR="00694FC7" w:rsidRPr="00FC769A">
        <w:rPr>
          <w:color w:val="FF0000"/>
          <w:sz w:val="18"/>
          <w:szCs w:val="18"/>
        </w:rPr>
        <w:fldChar w:fldCharType="end"/>
      </w:r>
      <w:r w:rsidR="00694FC7" w:rsidRPr="00FC769A">
        <w:rPr>
          <w:color w:val="FF0000"/>
          <w:sz w:val="18"/>
          <w:szCs w:val="18"/>
        </w:rPr>
        <w:t xml:space="preserve"> </w:t>
      </w:r>
      <w:r w:rsidRPr="00F9084A">
        <w:rPr>
          <w:sz w:val="18"/>
          <w:szCs w:val="18"/>
        </w:rPr>
        <w:t>As the first step, the energies corresponding to the</w:t>
      </w:r>
      <w:r w:rsidR="00E425D8" w:rsidRPr="00F9084A">
        <w:rPr>
          <w:sz w:val="18"/>
          <w:szCs w:val="18"/>
        </w:rPr>
        <w:t xml:space="preserve"> 3 </w:t>
      </w:r>
      <w:r w:rsidR="00E425D8" w:rsidRPr="00F9084A">
        <w:rPr>
          <w:sz w:val="18"/>
          <w:szCs w:val="18"/>
          <w:vertAlign w:val="superscript"/>
        </w:rPr>
        <w:t>4</w:t>
      </w:r>
      <w:r w:rsidR="00E425D8" w:rsidRPr="00F9084A">
        <w:rPr>
          <w:sz w:val="18"/>
          <w:szCs w:val="18"/>
        </w:rPr>
        <w:t>A</w:t>
      </w:r>
      <w:r w:rsidR="00E425D8" w:rsidRPr="00F9084A">
        <w:rPr>
          <w:sz w:val="18"/>
          <w:szCs w:val="18"/>
          <w:vertAlign w:val="subscript"/>
        </w:rPr>
        <w:t>2</w:t>
      </w:r>
      <w:r w:rsidR="00E425D8" w:rsidRPr="00F9084A">
        <w:rPr>
          <w:rFonts w:cstheme="minorHAnsi"/>
          <w:sz w:val="18"/>
          <w:szCs w:val="18"/>
        </w:rPr>
        <w:t>→</w:t>
      </w:r>
      <w:r w:rsidRPr="00F9084A">
        <w:rPr>
          <w:sz w:val="18"/>
          <w:szCs w:val="18"/>
          <w:vertAlign w:val="superscript"/>
        </w:rPr>
        <w:t>4</w:t>
      </w:r>
      <w:r w:rsidRPr="00F9084A">
        <w:rPr>
          <w:sz w:val="18"/>
          <w:szCs w:val="18"/>
        </w:rPr>
        <w:t>T</w:t>
      </w:r>
      <w:r w:rsidRPr="00F9084A">
        <w:rPr>
          <w:sz w:val="18"/>
          <w:szCs w:val="18"/>
          <w:vertAlign w:val="subscript"/>
        </w:rPr>
        <w:t>2</w:t>
      </w:r>
      <w:r w:rsidRPr="00F9084A">
        <w:rPr>
          <w:sz w:val="18"/>
          <w:szCs w:val="18"/>
        </w:rPr>
        <w:t xml:space="preserve"> </w:t>
      </w:r>
      <w:r w:rsidR="00E425D8" w:rsidRPr="00F9084A">
        <w:rPr>
          <w:sz w:val="18"/>
          <w:szCs w:val="18"/>
        </w:rPr>
        <w:t>term-to-term transitions</w:t>
      </w:r>
      <w:r w:rsidRPr="00F9084A">
        <w:rPr>
          <w:sz w:val="18"/>
          <w:szCs w:val="18"/>
        </w:rPr>
        <w:t xml:space="preserve"> were determined by a </w:t>
      </w:r>
      <w:r w:rsidR="00115510" w:rsidRPr="00115510">
        <w:rPr>
          <w:sz w:val="18"/>
          <w:szCs w:val="18"/>
          <w:highlight w:val="yellow"/>
        </w:rPr>
        <w:t>phenomenological</w:t>
      </w:r>
      <w:r w:rsidR="00115510">
        <w:rPr>
          <w:sz w:val="18"/>
          <w:szCs w:val="18"/>
        </w:rPr>
        <w:t xml:space="preserve"> </w:t>
      </w:r>
      <w:r w:rsidRPr="00F9084A">
        <w:rPr>
          <w:sz w:val="18"/>
          <w:szCs w:val="18"/>
        </w:rPr>
        <w:t>deconvolution of the 360-500 nm region of the MCD spectr</w:t>
      </w:r>
      <w:r w:rsidR="00D3785A" w:rsidRPr="00F9084A">
        <w:rPr>
          <w:sz w:val="18"/>
          <w:szCs w:val="18"/>
        </w:rPr>
        <w:t>um</w:t>
      </w:r>
      <w:r w:rsidRPr="00F9084A">
        <w:rPr>
          <w:sz w:val="18"/>
          <w:szCs w:val="18"/>
        </w:rPr>
        <w:t xml:space="preserve"> (Figure </w:t>
      </w:r>
      <w:r w:rsidR="003256E1" w:rsidRPr="00F9084A">
        <w:rPr>
          <w:sz w:val="18"/>
          <w:szCs w:val="18"/>
        </w:rPr>
        <w:t>S5</w:t>
      </w:r>
      <w:r w:rsidRPr="00F9084A">
        <w:rPr>
          <w:sz w:val="18"/>
          <w:szCs w:val="18"/>
        </w:rPr>
        <w:t>). With this procedure, we identified the following energies</w:t>
      </w:r>
      <w:r w:rsidR="00115510">
        <w:rPr>
          <w:sz w:val="18"/>
          <w:szCs w:val="18"/>
        </w:rPr>
        <w:t xml:space="preserve">, </w:t>
      </w:r>
      <w:r w:rsidR="00115510" w:rsidRPr="00115510">
        <w:rPr>
          <w:sz w:val="18"/>
          <w:szCs w:val="18"/>
          <w:highlight w:val="yellow"/>
        </w:rPr>
        <w:t>centred approximately at</w:t>
      </w:r>
      <w:r w:rsidRPr="00F9084A">
        <w:rPr>
          <w:sz w:val="18"/>
          <w:szCs w:val="18"/>
        </w:rPr>
        <w:t xml:space="preserve"> 24220, 24922</w:t>
      </w:r>
      <w:r w:rsidR="00115510">
        <w:rPr>
          <w:sz w:val="18"/>
          <w:szCs w:val="18"/>
        </w:rPr>
        <w:t xml:space="preserve"> and</w:t>
      </w:r>
      <w:r w:rsidRPr="00F9084A">
        <w:rPr>
          <w:sz w:val="18"/>
          <w:szCs w:val="18"/>
        </w:rPr>
        <w:t xml:space="preserve"> 25630 cm</w:t>
      </w:r>
      <w:r w:rsidRPr="00F9084A">
        <w:rPr>
          <w:sz w:val="18"/>
          <w:szCs w:val="18"/>
          <w:vertAlign w:val="superscript"/>
        </w:rPr>
        <w:noBreakHyphen/>
        <w:t>1</w:t>
      </w:r>
      <w:r w:rsidR="00EB17D6" w:rsidRPr="00F9084A">
        <w:rPr>
          <w:sz w:val="18"/>
          <w:szCs w:val="18"/>
        </w:rPr>
        <w:t xml:space="preserve"> (Table S1)</w:t>
      </w:r>
      <w:r w:rsidRPr="00F9084A">
        <w:rPr>
          <w:sz w:val="18"/>
          <w:szCs w:val="18"/>
        </w:rPr>
        <w:t xml:space="preserve">. From these values (see ESI for the formulae in a </w:t>
      </w:r>
      <w:r w:rsidRPr="00F9084A">
        <w:rPr>
          <w:i/>
          <w:sz w:val="18"/>
          <w:szCs w:val="18"/>
        </w:rPr>
        <w:t>D</w:t>
      </w:r>
      <w:r w:rsidRPr="00F9084A">
        <w:rPr>
          <w:sz w:val="18"/>
          <w:szCs w:val="18"/>
          <w:vertAlign w:val="subscript"/>
        </w:rPr>
        <w:t>2</w:t>
      </w:r>
      <w:r w:rsidRPr="00F9084A">
        <w:rPr>
          <w:sz w:val="18"/>
          <w:szCs w:val="18"/>
        </w:rPr>
        <w:t xml:space="preserve"> geometry), we calculated </w:t>
      </w:r>
      <w:r w:rsidRPr="00F9084A">
        <w:rPr>
          <w:i/>
          <w:iCs/>
          <w:sz w:val="18"/>
          <w:szCs w:val="18"/>
        </w:rPr>
        <w:t>D</w:t>
      </w:r>
      <w:r w:rsidRPr="00F9084A">
        <w:rPr>
          <w:sz w:val="18"/>
          <w:szCs w:val="18"/>
        </w:rPr>
        <w:t xml:space="preserve"> and </w:t>
      </w:r>
      <w:r w:rsidRPr="00F9084A">
        <w:rPr>
          <w:i/>
          <w:iCs/>
          <w:sz w:val="18"/>
          <w:szCs w:val="18"/>
        </w:rPr>
        <w:t>E</w:t>
      </w:r>
      <w:r w:rsidRPr="00F9084A">
        <w:rPr>
          <w:sz w:val="18"/>
          <w:szCs w:val="18"/>
        </w:rPr>
        <w:t xml:space="preserve"> parameters </w:t>
      </w:r>
      <w:r w:rsidR="005A42D4">
        <w:rPr>
          <w:sz w:val="18"/>
          <w:szCs w:val="18"/>
        </w:rPr>
        <w:t xml:space="preserve">as </w:t>
      </w:r>
      <w:r w:rsidR="00115510" w:rsidRPr="00115510">
        <w:rPr>
          <w:sz w:val="18"/>
          <w:szCs w:val="18"/>
          <w:highlight w:val="yellow"/>
        </w:rPr>
        <w:t>approximately</w:t>
      </w:r>
      <w:r w:rsidRPr="00F9084A">
        <w:rPr>
          <w:sz w:val="18"/>
          <w:szCs w:val="18"/>
        </w:rPr>
        <w:t xml:space="preserve"> 0.51 and 0.16 cm</w:t>
      </w:r>
      <w:r w:rsidRPr="00F9084A">
        <w:rPr>
          <w:sz w:val="18"/>
          <w:szCs w:val="18"/>
          <w:vertAlign w:val="superscript"/>
        </w:rPr>
        <w:t>-1</w:t>
      </w:r>
      <w:r w:rsidRPr="00F9084A">
        <w:rPr>
          <w:sz w:val="18"/>
          <w:szCs w:val="18"/>
        </w:rPr>
        <w:t xml:space="preserve">, respectively, with a rhombicity </w:t>
      </w:r>
      <w:r w:rsidR="005A42D4">
        <w:rPr>
          <w:sz w:val="18"/>
          <w:szCs w:val="18"/>
        </w:rPr>
        <w:t xml:space="preserve">factor </w:t>
      </w:r>
      <w:r w:rsidRPr="00F9084A">
        <w:rPr>
          <w:i/>
          <w:iCs/>
          <w:sz w:val="18"/>
          <w:szCs w:val="18"/>
        </w:rPr>
        <w:t>E</w:t>
      </w:r>
      <w:r w:rsidRPr="00F9084A">
        <w:rPr>
          <w:sz w:val="18"/>
          <w:szCs w:val="18"/>
        </w:rPr>
        <w:t>/</w:t>
      </w:r>
      <w:r w:rsidRPr="00F9084A">
        <w:rPr>
          <w:i/>
          <w:iCs/>
          <w:sz w:val="18"/>
          <w:szCs w:val="18"/>
        </w:rPr>
        <w:t>D</w:t>
      </w:r>
      <w:r w:rsidRPr="00F9084A">
        <w:rPr>
          <w:sz w:val="18"/>
          <w:szCs w:val="18"/>
        </w:rPr>
        <w:t xml:space="preserve">=0.32, close to the maximum (1/3). The corresponding ZFS was calculated to be </w:t>
      </w:r>
      <w:r w:rsidR="00115510">
        <w:rPr>
          <w:rFonts w:cstheme="minorHAnsi"/>
          <w:sz w:val="18"/>
          <w:szCs w:val="18"/>
        </w:rPr>
        <w:t>≈</w:t>
      </w:r>
      <w:r w:rsidR="00115510">
        <w:rPr>
          <w:sz w:val="18"/>
          <w:szCs w:val="18"/>
        </w:rPr>
        <w:t>1.1 </w:t>
      </w:r>
      <w:r w:rsidRPr="00F9084A">
        <w:rPr>
          <w:sz w:val="18"/>
          <w:szCs w:val="18"/>
        </w:rPr>
        <w:t>cm</w:t>
      </w:r>
      <w:r w:rsidRPr="00F9084A">
        <w:rPr>
          <w:sz w:val="18"/>
          <w:szCs w:val="18"/>
          <w:vertAlign w:val="superscript"/>
        </w:rPr>
        <w:t>-1</w:t>
      </w:r>
      <w:r w:rsidR="00F53ABF" w:rsidRPr="00F9084A">
        <w:rPr>
          <w:sz w:val="18"/>
          <w:szCs w:val="18"/>
        </w:rPr>
        <w:t xml:space="preserve"> as </w:t>
      </w:r>
      <m:oMath>
        <m:r>
          <w:rPr>
            <w:rFonts w:ascii="Cambria Math" w:hAnsi="Cambria Math"/>
            <w:sz w:val="18"/>
            <w:szCs w:val="18"/>
            <w:highlight w:val="yellow"/>
          </w:rPr>
          <m:t>2</m:t>
        </m:r>
        <m:rad>
          <m:radPr>
            <m:degHide m:val="1"/>
            <m:ctrlPr>
              <w:rPr>
                <w:rFonts w:ascii="Cambria Math" w:hAnsi="Cambria Math"/>
                <w:iCs/>
                <w:sz w:val="18"/>
                <w:szCs w:val="18"/>
                <w:lang w:val="en-US"/>
              </w:rPr>
            </m:ctrlPr>
          </m:radPr>
          <m:deg/>
          <m:e>
            <m:sSup>
              <m:sSupPr>
                <m:ctrlPr>
                  <w:rPr>
                    <w:rFonts w:ascii="Cambria Math" w:hAnsi="Cambria Math"/>
                    <w:iCs/>
                    <w:sz w:val="18"/>
                    <w:szCs w:val="18"/>
                    <w:lang w:val="en-US"/>
                  </w:rPr>
                </m:ctrlPr>
              </m:sSupPr>
              <m:e>
                <m:r>
                  <w:rPr>
                    <w:rFonts w:ascii="Cambria Math" w:hAnsi="Cambria Math"/>
                    <w:sz w:val="18"/>
                    <w:szCs w:val="18"/>
                    <w:lang w:val="en-US"/>
                  </w:rPr>
                  <m:t>D</m:t>
                </m:r>
              </m:e>
              <m:sup>
                <m:r>
                  <m:rPr>
                    <m:sty m:val="p"/>
                  </m:rPr>
                  <w:rPr>
                    <w:rFonts w:ascii="Cambria Math" w:hAnsi="Cambria Math"/>
                    <w:sz w:val="18"/>
                    <w:szCs w:val="18"/>
                    <w:lang w:val="en-US"/>
                  </w:rPr>
                  <m:t>2</m:t>
                </m:r>
              </m:sup>
            </m:sSup>
            <m:r>
              <m:rPr>
                <m:sty m:val="p"/>
              </m:rPr>
              <w:rPr>
                <w:rFonts w:ascii="Cambria Math" w:hAnsi="Cambria Math"/>
                <w:sz w:val="18"/>
                <w:szCs w:val="18"/>
                <w:lang w:val="en-US"/>
              </w:rPr>
              <m:t>+3</m:t>
            </m:r>
            <m:sSup>
              <m:sSupPr>
                <m:ctrlPr>
                  <w:rPr>
                    <w:rFonts w:ascii="Cambria Math" w:hAnsi="Cambria Math"/>
                    <w:iCs/>
                    <w:sz w:val="18"/>
                    <w:szCs w:val="18"/>
                    <w:lang w:val="en-US"/>
                  </w:rPr>
                </m:ctrlPr>
              </m:sSupPr>
              <m:e>
                <m:r>
                  <w:rPr>
                    <w:rFonts w:ascii="Cambria Math" w:hAnsi="Cambria Math"/>
                    <w:sz w:val="18"/>
                    <w:szCs w:val="18"/>
                    <w:lang w:val="en-US"/>
                  </w:rPr>
                  <m:t>E</m:t>
                </m:r>
              </m:e>
              <m:sup>
                <m:r>
                  <m:rPr>
                    <m:sty m:val="p"/>
                  </m:rPr>
                  <w:rPr>
                    <w:rFonts w:ascii="Cambria Math" w:hAnsi="Cambria Math"/>
                    <w:sz w:val="18"/>
                    <w:szCs w:val="18"/>
                    <w:lang w:val="en-US"/>
                  </w:rPr>
                  <m:t>2</m:t>
                </m:r>
              </m:sup>
            </m:sSup>
          </m:e>
        </m:rad>
      </m:oMath>
      <w:r w:rsidR="00F53ABF" w:rsidRPr="00F9084A">
        <w:rPr>
          <w:rFonts w:eastAsiaTheme="minorEastAsia"/>
          <w:iCs/>
          <w:sz w:val="18"/>
          <w:szCs w:val="18"/>
          <w:lang w:val="en-US"/>
        </w:rPr>
        <w:t xml:space="preserve"> (see Figure 4)</w:t>
      </w:r>
      <w:r w:rsidRPr="00F9084A">
        <w:rPr>
          <w:sz w:val="18"/>
          <w:szCs w:val="18"/>
        </w:rPr>
        <w:t xml:space="preserve">. </w:t>
      </w:r>
      <w:r w:rsidR="00115510" w:rsidRPr="00115510">
        <w:rPr>
          <w:sz w:val="18"/>
          <w:szCs w:val="18"/>
          <w:highlight w:val="yellow"/>
        </w:rPr>
        <w:t xml:space="preserve">Despite the large error of the </w:t>
      </w:r>
      <w:r w:rsidR="00115510" w:rsidRPr="00C94D7C">
        <w:rPr>
          <w:sz w:val="18"/>
          <w:szCs w:val="18"/>
          <w:highlight w:val="yellow"/>
        </w:rPr>
        <w:t>method</w:t>
      </w:r>
      <w:r w:rsidR="00FA6152" w:rsidRPr="00C94D7C">
        <w:rPr>
          <w:sz w:val="18"/>
          <w:szCs w:val="18"/>
          <w:highlight w:val="yellow"/>
        </w:rPr>
        <w:t xml:space="preserve"> (see for instance the standar</w:t>
      </w:r>
      <w:r w:rsidR="00C94D7C" w:rsidRPr="00C94D7C">
        <w:rPr>
          <w:sz w:val="18"/>
          <w:szCs w:val="18"/>
          <w:highlight w:val="yellow"/>
        </w:rPr>
        <w:t>d</w:t>
      </w:r>
      <w:r w:rsidR="00FA6152" w:rsidRPr="00C94D7C">
        <w:rPr>
          <w:sz w:val="18"/>
          <w:szCs w:val="18"/>
          <w:highlight w:val="yellow"/>
        </w:rPr>
        <w:t xml:space="preserve"> errors on the fitting coefficient in Table</w:t>
      </w:r>
      <w:r w:rsidR="00C94D7C">
        <w:rPr>
          <w:sz w:val="18"/>
          <w:szCs w:val="18"/>
          <w:highlight w:val="yellow"/>
        </w:rPr>
        <w:t xml:space="preserve"> </w:t>
      </w:r>
      <w:r w:rsidR="00C94D7C" w:rsidRPr="00C94D7C">
        <w:rPr>
          <w:sz w:val="18"/>
          <w:szCs w:val="18"/>
          <w:highlight w:val="yellow"/>
        </w:rPr>
        <w:t>S1),</w:t>
      </w:r>
      <w:r w:rsidR="00C94D7C">
        <w:rPr>
          <w:sz w:val="18"/>
          <w:szCs w:val="18"/>
        </w:rPr>
        <w:t xml:space="preserve"> t</w:t>
      </w:r>
      <w:r w:rsidR="00C94D7C" w:rsidRPr="00F9084A">
        <w:rPr>
          <w:sz w:val="18"/>
          <w:szCs w:val="18"/>
        </w:rPr>
        <w:t>he values are comparable with those found for the analogue complex [Cr(</w:t>
      </w:r>
      <w:proofErr w:type="spellStart"/>
      <w:r w:rsidR="00C94D7C" w:rsidRPr="00F9084A">
        <w:rPr>
          <w:sz w:val="18"/>
          <w:szCs w:val="18"/>
        </w:rPr>
        <w:t>ddpd</w:t>
      </w:r>
      <w:proofErr w:type="spellEnd"/>
      <w:r w:rsidR="00C94D7C" w:rsidRPr="00F9084A">
        <w:rPr>
          <w:sz w:val="18"/>
          <w:szCs w:val="18"/>
        </w:rPr>
        <w:t>)</w:t>
      </w:r>
      <w:r w:rsidR="00C94D7C" w:rsidRPr="00F9084A">
        <w:rPr>
          <w:sz w:val="18"/>
          <w:szCs w:val="18"/>
          <w:vertAlign w:val="subscript"/>
        </w:rPr>
        <w:t>2</w:t>
      </w:r>
      <w:r w:rsidR="00C94D7C" w:rsidRPr="00F9084A">
        <w:rPr>
          <w:sz w:val="18"/>
          <w:szCs w:val="18"/>
        </w:rPr>
        <w:t>]</w:t>
      </w:r>
      <w:r w:rsidR="00C94D7C" w:rsidRPr="00F9084A">
        <w:rPr>
          <w:sz w:val="18"/>
          <w:szCs w:val="18"/>
          <w:vertAlign w:val="superscript"/>
        </w:rPr>
        <w:t>3+</w:t>
      </w:r>
      <w:r w:rsidR="00C94D7C">
        <w:rPr>
          <w:sz w:val="18"/>
          <w:szCs w:val="18"/>
        </w:rPr>
        <w:t>,</w:t>
      </w:r>
      <w:r w:rsidR="00C94D7C" w:rsidRPr="00F9084A">
        <w:rPr>
          <w:sz w:val="18"/>
          <w:szCs w:val="18"/>
        </w:rPr>
        <w:fldChar w:fldCharType="begin"/>
      </w:r>
      <w:r w:rsidR="00C94D7C">
        <w:rPr>
          <w:sz w:val="18"/>
          <w:szCs w:val="18"/>
        </w:rPr>
        <w:instrText xml:space="preserve"> ADDIN ZOTERO_ITEM CSL_CITATION {"citationID":"Yml7wNnc","properties":{"formattedCitation":"\\super 74\\nosupersub{}","plainCitation":"74","noteIndex":0},"citationItems":[{"id":7467,"uris":["http://zotero.org/users/2011173/items/2MTELDL6"],"itemData":{"id":7467,"type":"article-journal","abstract":"Molecular quantum bits based on copper(II) or vanadium(IV) have been shown to possess long coherence times on multiple occasions. In contrast, studies in which non-spin-½ ions are employed are relatively scarce. High-spin ions provide additional states that can be used to encode further quantum bits. Furthermore, an optical rather than a microwave readout of molecular quantum bits is highly desirable, because in principle it could allow addressing at the single quantum bit level. The chromium(III) complex [Cr(ddpd)2]3+ (ddpd = N,N′-dimethyl-N,N′-dipyridine-2-yl-pyridine-2,6-diamine) combines both the large spin (S = 3/2) and optical activity (strong, long lived luminescence). Here we demonstrate that the compound possesses coherence times of up to 8.4(1) μs, which are much longer (at least three times) than those for other chromium(III)-based compounds. On the other hand, it is proved to be impossible to read out or influence the quantum state by optical means, underlining that further work is needed in this direction.","container-title":"Physical Chemistry Chemical Physics","DOI":"10.1039/C9CP00745H","ISSN":"1463-9084","issue":"13","journalAbbreviation":"Phys. Chem. Chem. Phys.","language":"en","note":"publisher: The Royal Society of Chemistry","page":"6976-6983","source":"pubs.rsc.org","title":"Chromium(III)-based potential molecular quantum bits with long coherence times","volume":"21","author":[{"family":"Lenz","given":"Samuel"},{"family":"Bamberger","given":"Heiko"},{"family":"Hallmen","given":"Philipp P."},{"family":"Thiebes","given":"Yannick"},{"family":"Otto","given":"Sven"},{"family":"Heinze","given":"Katja"},{"family":"Slageren","given":"Joris","dropping-particle":"van"}],"issued":{"date-parts":[["2019",3,27]]}}}],"schema":"https://github.com/citation-style-language/schema/raw/master/csl-citation.json"} </w:instrText>
      </w:r>
      <w:r w:rsidR="00C94D7C" w:rsidRPr="00F9084A">
        <w:rPr>
          <w:sz w:val="18"/>
          <w:szCs w:val="18"/>
        </w:rPr>
        <w:fldChar w:fldCharType="separate"/>
      </w:r>
      <w:r w:rsidR="00C94D7C" w:rsidRPr="00924348">
        <w:rPr>
          <w:rFonts w:ascii="Aptos" w:hAnsi="Aptos" w:cs="Times New Roman"/>
          <w:sz w:val="18"/>
          <w:vertAlign w:val="superscript"/>
        </w:rPr>
        <w:t>74</w:t>
      </w:r>
      <w:r w:rsidR="00C94D7C" w:rsidRPr="00F9084A">
        <w:rPr>
          <w:sz w:val="18"/>
          <w:szCs w:val="18"/>
        </w:rPr>
        <w:fldChar w:fldCharType="end"/>
      </w:r>
      <w:r w:rsidR="00C94D7C" w:rsidRPr="00F9084A">
        <w:rPr>
          <w:sz w:val="18"/>
          <w:szCs w:val="18"/>
        </w:rPr>
        <w:t xml:space="preserve"> </w:t>
      </w:r>
      <w:r w:rsidR="00C94D7C">
        <w:rPr>
          <w:sz w:val="18"/>
          <w:szCs w:val="18"/>
        </w:rPr>
        <w:t xml:space="preserve"> </w:t>
      </w:r>
      <w:r w:rsidR="00C94D7C" w:rsidRPr="00833154">
        <w:rPr>
          <w:sz w:val="18"/>
          <w:szCs w:val="18"/>
          <w:highlight w:val="yellow"/>
        </w:rPr>
        <w:t xml:space="preserve">and the values found by </w:t>
      </w:r>
      <w:r w:rsidR="00C94D7C" w:rsidRPr="004B5A93">
        <w:rPr>
          <w:sz w:val="18"/>
          <w:szCs w:val="18"/>
          <w:highlight w:val="yellow"/>
        </w:rPr>
        <w:t>HFEPR</w:t>
      </w:r>
      <w:r w:rsidR="004B5A93" w:rsidRPr="004B5A93">
        <w:rPr>
          <w:sz w:val="18"/>
          <w:szCs w:val="18"/>
          <w:highlight w:val="yellow"/>
        </w:rPr>
        <w:t xml:space="preserve"> (high</w:t>
      </w:r>
      <w:r w:rsidR="003A1F9E">
        <w:rPr>
          <w:sz w:val="18"/>
          <w:szCs w:val="18"/>
          <w:highlight w:val="yellow"/>
        </w:rPr>
        <w:t>-frequency and</w:t>
      </w:r>
      <w:r w:rsidR="004B5A93" w:rsidRPr="004B5A93">
        <w:rPr>
          <w:sz w:val="18"/>
          <w:szCs w:val="18"/>
          <w:highlight w:val="yellow"/>
        </w:rPr>
        <w:t xml:space="preserve"> </w:t>
      </w:r>
      <w:r w:rsidR="003A1F9E">
        <w:rPr>
          <w:sz w:val="18"/>
          <w:szCs w:val="18"/>
          <w:highlight w:val="yellow"/>
        </w:rPr>
        <w:t>-</w:t>
      </w:r>
      <w:r w:rsidR="004B5A93" w:rsidRPr="004B5A93">
        <w:rPr>
          <w:sz w:val="18"/>
          <w:szCs w:val="18"/>
          <w:highlight w:val="yellow"/>
        </w:rPr>
        <w:t>field electron paramagnetic resonance)</w:t>
      </w:r>
      <w:r w:rsidR="00C94D7C" w:rsidRPr="004B5A93">
        <w:rPr>
          <w:sz w:val="18"/>
          <w:szCs w:val="18"/>
          <w:highlight w:val="yellow"/>
        </w:rPr>
        <w:t xml:space="preserve"> on our complex</w:t>
      </w:r>
      <w:r w:rsidR="00C94D7C" w:rsidRPr="004B5A93" w:rsidDel="001B5A97">
        <w:rPr>
          <w:sz w:val="18"/>
          <w:szCs w:val="18"/>
          <w:highlight w:val="yellow"/>
        </w:rPr>
        <w:t xml:space="preserve"> </w:t>
      </w:r>
      <w:r w:rsidR="00C94D7C" w:rsidRPr="004B5A93">
        <w:rPr>
          <w:sz w:val="18"/>
          <w:szCs w:val="18"/>
          <w:highlight w:val="yellow"/>
        </w:rPr>
        <w:t>(see below</w:t>
      </w:r>
      <w:r w:rsidR="004B5A93" w:rsidRPr="004B5A93">
        <w:rPr>
          <w:sz w:val="18"/>
          <w:szCs w:val="18"/>
          <w:highlight w:val="yellow"/>
        </w:rPr>
        <w:t>).</w:t>
      </w:r>
    </w:p>
    <w:p w14:paraId="1058A892" w14:textId="77777777" w:rsidR="00AE7FC7" w:rsidRPr="00F9084A" w:rsidRDefault="00AE7FC7" w:rsidP="00AE7FC7">
      <w:pPr>
        <w:jc w:val="center"/>
      </w:pPr>
      <w:r w:rsidRPr="00F9084A">
        <w:rPr>
          <w:noProof/>
        </w:rPr>
        <w:drawing>
          <wp:inline distT="0" distB="0" distL="0" distR="0" wp14:anchorId="39C52BB4" wp14:editId="01BDE87F">
            <wp:extent cx="5907505" cy="2092573"/>
            <wp:effectExtent l="0" t="0" r="0" b="3175"/>
            <wp:docPr id="1064919678"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919678" name="Immagine 1" descr="Immagine che contiene testo, diagramma, Diagramma, linea&#10;&#10;Descrizione generata automaticament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12997" cy="2094518"/>
                    </a:xfrm>
                    <a:prstGeom prst="rect">
                      <a:avLst/>
                    </a:prstGeom>
                  </pic:spPr>
                </pic:pic>
              </a:graphicData>
            </a:graphic>
          </wp:inline>
        </w:drawing>
      </w:r>
    </w:p>
    <w:p w14:paraId="344798FF" w14:textId="3108E26E" w:rsidR="00AE7FC7" w:rsidRPr="00F9084A" w:rsidRDefault="00AE7FC7" w:rsidP="00AE7FC7">
      <w:pPr>
        <w:jc w:val="both"/>
        <w:rPr>
          <w:sz w:val="18"/>
          <w:szCs w:val="18"/>
        </w:rPr>
      </w:pPr>
      <w:r w:rsidRPr="00F9084A">
        <w:rPr>
          <w:b/>
          <w:bCs/>
          <w:sz w:val="18"/>
          <w:szCs w:val="18"/>
        </w:rPr>
        <w:t>Figure 3.</w:t>
      </w:r>
      <w:r w:rsidRPr="00F9084A">
        <w:rPr>
          <w:sz w:val="18"/>
          <w:szCs w:val="18"/>
        </w:rPr>
        <w:t xml:space="preserve"> MCD and extinction spectra of</w:t>
      </w:r>
      <w:r w:rsidR="004F6CFA">
        <w:rPr>
          <w:sz w:val="18"/>
          <w:szCs w:val="18"/>
        </w:rPr>
        <w:t xml:space="preserve"> </w:t>
      </w:r>
      <w:r w:rsidR="004F6CFA" w:rsidRPr="000C10A3">
        <w:rPr>
          <w:sz w:val="18"/>
          <w:szCs w:val="18"/>
          <w:highlight w:val="yellow"/>
        </w:rPr>
        <w:t>an acetonitrile solution of</w:t>
      </w:r>
      <w:r w:rsidRPr="00F9084A">
        <w:rPr>
          <w:sz w:val="18"/>
          <w:szCs w:val="18"/>
        </w:rPr>
        <w:t xml:space="preserve"> [Cr(</w:t>
      </w:r>
      <w:proofErr w:type="spellStart"/>
      <w:r w:rsidRPr="00F9084A">
        <w:rPr>
          <w:sz w:val="18"/>
          <w:szCs w:val="18"/>
        </w:rPr>
        <w:t>dqp</w:t>
      </w:r>
      <w:proofErr w:type="spellEnd"/>
      <w:r w:rsidRPr="00F9084A">
        <w:rPr>
          <w:sz w:val="18"/>
          <w:szCs w:val="18"/>
        </w:rPr>
        <w:t>)</w:t>
      </w:r>
      <w:r w:rsidRPr="00F9084A">
        <w:rPr>
          <w:sz w:val="18"/>
          <w:szCs w:val="18"/>
          <w:vertAlign w:val="subscript"/>
        </w:rPr>
        <w:t>2</w:t>
      </w:r>
      <w:r w:rsidRPr="00F9084A">
        <w:rPr>
          <w:sz w:val="18"/>
          <w:szCs w:val="18"/>
        </w:rPr>
        <w:t>]</w:t>
      </w:r>
      <w:r w:rsidRPr="00F9084A">
        <w:rPr>
          <w:sz w:val="18"/>
          <w:szCs w:val="18"/>
          <w:vertAlign w:val="superscript"/>
        </w:rPr>
        <w:t>3+</w:t>
      </w:r>
      <w:r w:rsidRPr="00F9084A">
        <w:rPr>
          <w:sz w:val="18"/>
          <w:szCs w:val="18"/>
        </w:rPr>
        <w:t>, for the higher energy region (</w:t>
      </w:r>
      <w:r w:rsidRPr="00F9084A">
        <w:rPr>
          <w:b/>
          <w:bCs/>
          <w:sz w:val="18"/>
          <w:szCs w:val="18"/>
        </w:rPr>
        <w:t>a</w:t>
      </w:r>
      <w:r w:rsidRPr="00F9084A">
        <w:rPr>
          <w:sz w:val="18"/>
          <w:szCs w:val="18"/>
        </w:rPr>
        <w:t>) and for the SF transition region (</w:t>
      </w:r>
      <w:r w:rsidRPr="00F9084A">
        <w:rPr>
          <w:b/>
          <w:bCs/>
          <w:sz w:val="18"/>
          <w:szCs w:val="18"/>
        </w:rPr>
        <w:t>b</w:t>
      </w:r>
      <w:r w:rsidRPr="00F9084A">
        <w:rPr>
          <w:sz w:val="18"/>
          <w:szCs w:val="18"/>
        </w:rPr>
        <w:t>). The data are normalized for concentration, optical path and applied magnetic field.</w:t>
      </w:r>
    </w:p>
    <w:p w14:paraId="2FC77C3E" w14:textId="77777777" w:rsidR="00AE7FC7" w:rsidRPr="00F9084A" w:rsidRDefault="00AE7FC7" w:rsidP="001D1209">
      <w:pPr>
        <w:jc w:val="both"/>
        <w:rPr>
          <w:rFonts w:eastAsia="Calibri" w:cs="Times New Roman"/>
          <w:sz w:val="18"/>
          <w:szCs w:val="18"/>
        </w:rPr>
        <w:sectPr w:rsidR="00AE7FC7" w:rsidRPr="00F9084A" w:rsidSect="00AE7FC7">
          <w:type w:val="continuous"/>
          <w:pgSz w:w="11907" w:h="16840" w:code="9"/>
          <w:pgMar w:top="1009" w:right="851" w:bottom="1758" w:left="851" w:header="851" w:footer="1049" w:gutter="0"/>
          <w:cols w:space="227"/>
          <w:titlePg/>
          <w:docGrid w:linePitch="360"/>
        </w:sectPr>
      </w:pPr>
    </w:p>
    <w:p w14:paraId="4F28F373" w14:textId="443D9B3B" w:rsidR="008802E2" w:rsidRPr="00F9084A" w:rsidRDefault="008802E2" w:rsidP="008802E2">
      <w:pPr>
        <w:spacing w:after="0"/>
        <w:jc w:val="both"/>
        <w:rPr>
          <w:rFonts w:eastAsia="Calibri" w:cs="Times New Roman"/>
          <w:sz w:val="18"/>
          <w:szCs w:val="18"/>
        </w:rPr>
      </w:pPr>
      <w:r w:rsidRPr="00F9084A">
        <w:rPr>
          <w:rFonts w:eastAsia="Calibri" w:cs="Times New Roman"/>
          <w:sz w:val="18"/>
          <w:szCs w:val="18"/>
        </w:rPr>
        <w:t>We now focus our analysis on the MCPL and PL spectra</w:t>
      </w:r>
      <w:r w:rsidR="00A807EA" w:rsidRPr="00F9084A">
        <w:rPr>
          <w:rFonts w:eastAsia="Calibri" w:cs="Times New Roman"/>
          <w:sz w:val="18"/>
          <w:szCs w:val="18"/>
        </w:rPr>
        <w:t xml:space="preserve"> at the NIR SF transition</w:t>
      </w:r>
      <w:r w:rsidR="00491A48" w:rsidRPr="00F9084A">
        <w:rPr>
          <w:rFonts w:eastAsia="Calibri" w:cs="Times New Roman"/>
          <w:sz w:val="18"/>
          <w:szCs w:val="18"/>
        </w:rPr>
        <w:t>s</w:t>
      </w:r>
      <w:r w:rsidRPr="00F9084A">
        <w:rPr>
          <w:rFonts w:eastAsia="Calibri" w:cs="Times New Roman"/>
          <w:sz w:val="18"/>
          <w:szCs w:val="18"/>
        </w:rPr>
        <w:t>. In the presence of an external magnetic field, the degeneracy of the KDs of the quartet ground states is removed by Zeeman effect giving 4 spin states:</w:t>
      </w:r>
      <w:r w:rsidR="006B72C4">
        <w:rPr>
          <w:rFonts w:eastAsia="Calibri" w:cs="Times New Roman"/>
          <w:sz w:val="18"/>
          <w:szCs w:val="18"/>
        </w:rPr>
        <w:t xml:space="preserve"> </w:t>
      </w:r>
      <w:r w:rsidR="006B72C4" w:rsidRPr="00D44E4F">
        <w:rPr>
          <w:rFonts w:eastAsia="Calibri" w:cs="Times New Roman"/>
          <w:sz w:val="18"/>
          <w:szCs w:val="18"/>
          <w:highlight w:val="yellow"/>
        </w:rPr>
        <w:t>ideally</w:t>
      </w:r>
      <w:r w:rsidRPr="00F9084A">
        <w:rPr>
          <w:rFonts w:eastAsia="Calibri" w:cs="Times New Roman"/>
          <w:sz w:val="18"/>
          <w:szCs w:val="18"/>
        </w:rPr>
        <w:t xml:space="preserve"> |+</w:t>
      </w:r>
      <w:r w:rsidR="00EA1B03">
        <w:rPr>
          <w:rFonts w:eastAsia="Calibri" w:cs="Times New Roman"/>
          <w:sz w:val="18"/>
          <w:szCs w:val="18"/>
        </w:rPr>
        <w:t>1</w:t>
      </w:r>
      <w:r w:rsidRPr="00F9084A">
        <w:rPr>
          <w:rFonts w:eastAsia="Calibri" w:cs="Times New Roman"/>
          <w:sz w:val="18"/>
          <w:szCs w:val="18"/>
        </w:rPr>
        <w:t>/2&gt;, |-</w:t>
      </w:r>
      <w:r w:rsidR="00EA1B03">
        <w:rPr>
          <w:rFonts w:eastAsia="Calibri" w:cs="Times New Roman"/>
          <w:sz w:val="18"/>
          <w:szCs w:val="18"/>
        </w:rPr>
        <w:t>1</w:t>
      </w:r>
      <w:r w:rsidRPr="00F9084A">
        <w:rPr>
          <w:rFonts w:eastAsia="Calibri" w:cs="Times New Roman"/>
          <w:sz w:val="18"/>
          <w:szCs w:val="18"/>
        </w:rPr>
        <w:t>/2&gt;, |+</w:t>
      </w:r>
      <w:r w:rsidR="00EA1B03">
        <w:rPr>
          <w:rFonts w:eastAsia="Calibri" w:cs="Times New Roman"/>
          <w:sz w:val="18"/>
          <w:szCs w:val="18"/>
        </w:rPr>
        <w:t>3</w:t>
      </w:r>
      <w:r w:rsidRPr="00F9084A">
        <w:rPr>
          <w:rFonts w:eastAsia="Calibri" w:cs="Times New Roman"/>
          <w:sz w:val="18"/>
          <w:szCs w:val="18"/>
        </w:rPr>
        <w:t>/2&gt; and |</w:t>
      </w:r>
      <w:r w:rsidR="006B72C4">
        <w:rPr>
          <w:rFonts w:eastAsia="Calibri" w:cs="Times New Roman"/>
          <w:sz w:val="18"/>
          <w:szCs w:val="18"/>
        </w:rPr>
        <w:noBreakHyphen/>
      </w:r>
      <w:r w:rsidR="00EA1B03">
        <w:rPr>
          <w:rFonts w:eastAsia="Calibri" w:cs="Times New Roman"/>
          <w:sz w:val="18"/>
          <w:szCs w:val="18"/>
        </w:rPr>
        <w:t>3</w:t>
      </w:r>
      <w:r w:rsidRPr="00F9084A">
        <w:rPr>
          <w:rFonts w:eastAsia="Calibri" w:cs="Times New Roman"/>
          <w:sz w:val="18"/>
          <w:szCs w:val="18"/>
        </w:rPr>
        <w:t>/2&gt;. Similarly, the doublet excited states split into |+1/2&gt; and |</w:t>
      </w:r>
      <w:r w:rsidR="006B72C4">
        <w:rPr>
          <w:rFonts w:eastAsia="Calibri" w:cs="Times New Roman"/>
          <w:sz w:val="18"/>
          <w:szCs w:val="18"/>
        </w:rPr>
        <w:noBreakHyphen/>
      </w:r>
      <w:r w:rsidRPr="00F9084A">
        <w:rPr>
          <w:rFonts w:eastAsia="Calibri" w:cs="Times New Roman"/>
          <w:sz w:val="18"/>
          <w:szCs w:val="18"/>
        </w:rPr>
        <w:t>1/2&gt; states.</w:t>
      </w:r>
    </w:p>
    <w:p w14:paraId="66DF66A5" w14:textId="4AD3AD74" w:rsidR="008802E2" w:rsidRPr="00F9084A" w:rsidRDefault="008802E2" w:rsidP="001D1209">
      <w:pPr>
        <w:jc w:val="both"/>
        <w:rPr>
          <w:rFonts w:eastAsia="Calibri" w:cs="Times New Roman"/>
          <w:sz w:val="18"/>
          <w:szCs w:val="18"/>
        </w:rPr>
      </w:pPr>
      <w:r w:rsidRPr="00F9084A">
        <w:rPr>
          <w:rFonts w:eastAsia="Calibri" w:cs="Times New Roman"/>
          <w:sz w:val="18"/>
          <w:szCs w:val="18"/>
        </w:rPr>
        <w:t>In the following, we focus only on the higher energy SF band around 72</w:t>
      </w:r>
      <w:r w:rsidR="002F7E0D">
        <w:rPr>
          <w:rFonts w:eastAsia="Calibri" w:cs="Times New Roman"/>
          <w:sz w:val="18"/>
          <w:szCs w:val="18"/>
        </w:rPr>
        <w:t>9</w:t>
      </w:r>
      <w:r w:rsidRPr="00F9084A">
        <w:rPr>
          <w:rFonts w:eastAsia="Calibri" w:cs="Times New Roman"/>
          <w:sz w:val="18"/>
          <w:szCs w:val="18"/>
        </w:rPr>
        <w:t xml:space="preserve"> nm, </w:t>
      </w:r>
      <w:r w:rsidR="005A42D4">
        <w:rPr>
          <w:rFonts w:eastAsia="Calibri" w:cs="Times New Roman"/>
          <w:sz w:val="18"/>
          <w:szCs w:val="18"/>
        </w:rPr>
        <w:t>producing</w:t>
      </w:r>
      <w:r w:rsidR="005A42D4" w:rsidRPr="00F9084A">
        <w:rPr>
          <w:rFonts w:eastAsia="Calibri" w:cs="Times New Roman"/>
          <w:sz w:val="18"/>
          <w:szCs w:val="18"/>
        </w:rPr>
        <w:t xml:space="preserve"> </w:t>
      </w:r>
      <w:r w:rsidRPr="00F9084A">
        <w:rPr>
          <w:rFonts w:eastAsia="Calibri" w:cs="Times New Roman"/>
          <w:sz w:val="18"/>
          <w:szCs w:val="18"/>
        </w:rPr>
        <w:t xml:space="preserve">the main signal. In a reasonably simplified scheme, we consider only the transitions among Zeeman levels with </w:t>
      </w:r>
      <w:r w:rsidRPr="00F9084A">
        <w:rPr>
          <w:sz w:val="18"/>
          <w:szCs w:val="18"/>
        </w:rPr>
        <w:t>Δ</w:t>
      </w:r>
      <w:r w:rsidRPr="00F9084A">
        <w:rPr>
          <w:i/>
          <w:sz w:val="18"/>
          <w:szCs w:val="18"/>
        </w:rPr>
        <w:t>M</w:t>
      </w:r>
      <w:r w:rsidRPr="00F9084A">
        <w:rPr>
          <w:rFonts w:eastAsia="Calibri" w:cs="Times New Roman"/>
          <w:sz w:val="18"/>
          <w:szCs w:val="18"/>
          <w:vertAlign w:val="subscript"/>
        </w:rPr>
        <w:t>s</w:t>
      </w:r>
      <w:r w:rsidRPr="00F9084A">
        <w:rPr>
          <w:rFonts w:eastAsia="Calibri" w:cs="Times New Roman"/>
          <w:sz w:val="18"/>
          <w:szCs w:val="18"/>
        </w:rPr>
        <w:t xml:space="preserve"> = </w:t>
      </w:r>
      <w:r w:rsidRPr="00F9084A">
        <w:rPr>
          <w:sz w:val="18"/>
          <w:szCs w:val="18"/>
        </w:rPr>
        <w:t>±1.</w:t>
      </w:r>
      <w:r w:rsidRPr="00F9084A">
        <w:rPr>
          <w:sz w:val="18"/>
          <w:szCs w:val="18"/>
        </w:rPr>
        <w:fldChar w:fldCharType="begin"/>
      </w:r>
      <w:r w:rsidR="00924348">
        <w:rPr>
          <w:sz w:val="18"/>
          <w:szCs w:val="18"/>
        </w:rPr>
        <w:instrText xml:space="preserve"> ADDIN ZOTERO_ITEM CSL_CITATION {"citationID":"bbX5gYSA","properties":{"formattedCitation":"\\super 75\\nosupersub{}","plainCitation":"75","noteIndex":0},"citationItems":[{"id":7491,"uris":["http://zotero.org/users/2011173/items/U9YQP56I"],"itemData":{"id":7491,"type":"chapter","container-title":"Comprehensive Coordination Chemistry II","ISBN":"978-0-08-043748-4","language":"en","license":"https://www.elsevier.com/tdm/userlicense/1.0/","note":"DOI: 10.1016/B0-08-043748-6/01216-0","page":"339-349","publisher":"Elsevier","source":"DOI.org (Crossref)","title":"Magnetic Circular Dichroism of Paramagnetic Species","URL":"https://linkinghub.elsevier.com/retrieve/pii/B0080437486012160","author":[{"family":"Solomon","given":"E.I."},{"family":"Neidig","given":"M.L."},{"family":"Schenk","given":"G."}],"accessed":{"date-parts":[["2024",4,30]]},"issued":{"date-parts":[["2003"]]}}}],"schema":"https://github.com/citation-style-language/schema/raw/master/csl-citation.json"} </w:instrText>
      </w:r>
      <w:r w:rsidRPr="00F9084A">
        <w:rPr>
          <w:sz w:val="18"/>
          <w:szCs w:val="18"/>
        </w:rPr>
        <w:fldChar w:fldCharType="separate"/>
      </w:r>
      <w:r w:rsidR="00924348" w:rsidRPr="00924348">
        <w:rPr>
          <w:rFonts w:ascii="Aptos" w:hAnsi="Aptos" w:cs="Times New Roman"/>
          <w:sz w:val="18"/>
          <w:vertAlign w:val="superscript"/>
        </w:rPr>
        <w:t>75</w:t>
      </w:r>
      <w:r w:rsidRPr="00F9084A">
        <w:rPr>
          <w:sz w:val="18"/>
          <w:szCs w:val="18"/>
        </w:rPr>
        <w:fldChar w:fldCharType="end"/>
      </w:r>
      <w:r w:rsidRPr="00F9084A">
        <w:rPr>
          <w:sz w:val="18"/>
          <w:szCs w:val="18"/>
        </w:rPr>
        <w:t xml:space="preserve"> A Δ</w:t>
      </w:r>
      <w:r w:rsidRPr="00F9084A">
        <w:rPr>
          <w:i/>
          <w:sz w:val="18"/>
          <w:szCs w:val="18"/>
        </w:rPr>
        <w:t>M</w:t>
      </w:r>
      <w:r w:rsidRPr="00F9084A">
        <w:rPr>
          <w:rFonts w:eastAsia="Calibri" w:cs="Times New Roman"/>
          <w:sz w:val="18"/>
          <w:szCs w:val="18"/>
          <w:vertAlign w:val="subscript"/>
        </w:rPr>
        <w:t>s</w:t>
      </w:r>
      <w:r w:rsidRPr="00F9084A">
        <w:rPr>
          <w:rFonts w:eastAsia="Calibri" w:cs="Times New Roman"/>
          <w:sz w:val="18"/>
          <w:szCs w:val="18"/>
        </w:rPr>
        <w:t xml:space="preserve"> &gt; 0 corresponds to a positive MCPL transition and vice versa, therefore a total of two closely spaced positive and two negative MCPL contributions are expected (Figure 4). </w:t>
      </w:r>
    </w:p>
    <w:p w14:paraId="073BD511" w14:textId="52931FDE" w:rsidR="001D1209" w:rsidRPr="00F9084A" w:rsidRDefault="001D1209" w:rsidP="00371B46">
      <w:pPr>
        <w:spacing w:after="0"/>
        <w:jc w:val="both"/>
        <w:rPr>
          <w:rFonts w:eastAsia="Calibri" w:cs="Times New Roman"/>
          <w:sz w:val="18"/>
          <w:szCs w:val="18"/>
        </w:rPr>
      </w:pPr>
      <w:r w:rsidRPr="00F9084A">
        <w:rPr>
          <w:rFonts w:eastAsia="Calibri" w:cs="Times New Roman"/>
          <w:sz w:val="18"/>
          <w:szCs w:val="18"/>
        </w:rPr>
        <w:t>When the bands are separated by an energy much smaller than the bandwidth, the spectral features can be conveniently model</w:t>
      </w:r>
      <w:r w:rsidR="00796150" w:rsidRPr="00F9084A">
        <w:rPr>
          <w:rFonts w:eastAsia="Calibri" w:cs="Times New Roman"/>
          <w:sz w:val="18"/>
          <w:szCs w:val="18"/>
        </w:rPr>
        <w:t>l</w:t>
      </w:r>
      <w:r w:rsidRPr="00F9084A">
        <w:rPr>
          <w:rFonts w:eastAsia="Calibri" w:cs="Times New Roman"/>
          <w:sz w:val="18"/>
          <w:szCs w:val="18"/>
        </w:rPr>
        <w:t xml:space="preserve">ed by using the so-called rigid-shift approximation. This method is usually applied to model </w:t>
      </w:r>
      <w:r w:rsidRPr="00F9084A">
        <w:rPr>
          <w:rFonts w:eastAsia="Calibri" w:cs="Times New Roman"/>
          <w:i/>
          <w:iCs/>
          <w:sz w:val="18"/>
          <w:szCs w:val="18"/>
        </w:rPr>
        <w:t>A-</w:t>
      </w:r>
      <w:r w:rsidRPr="00F9084A">
        <w:rPr>
          <w:rFonts w:eastAsia="Calibri" w:cs="Times New Roman"/>
          <w:sz w:val="18"/>
          <w:szCs w:val="18"/>
        </w:rPr>
        <w:t xml:space="preserve"> and </w:t>
      </w:r>
      <w:r w:rsidRPr="00F9084A">
        <w:rPr>
          <w:rFonts w:eastAsia="Calibri" w:cs="Times New Roman"/>
          <w:i/>
          <w:iCs/>
          <w:sz w:val="18"/>
          <w:szCs w:val="18"/>
        </w:rPr>
        <w:t>C-</w:t>
      </w:r>
      <w:r w:rsidRPr="00F9084A">
        <w:rPr>
          <w:rFonts w:eastAsia="Calibri" w:cs="Times New Roman"/>
          <w:sz w:val="18"/>
          <w:szCs w:val="18"/>
        </w:rPr>
        <w:t>Faraday terms in MCD.</w:t>
      </w:r>
      <w:r w:rsidRPr="00F9084A">
        <w:rPr>
          <w:rFonts w:eastAsia="Calibri" w:cs="Times New Roman"/>
          <w:sz w:val="18"/>
          <w:szCs w:val="18"/>
        </w:rPr>
        <w:fldChar w:fldCharType="begin"/>
      </w:r>
      <w:r w:rsidR="00924348">
        <w:rPr>
          <w:rFonts w:eastAsia="Calibri" w:cs="Times New Roman"/>
          <w:sz w:val="18"/>
          <w:szCs w:val="18"/>
        </w:rPr>
        <w:instrText xml:space="preserve"> ADDIN ZOTERO_ITEM CSL_CITATION {"citationID":"H7aUgiM1","properties":{"formattedCitation":"\\super 43,76,77\\nosupersub{}","plainCitation":"43,76,77","noteIndex":0},"citationItems":[{"id":1760,"uris":["http://zotero.org/users/2011173/items/SPIMSFEW"],"itemData":{"id":1760,"type":"book","event-place":"Hoboken, N.J.","ISBN":"978-0-470-06978-3","language":"English","note":"OCLC: 85899073","publisher":"Wiley-Interscience","publisher-place":"Hoboken, N.J.","source":"Open WorldCat","title":"A practical guide to magnetic circular dichroism spectroscopy","author":[{"family":"Mason","given":"W. Roy"}],"issued":{"date-parts":[["2007"]]}}},{"id":2672,"uris":["http://zotero.org/users/2011173/items/L5227TY4"],"itemData":{"id":2672,"type":"article-journal","abstract":"The use of magneto-optical techniques to tune the plasmonic response of nanostructures—magnetoplasmonics—is a hot topic in active plasmonics, with fascinating implications for several plasmon-based applications and devices. In this exciting field, plasmonic nanomaterials with strong optical response to magnetic fields are desired, which is generally challenging to achieve with pure noble metals. To overcome this issue, several efforts have been carried out to design and tailor the magneto-optical response of metal nanostructures, mainly by combining plasmonic and magnetic materials or using ferromagnetic materials able to sustain a plasmonic response. However, despite their weak magneto-optical response, noble metals are a valuable model system allowing an accurate rationalization of magnetoplasmonic effects based on the interaction of magnetic fields with charge carriers. In addition, the emerging class of non-magnetic plasmonic heavily doped semiconductors is showing great potential for high performance magnetoplasmonics in the infrared range. In this Tutorial, the most common magneto-optical experimental methods employed to measure these effects are introduced, followed by a review of the major experimental observations that are discussed within the framework of an analytical model developed for the rationalization of magnetoplasmonic effects. Different materials are discussed, from noble metals to heavily doped semiconductors.","container-title":"Journal of Applied Physics","DOI":"10.1063/5.0050034","ISSN":"0021-8979","issue":"21","journalAbbreviation":"J. Appl. Phys.","note":"publisher: American Institute of Physics","page":"211101","source":"aip.scitation.org (Atypon)","title":"Magneto-optical methods for magnetoplasmonics in noble metal nanostructures","volume":"129","author":[{"family":"Gabbani","given":"Alessio"},{"family":"Petrucci","given":"Gaia"},{"family":"Pineider","given":"Francesco"}],"issued":{"date-parts":[["2021",6,1]]}}},{"id":2747,"uris":["http://zotero.org/users/2011173/items/URI8FAUA"],"itemData":{"id":2747,"type":"article-journal","abstract":"Tuning the plasmonic response with an external magnetic field is extremely promising to achieve active magnetoplasmonic devices, such as next generation refractometric sensors or tunable optical components. Noble metal nanostructures represent an ideal platform for studying and modeling magnetoplasmonic effects through the interaction of free electrons with external magnetic fields, even though their response is relatively low at the magnetic field intensities commonly applied in standard magneto-optical spectroscopies. Here we demonstrate a large magnetoplasmonic response of silver nanoparticles by performing magnetic circular dichroism spectroscopy at high magnetic fields, revealing a linear response to the magnetic field up to 30 T. The exploitation of such high fields allowed us to probe directly the field-induced splitting of circular plasmonic modes by performing absorption spectra with static circular polarizations, giving direct experimental evidence that the magneto-optical activity of plasmonic nanoparticles arises from the energy shift of field-split circular magnetoplasmonic modes.","container-title":"The Journal of Physical Chemistry C","DOI":"10.1021/acs.jpcc.1c09900","ISSN":"1932-7447","issue":"4","journalAbbreviation":"J. Phys. Chem. C","note":"publisher: American Chemical Society","page":"1939-1945","source":"ACS Publications","title":"High Magnetic Field Magneto-optics on Plasmonic Silica-Embedded Silver Nanoparticles","volume":"126","author":[{"family":"Gabbani","given":"Alessio"},{"family":"Campo","given":"Giulio"},{"family":"Bonanni","given":"Valentina"},{"family":"Rhee","given":"Peter","non-dropping-particle":"van"},{"family":"Bottaro","given":"Gregorio"},{"family":"Julián Fernández","given":"César","non-dropping-particle":"de"},{"family":"Bello","given":"Valentina"},{"family":"Fantechi","given":"Elvira"},{"family":"Biccari","given":"Francesco"},{"family":"Gurioli","given":"Massimo"},{"family":"Armelao","given":"Lidia"},{"family":"Sangregorio","given":"Claudio"},{"family":"Mattei","given":"Giovanni"},{"family":"Christianen","given":"Peter"},{"family":"Pineider","given":"Francesco"}],"issued":{"date-parts":[["2022",2,3]]}}}],"schema":"https://github.com/citation-style-language/schema/raw/master/csl-citation.json"} </w:instrText>
      </w:r>
      <w:r w:rsidRPr="00F9084A">
        <w:rPr>
          <w:rFonts w:eastAsia="Calibri" w:cs="Times New Roman"/>
          <w:sz w:val="18"/>
          <w:szCs w:val="18"/>
        </w:rPr>
        <w:fldChar w:fldCharType="separate"/>
      </w:r>
      <w:r w:rsidR="00924348" w:rsidRPr="00924348">
        <w:rPr>
          <w:rFonts w:ascii="Aptos" w:hAnsi="Aptos" w:cs="Times New Roman"/>
          <w:sz w:val="18"/>
          <w:vertAlign w:val="superscript"/>
        </w:rPr>
        <w:t>43,76,77</w:t>
      </w:r>
      <w:r w:rsidRPr="00F9084A">
        <w:rPr>
          <w:rFonts w:eastAsia="Calibri" w:cs="Times New Roman"/>
          <w:sz w:val="18"/>
          <w:szCs w:val="18"/>
        </w:rPr>
        <w:fldChar w:fldCharType="end"/>
      </w:r>
      <w:r w:rsidRPr="00F9084A">
        <w:rPr>
          <w:rFonts w:eastAsia="Calibri" w:cs="Times New Roman"/>
          <w:sz w:val="18"/>
          <w:szCs w:val="18"/>
        </w:rPr>
        <w:t xml:space="preserve"> Within this model, </w:t>
      </w:r>
      <w:r w:rsidR="00574C8C" w:rsidRPr="00F9084A">
        <w:rPr>
          <w:rFonts w:eastAsia="Calibri" w:cs="Times New Roman"/>
          <w:sz w:val="18"/>
          <w:szCs w:val="18"/>
        </w:rPr>
        <w:t xml:space="preserve">PL and MCPL spectra are fitted simultaneously using a home-built </w:t>
      </w:r>
      <w:r w:rsidR="009B4200" w:rsidRPr="00F9084A">
        <w:rPr>
          <w:rFonts w:eastAsia="Calibri" w:cs="Times New Roman"/>
          <w:sz w:val="18"/>
          <w:szCs w:val="18"/>
        </w:rPr>
        <w:t xml:space="preserve">MATLAB </w:t>
      </w:r>
      <w:r w:rsidR="00574C8C" w:rsidRPr="00F9084A">
        <w:rPr>
          <w:rFonts w:eastAsia="Calibri" w:cs="Times New Roman"/>
          <w:sz w:val="18"/>
          <w:szCs w:val="18"/>
        </w:rPr>
        <w:t>code</w:t>
      </w:r>
      <w:r w:rsidR="009B4200" w:rsidRPr="00F9084A">
        <w:rPr>
          <w:rFonts w:eastAsia="Calibri" w:cs="Times New Roman"/>
          <w:sz w:val="18"/>
          <w:szCs w:val="18"/>
        </w:rPr>
        <w:t xml:space="preserve">, </w:t>
      </w:r>
      <w:r w:rsidR="00DE1A53">
        <w:rPr>
          <w:rFonts w:eastAsia="Calibri" w:cs="Times New Roman"/>
          <w:sz w:val="18"/>
          <w:szCs w:val="18"/>
        </w:rPr>
        <w:t>employing</w:t>
      </w:r>
      <w:r w:rsidR="00DE1A53" w:rsidRPr="00F9084A">
        <w:rPr>
          <w:rFonts w:eastAsia="Calibri" w:cs="Times New Roman"/>
          <w:sz w:val="18"/>
          <w:szCs w:val="18"/>
        </w:rPr>
        <w:t xml:space="preserve"> </w:t>
      </w:r>
      <w:r w:rsidR="009B4200" w:rsidRPr="00F9084A">
        <w:rPr>
          <w:rFonts w:eastAsia="Calibri" w:cs="Times New Roman"/>
          <w:sz w:val="18"/>
          <w:szCs w:val="18"/>
        </w:rPr>
        <w:t xml:space="preserve">fitting functions that hold shared parameters. </w:t>
      </w:r>
      <w:r w:rsidR="009B4200" w:rsidRPr="009F46E6">
        <w:rPr>
          <w:rFonts w:eastAsia="Calibri" w:cs="Times New Roman"/>
          <w:sz w:val="18"/>
          <w:szCs w:val="18"/>
        </w:rPr>
        <w:t>T</w:t>
      </w:r>
      <w:r w:rsidRPr="009F46E6">
        <w:rPr>
          <w:rFonts w:eastAsia="Calibri" w:cs="Times New Roman"/>
          <w:sz w:val="18"/>
          <w:szCs w:val="18"/>
        </w:rPr>
        <w:t xml:space="preserve">he emission is fitted with a bell-shaped function </w:t>
      </w:r>
      <w:r w:rsidR="0037164E" w:rsidRPr="009F46E6">
        <w:rPr>
          <w:rFonts w:eastAsia="Calibri" w:cs="Times New Roman"/>
          <w:sz w:val="18"/>
          <w:szCs w:val="18"/>
        </w:rPr>
        <w:t>centred</w:t>
      </w:r>
      <w:r w:rsidRPr="009F46E6">
        <w:rPr>
          <w:rFonts w:eastAsia="Calibri" w:cs="Times New Roman"/>
          <w:sz w:val="18"/>
          <w:szCs w:val="18"/>
        </w:rPr>
        <w:t xml:space="preserve"> on the energy barycent</w:t>
      </w:r>
      <w:r w:rsidR="0037164E" w:rsidRPr="009F46E6">
        <w:rPr>
          <w:rFonts w:eastAsia="Calibri" w:cs="Times New Roman"/>
          <w:sz w:val="18"/>
          <w:szCs w:val="18"/>
        </w:rPr>
        <w:t>re</w:t>
      </w:r>
      <w:r w:rsidRPr="009F46E6">
        <w:rPr>
          <w:rFonts w:eastAsia="Calibri" w:cs="Times New Roman"/>
          <w:sz w:val="18"/>
          <w:szCs w:val="18"/>
        </w:rPr>
        <w:t xml:space="preserve"> (unsplit levels), while the MCPL is </w:t>
      </w:r>
      <w:r w:rsidRPr="009F46E6">
        <w:rPr>
          <w:rFonts w:eastAsia="Calibri" w:cs="Times New Roman"/>
          <w:sz w:val="18"/>
          <w:szCs w:val="18"/>
        </w:rPr>
        <w:t>fitted with equal but opposite functions, displaced by the small field-induced splitting (see ESI</w:t>
      </w:r>
      <w:r w:rsidR="00B041A7" w:rsidRPr="009F46E6">
        <w:rPr>
          <w:rFonts w:eastAsia="Calibri" w:cs="Times New Roman"/>
          <w:sz w:val="18"/>
          <w:szCs w:val="18"/>
        </w:rPr>
        <w:t xml:space="preserve"> and Figure S6</w:t>
      </w:r>
      <w:r w:rsidRPr="009F46E6">
        <w:rPr>
          <w:rFonts w:eastAsia="Calibri" w:cs="Times New Roman"/>
          <w:sz w:val="18"/>
          <w:szCs w:val="18"/>
        </w:rPr>
        <w:t>). All the functions, used for both the PL and MCPL, share the same shape and bandwidth, and are therefore determined simultaneously in the fitting.</w:t>
      </w:r>
      <w:r w:rsidR="009D535D">
        <w:rPr>
          <w:rFonts w:eastAsia="Calibri" w:cs="Times New Roman"/>
          <w:sz w:val="18"/>
          <w:szCs w:val="18"/>
        </w:rPr>
        <w:t xml:space="preserve"> </w:t>
      </w:r>
      <w:r w:rsidR="00E0772E" w:rsidRPr="00E0772E">
        <w:rPr>
          <w:rFonts w:eastAsia="Calibri" w:cs="Times New Roman"/>
          <w:sz w:val="18"/>
          <w:szCs w:val="18"/>
          <w:highlight w:val="yellow"/>
        </w:rPr>
        <w:t xml:space="preserve">To carry out this procedure, we used the </w:t>
      </w:r>
      <w:r w:rsidR="005A42D4">
        <w:rPr>
          <w:rFonts w:eastAsia="Calibri" w:cs="Times New Roman"/>
          <w:sz w:val="18"/>
          <w:szCs w:val="18"/>
          <w:highlight w:val="yellow"/>
        </w:rPr>
        <w:t>four</w:t>
      </w:r>
      <w:r w:rsidR="005A42D4" w:rsidRPr="00E0772E">
        <w:rPr>
          <w:rFonts w:eastAsia="Calibri" w:cs="Times New Roman"/>
          <w:sz w:val="18"/>
          <w:szCs w:val="18"/>
          <w:highlight w:val="yellow"/>
        </w:rPr>
        <w:t xml:space="preserve"> </w:t>
      </w:r>
      <w:r w:rsidR="00E0772E" w:rsidRPr="00E0772E">
        <w:rPr>
          <w:rFonts w:eastAsia="Calibri" w:cs="Times New Roman"/>
          <w:sz w:val="18"/>
          <w:szCs w:val="18"/>
          <w:highlight w:val="yellow"/>
        </w:rPr>
        <w:t xml:space="preserve">energy levels of the </w:t>
      </w:r>
      <w:r w:rsidR="00E0772E" w:rsidRPr="00E0772E">
        <w:rPr>
          <w:rFonts w:eastAsia="Calibri" w:cs="Times New Roman"/>
          <w:sz w:val="18"/>
          <w:szCs w:val="18"/>
          <w:highlight w:val="yellow"/>
          <w:vertAlign w:val="superscript"/>
        </w:rPr>
        <w:t>4</w:t>
      </w:r>
      <w:r w:rsidR="00E0772E" w:rsidRPr="00E0772E">
        <w:rPr>
          <w:rFonts w:eastAsia="Calibri" w:cs="Times New Roman"/>
          <w:sz w:val="18"/>
          <w:szCs w:val="18"/>
          <w:highlight w:val="yellow"/>
        </w:rPr>
        <w:t>A</w:t>
      </w:r>
      <w:r w:rsidR="00E0772E" w:rsidRPr="00E0772E">
        <w:rPr>
          <w:rFonts w:eastAsia="Calibri" w:cs="Times New Roman"/>
          <w:sz w:val="18"/>
          <w:szCs w:val="18"/>
          <w:highlight w:val="yellow"/>
          <w:vertAlign w:val="subscript"/>
        </w:rPr>
        <w:t>2</w:t>
      </w:r>
      <w:r w:rsidR="00E0772E" w:rsidRPr="00E0772E">
        <w:rPr>
          <w:rFonts w:eastAsia="Calibri" w:cs="Times New Roman"/>
          <w:sz w:val="18"/>
          <w:szCs w:val="18"/>
          <w:highlight w:val="yellow"/>
        </w:rPr>
        <w:t xml:space="preserve"> </w:t>
      </w:r>
      <w:r w:rsidR="005A42D4">
        <w:rPr>
          <w:rFonts w:eastAsia="Calibri" w:cs="Times New Roman"/>
          <w:sz w:val="18"/>
          <w:szCs w:val="18"/>
          <w:highlight w:val="yellow"/>
        </w:rPr>
        <w:t>state determined</w:t>
      </w:r>
      <w:r w:rsidR="005A42D4" w:rsidRPr="00E0772E">
        <w:rPr>
          <w:rFonts w:eastAsia="Calibri" w:cs="Times New Roman"/>
          <w:sz w:val="18"/>
          <w:szCs w:val="18"/>
          <w:highlight w:val="yellow"/>
        </w:rPr>
        <w:t xml:space="preserve"> </w:t>
      </w:r>
      <w:r w:rsidR="00E0772E" w:rsidRPr="00E0772E">
        <w:rPr>
          <w:rFonts w:eastAsia="Calibri" w:cs="Times New Roman"/>
          <w:sz w:val="18"/>
          <w:szCs w:val="18"/>
          <w:highlight w:val="yellow"/>
        </w:rPr>
        <w:t>by HFEPR at 0.</w:t>
      </w:r>
      <w:r w:rsidR="00E0772E">
        <w:rPr>
          <w:rFonts w:eastAsia="Calibri" w:cs="Times New Roman"/>
          <w:sz w:val="18"/>
          <w:szCs w:val="18"/>
          <w:highlight w:val="yellow"/>
        </w:rPr>
        <w:t>4</w:t>
      </w:r>
      <w:r w:rsidR="00E0772E" w:rsidRPr="00E0772E">
        <w:rPr>
          <w:rFonts w:eastAsia="Calibri" w:cs="Times New Roman"/>
          <w:sz w:val="18"/>
          <w:szCs w:val="18"/>
          <w:highlight w:val="yellow"/>
        </w:rPr>
        <w:t xml:space="preserve"> T</w:t>
      </w:r>
      <w:r w:rsidR="00E0772E">
        <w:rPr>
          <w:rFonts w:eastAsia="Calibri" w:cs="Times New Roman"/>
          <w:sz w:val="18"/>
          <w:szCs w:val="18"/>
          <w:highlight w:val="yellow"/>
        </w:rPr>
        <w:t xml:space="preserve"> (see below)</w:t>
      </w:r>
      <w:r w:rsidR="00E0772E" w:rsidRPr="00E0772E">
        <w:rPr>
          <w:rFonts w:eastAsia="Calibri" w:cs="Times New Roman"/>
          <w:sz w:val="18"/>
          <w:szCs w:val="18"/>
          <w:highlight w:val="yellow"/>
        </w:rPr>
        <w:t>, as fixed parameters.</w:t>
      </w:r>
      <w:r w:rsidRPr="009F46E6">
        <w:rPr>
          <w:rFonts w:eastAsia="Calibri" w:cs="Times New Roman"/>
          <w:sz w:val="18"/>
          <w:szCs w:val="18"/>
        </w:rPr>
        <w:t xml:space="preserve"> The fitting obtained through this model, by using pseudo-Voigt functions, closely retraces the experimental PL and MCPL data (Figure 2 and ESI).</w:t>
      </w:r>
      <w:r w:rsidR="00E0772E">
        <w:rPr>
          <w:rFonts w:eastAsia="Calibri" w:cs="Times New Roman"/>
          <w:sz w:val="18"/>
          <w:szCs w:val="18"/>
        </w:rPr>
        <w:t xml:space="preserve"> </w:t>
      </w:r>
      <w:r w:rsidRPr="00F9084A">
        <w:rPr>
          <w:rFonts w:eastAsia="Calibri" w:cs="Times New Roman"/>
          <w:sz w:val="18"/>
          <w:szCs w:val="18"/>
        </w:rPr>
        <w:t xml:space="preserve">Similar results were obtained using purely Gaussian or Lorentzian functions, but pseudo-Voigt functions retrace better the PL </w:t>
      </w:r>
      <w:r w:rsidR="007E12B8">
        <w:rPr>
          <w:rFonts w:eastAsia="Calibri" w:cs="Times New Roman"/>
          <w:sz w:val="18"/>
          <w:szCs w:val="18"/>
        </w:rPr>
        <w:t xml:space="preserve">and MCPL </w:t>
      </w:r>
      <w:r w:rsidRPr="00F9084A">
        <w:rPr>
          <w:rFonts w:eastAsia="Calibri" w:cs="Times New Roman"/>
          <w:sz w:val="18"/>
          <w:szCs w:val="18"/>
        </w:rPr>
        <w:t>line shape</w:t>
      </w:r>
      <w:r w:rsidR="007E12B8">
        <w:rPr>
          <w:rFonts w:eastAsia="Calibri" w:cs="Times New Roman"/>
          <w:sz w:val="18"/>
          <w:szCs w:val="18"/>
        </w:rPr>
        <w:t>s</w:t>
      </w:r>
      <w:r w:rsidRPr="00F9084A">
        <w:rPr>
          <w:rFonts w:eastAsia="Calibri" w:cs="Times New Roman"/>
          <w:sz w:val="18"/>
          <w:szCs w:val="18"/>
        </w:rPr>
        <w:t xml:space="preserve"> (Figure </w:t>
      </w:r>
      <w:r w:rsidR="0037164E" w:rsidRPr="00F9084A">
        <w:rPr>
          <w:rFonts w:eastAsia="Calibri" w:cs="Times New Roman"/>
          <w:sz w:val="18"/>
          <w:szCs w:val="18"/>
        </w:rPr>
        <w:t>S7</w:t>
      </w:r>
      <w:r w:rsidR="00EB17D6" w:rsidRPr="00F9084A">
        <w:rPr>
          <w:rFonts w:eastAsia="Calibri" w:cs="Times New Roman"/>
          <w:sz w:val="18"/>
          <w:szCs w:val="18"/>
        </w:rPr>
        <w:t xml:space="preserve"> and Table S2</w:t>
      </w:r>
      <w:r w:rsidRPr="00F9084A">
        <w:rPr>
          <w:rFonts w:eastAsia="Calibri" w:cs="Times New Roman"/>
          <w:sz w:val="18"/>
          <w:szCs w:val="18"/>
        </w:rPr>
        <w:t>).</w:t>
      </w:r>
      <w:r w:rsidR="0056090D">
        <w:rPr>
          <w:rFonts w:eastAsia="Calibri" w:cs="Times New Roman"/>
          <w:sz w:val="18"/>
          <w:szCs w:val="18"/>
        </w:rPr>
        <w:t xml:space="preserve"> </w:t>
      </w:r>
      <w:r w:rsidR="0056090D" w:rsidRPr="00E0772E">
        <w:rPr>
          <w:rFonts w:eastAsia="Calibri" w:cs="Times New Roman"/>
          <w:sz w:val="18"/>
          <w:szCs w:val="18"/>
          <w:highlight w:val="yellow"/>
        </w:rPr>
        <w:t>The overestimation of the model with respect to the experimental MCPL data m</w:t>
      </w:r>
      <w:r w:rsidR="0056090D">
        <w:rPr>
          <w:rFonts w:eastAsia="Calibri" w:cs="Times New Roman"/>
          <w:sz w:val="18"/>
          <w:szCs w:val="18"/>
          <w:highlight w:val="yellow"/>
        </w:rPr>
        <w:t>a</w:t>
      </w:r>
      <w:r w:rsidR="0056090D" w:rsidRPr="00E0772E">
        <w:rPr>
          <w:rFonts w:eastAsia="Calibri" w:cs="Times New Roman"/>
          <w:sz w:val="18"/>
          <w:szCs w:val="18"/>
          <w:highlight w:val="yellow"/>
        </w:rPr>
        <w:t xml:space="preserve">y be </w:t>
      </w:r>
      <w:proofErr w:type="gramStart"/>
      <w:r w:rsidR="0056090D" w:rsidRPr="00E0772E">
        <w:rPr>
          <w:rFonts w:eastAsia="Calibri" w:cs="Times New Roman"/>
          <w:sz w:val="18"/>
          <w:szCs w:val="18"/>
          <w:highlight w:val="yellow"/>
        </w:rPr>
        <w:t>due to the fact that</w:t>
      </w:r>
      <w:proofErr w:type="gramEnd"/>
      <w:r w:rsidR="00EF239C" w:rsidRPr="00E0772E">
        <w:rPr>
          <w:rFonts w:eastAsia="Calibri" w:cs="Times New Roman"/>
          <w:sz w:val="18"/>
          <w:szCs w:val="18"/>
          <w:highlight w:val="yellow"/>
        </w:rPr>
        <w:t>,</w:t>
      </w:r>
      <w:r w:rsidR="0056090D" w:rsidRPr="00E0772E">
        <w:rPr>
          <w:rFonts w:eastAsia="Calibri" w:cs="Times New Roman"/>
          <w:sz w:val="18"/>
          <w:szCs w:val="18"/>
          <w:highlight w:val="yellow"/>
        </w:rPr>
        <w:t xml:space="preserve"> </w:t>
      </w:r>
      <w:r w:rsidR="0069383F">
        <w:rPr>
          <w:rFonts w:eastAsia="Calibri" w:cs="Times New Roman"/>
          <w:sz w:val="18"/>
          <w:szCs w:val="18"/>
          <w:highlight w:val="yellow"/>
        </w:rPr>
        <w:t>in the case of ZFS with</w:t>
      </w:r>
      <w:r w:rsidR="0056090D" w:rsidRPr="00E0772E">
        <w:rPr>
          <w:rFonts w:eastAsia="Calibri" w:cs="Times New Roman"/>
          <w:sz w:val="18"/>
          <w:szCs w:val="18"/>
          <w:highlight w:val="yellow"/>
        </w:rPr>
        <w:t xml:space="preserve"> </w:t>
      </w:r>
      <m:oMath>
        <m:r>
          <w:rPr>
            <w:rFonts w:ascii="Cambria Math" w:eastAsia="Calibri" w:hAnsi="Cambria Math" w:cs="Times New Roman"/>
            <w:sz w:val="18"/>
            <w:szCs w:val="18"/>
            <w:highlight w:val="yellow"/>
          </w:rPr>
          <m:t>E</m:t>
        </m:r>
        <m:r>
          <w:rPr>
            <w:rFonts w:ascii="Cambria Math" w:eastAsia="Calibri" w:hAnsi="Cambria Math" w:cstheme="minorHAnsi"/>
            <w:sz w:val="18"/>
            <w:szCs w:val="18"/>
            <w:highlight w:val="yellow"/>
          </w:rPr>
          <m:t>≠</m:t>
        </m:r>
        <m:r>
          <w:rPr>
            <w:rFonts w:ascii="Cambria Math" w:eastAsia="Calibri" w:hAnsi="Cambria Math" w:cs="Times New Roman"/>
            <w:sz w:val="18"/>
            <w:szCs w:val="18"/>
            <w:highlight w:val="yellow"/>
          </w:rPr>
          <m:t>0</m:t>
        </m:r>
      </m:oMath>
      <w:r w:rsidR="0056090D" w:rsidRPr="00E0772E">
        <w:rPr>
          <w:rFonts w:eastAsia="Calibri" w:cs="Times New Roman"/>
          <w:sz w:val="18"/>
          <w:szCs w:val="18"/>
          <w:highlight w:val="yellow"/>
        </w:rPr>
        <w:t xml:space="preserve">, the </w:t>
      </w:r>
      <w:r w:rsidR="005A42D4">
        <w:rPr>
          <w:rFonts w:eastAsia="Calibri" w:cs="Times New Roman"/>
          <w:sz w:val="18"/>
          <w:szCs w:val="18"/>
          <w:highlight w:val="yellow"/>
        </w:rPr>
        <w:t xml:space="preserve">four </w:t>
      </w:r>
      <w:r w:rsidR="0056090D" w:rsidRPr="00E0772E">
        <w:rPr>
          <w:rFonts w:eastAsia="Calibri" w:cs="Times New Roman"/>
          <w:sz w:val="18"/>
          <w:szCs w:val="18"/>
          <w:highlight w:val="yellow"/>
        </w:rPr>
        <w:t xml:space="preserve">states associated </w:t>
      </w:r>
      <w:r w:rsidR="005A42D4">
        <w:rPr>
          <w:rFonts w:eastAsia="Calibri" w:cs="Times New Roman"/>
          <w:sz w:val="18"/>
          <w:szCs w:val="18"/>
          <w:highlight w:val="yellow"/>
        </w:rPr>
        <w:t>with</w:t>
      </w:r>
      <w:r w:rsidR="005A42D4" w:rsidRPr="00E0772E">
        <w:rPr>
          <w:rFonts w:eastAsia="Calibri" w:cs="Times New Roman"/>
          <w:sz w:val="18"/>
          <w:szCs w:val="18"/>
          <w:highlight w:val="yellow"/>
        </w:rPr>
        <w:t xml:space="preserve"> </w:t>
      </w:r>
      <w:r w:rsidR="0056090D" w:rsidRPr="00E0772E">
        <w:rPr>
          <w:rFonts w:eastAsia="Calibri" w:cs="Times New Roman"/>
          <w:sz w:val="18"/>
          <w:szCs w:val="18"/>
          <w:highlight w:val="yellow"/>
          <w:vertAlign w:val="superscript"/>
        </w:rPr>
        <w:t>4</w:t>
      </w:r>
      <w:r w:rsidR="0056090D" w:rsidRPr="00E0772E">
        <w:rPr>
          <w:rFonts w:eastAsia="Calibri" w:cs="Times New Roman"/>
          <w:sz w:val="18"/>
          <w:szCs w:val="18"/>
          <w:highlight w:val="yellow"/>
        </w:rPr>
        <w:t>A</w:t>
      </w:r>
      <w:r w:rsidR="0056090D" w:rsidRPr="00E0772E">
        <w:rPr>
          <w:rFonts w:eastAsia="Calibri" w:cs="Times New Roman"/>
          <w:sz w:val="18"/>
          <w:szCs w:val="18"/>
          <w:highlight w:val="yellow"/>
          <w:vertAlign w:val="subscript"/>
        </w:rPr>
        <w:t xml:space="preserve">2 </w:t>
      </w:r>
      <w:r w:rsidR="00BA57F2">
        <w:rPr>
          <w:rFonts w:eastAsia="Calibri" w:cs="Times New Roman"/>
          <w:sz w:val="18"/>
          <w:szCs w:val="18"/>
          <w:highlight w:val="yellow"/>
        </w:rPr>
        <w:t>cannot</w:t>
      </w:r>
      <w:r w:rsidR="00BA57F2" w:rsidRPr="00E0772E">
        <w:rPr>
          <w:rFonts w:eastAsia="Calibri" w:cs="Times New Roman"/>
          <w:sz w:val="18"/>
          <w:szCs w:val="18"/>
          <w:highlight w:val="yellow"/>
        </w:rPr>
        <w:t xml:space="preserve"> </w:t>
      </w:r>
      <w:r w:rsidR="00BA57F2">
        <w:rPr>
          <w:rFonts w:eastAsia="Calibri" w:cs="Times New Roman"/>
          <w:sz w:val="18"/>
          <w:szCs w:val="18"/>
          <w:highlight w:val="yellow"/>
        </w:rPr>
        <w:t>be described by</w:t>
      </w:r>
      <w:r w:rsidR="0056090D" w:rsidRPr="00E0772E">
        <w:rPr>
          <w:rFonts w:eastAsia="Calibri" w:cs="Times New Roman"/>
          <w:sz w:val="18"/>
          <w:szCs w:val="18"/>
          <w:highlight w:val="yellow"/>
        </w:rPr>
        <w:t xml:space="preserve"> </w:t>
      </w:r>
      <w:r w:rsidR="006232A0">
        <w:rPr>
          <w:rFonts w:eastAsia="Calibri" w:cs="Times New Roman"/>
          <w:sz w:val="18"/>
          <w:szCs w:val="18"/>
          <w:highlight w:val="yellow"/>
        </w:rPr>
        <w:t xml:space="preserve">a </w:t>
      </w:r>
      <w:r w:rsidR="0056090D" w:rsidRPr="00E0772E">
        <w:rPr>
          <w:rFonts w:eastAsia="Calibri" w:cs="Times New Roman"/>
          <w:sz w:val="18"/>
          <w:szCs w:val="18"/>
          <w:highlight w:val="yellow"/>
        </w:rPr>
        <w:t xml:space="preserve">pure </w:t>
      </w:r>
      <w:r w:rsidR="00BA57F2" w:rsidRPr="001028BC">
        <w:rPr>
          <w:rFonts w:eastAsia="Calibri" w:cs="Times New Roman"/>
          <w:i/>
          <w:iCs/>
          <w:sz w:val="18"/>
          <w:szCs w:val="18"/>
          <w:highlight w:val="yellow"/>
        </w:rPr>
        <w:t>M</w:t>
      </w:r>
      <w:r w:rsidR="00BA57F2" w:rsidRPr="001028BC">
        <w:rPr>
          <w:rFonts w:eastAsia="Calibri" w:cs="Times New Roman"/>
          <w:i/>
          <w:iCs/>
          <w:sz w:val="18"/>
          <w:szCs w:val="18"/>
          <w:highlight w:val="yellow"/>
          <w:vertAlign w:val="subscript"/>
        </w:rPr>
        <w:t>s</w:t>
      </w:r>
      <w:r w:rsidR="00BA57F2">
        <w:rPr>
          <w:rFonts w:eastAsia="Calibri" w:cs="Times New Roman"/>
          <w:sz w:val="18"/>
          <w:szCs w:val="18"/>
          <w:highlight w:val="yellow"/>
        </w:rPr>
        <w:t xml:space="preserve"> </w:t>
      </w:r>
      <w:r w:rsidR="006232A0">
        <w:rPr>
          <w:rFonts w:eastAsia="Calibri" w:cs="Times New Roman"/>
          <w:sz w:val="18"/>
          <w:szCs w:val="18"/>
          <w:highlight w:val="yellow"/>
        </w:rPr>
        <w:t xml:space="preserve">quantum number as they are </w:t>
      </w:r>
      <w:r w:rsidR="0056090D" w:rsidRPr="00E0772E">
        <w:rPr>
          <w:rFonts w:eastAsia="Calibri" w:cs="Times New Roman"/>
          <w:sz w:val="18"/>
          <w:szCs w:val="18"/>
          <w:highlight w:val="yellow"/>
        </w:rPr>
        <w:t>significant</w:t>
      </w:r>
      <w:r w:rsidR="006232A0">
        <w:rPr>
          <w:rFonts w:eastAsia="Calibri" w:cs="Times New Roman"/>
          <w:sz w:val="18"/>
          <w:szCs w:val="18"/>
          <w:highlight w:val="yellow"/>
        </w:rPr>
        <w:t>ly mixed</w:t>
      </w:r>
      <w:r w:rsidR="00D44E4F">
        <w:rPr>
          <w:rFonts w:eastAsia="Calibri" w:cs="Times New Roman"/>
          <w:sz w:val="18"/>
          <w:szCs w:val="18"/>
          <w:highlight w:val="yellow"/>
        </w:rPr>
        <w:t xml:space="preserve"> (see below)</w:t>
      </w:r>
      <w:r w:rsidR="0056090D" w:rsidRPr="00E0772E">
        <w:rPr>
          <w:rFonts w:eastAsia="Calibri" w:cs="Times New Roman"/>
          <w:sz w:val="18"/>
          <w:szCs w:val="18"/>
          <w:highlight w:val="yellow"/>
        </w:rPr>
        <w:t xml:space="preserve">. </w:t>
      </w:r>
      <w:r w:rsidR="0056090D" w:rsidRPr="00DA057C">
        <w:rPr>
          <w:rFonts w:eastAsia="Calibri" w:cs="Times New Roman"/>
          <w:sz w:val="18"/>
          <w:szCs w:val="18"/>
          <w:highlight w:val="yellow"/>
        </w:rPr>
        <w:t xml:space="preserve">This would therefore impact the underlying assumption that each transition is </w:t>
      </w:r>
      <w:r w:rsidR="0056090D">
        <w:rPr>
          <w:rFonts w:eastAsia="Calibri" w:cs="Times New Roman"/>
          <w:sz w:val="18"/>
          <w:szCs w:val="18"/>
          <w:highlight w:val="yellow"/>
        </w:rPr>
        <w:t>completely</w:t>
      </w:r>
      <w:r w:rsidR="0056090D" w:rsidRPr="00DA057C">
        <w:rPr>
          <w:rFonts w:eastAsia="Calibri" w:cs="Times New Roman"/>
          <w:sz w:val="18"/>
          <w:szCs w:val="18"/>
          <w:highlight w:val="yellow"/>
        </w:rPr>
        <w:t xml:space="preserve"> circularly polarize</w:t>
      </w:r>
      <w:r w:rsidR="0056090D">
        <w:rPr>
          <w:rFonts w:eastAsia="Calibri" w:cs="Times New Roman"/>
          <w:sz w:val="18"/>
          <w:szCs w:val="18"/>
          <w:highlight w:val="yellow"/>
        </w:rPr>
        <w:t>d</w:t>
      </w:r>
      <w:r w:rsidR="0056090D" w:rsidRPr="00DA057C">
        <w:rPr>
          <w:rFonts w:eastAsia="Calibri" w:cs="Times New Roman"/>
          <w:sz w:val="18"/>
          <w:szCs w:val="18"/>
          <w:highlight w:val="yellow"/>
        </w:rPr>
        <w:t>.</w:t>
      </w:r>
      <w:r w:rsidRPr="00F9084A">
        <w:rPr>
          <w:rFonts w:eastAsia="Calibri" w:cs="Times New Roman"/>
          <w:sz w:val="18"/>
          <w:szCs w:val="18"/>
        </w:rPr>
        <w:t xml:space="preserve"> Notice that the lifetime of the excited state </w:t>
      </w:r>
      <w:r w:rsidR="005A42D4" w:rsidRPr="00F9084A">
        <w:rPr>
          <w:rFonts w:eastAsia="Calibri" w:cs="Times New Roman"/>
          <w:sz w:val="18"/>
          <w:szCs w:val="18"/>
        </w:rPr>
        <w:t xml:space="preserve">being </w:t>
      </w:r>
      <w:r w:rsidRPr="00F9084A">
        <w:rPr>
          <w:rFonts w:eastAsia="Calibri" w:cs="Times New Roman"/>
          <w:sz w:val="18"/>
          <w:szCs w:val="18"/>
        </w:rPr>
        <w:t>sufficiently long (</w:t>
      </w:r>
      <w:proofErr w:type="spellStart"/>
      <w:r w:rsidRPr="00F9084A">
        <w:rPr>
          <w:sz w:val="18"/>
          <w:szCs w:val="18"/>
        </w:rPr>
        <w:t>τ</w:t>
      </w:r>
      <w:r w:rsidRPr="00F9084A">
        <w:rPr>
          <w:sz w:val="18"/>
          <w:szCs w:val="18"/>
          <w:vertAlign w:val="subscript"/>
        </w:rPr>
        <w:t>obs</w:t>
      </w:r>
      <w:proofErr w:type="spellEnd"/>
      <w:r w:rsidRPr="00F9084A">
        <w:rPr>
          <w:sz w:val="18"/>
          <w:szCs w:val="18"/>
        </w:rPr>
        <w:t xml:space="preserve"> = </w:t>
      </w:r>
      <w:r w:rsidRPr="00F9084A">
        <w:rPr>
          <w:rFonts w:eastAsia="Calibri" w:cs="Times New Roman"/>
          <w:sz w:val="18"/>
          <w:szCs w:val="18"/>
        </w:rPr>
        <w:t xml:space="preserve">1.2 </w:t>
      </w:r>
      <w:proofErr w:type="spellStart"/>
      <w:r w:rsidRPr="00F9084A">
        <w:rPr>
          <w:rFonts w:eastAsia="Calibri" w:cs="Times New Roman"/>
          <w:sz w:val="18"/>
          <w:szCs w:val="18"/>
        </w:rPr>
        <w:t>ms</w:t>
      </w:r>
      <w:proofErr w:type="spellEnd"/>
      <w:r w:rsidRPr="00F9084A">
        <w:rPr>
          <w:rFonts w:eastAsia="Calibri" w:cs="Times New Roman"/>
          <w:sz w:val="18"/>
          <w:szCs w:val="18"/>
        </w:rPr>
        <w:t>),</w:t>
      </w:r>
      <w:r w:rsidRPr="00F9084A">
        <w:rPr>
          <w:rFonts w:eastAsia="Calibri" w:cs="Times New Roman"/>
          <w:sz w:val="18"/>
          <w:szCs w:val="18"/>
        </w:rPr>
        <w:fldChar w:fldCharType="begin"/>
      </w:r>
      <w:r w:rsidR="000C7757" w:rsidRPr="00F9084A">
        <w:rPr>
          <w:rFonts w:eastAsia="Calibri" w:cs="Times New Roman"/>
          <w:sz w:val="18"/>
          <w:szCs w:val="18"/>
        </w:rPr>
        <w:instrText xml:space="preserve"> ADDIN ZOTERO_ITEM CSL_CITATION {"citationID":"mY5Fw5iR","properties":{"formattedCitation":"\\super 33\\nosupersub{}","plainCitation":"33","noteIndex":0},"citationItems":[{"id":7387,"uris":["http://zotero.org/users/2011173/items/DY3PVUSX"],"itemData":{"id":7387,"type":"article-journal","abstract":"A series of highly emissive inert and chiral CrIII complexes displaying dual circularly polarized luminescence (CPL) within the NIR region have been prepared and characterized. The helical [Cr(dqpR)2]3+ (dqp=2,6-di(quinolin-8-yl)pyridine; R=OCH3, Br or C≡CH) complexes were synthesized as racemic mixtures and resolved into their respective PP and MM enantiomers by chiral stationary phase HPLC. The corresponding enantiomers show large glum≈0.2 and high quantum yield of up to 17 %, which afford important CPL brightness of up to 170 m−1 cm−1, a key point for applications as chiral luminescent probes. Moreover, the long-lived CP-NIR emission provided by these chromophores (ms range) in aqueous solution opens the way toward the quantification of chiral targets in biological systems with time-gated detection. Thus, such chiral chromophores based on earth abundant and inert 3d metals open new perspectives in the field of CPL and represent an alternative to precious 4d, 5d and to labile 4f metal-based complexes.","container-title":"Angewandte Chemie International Edition","DOI":"10.1002/anie.202101158","ISSN":"1521-3773","issue":"18","journalAbbreviation":"Angew. Chem. Int. Ed.","language":"en","license":"© 2021 Wiley-VCH GmbH","note":"_eprint: https://onlinelibrary.wiley.com/doi/pdf/10.1002/anie.202101158","page":"10095-10102","source":"Wiley Online Library","title":"Bright Long-Lived Circularly Polarized Luminescence in Chiral Chromium(III) Complexes","volume":"60","author":[{"family":"Jiménez","given":"Juan-Ramón"},{"family":"Poncet","given":"Maxime"},{"family":"Míguez-Lago","given":"Sandra"},{"family":"Grass","given":"Stéphane"},{"family":"Lacour","given":"Jérôme"},{"family":"Besnard","given":"Céline"},{"family":"Cuerva","given":"Juan M."},{"family":"Campaña","given":"Araceli G."},{"family":"Piguet","given":"Claude"}],"issued":{"date-parts":[["2021"]]}}}],"schema":"https://github.com/citation-style-language/schema/raw/master/csl-citation.json"} </w:instrText>
      </w:r>
      <w:r w:rsidRPr="00F9084A">
        <w:rPr>
          <w:rFonts w:eastAsia="Calibri" w:cs="Times New Roman"/>
          <w:sz w:val="18"/>
          <w:szCs w:val="18"/>
        </w:rPr>
        <w:fldChar w:fldCharType="separate"/>
      </w:r>
      <w:r w:rsidR="00DF5192" w:rsidRPr="00F9084A">
        <w:rPr>
          <w:rFonts w:ascii="Aptos" w:hAnsi="Aptos" w:cs="Times New Roman"/>
          <w:sz w:val="18"/>
          <w:vertAlign w:val="superscript"/>
        </w:rPr>
        <w:t>33</w:t>
      </w:r>
      <w:r w:rsidRPr="00F9084A">
        <w:rPr>
          <w:rFonts w:eastAsia="Calibri" w:cs="Times New Roman"/>
          <w:sz w:val="18"/>
          <w:szCs w:val="18"/>
        </w:rPr>
        <w:fldChar w:fldCharType="end"/>
      </w:r>
      <w:r w:rsidR="007F7A32" w:rsidRPr="00F9084A">
        <w:rPr>
          <w:rFonts w:eastAsia="Calibri" w:cs="Times New Roman"/>
          <w:sz w:val="18"/>
          <w:szCs w:val="18"/>
        </w:rPr>
        <w:t xml:space="preserve"> </w:t>
      </w:r>
      <w:r w:rsidRPr="00F9084A">
        <w:rPr>
          <w:rFonts w:eastAsia="Calibri" w:cs="Times New Roman"/>
          <w:sz w:val="18"/>
          <w:szCs w:val="18"/>
        </w:rPr>
        <w:t xml:space="preserve">the population of its Zeeman levels follows Boltzmann distribution. </w:t>
      </w:r>
      <w:r w:rsidR="001934EE" w:rsidRPr="00F9084A">
        <w:rPr>
          <w:rFonts w:eastAsia="Calibri" w:cs="Times New Roman"/>
          <w:sz w:val="18"/>
          <w:szCs w:val="18"/>
        </w:rPr>
        <w:t xml:space="preserve">The Zeeman splitting being </w:t>
      </w:r>
      <w:r w:rsidRPr="00F9084A">
        <w:rPr>
          <w:rFonts w:eastAsia="Calibri" w:cs="Times New Roman"/>
          <w:sz w:val="18"/>
          <w:szCs w:val="18"/>
        </w:rPr>
        <w:t>much smaller than room temperature thermal energy (207 cm</w:t>
      </w:r>
      <w:r w:rsidRPr="00F9084A">
        <w:rPr>
          <w:rFonts w:eastAsia="Calibri" w:cs="Times New Roman"/>
          <w:sz w:val="18"/>
          <w:szCs w:val="18"/>
          <w:vertAlign w:val="superscript"/>
        </w:rPr>
        <w:t>-1</w:t>
      </w:r>
      <w:r w:rsidRPr="00F9084A">
        <w:rPr>
          <w:rFonts w:eastAsia="Calibri" w:cs="Times New Roman"/>
          <w:sz w:val="18"/>
          <w:szCs w:val="18"/>
        </w:rPr>
        <w:t xml:space="preserve"> at 298 K), the Zeeman levels of the doublet exited states are almost </w:t>
      </w:r>
      <w:r w:rsidRPr="00F9084A">
        <w:rPr>
          <w:rFonts w:eastAsia="Calibri" w:cs="Times New Roman"/>
          <w:sz w:val="18"/>
          <w:szCs w:val="18"/>
        </w:rPr>
        <w:lastRenderedPageBreak/>
        <w:t>equally populated, as 1-(</w:t>
      </w:r>
      <w:r w:rsidRPr="00F9084A">
        <w:rPr>
          <w:rStyle w:val="hgkelc"/>
          <w:sz w:val="18"/>
          <w:szCs w:val="18"/>
        </w:rPr>
        <w:t>Δ</w:t>
      </w:r>
      <w:r w:rsidRPr="00F9084A">
        <w:rPr>
          <w:rFonts w:eastAsia="Calibri" w:cs="Times New Roman"/>
          <w:sz w:val="18"/>
          <w:szCs w:val="18"/>
        </w:rPr>
        <w:t>E/</w:t>
      </w:r>
      <w:proofErr w:type="spellStart"/>
      <w:r w:rsidRPr="00F9084A">
        <w:rPr>
          <w:rFonts w:eastAsia="Calibri" w:cs="Times New Roman"/>
          <w:sz w:val="18"/>
          <w:szCs w:val="18"/>
        </w:rPr>
        <w:t>k</w:t>
      </w:r>
      <w:r w:rsidRPr="00F9084A">
        <w:rPr>
          <w:rFonts w:eastAsia="Calibri" w:cs="Times New Roman"/>
          <w:sz w:val="18"/>
          <w:szCs w:val="18"/>
          <w:vertAlign w:val="subscript"/>
        </w:rPr>
        <w:t>b</w:t>
      </w:r>
      <w:r w:rsidRPr="00F9084A">
        <w:rPr>
          <w:rFonts w:eastAsia="Calibri" w:cs="Times New Roman"/>
          <w:sz w:val="18"/>
          <w:szCs w:val="18"/>
        </w:rPr>
        <w:t>T</w:t>
      </w:r>
      <w:proofErr w:type="spellEnd"/>
      <w:r w:rsidRPr="00F9084A">
        <w:rPr>
          <w:rFonts w:eastAsia="Calibri" w:cs="Times New Roman"/>
          <w:sz w:val="18"/>
          <w:szCs w:val="18"/>
        </w:rPr>
        <w:t>)</w:t>
      </w:r>
      <w:r w:rsidRPr="00F9084A">
        <w:rPr>
          <w:b/>
          <w:bCs/>
          <w:sz w:val="18"/>
          <w:szCs w:val="18"/>
        </w:rPr>
        <w:t xml:space="preserve"> </w:t>
      </w:r>
      <w:r w:rsidRPr="00F9084A">
        <w:rPr>
          <w:rFonts w:eastAsia="Calibri" w:cs="Times New Roman"/>
          <w:sz w:val="18"/>
          <w:szCs w:val="18"/>
        </w:rPr>
        <w:t>≈ 0.998</w:t>
      </w:r>
      <w:r w:rsidRPr="00F61B70">
        <w:rPr>
          <w:rFonts w:eastAsia="Calibri" w:cs="Times New Roman"/>
          <w:sz w:val="18"/>
          <w:szCs w:val="18"/>
          <w:highlight w:val="yellow"/>
        </w:rPr>
        <w:t xml:space="preserve">. </w:t>
      </w:r>
      <w:r w:rsidRPr="00F61B70">
        <w:rPr>
          <w:rFonts w:eastAsia="Calibri" w:cs="Times New Roman"/>
          <w:strike/>
          <w:sz w:val="18"/>
          <w:szCs w:val="18"/>
          <w:highlight w:val="yellow"/>
        </w:rPr>
        <w:t xml:space="preserve">Assuming the Zeeman splitting proportional to </w:t>
      </w:r>
      <w:r w:rsidRPr="00F61B70">
        <w:rPr>
          <w:rFonts w:eastAsia="Calibri" w:cs="Times New Roman"/>
          <w:i/>
          <w:strike/>
          <w:sz w:val="18"/>
          <w:szCs w:val="18"/>
          <w:highlight w:val="yellow"/>
        </w:rPr>
        <w:t>M</w:t>
      </w:r>
      <w:r w:rsidRPr="00F61B70">
        <w:rPr>
          <w:rFonts w:eastAsia="Calibri" w:cs="Times New Roman"/>
          <w:strike/>
          <w:sz w:val="18"/>
          <w:szCs w:val="18"/>
          <w:highlight w:val="yellow"/>
          <w:vertAlign w:val="subscript"/>
        </w:rPr>
        <w:t>s</w:t>
      </w:r>
      <w:r w:rsidRPr="00F61B70">
        <w:rPr>
          <w:rFonts w:eastAsia="Calibri" w:cs="Times New Roman"/>
          <w:strike/>
          <w:sz w:val="18"/>
          <w:szCs w:val="18"/>
          <w:highlight w:val="yellow"/>
        </w:rPr>
        <w:t>,</w:t>
      </w:r>
      <w:r w:rsidRPr="00F61B70">
        <w:rPr>
          <w:rFonts w:eastAsia="Calibri" w:cs="Times New Roman"/>
          <w:strike/>
          <w:sz w:val="18"/>
          <w:szCs w:val="18"/>
          <w:highlight w:val="yellow"/>
        </w:rPr>
        <w:fldChar w:fldCharType="begin"/>
      </w:r>
      <w:r w:rsidR="00924348" w:rsidRPr="00F61B70">
        <w:rPr>
          <w:rFonts w:eastAsia="Calibri" w:cs="Times New Roman"/>
          <w:strike/>
          <w:sz w:val="18"/>
          <w:szCs w:val="18"/>
          <w:highlight w:val="yellow"/>
        </w:rPr>
        <w:instrText xml:space="preserve"> ADDIN ZOTERO_ITEM CSL_CITATION {"citationID":"B40REvJn","properties":{"formattedCitation":"\\super 78\\nosupersub{}","plainCitation":"78","noteIndex":0},"citationItems":[{"id":7469,"uris":["http://zotero.org/users/2011173/items/462JBFGV"],"itemData":{"id":7469,"type":"article-journal","abstract":"In this paper we present spectroscopic data clarifying the nature of the Cr3+ centers and Cr3+-related defect in the LiNbO3:Cr,Mg crystal containing an excess of Li+ ions. Apart from quite well known lines associated with the 4T2→4A2 and 2E→4A2 transitions of the Cr3+ ions, the luminescence spectrum of this crystal reveals some additional relatively narrow lines in the range of 750–860nm. We carried out high-pressure and magneto-optical measurements of the crystallographically oriented samples of this crystal at temperature of 10K. The measured spectra, decay times, pressure coefficients, and the dependence of the luminescence on high magnetic field show that the luminescence lines observed in lithium-rich LiNbO3:Cr,Mg originate from both Cr3+ ions and strongly antiferromagnetically coupled Cr3+−Cr3+ first nearest-neighbor pairs. The ground-state levels of the pairs can be described by the isotropic exchange interaction H=JS1∙S2+j(S1∙S2)2, where S1 and S2 are the total spins of each of the two chromium ions. The obtained results enabled us to determine the ground-state spin-spin exchange constants J and j as well as the excited-state zero field splitting constant D.","container-title":"Physical Review B","DOI":"10.1103/PhysRevB.76.144117","issue":"14","journalAbbreviation":"Phys. Rev. B","note":"publisher: American Physical Society","page":"144117","source":"APS","title":"High-pressure and magneto-optical studies of Cr-related defects in the lithium-rich $\\mathrm{Li}\\mathrm{Nb}{\\mathrm{O}}_{3}:\\mathrm{Cr},\\mathrm{Mg}$ crystal","title-short":"High-pressure and magneto-optical studies of Cr-related defects in the lithium-rich $\\mathrm{Li}\\mathrm{Nb}{\\mathrm{O}}_{3}","volume":"76","author":[{"family":"Kamińska","given":"A."},{"family":"Suchocki","given":"A."},{"family":"Kobyakov","given":"S."},{"family":"Arizmendi","given":"L."},{"family":"Potemski","given":"M."},{"family":"Teran","given":"F. J."}],"issued":{"date-parts":[["2007",10,30]]}}}],"schema":"https://github.com/citation-style-language/schema/raw/master/csl-citation.json"} </w:instrText>
      </w:r>
      <w:r w:rsidRPr="00F61B70">
        <w:rPr>
          <w:rFonts w:eastAsia="Calibri" w:cs="Times New Roman"/>
          <w:strike/>
          <w:sz w:val="18"/>
          <w:szCs w:val="18"/>
          <w:highlight w:val="yellow"/>
        </w:rPr>
        <w:fldChar w:fldCharType="separate"/>
      </w:r>
      <w:r w:rsidR="00924348" w:rsidRPr="00F61B70">
        <w:rPr>
          <w:rFonts w:ascii="Aptos" w:hAnsi="Aptos" w:cs="Times New Roman"/>
          <w:strike/>
          <w:sz w:val="18"/>
          <w:highlight w:val="yellow"/>
          <w:vertAlign w:val="superscript"/>
        </w:rPr>
        <w:t>78</w:t>
      </w:r>
      <w:r w:rsidRPr="00F61B70">
        <w:rPr>
          <w:rFonts w:eastAsia="Calibri" w:cs="Times New Roman"/>
          <w:strike/>
          <w:sz w:val="18"/>
          <w:szCs w:val="18"/>
          <w:highlight w:val="yellow"/>
        </w:rPr>
        <w:fldChar w:fldCharType="end"/>
      </w:r>
      <w:r w:rsidRPr="00F61B70">
        <w:rPr>
          <w:rFonts w:eastAsia="Calibri" w:cs="Times New Roman"/>
          <w:strike/>
          <w:sz w:val="18"/>
          <w:szCs w:val="18"/>
          <w:highlight w:val="yellow"/>
        </w:rPr>
        <w:t xml:space="preserve"> through the fitting, we found a</w:t>
      </w:r>
      <w:r w:rsidR="0062030A" w:rsidRPr="00F61B70">
        <w:rPr>
          <w:rFonts w:eastAsia="Calibri" w:cs="Times New Roman"/>
          <w:strike/>
          <w:sz w:val="18"/>
          <w:szCs w:val="18"/>
          <w:highlight w:val="yellow"/>
        </w:rPr>
        <w:t xml:space="preserve"> field-normalized</w:t>
      </w:r>
      <w:r w:rsidRPr="00F61B70">
        <w:rPr>
          <w:rFonts w:eastAsia="Calibri" w:cs="Times New Roman"/>
          <w:strike/>
          <w:sz w:val="18"/>
          <w:szCs w:val="18"/>
          <w:highlight w:val="yellow"/>
        </w:rPr>
        <w:t xml:space="preserve"> Zeeman splitting of 0.46 cm</w:t>
      </w:r>
      <w:r w:rsidRPr="00F61B70">
        <w:rPr>
          <w:rFonts w:eastAsia="Calibri" w:cs="Times New Roman"/>
          <w:strike/>
          <w:sz w:val="18"/>
          <w:szCs w:val="18"/>
          <w:highlight w:val="yellow"/>
          <w:vertAlign w:val="superscript"/>
        </w:rPr>
        <w:t>-1</w:t>
      </w:r>
      <w:r w:rsidRPr="00F61B70">
        <w:rPr>
          <w:rFonts w:eastAsia="Calibri" w:cs="Times New Roman"/>
          <w:strike/>
          <w:sz w:val="18"/>
          <w:szCs w:val="18"/>
          <w:highlight w:val="yellow"/>
        </w:rPr>
        <w:t>T</w:t>
      </w:r>
      <w:r w:rsidRPr="00F61B70">
        <w:rPr>
          <w:rFonts w:eastAsia="Calibri" w:cs="Times New Roman"/>
          <w:strike/>
          <w:sz w:val="18"/>
          <w:szCs w:val="18"/>
          <w:highlight w:val="yellow"/>
          <w:vertAlign w:val="superscript"/>
        </w:rPr>
        <w:t>-1</w:t>
      </w:r>
      <w:r w:rsidRPr="00F61B70">
        <w:rPr>
          <w:rFonts w:eastAsia="Calibri" w:cs="Times New Roman"/>
          <w:strike/>
          <w:sz w:val="18"/>
          <w:szCs w:val="18"/>
          <w:highlight w:val="yellow"/>
        </w:rPr>
        <w:t xml:space="preserve"> and 1.38 cm</w:t>
      </w:r>
      <w:r w:rsidRPr="00F61B70">
        <w:rPr>
          <w:rFonts w:eastAsia="Calibri" w:cs="Times New Roman"/>
          <w:strike/>
          <w:sz w:val="18"/>
          <w:szCs w:val="18"/>
          <w:highlight w:val="yellow"/>
          <w:vertAlign w:val="superscript"/>
        </w:rPr>
        <w:noBreakHyphen/>
        <w:t>1</w:t>
      </w:r>
      <w:r w:rsidRPr="00F61B70">
        <w:rPr>
          <w:rFonts w:eastAsia="Calibri" w:cs="Times New Roman"/>
          <w:strike/>
          <w:sz w:val="18"/>
          <w:szCs w:val="18"/>
          <w:highlight w:val="yellow"/>
        </w:rPr>
        <w:t> T</w:t>
      </w:r>
      <w:r w:rsidRPr="00F61B70">
        <w:rPr>
          <w:rFonts w:eastAsia="Calibri" w:cs="Times New Roman"/>
          <w:strike/>
          <w:sz w:val="18"/>
          <w:szCs w:val="18"/>
          <w:highlight w:val="yellow"/>
          <w:vertAlign w:val="superscript"/>
        </w:rPr>
        <w:t>-1</w:t>
      </w:r>
      <w:r w:rsidRPr="00F61B70">
        <w:rPr>
          <w:rFonts w:eastAsia="Calibri" w:cs="Times New Roman"/>
          <w:strike/>
          <w:sz w:val="18"/>
          <w:szCs w:val="18"/>
          <w:highlight w:val="yellow"/>
        </w:rPr>
        <w:t xml:space="preserve"> for the |1/2&gt; and |3/2&gt; states respectively</w:t>
      </w:r>
      <w:r w:rsidRPr="00F61B70">
        <w:rPr>
          <w:rFonts w:eastAsia="Calibri" w:cs="Times New Roman"/>
          <w:strike/>
          <w:sz w:val="18"/>
          <w:szCs w:val="18"/>
        </w:rPr>
        <w:t xml:space="preserve">. </w:t>
      </w:r>
      <w:r w:rsidRPr="00F9084A">
        <w:rPr>
          <w:rFonts w:eastAsia="Calibri" w:cs="Times New Roman"/>
          <w:sz w:val="18"/>
          <w:szCs w:val="18"/>
        </w:rPr>
        <w:t>Figure 4 quantitatively summarizes the</w:t>
      </w:r>
      <w:r w:rsidR="00F728C5" w:rsidRPr="00F9084A">
        <w:rPr>
          <w:rFonts w:eastAsia="Calibri" w:cs="Times New Roman"/>
          <w:sz w:val="18"/>
          <w:szCs w:val="18"/>
        </w:rPr>
        <w:t xml:space="preserve"> fine structure of the electronic</w:t>
      </w:r>
      <w:r w:rsidRPr="00F9084A">
        <w:rPr>
          <w:rFonts w:eastAsia="Calibri" w:cs="Times New Roman"/>
          <w:sz w:val="18"/>
          <w:szCs w:val="18"/>
        </w:rPr>
        <w:t xml:space="preserve"> level involved in the MCPL emission of the main band. </w:t>
      </w:r>
    </w:p>
    <w:p w14:paraId="5677509F" w14:textId="2F25F76A" w:rsidR="00C639CE" w:rsidRPr="00635789" w:rsidRDefault="00C40418" w:rsidP="00C639CE">
      <w:pPr>
        <w:jc w:val="both"/>
        <w:rPr>
          <w:noProof/>
        </w:rPr>
      </w:pPr>
      <w:r w:rsidRPr="00F9084A">
        <w:rPr>
          <w:sz w:val="18"/>
          <w:szCs w:val="18"/>
        </w:rPr>
        <w:t xml:space="preserve">To </w:t>
      </w:r>
      <w:r w:rsidR="001521F6">
        <w:rPr>
          <w:sz w:val="18"/>
          <w:szCs w:val="18"/>
        </w:rPr>
        <w:t>corroborate</w:t>
      </w:r>
      <w:r w:rsidR="001521F6" w:rsidRPr="00F9084A">
        <w:rPr>
          <w:sz w:val="18"/>
          <w:szCs w:val="18"/>
        </w:rPr>
        <w:t xml:space="preserve"> </w:t>
      </w:r>
      <w:r w:rsidRPr="00F9084A">
        <w:rPr>
          <w:sz w:val="18"/>
          <w:szCs w:val="18"/>
        </w:rPr>
        <w:t>the analysis and demonstrate the consistency of our approach, we performed magnetometry and EPR characterization. DC magnetometry, studied in the 2-300 K temperature range, confirms a quartet ground state (</w:t>
      </w:r>
      <w:r w:rsidRPr="00F9084A">
        <w:rPr>
          <w:sz w:val="18"/>
          <w:szCs w:val="18"/>
          <w:vertAlign w:val="superscript"/>
        </w:rPr>
        <w:t>4</w:t>
      </w:r>
      <w:r w:rsidRPr="00F9084A">
        <w:rPr>
          <w:sz w:val="18"/>
          <w:szCs w:val="18"/>
        </w:rPr>
        <w:t>A</w:t>
      </w:r>
      <w:r w:rsidRPr="00F9084A">
        <w:rPr>
          <w:sz w:val="18"/>
          <w:szCs w:val="18"/>
          <w:vertAlign w:val="subscript"/>
        </w:rPr>
        <w:t>2</w:t>
      </w:r>
      <w:r w:rsidRPr="00F9084A">
        <w:rPr>
          <w:sz w:val="18"/>
          <w:szCs w:val="18"/>
        </w:rPr>
        <w:t>, see supporting information and Figure S</w:t>
      </w:r>
      <w:r w:rsidR="003256E1" w:rsidRPr="00F9084A">
        <w:rPr>
          <w:sz w:val="18"/>
          <w:szCs w:val="18"/>
        </w:rPr>
        <w:t>8</w:t>
      </w:r>
      <w:r w:rsidRPr="00F9084A">
        <w:rPr>
          <w:sz w:val="18"/>
          <w:szCs w:val="18"/>
        </w:rPr>
        <w:t xml:space="preserve">). Saturation magnetization at 2 K is consistent with what expected for isolated </w:t>
      </w:r>
      <w:proofErr w:type="gramStart"/>
      <w:r w:rsidRPr="00F9084A">
        <w:rPr>
          <w:sz w:val="18"/>
          <w:szCs w:val="18"/>
        </w:rPr>
        <w:t>Cr(</w:t>
      </w:r>
      <w:proofErr w:type="gramEnd"/>
      <w:r w:rsidRPr="00F9084A">
        <w:rPr>
          <w:sz w:val="18"/>
          <w:szCs w:val="18"/>
        </w:rPr>
        <w:t xml:space="preserve">III) cations with g=2 and S=3/2. Upon cooling, the </w:t>
      </w:r>
      <w:proofErr w:type="spellStart"/>
      <w:r w:rsidRPr="00F9084A">
        <w:rPr>
          <w:sz w:val="18"/>
          <w:szCs w:val="18"/>
        </w:rPr>
        <w:t>χ</w:t>
      </w:r>
      <w:r w:rsidRPr="00F9084A">
        <w:rPr>
          <w:sz w:val="18"/>
          <w:szCs w:val="18"/>
          <w:vertAlign w:val="subscript"/>
        </w:rPr>
        <w:t>M</w:t>
      </w:r>
      <w:r w:rsidRPr="00F9084A">
        <w:rPr>
          <w:sz w:val="18"/>
          <w:szCs w:val="18"/>
        </w:rPr>
        <w:t>T</w:t>
      </w:r>
      <w:proofErr w:type="spellEnd"/>
      <w:r w:rsidRPr="00F9084A">
        <w:rPr>
          <w:sz w:val="18"/>
          <w:szCs w:val="18"/>
        </w:rPr>
        <w:t xml:space="preserve"> product remains almost constant until about 10 K and then sharply decreases to reach a value of 1.78 cm</w:t>
      </w:r>
      <w:r w:rsidRPr="00F9084A">
        <w:rPr>
          <w:sz w:val="18"/>
          <w:szCs w:val="18"/>
          <w:vertAlign w:val="superscript"/>
        </w:rPr>
        <w:t>3</w:t>
      </w:r>
      <w:r w:rsidRPr="00F9084A">
        <w:rPr>
          <w:sz w:val="18"/>
          <w:szCs w:val="18"/>
        </w:rPr>
        <w:t>mol</w:t>
      </w:r>
      <w:r w:rsidRPr="00F9084A">
        <w:rPr>
          <w:sz w:val="18"/>
          <w:szCs w:val="18"/>
          <w:vertAlign w:val="superscript"/>
        </w:rPr>
        <w:t>-1</w:t>
      </w:r>
      <w:r w:rsidRPr="00F9084A">
        <w:rPr>
          <w:sz w:val="18"/>
          <w:szCs w:val="18"/>
        </w:rPr>
        <w:t>K at 2 K. This decrease is due to the ZFS and Zeeman interactions.</w:t>
      </w:r>
      <w:r w:rsidRPr="00F9084A">
        <w:rPr>
          <w:sz w:val="18"/>
          <w:szCs w:val="18"/>
        </w:rPr>
        <w:fldChar w:fldCharType="begin"/>
      </w:r>
      <w:r w:rsidR="00924348">
        <w:rPr>
          <w:sz w:val="18"/>
          <w:szCs w:val="18"/>
        </w:rPr>
        <w:instrText xml:space="preserve"> ADDIN ZOTERO_ITEM CSL_CITATION {"citationID":"QM4FYrmS","properties":{"formattedCitation":"\\super 79\\nosupersub{}","plainCitation":"79","noteIndex":0},"citationItems":[{"id":7498,"uris":["http://zotero.org/users/2011173/items/2R4F6RQC"],"itemData":{"id":7498,"type":"article-journal","abstract":"A new program, PHI, with the ability to calculate the magnetic properties of large spin systems and complex orbitally degenerate systems, such as clusters of d-block and f-block ions, is presented. The program can intuitively fit experimental data from multiple sources, such as magnetic and spectroscopic data, simultaneously. PHI is extensively parallelized and can operate under the symmetric multiprocessing, single process multiple data, or GPU paradigms using a threaded, MPI or GPU model, respectively. For a given problem PHI is been shown to be almost 12 times faster than the well-known program MAGPACK, limited only by available hardware. © 2013 Wiley Periodicals, Inc.","container-title":"Journal of Computational Chemistry","DOI":"10.1002/jcc.23234","ISSN":"1096-987X","issue":"13","journalAbbreviation":"J. Comput. Chem.","language":"en","license":"Copyright © 2013 Wiley Periodicals, Inc.","note":"_eprint: https://onlinelibrary.wiley.com/doi/pdf/10.1002/jcc.23234","page":"1164-1175","source":"Wiley Online Library","title":"PHI: A powerful new program for the analysis of anisotropic monomeric and exchange-coupled polynuclear d- and f-block complexes","title-short":"PHI","volume":"34","author":[{"family":"Chilton","given":"Nicholas F."},{"family":"Anderson","given":"Russell P."},{"family":"Turner","given":"Lincoln D."},{"family":"Soncini","given":"Alessandro"},{"family":"Murray","given":"Keith S."}],"issued":{"date-parts":[["2013"]]}}}],"schema":"https://github.com/citation-style-language/schema/raw/master/csl-citation.json"} </w:instrText>
      </w:r>
      <w:r w:rsidRPr="00F9084A">
        <w:rPr>
          <w:sz w:val="18"/>
          <w:szCs w:val="18"/>
        </w:rPr>
        <w:fldChar w:fldCharType="separate"/>
      </w:r>
      <w:r w:rsidR="00924348" w:rsidRPr="00924348">
        <w:rPr>
          <w:rFonts w:ascii="Calibri" w:hAnsi="Calibri" w:cs="Calibri"/>
          <w:sz w:val="18"/>
          <w:vertAlign w:val="superscript"/>
        </w:rPr>
        <w:t>79</w:t>
      </w:r>
      <w:r w:rsidRPr="00F9084A">
        <w:rPr>
          <w:sz w:val="18"/>
          <w:szCs w:val="18"/>
        </w:rPr>
        <w:fldChar w:fldCharType="end"/>
      </w:r>
      <w:r w:rsidR="00635789" w:rsidRPr="00635789">
        <w:rPr>
          <w:noProof/>
        </w:rPr>
        <w:drawing>
          <wp:inline distT="0" distB="0" distL="0" distR="0" wp14:anchorId="0E23CD4D" wp14:editId="5C7DAC12">
            <wp:extent cx="3168015" cy="2921000"/>
            <wp:effectExtent l="0" t="0" r="0" b="0"/>
            <wp:docPr id="1650748402" name="Immagine 1" descr="Immagine che contiene testo, diagramma, line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748402" name="Immagine 1" descr="Immagine che contiene testo, diagramma, linea, Parallelo&#10;&#10;Descrizione generata automaticamente"/>
                    <pic:cNvPicPr/>
                  </pic:nvPicPr>
                  <pic:blipFill>
                    <a:blip r:embed="rId24"/>
                    <a:stretch>
                      <a:fillRect/>
                    </a:stretch>
                  </pic:blipFill>
                  <pic:spPr>
                    <a:xfrm>
                      <a:off x="0" y="0"/>
                      <a:ext cx="3168015" cy="2921000"/>
                    </a:xfrm>
                    <a:prstGeom prst="rect">
                      <a:avLst/>
                    </a:prstGeom>
                  </pic:spPr>
                </pic:pic>
              </a:graphicData>
            </a:graphic>
          </wp:inline>
        </w:drawing>
      </w:r>
      <w:r w:rsidR="00C639CE" w:rsidRPr="00F9084A">
        <w:rPr>
          <w:rFonts w:eastAsia="Calibri" w:cs="Times New Roman"/>
          <w:b/>
          <w:bCs/>
          <w:sz w:val="18"/>
          <w:szCs w:val="18"/>
        </w:rPr>
        <w:t>Figure 4.</w:t>
      </w:r>
      <w:r w:rsidR="00C639CE" w:rsidRPr="00F9084A">
        <w:rPr>
          <w:rFonts w:eastAsia="Calibri" w:cs="Times New Roman"/>
          <w:sz w:val="18"/>
          <w:szCs w:val="18"/>
        </w:rPr>
        <w:t xml:space="preserve"> ZFS</w:t>
      </w:r>
      <w:r w:rsidR="005A42D4">
        <w:rPr>
          <w:rFonts w:eastAsia="Calibri" w:cs="Times New Roman"/>
          <w:sz w:val="18"/>
          <w:szCs w:val="18"/>
        </w:rPr>
        <w:t>-</w:t>
      </w:r>
      <w:r w:rsidR="00C639CE" w:rsidRPr="00F9084A">
        <w:rPr>
          <w:rFonts w:eastAsia="Calibri" w:cs="Times New Roman"/>
          <w:sz w:val="18"/>
          <w:szCs w:val="18"/>
        </w:rPr>
        <w:t xml:space="preserve"> and</w:t>
      </w:r>
      <w:r w:rsidR="002B5BC9" w:rsidRPr="00F9084A">
        <w:rPr>
          <w:rFonts w:eastAsia="Calibri" w:cs="Times New Roman"/>
          <w:sz w:val="18"/>
          <w:szCs w:val="18"/>
        </w:rPr>
        <w:t xml:space="preserve"> </w:t>
      </w:r>
      <w:r w:rsidR="006C3EE1" w:rsidRPr="006C3EE1">
        <w:rPr>
          <w:rFonts w:eastAsia="Calibri" w:cs="Times New Roman"/>
          <w:strike/>
          <w:sz w:val="18"/>
          <w:szCs w:val="18"/>
          <w:highlight w:val="yellow"/>
        </w:rPr>
        <w:t>field-normalized</w:t>
      </w:r>
      <w:r w:rsidR="006C3EE1">
        <w:rPr>
          <w:rFonts w:eastAsia="Calibri" w:cs="Times New Roman"/>
          <w:sz w:val="18"/>
          <w:szCs w:val="18"/>
        </w:rPr>
        <w:t xml:space="preserve"> </w:t>
      </w:r>
      <w:r w:rsidR="00C639CE" w:rsidRPr="00F9084A">
        <w:rPr>
          <w:rFonts w:eastAsia="Calibri" w:cs="Times New Roman"/>
          <w:sz w:val="18"/>
          <w:szCs w:val="18"/>
        </w:rPr>
        <w:t>Zeeman</w:t>
      </w:r>
      <w:r w:rsidR="005A42D4">
        <w:rPr>
          <w:rFonts w:eastAsia="Calibri" w:cs="Times New Roman"/>
          <w:sz w:val="18"/>
          <w:szCs w:val="18"/>
        </w:rPr>
        <w:t>-split</w:t>
      </w:r>
      <w:r w:rsidR="00C639CE" w:rsidRPr="00F9084A">
        <w:rPr>
          <w:rFonts w:eastAsia="Calibri" w:cs="Times New Roman"/>
          <w:sz w:val="18"/>
          <w:szCs w:val="18"/>
        </w:rPr>
        <w:t xml:space="preserve"> levels </w:t>
      </w:r>
      <w:r w:rsidR="006C3EE1" w:rsidRPr="006C3EE1">
        <w:rPr>
          <w:rFonts w:eastAsia="Calibri" w:cs="Times New Roman"/>
          <w:sz w:val="18"/>
          <w:szCs w:val="18"/>
          <w:highlight w:val="yellow"/>
        </w:rPr>
        <w:t>at 0.4 T</w:t>
      </w:r>
      <w:r w:rsidR="006C3EE1">
        <w:rPr>
          <w:rFonts w:eastAsia="Calibri" w:cs="Times New Roman"/>
          <w:sz w:val="18"/>
          <w:szCs w:val="18"/>
        </w:rPr>
        <w:t xml:space="preserve"> </w:t>
      </w:r>
      <w:r w:rsidR="00C639CE" w:rsidRPr="00F9084A">
        <w:rPr>
          <w:rFonts w:eastAsia="Calibri" w:cs="Times New Roman"/>
          <w:sz w:val="18"/>
          <w:szCs w:val="18"/>
        </w:rPr>
        <w:t xml:space="preserve">corresponding to the main MCPL bands. The </w:t>
      </w:r>
      <w:r w:rsidR="00FE61BD" w:rsidRPr="00F9084A">
        <w:rPr>
          <w:rFonts w:eastAsia="Calibri" w:cs="Times New Roman"/>
          <w:sz w:val="18"/>
          <w:szCs w:val="18"/>
        </w:rPr>
        <w:t xml:space="preserve">MCPL </w:t>
      </w:r>
      <w:r w:rsidR="00C639CE" w:rsidRPr="00F9084A">
        <w:rPr>
          <w:rFonts w:eastAsia="Calibri" w:cs="Times New Roman"/>
          <w:sz w:val="18"/>
          <w:szCs w:val="18"/>
        </w:rPr>
        <w:t xml:space="preserve">transitions </w:t>
      </w:r>
      <w:r w:rsidR="00C639CE" w:rsidRPr="00F9084A">
        <w:rPr>
          <w:sz w:val="18"/>
          <w:szCs w:val="18"/>
        </w:rPr>
        <w:t>are represented by the dotted arrows along with the expected sign.</w:t>
      </w:r>
      <w:r w:rsidR="00647AF3" w:rsidRPr="00F9084A">
        <w:rPr>
          <w:sz w:val="18"/>
          <w:szCs w:val="18"/>
        </w:rPr>
        <w:t xml:space="preserve"> </w:t>
      </w:r>
      <w:r w:rsidR="00F14113" w:rsidRPr="00F9084A">
        <w:rPr>
          <w:sz w:val="18"/>
          <w:szCs w:val="18"/>
        </w:rPr>
        <w:t xml:space="preserve">The </w:t>
      </w:r>
      <w:r w:rsidR="00647AF3" w:rsidRPr="00F9084A">
        <w:rPr>
          <w:sz w:val="18"/>
          <w:szCs w:val="18"/>
        </w:rPr>
        <w:t xml:space="preserve">+ and – </w:t>
      </w:r>
      <w:r w:rsidR="00F14113" w:rsidRPr="00F9084A">
        <w:rPr>
          <w:sz w:val="18"/>
          <w:szCs w:val="18"/>
        </w:rPr>
        <w:t xml:space="preserve">symbols </w:t>
      </w:r>
      <w:r w:rsidR="00647AF3" w:rsidRPr="00F9084A">
        <w:rPr>
          <w:sz w:val="18"/>
          <w:szCs w:val="18"/>
        </w:rPr>
        <w:t xml:space="preserve">indicate </w:t>
      </w:r>
      <w:r w:rsidR="00F14113" w:rsidRPr="00F9084A">
        <w:rPr>
          <w:sz w:val="18"/>
          <w:szCs w:val="18"/>
        </w:rPr>
        <w:t>left</w:t>
      </w:r>
      <w:r w:rsidR="00647AF3" w:rsidRPr="00F9084A">
        <w:rPr>
          <w:sz w:val="18"/>
          <w:szCs w:val="18"/>
        </w:rPr>
        <w:t xml:space="preserve"> and </w:t>
      </w:r>
      <w:r w:rsidR="00F14113" w:rsidRPr="00F9084A">
        <w:rPr>
          <w:sz w:val="18"/>
          <w:szCs w:val="18"/>
        </w:rPr>
        <w:t>right</w:t>
      </w:r>
      <w:r w:rsidR="00647AF3" w:rsidRPr="00F9084A">
        <w:rPr>
          <w:sz w:val="18"/>
          <w:szCs w:val="18"/>
        </w:rPr>
        <w:t xml:space="preserve"> circularly polarized emissive transitions respectively.</w:t>
      </w:r>
      <w:r w:rsidR="00832D4E">
        <w:rPr>
          <w:sz w:val="18"/>
          <w:szCs w:val="18"/>
        </w:rPr>
        <w:t xml:space="preserve"> </w:t>
      </w:r>
      <w:r w:rsidR="00832D4E" w:rsidRPr="00832D4E">
        <w:rPr>
          <w:sz w:val="18"/>
          <w:szCs w:val="18"/>
          <w:highlight w:val="yellow"/>
        </w:rPr>
        <w:t xml:space="preserve">The energies of ground state sublevels </w:t>
      </w:r>
      <w:r w:rsidR="00FC769A">
        <w:rPr>
          <w:sz w:val="18"/>
          <w:szCs w:val="18"/>
          <w:highlight w:val="yellow"/>
        </w:rPr>
        <w:t xml:space="preserve">(for </w:t>
      </w:r>
      <w:r w:rsidR="00FC769A" w:rsidRPr="00D7755B">
        <w:rPr>
          <w:rFonts w:cstheme="minorHAnsi"/>
          <w:sz w:val="18"/>
          <w:szCs w:val="18"/>
          <w:highlight w:val="yellow"/>
          <w:lang w:val="en-US"/>
        </w:rPr>
        <w:t>B</w:t>
      </w:r>
      <w:r w:rsidR="00FC769A" w:rsidRPr="00D7755B">
        <w:rPr>
          <w:rFonts w:cstheme="minorHAnsi"/>
          <w:sz w:val="18"/>
          <w:szCs w:val="18"/>
          <w:highlight w:val="yellow"/>
          <w:vertAlign w:val="subscript"/>
          <w:lang w:val="en-US"/>
        </w:rPr>
        <w:t>0 </w:t>
      </w:r>
      <w:r w:rsidR="00FC769A" w:rsidRPr="00D7755B">
        <w:rPr>
          <w:rFonts w:ascii="Cambria Math" w:eastAsia="Aptos" w:hAnsi="Cambria Math" w:cs="Cambria Math"/>
          <w:kern w:val="2"/>
          <w:sz w:val="18"/>
          <w:szCs w:val="18"/>
          <w:highlight w:val="yellow"/>
          <w:lang w:val="en-US"/>
          <w14:ligatures w14:val="standardContextual"/>
        </w:rPr>
        <w:t>∥</w:t>
      </w:r>
      <w:r w:rsidR="00FC769A" w:rsidRPr="00D7755B">
        <w:rPr>
          <w:rFonts w:cstheme="minorHAnsi"/>
          <w:sz w:val="18"/>
          <w:szCs w:val="18"/>
          <w:highlight w:val="yellow"/>
          <w:lang w:val="en-US"/>
        </w:rPr>
        <w:t> </w:t>
      </w:r>
      <w:r w:rsidR="00FC769A" w:rsidRPr="00FC769A">
        <w:rPr>
          <w:rFonts w:cstheme="minorHAnsi"/>
          <w:i/>
          <w:iCs/>
          <w:sz w:val="18"/>
          <w:szCs w:val="18"/>
          <w:highlight w:val="yellow"/>
          <w:lang w:val="en-US"/>
        </w:rPr>
        <w:t>z</w:t>
      </w:r>
      <w:r w:rsidR="00FC769A">
        <w:rPr>
          <w:sz w:val="18"/>
          <w:szCs w:val="18"/>
          <w:highlight w:val="yellow"/>
        </w:rPr>
        <w:t xml:space="preserve">) </w:t>
      </w:r>
      <w:r w:rsidR="00832D4E" w:rsidRPr="00832D4E">
        <w:rPr>
          <w:sz w:val="18"/>
          <w:szCs w:val="18"/>
          <w:highlight w:val="yellow"/>
        </w:rPr>
        <w:t>are obtained through HFEPR analysis</w:t>
      </w:r>
      <w:r w:rsidR="00C3007F">
        <w:rPr>
          <w:sz w:val="18"/>
          <w:szCs w:val="18"/>
          <w:highlight w:val="yellow"/>
        </w:rPr>
        <w:t xml:space="preserve"> (see </w:t>
      </w:r>
      <w:r w:rsidR="002759E7">
        <w:rPr>
          <w:sz w:val="18"/>
          <w:szCs w:val="18"/>
          <w:highlight w:val="yellow"/>
        </w:rPr>
        <w:t>Figure 5 and Table S3</w:t>
      </w:r>
      <w:r w:rsidR="00C3007F">
        <w:rPr>
          <w:sz w:val="18"/>
          <w:szCs w:val="18"/>
          <w:highlight w:val="yellow"/>
        </w:rPr>
        <w:t>)</w:t>
      </w:r>
      <w:r w:rsidR="00A9500A" w:rsidRPr="00A9500A">
        <w:rPr>
          <w:sz w:val="18"/>
          <w:szCs w:val="18"/>
          <w:highlight w:val="yellow"/>
        </w:rPr>
        <w:t>.</w:t>
      </w:r>
      <w:r w:rsidR="003F6A1C">
        <w:rPr>
          <w:sz w:val="18"/>
          <w:szCs w:val="18"/>
          <w:highlight w:val="yellow"/>
        </w:rPr>
        <w:t xml:space="preserve"> As</w:t>
      </w:r>
      <w:r w:rsidR="00A9500A" w:rsidRPr="00A9500A">
        <w:rPr>
          <w:sz w:val="18"/>
          <w:szCs w:val="18"/>
          <w:highlight w:val="yellow"/>
        </w:rPr>
        <w:t xml:space="preserve"> </w:t>
      </w:r>
      <w:r w:rsidR="003F6A1C" w:rsidRPr="00A9500A">
        <w:rPr>
          <w:sz w:val="18"/>
          <w:szCs w:val="18"/>
          <w:highlight w:val="yellow"/>
        </w:rPr>
        <w:t>considerable mixing occurs (see Table S</w:t>
      </w:r>
      <w:r w:rsidR="003E7C96">
        <w:rPr>
          <w:sz w:val="18"/>
          <w:szCs w:val="18"/>
          <w:highlight w:val="yellow"/>
        </w:rPr>
        <w:t>3</w:t>
      </w:r>
      <w:r w:rsidR="003F6A1C" w:rsidRPr="00170A63">
        <w:rPr>
          <w:sz w:val="18"/>
          <w:szCs w:val="18"/>
          <w:highlight w:val="yellow"/>
        </w:rPr>
        <w:t>)</w:t>
      </w:r>
      <w:r w:rsidR="003F6A1C">
        <w:rPr>
          <w:sz w:val="18"/>
          <w:szCs w:val="18"/>
          <w:highlight w:val="yellow"/>
        </w:rPr>
        <w:t>, t</w:t>
      </w:r>
      <w:r w:rsidR="00A9500A" w:rsidRPr="00A9500A">
        <w:rPr>
          <w:sz w:val="18"/>
          <w:szCs w:val="18"/>
          <w:highlight w:val="yellow"/>
        </w:rPr>
        <w:t>he predominant</w:t>
      </w:r>
      <w:r w:rsidR="00FF67E8">
        <w:rPr>
          <w:sz w:val="18"/>
          <w:szCs w:val="18"/>
          <w:highlight w:val="yellow"/>
        </w:rPr>
        <w:t xml:space="preserve"> character of the</w:t>
      </w:r>
      <w:r w:rsidR="00A9500A" w:rsidRPr="00A9500A">
        <w:rPr>
          <w:sz w:val="18"/>
          <w:szCs w:val="18"/>
          <w:highlight w:val="yellow"/>
        </w:rPr>
        <w:t xml:space="preserve"> </w:t>
      </w:r>
      <w:r w:rsidR="00A9500A" w:rsidRPr="00CA1D6E">
        <w:rPr>
          <w:i/>
          <w:iCs/>
          <w:sz w:val="18"/>
          <w:szCs w:val="18"/>
          <w:highlight w:val="yellow"/>
        </w:rPr>
        <w:t>M</w:t>
      </w:r>
      <w:r w:rsidR="00A9500A" w:rsidRPr="00A9500A">
        <w:rPr>
          <w:sz w:val="18"/>
          <w:szCs w:val="18"/>
          <w:highlight w:val="yellow"/>
        </w:rPr>
        <w:t>s state is indicated</w:t>
      </w:r>
      <w:r w:rsidR="003F6A1C">
        <w:rPr>
          <w:sz w:val="18"/>
          <w:szCs w:val="18"/>
          <w:highlight w:val="yellow"/>
        </w:rPr>
        <w:t xml:space="preserve"> by a </w:t>
      </w:r>
      <m:oMath>
        <m:r>
          <m:rPr>
            <m:sty m:val="b"/>
          </m:rPr>
          <w:rPr>
            <w:rFonts w:ascii="Cambria Math" w:hAnsi="Cambria Math"/>
            <w:sz w:val="18"/>
            <w:szCs w:val="18"/>
            <w:highlight w:val="yellow"/>
          </w:rPr>
          <m:t>~</m:t>
        </m:r>
      </m:oMath>
      <w:r w:rsidR="003F6A1C" w:rsidRPr="003F6A1C">
        <w:rPr>
          <w:sz w:val="18"/>
          <w:szCs w:val="18"/>
          <w:highlight w:val="yellow"/>
        </w:rPr>
        <w:t xml:space="preserve"> </w:t>
      </w:r>
      <w:r w:rsidR="00BD1D41">
        <w:rPr>
          <w:sz w:val="18"/>
          <w:szCs w:val="18"/>
          <w:highlight w:val="yellow"/>
        </w:rPr>
        <w:t>symbol</w:t>
      </w:r>
      <w:r w:rsidR="003F6A1C">
        <w:rPr>
          <w:sz w:val="18"/>
          <w:szCs w:val="18"/>
          <w:highlight w:val="yellow"/>
        </w:rPr>
        <w:t>.</w:t>
      </w:r>
      <w:r w:rsidR="00170A63">
        <w:rPr>
          <w:sz w:val="18"/>
          <w:szCs w:val="18"/>
          <w:highlight w:val="yellow"/>
        </w:rPr>
        <w:t xml:space="preserve"> </w:t>
      </w:r>
      <w:r w:rsidR="003F6A1C">
        <w:rPr>
          <w:sz w:val="18"/>
          <w:szCs w:val="18"/>
          <w:highlight w:val="yellow"/>
        </w:rPr>
        <w:t>P</w:t>
      </w:r>
      <w:r w:rsidR="00170A63" w:rsidRPr="00170A63">
        <w:rPr>
          <w:sz w:val="18"/>
          <w:szCs w:val="18"/>
          <w:highlight w:val="yellow"/>
        </w:rPr>
        <w:t>urple colour indicates strongly mixed states.</w:t>
      </w:r>
    </w:p>
    <w:p w14:paraId="23DEDA3F" w14:textId="60E49E97" w:rsidR="000E4F17" w:rsidRPr="00F9084A" w:rsidRDefault="002E12A9" w:rsidP="000E4F17">
      <w:pPr>
        <w:jc w:val="both"/>
        <w:rPr>
          <w:sz w:val="18"/>
          <w:szCs w:val="18"/>
        </w:rPr>
      </w:pPr>
      <w:r w:rsidRPr="00F9084A">
        <w:rPr>
          <w:sz w:val="18"/>
          <w:szCs w:val="18"/>
        </w:rPr>
        <w:t>T</w:t>
      </w:r>
      <w:r w:rsidR="000E4F17" w:rsidRPr="00F9084A">
        <w:rPr>
          <w:sz w:val="18"/>
          <w:szCs w:val="18"/>
        </w:rPr>
        <w:t xml:space="preserve">o confirm the determined </w:t>
      </w:r>
      <w:r w:rsidR="000E4F17" w:rsidRPr="00F9084A">
        <w:rPr>
          <w:i/>
          <w:iCs/>
          <w:sz w:val="18"/>
          <w:szCs w:val="18"/>
        </w:rPr>
        <w:t>D</w:t>
      </w:r>
      <w:r w:rsidR="000E4F17" w:rsidRPr="00F9084A">
        <w:rPr>
          <w:sz w:val="18"/>
          <w:szCs w:val="18"/>
        </w:rPr>
        <w:t xml:space="preserve"> and </w:t>
      </w:r>
      <w:r w:rsidR="000E4F17" w:rsidRPr="00F9084A">
        <w:rPr>
          <w:i/>
          <w:iCs/>
          <w:sz w:val="18"/>
          <w:szCs w:val="18"/>
        </w:rPr>
        <w:t>E</w:t>
      </w:r>
      <w:r w:rsidR="000E4F17" w:rsidRPr="00F9084A">
        <w:rPr>
          <w:sz w:val="18"/>
          <w:szCs w:val="18"/>
        </w:rPr>
        <w:t xml:space="preserve"> values from MCD measurements, the Cr(III) compound</w:t>
      </w:r>
      <w:r w:rsidR="000E4F17" w:rsidRPr="00F9084A">
        <w:rPr>
          <w:b/>
          <w:bCs/>
          <w:sz w:val="18"/>
          <w:szCs w:val="18"/>
        </w:rPr>
        <w:t xml:space="preserve"> </w:t>
      </w:r>
      <w:r w:rsidR="000E4F17" w:rsidRPr="00F9084A">
        <w:rPr>
          <w:sz w:val="18"/>
          <w:szCs w:val="18"/>
        </w:rPr>
        <w:t>was studied HFEPR spectroscopy.</w:t>
      </w:r>
      <w:r w:rsidR="00095FFC">
        <w:rPr>
          <w:sz w:val="18"/>
          <w:szCs w:val="18"/>
        </w:rPr>
        <w:fldChar w:fldCharType="begin"/>
      </w:r>
      <w:r w:rsidR="00095FFC">
        <w:rPr>
          <w:sz w:val="18"/>
          <w:szCs w:val="18"/>
        </w:rPr>
        <w:instrText xml:space="preserve"> ADDIN ZOTERO_ITEM CSL_CITATION {"citationID":"h6flhecU","properties":{"formattedCitation":"\\super 80\\nosupersub{}","plainCitation":"80","noteIndex":0},"citationItems":[{"id":7465,"uris":["http://zotero.org/users/2011173/items/S6FMX93K"],"itemData":{"id":7465,"type":"article-journal","abstract":"Electron paramagnetic resonance at multiple, high frequencies (95–700GHz) and at correspondingly high magnetic fields (up to 25T), known as HFEPR, is a relatively new technique. There have been an increasing number of applications of HFEPR, such as in organic radical chemistry and in materials science. The focus of this review, however, is on the application of HFEPR to transition metal coordination chemistry, in particular to mononuclear complexes, as opposed to clusters that are relevant to single-molecule magnets. There are many complexes of paramagnetic transition metal ions for which conventional EPR (fields below 2T, frequencies not exceeding 35GHz) is less than ideal. Primarily, such systems are high-spin (i.e., S&gt;1/2), wherein the effects of zero-field splitting can make the complex either “EPR-silent” using conventional EPR, or make the EPR spectrum not particularly informative. Examples of the former are many integer-spin (non-Kramers) ions such as Mn(III) and Fe(II), while the latter case is exemplified by high-spin Fe(III). We will review here the use of HFEPR to study high-spin transition metal complexes, generally of the first row. For half-integer high-spin systems, we will review only those where the large magnitude of zero-field splitting necessitates the use of HFEPR. We will generally not discuss systems in which the zero-field splitting is in most cases very small and conventional EPR is extensively employed. The experimental and analytical methods for the accurate determination of zero-field splitting and other spin Hamiltonian parameters from HFEPR studies of these systems will be described. Comparison with other physical methods such as magnetometry, magnetic circular dichroism (MCD), and Mössbauer effect spectroscopy will also be made. We will further give selected examples how ligand-field theory can be used to provide information on chemical bonding and geometry, based on analysis of the spin Hamiltonian parameters well established by HFEPR.","collection-title":"20th International Conference on Coordination and Bioinorganic Chemistry","container-title":"Coordination Chemistry Reviews","DOI":"10.1016/j.ccr.2006.03.016","ISSN":"0010-8545","issue":"17","journalAbbreviation":"Coord. Chem. Rev.","page":"2308-2324","source":"ScienceDirect","title":"Multi-frequency, high-field EPR as a powerful tool to accurately determine zero-field splitting in high-spin transition metal coordination complexes","volume":"250","author":[{"family":"Krzystek","given":"J."},{"family":"Ozarowski","given":"Andrew"},{"family":"Telser","given":"Joshua"}],"issued":{"date-parts":[["2006",9,1]]}}}],"schema":"https://github.com/citation-style-language/schema/raw/master/csl-citation.json"} </w:instrText>
      </w:r>
      <w:r w:rsidR="00095FFC">
        <w:rPr>
          <w:sz w:val="18"/>
          <w:szCs w:val="18"/>
        </w:rPr>
        <w:fldChar w:fldCharType="separate"/>
      </w:r>
      <w:r w:rsidR="00095FFC" w:rsidRPr="00095FFC">
        <w:rPr>
          <w:rFonts w:ascii="Calibri" w:hAnsi="Calibri" w:cs="Calibri"/>
          <w:sz w:val="18"/>
          <w:vertAlign w:val="superscript"/>
        </w:rPr>
        <w:t>80</w:t>
      </w:r>
      <w:r w:rsidR="00095FFC">
        <w:rPr>
          <w:sz w:val="18"/>
          <w:szCs w:val="18"/>
        </w:rPr>
        <w:fldChar w:fldCharType="end"/>
      </w:r>
      <w:r w:rsidR="000E4F17" w:rsidRPr="00F9084A">
        <w:rPr>
          <w:sz w:val="18"/>
          <w:szCs w:val="18"/>
        </w:rPr>
        <w:t xml:space="preserve"> The shape and amplitude of the low-temperature (</w:t>
      </w:r>
      <w:r w:rsidR="00CE2C13">
        <w:rPr>
          <w:sz w:val="18"/>
          <w:szCs w:val="18"/>
        </w:rPr>
        <w:t>3</w:t>
      </w:r>
      <w:r w:rsidR="00CE2C13" w:rsidRPr="00F9084A">
        <w:rPr>
          <w:sz w:val="18"/>
          <w:szCs w:val="18"/>
        </w:rPr>
        <w:t xml:space="preserve">0 </w:t>
      </w:r>
      <w:r w:rsidR="000E4F17" w:rsidRPr="00F9084A">
        <w:rPr>
          <w:sz w:val="18"/>
          <w:szCs w:val="18"/>
        </w:rPr>
        <w:t xml:space="preserve">K) spectra of the </w:t>
      </w:r>
      <w:r w:rsidR="00CF40CC">
        <w:rPr>
          <w:sz w:val="18"/>
          <w:szCs w:val="18"/>
        </w:rPr>
        <w:t xml:space="preserve">powder </w:t>
      </w:r>
      <w:r w:rsidR="000E4F17" w:rsidRPr="00F9084A">
        <w:rPr>
          <w:sz w:val="18"/>
          <w:szCs w:val="18"/>
        </w:rPr>
        <w:t xml:space="preserve">sample “as is” (i.e. unconstrained) strongly suggested field-induced alignment (i.e. torquing) of the crystallites. Indeed, the resulting spectra could be very well simulated as originating from a single crystal oriented with the </w:t>
      </w:r>
      <w:r w:rsidR="000E4F17" w:rsidRPr="00F9084A">
        <w:rPr>
          <w:i/>
          <w:iCs/>
          <w:sz w:val="18"/>
          <w:szCs w:val="18"/>
        </w:rPr>
        <w:t>z</w:t>
      </w:r>
      <w:r w:rsidR="000E4F17" w:rsidRPr="00F9084A">
        <w:rPr>
          <w:sz w:val="18"/>
          <w:szCs w:val="18"/>
        </w:rPr>
        <w:t xml:space="preserve">-axis of the ZFS tensor parallel to the magnetic field </w:t>
      </w:r>
      <w:r w:rsidR="000E4F17" w:rsidRPr="00F9084A">
        <w:rPr>
          <w:i/>
          <w:iCs/>
          <w:sz w:val="18"/>
          <w:szCs w:val="18"/>
        </w:rPr>
        <w:t>B</w:t>
      </w:r>
      <w:r w:rsidR="000E4F17" w:rsidRPr="00CA1D6E">
        <w:rPr>
          <w:sz w:val="18"/>
          <w:szCs w:val="18"/>
          <w:vertAlign w:val="subscript"/>
        </w:rPr>
        <w:t>0</w:t>
      </w:r>
      <w:r w:rsidR="000E4F17" w:rsidRPr="00F9084A">
        <w:rPr>
          <w:sz w:val="18"/>
          <w:szCs w:val="18"/>
        </w:rPr>
        <w:t xml:space="preserve"> (Figure </w:t>
      </w:r>
      <w:r w:rsidR="00E20A32" w:rsidRPr="00F9084A">
        <w:rPr>
          <w:sz w:val="18"/>
          <w:szCs w:val="18"/>
        </w:rPr>
        <w:t>5</w:t>
      </w:r>
      <w:r w:rsidR="000E4F17" w:rsidRPr="00F9084A">
        <w:rPr>
          <w:sz w:val="18"/>
          <w:szCs w:val="18"/>
        </w:rPr>
        <w:t>).</w:t>
      </w:r>
      <w:r w:rsidR="00E20A32" w:rsidRPr="00F9084A">
        <w:rPr>
          <w:sz w:val="18"/>
          <w:szCs w:val="18"/>
        </w:rPr>
        <w:t xml:space="preserve"> At 270 GHz,</w:t>
      </w:r>
      <w:r w:rsidR="000E4F17" w:rsidRPr="00F9084A">
        <w:rPr>
          <w:sz w:val="18"/>
          <w:szCs w:val="18"/>
        </w:rPr>
        <w:t xml:space="preserve"> </w:t>
      </w:r>
      <w:r w:rsidR="00571CC0">
        <w:rPr>
          <w:sz w:val="18"/>
          <w:szCs w:val="18"/>
        </w:rPr>
        <w:t>t</w:t>
      </w:r>
      <w:r w:rsidR="000E4F17" w:rsidRPr="00F9084A">
        <w:rPr>
          <w:sz w:val="18"/>
          <w:szCs w:val="18"/>
        </w:rPr>
        <w:t>he three dominating peaks between 8 and 12 T represent the allowed Δ</w:t>
      </w:r>
      <w:r w:rsidR="000E4F17" w:rsidRPr="00F9084A">
        <w:rPr>
          <w:i/>
          <w:sz w:val="18"/>
          <w:szCs w:val="18"/>
        </w:rPr>
        <w:t>M</w:t>
      </w:r>
      <w:r w:rsidR="000E4F17" w:rsidRPr="00F9084A">
        <w:rPr>
          <w:sz w:val="18"/>
          <w:szCs w:val="18"/>
          <w:vertAlign w:val="subscript"/>
        </w:rPr>
        <w:t>S</w:t>
      </w:r>
      <w:r w:rsidR="000E4F17" w:rsidRPr="00F9084A">
        <w:rPr>
          <w:sz w:val="18"/>
          <w:szCs w:val="18"/>
        </w:rPr>
        <w:t xml:space="preserve"> = ±1 transitions between the spin sublevels of the </w:t>
      </w:r>
      <w:r w:rsidR="000E4F17" w:rsidRPr="00F9084A">
        <w:rPr>
          <w:i/>
          <w:iCs/>
          <w:sz w:val="18"/>
          <w:szCs w:val="18"/>
        </w:rPr>
        <w:t xml:space="preserve">S </w:t>
      </w:r>
      <w:r w:rsidR="000E4F17" w:rsidRPr="00F9084A">
        <w:rPr>
          <w:sz w:val="18"/>
          <w:szCs w:val="18"/>
        </w:rPr>
        <w:t xml:space="preserve">= 3/2 spin state of </w:t>
      </w:r>
      <w:proofErr w:type="gramStart"/>
      <w:r w:rsidR="000E4F17" w:rsidRPr="00F9084A">
        <w:rPr>
          <w:sz w:val="18"/>
          <w:szCs w:val="18"/>
        </w:rPr>
        <w:t>Cr</w:t>
      </w:r>
      <w:r w:rsidR="00CE2C13">
        <w:rPr>
          <w:sz w:val="18"/>
          <w:szCs w:val="18"/>
        </w:rPr>
        <w:t>(</w:t>
      </w:r>
      <w:proofErr w:type="gramEnd"/>
      <w:r w:rsidR="000E4F17" w:rsidRPr="00CA1D6E">
        <w:rPr>
          <w:sz w:val="18"/>
          <w:szCs w:val="18"/>
        </w:rPr>
        <w:t>III</w:t>
      </w:r>
      <w:r w:rsidR="00CE2C13" w:rsidRPr="00CA1D6E">
        <w:rPr>
          <w:sz w:val="18"/>
          <w:szCs w:val="18"/>
        </w:rPr>
        <w:t>)</w:t>
      </w:r>
      <w:r w:rsidR="000E4F17" w:rsidRPr="00F9084A">
        <w:rPr>
          <w:sz w:val="18"/>
          <w:szCs w:val="18"/>
        </w:rPr>
        <w:t xml:space="preserve">. </w:t>
      </w:r>
      <w:r w:rsidR="00E20A32" w:rsidRPr="00F9084A">
        <w:rPr>
          <w:sz w:val="18"/>
          <w:szCs w:val="18"/>
        </w:rPr>
        <w:t>The weak peaks in the 3 – 6 T range are the nominally forbidden Δ</w:t>
      </w:r>
      <w:r w:rsidR="00E20A32" w:rsidRPr="00CA1D6E">
        <w:rPr>
          <w:i/>
          <w:iCs/>
          <w:sz w:val="18"/>
          <w:szCs w:val="18"/>
        </w:rPr>
        <w:t>M</w:t>
      </w:r>
      <w:r w:rsidR="00E20A32" w:rsidRPr="00F9084A">
        <w:rPr>
          <w:sz w:val="18"/>
          <w:szCs w:val="18"/>
          <w:vertAlign w:val="subscript"/>
        </w:rPr>
        <w:t>S</w:t>
      </w:r>
      <w:r w:rsidR="00E20A32" w:rsidRPr="00F9084A">
        <w:rPr>
          <w:sz w:val="18"/>
          <w:szCs w:val="18"/>
        </w:rPr>
        <w:t xml:space="preserve"> = </w:t>
      </w:r>
      <w:r w:rsidR="00E20A32" w:rsidRPr="00F9084A">
        <w:rPr>
          <w:sz w:val="18"/>
          <w:szCs w:val="18"/>
        </w:rPr>
        <w:t xml:space="preserve">±2 and ±3 transitions. </w:t>
      </w:r>
      <w:r w:rsidR="000E4F17" w:rsidRPr="00F9084A">
        <w:rPr>
          <w:sz w:val="18"/>
          <w:szCs w:val="18"/>
        </w:rPr>
        <w:t>The structure visible on the peaks is an artefact that can be attributed to imperfect field alignment and is not simulated</w:t>
      </w:r>
      <w:r w:rsidR="000E4F17" w:rsidRPr="00F9084A">
        <w:rPr>
          <w:color w:val="C00000"/>
          <w:sz w:val="18"/>
          <w:szCs w:val="18"/>
        </w:rPr>
        <w:t>.</w:t>
      </w:r>
    </w:p>
    <w:p w14:paraId="37676DAA" w14:textId="03E42164" w:rsidR="000E4F17" w:rsidRPr="00F9084A" w:rsidRDefault="007057EC" w:rsidP="000E4F17">
      <w:pPr>
        <w:jc w:val="center"/>
        <w:rPr>
          <w:color w:val="C00000"/>
          <w:sz w:val="18"/>
          <w:szCs w:val="18"/>
        </w:rPr>
      </w:pPr>
      <w:r w:rsidRPr="00F9084A">
        <w:rPr>
          <w:color w:val="C00000"/>
          <w:sz w:val="18"/>
          <w:szCs w:val="18"/>
        </w:rPr>
        <w:object w:dxaOrig="5363" w:dyaOrig="4133" w14:anchorId="6EA0D8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95pt;height:191.15pt" o:ole="">
            <v:imagedata r:id="rId25" o:title=""/>
          </v:shape>
          <o:OLEObject Type="Embed" ProgID="Origin50.Graph" ShapeID="_x0000_i1025" DrawAspect="Content" ObjectID="_1786350695" r:id="rId26"/>
        </w:object>
      </w:r>
    </w:p>
    <w:p w14:paraId="15E6F73D" w14:textId="78F74529" w:rsidR="000E4F17" w:rsidRPr="00F9084A" w:rsidRDefault="000E4F17" w:rsidP="000E4F17">
      <w:pPr>
        <w:jc w:val="both"/>
        <w:rPr>
          <w:i/>
          <w:iCs/>
          <w:sz w:val="18"/>
          <w:szCs w:val="18"/>
          <w:vertAlign w:val="subscript"/>
        </w:rPr>
      </w:pPr>
      <w:r w:rsidRPr="00F9084A">
        <w:rPr>
          <w:b/>
          <w:bCs/>
          <w:sz w:val="18"/>
          <w:szCs w:val="18"/>
        </w:rPr>
        <w:t xml:space="preserve">Figure </w:t>
      </w:r>
      <w:r w:rsidR="00402F41" w:rsidRPr="00F9084A">
        <w:rPr>
          <w:b/>
          <w:bCs/>
          <w:sz w:val="18"/>
          <w:szCs w:val="18"/>
        </w:rPr>
        <w:t>5</w:t>
      </w:r>
      <w:r w:rsidRPr="00F9084A">
        <w:rPr>
          <w:b/>
          <w:bCs/>
          <w:sz w:val="18"/>
          <w:szCs w:val="18"/>
        </w:rPr>
        <w:t>.</w:t>
      </w:r>
      <w:r w:rsidRPr="00F9084A">
        <w:rPr>
          <w:sz w:val="18"/>
          <w:szCs w:val="18"/>
        </w:rPr>
        <w:t xml:space="preserve"> Top: EPR spectrum of </w:t>
      </w:r>
      <w:r w:rsidR="00716164" w:rsidRPr="00F9084A">
        <w:rPr>
          <w:sz w:val="18"/>
          <w:szCs w:val="18"/>
        </w:rPr>
        <w:t>a</w:t>
      </w:r>
      <w:r w:rsidRPr="00F9084A">
        <w:rPr>
          <w:sz w:val="18"/>
          <w:szCs w:val="18"/>
        </w:rPr>
        <w:t xml:space="preserve"> </w:t>
      </w:r>
      <w:r w:rsidR="00414AB9" w:rsidRPr="00F9084A">
        <w:rPr>
          <w:sz w:val="18"/>
          <w:szCs w:val="18"/>
        </w:rPr>
        <w:t>polycrystalline</w:t>
      </w:r>
      <w:r w:rsidR="00716164" w:rsidRPr="00F9084A">
        <w:rPr>
          <w:sz w:val="18"/>
          <w:szCs w:val="18"/>
        </w:rPr>
        <w:t xml:space="preserve"> sample containing the </w:t>
      </w:r>
      <w:proofErr w:type="gramStart"/>
      <w:r w:rsidRPr="00F9084A">
        <w:rPr>
          <w:sz w:val="18"/>
          <w:szCs w:val="18"/>
        </w:rPr>
        <w:t>Cr(</w:t>
      </w:r>
      <w:proofErr w:type="gramEnd"/>
      <w:r w:rsidRPr="00F9084A">
        <w:rPr>
          <w:sz w:val="18"/>
          <w:szCs w:val="18"/>
        </w:rPr>
        <w:t xml:space="preserve">III) compound  </w:t>
      </w:r>
      <w:bookmarkStart w:id="6" w:name="_Hlk169603429"/>
      <w:r w:rsidRPr="00F9084A">
        <w:rPr>
          <w:sz w:val="18"/>
          <w:szCs w:val="18"/>
        </w:rPr>
        <w:t>at 30 K and 270 GHz</w:t>
      </w:r>
      <w:bookmarkEnd w:id="6"/>
      <w:r w:rsidRPr="00F9084A">
        <w:rPr>
          <w:sz w:val="18"/>
          <w:szCs w:val="18"/>
        </w:rPr>
        <w:t xml:space="preserve"> (black trace) accompanied by its simulation</w:t>
      </w:r>
      <w:r w:rsidR="00414AB9" w:rsidRPr="00F9084A">
        <w:rPr>
          <w:sz w:val="18"/>
          <w:szCs w:val="18"/>
        </w:rPr>
        <w:t xml:space="preserve"> (red trace)</w:t>
      </w:r>
      <w:r w:rsidRPr="00F9084A">
        <w:rPr>
          <w:sz w:val="18"/>
          <w:szCs w:val="18"/>
        </w:rPr>
        <w:t xml:space="preserve"> using the following spin Hamiltonian parameters: </w:t>
      </w:r>
      <w:r w:rsidRPr="00F9084A">
        <w:rPr>
          <w:i/>
          <w:iCs/>
          <w:sz w:val="18"/>
          <w:szCs w:val="18"/>
        </w:rPr>
        <w:t xml:space="preserve">S </w:t>
      </w:r>
      <w:r w:rsidRPr="00F9084A">
        <w:rPr>
          <w:sz w:val="18"/>
          <w:szCs w:val="18"/>
        </w:rPr>
        <w:t xml:space="preserve">= 3/2, </w:t>
      </w:r>
      <w:r w:rsidRPr="00F9084A">
        <w:rPr>
          <w:i/>
          <w:iCs/>
          <w:sz w:val="18"/>
          <w:szCs w:val="18"/>
        </w:rPr>
        <w:t>D</w:t>
      </w:r>
      <w:r w:rsidRPr="00F9084A">
        <w:rPr>
          <w:sz w:val="18"/>
          <w:szCs w:val="18"/>
        </w:rPr>
        <w:t xml:space="preserve"> = 0.42 cm</w:t>
      </w:r>
      <w:r w:rsidRPr="00F9084A">
        <w:rPr>
          <w:sz w:val="18"/>
          <w:szCs w:val="18"/>
          <w:vertAlign w:val="superscript"/>
        </w:rPr>
        <w:t>–1</w:t>
      </w:r>
      <w:r w:rsidRPr="00F9084A">
        <w:rPr>
          <w:sz w:val="18"/>
          <w:szCs w:val="18"/>
        </w:rPr>
        <w:t xml:space="preserve">, </w:t>
      </w:r>
      <w:r w:rsidRPr="00F9084A">
        <w:rPr>
          <w:i/>
          <w:iCs/>
          <w:sz w:val="18"/>
          <w:szCs w:val="18"/>
        </w:rPr>
        <w:t>E</w:t>
      </w:r>
      <w:r w:rsidRPr="00F9084A">
        <w:rPr>
          <w:sz w:val="18"/>
          <w:szCs w:val="18"/>
        </w:rPr>
        <w:t xml:space="preserve"> = 0.14 cm</w:t>
      </w:r>
      <w:r w:rsidRPr="00F9084A">
        <w:rPr>
          <w:sz w:val="18"/>
          <w:szCs w:val="18"/>
          <w:vertAlign w:val="superscript"/>
        </w:rPr>
        <w:t>–1</w:t>
      </w:r>
      <w:r w:rsidRPr="00F9084A">
        <w:rPr>
          <w:sz w:val="18"/>
          <w:szCs w:val="18"/>
        </w:rPr>
        <w:t xml:space="preserve"> (</w:t>
      </w:r>
      <w:r w:rsidRPr="00F9084A">
        <w:rPr>
          <w:i/>
          <w:iCs/>
          <w:sz w:val="18"/>
          <w:szCs w:val="18"/>
        </w:rPr>
        <w:t>E/D</w:t>
      </w:r>
      <w:r w:rsidRPr="00F9084A">
        <w:rPr>
          <w:sz w:val="18"/>
          <w:szCs w:val="18"/>
        </w:rPr>
        <w:t xml:space="preserve"> = 0.33, maximum rhombicity limit), </w:t>
      </w:r>
      <w:proofErr w:type="spellStart"/>
      <w:r w:rsidRPr="00F9084A">
        <w:rPr>
          <w:i/>
          <w:iCs/>
          <w:sz w:val="18"/>
          <w:szCs w:val="18"/>
        </w:rPr>
        <w:t>g</w:t>
      </w:r>
      <w:r w:rsidRPr="00CA1D6E">
        <w:rPr>
          <w:sz w:val="18"/>
          <w:szCs w:val="18"/>
          <w:vertAlign w:val="subscript"/>
        </w:rPr>
        <w:t>iso</w:t>
      </w:r>
      <w:proofErr w:type="spellEnd"/>
      <w:r w:rsidRPr="00F9084A">
        <w:rPr>
          <w:sz w:val="18"/>
          <w:szCs w:val="18"/>
        </w:rPr>
        <w:t xml:space="preserve"> = 1.9</w:t>
      </w:r>
      <w:r w:rsidR="00E20A32" w:rsidRPr="00F9084A">
        <w:rPr>
          <w:sz w:val="18"/>
          <w:szCs w:val="18"/>
        </w:rPr>
        <w:t>9</w:t>
      </w:r>
      <w:r w:rsidR="00414AB9" w:rsidRPr="00F9084A">
        <w:rPr>
          <w:sz w:val="18"/>
          <w:szCs w:val="18"/>
        </w:rPr>
        <w:t>.</w:t>
      </w:r>
      <w:r w:rsidRPr="00F9084A">
        <w:rPr>
          <w:sz w:val="18"/>
          <w:szCs w:val="18"/>
        </w:rPr>
        <w:t xml:space="preserve"> The simulation assumed a single crystal oriented with the </w:t>
      </w:r>
      <w:r w:rsidRPr="00F9084A">
        <w:rPr>
          <w:i/>
          <w:iCs/>
          <w:sz w:val="18"/>
          <w:szCs w:val="18"/>
        </w:rPr>
        <w:t>z</w:t>
      </w:r>
      <w:r w:rsidRPr="00F9084A">
        <w:rPr>
          <w:sz w:val="18"/>
          <w:szCs w:val="18"/>
        </w:rPr>
        <w:t xml:space="preserve">-axis of the ZFS tensor parallel to the magnetic field </w:t>
      </w:r>
      <w:r w:rsidRPr="00F9084A">
        <w:rPr>
          <w:i/>
          <w:iCs/>
          <w:sz w:val="18"/>
          <w:szCs w:val="18"/>
        </w:rPr>
        <w:t>B</w:t>
      </w:r>
      <w:r w:rsidRPr="00F9084A">
        <w:rPr>
          <w:i/>
          <w:iCs/>
          <w:sz w:val="18"/>
          <w:szCs w:val="18"/>
          <w:vertAlign w:val="subscript"/>
        </w:rPr>
        <w:t xml:space="preserve">0. </w:t>
      </w:r>
      <w:r w:rsidRPr="00F9084A">
        <w:rPr>
          <w:sz w:val="18"/>
          <w:szCs w:val="18"/>
        </w:rPr>
        <w:t>Bottom:</w:t>
      </w:r>
      <w:r w:rsidR="00414AB9" w:rsidRPr="00F9084A">
        <w:rPr>
          <w:sz w:val="18"/>
          <w:szCs w:val="18"/>
        </w:rPr>
        <w:t xml:space="preserve"> Representation of the</w:t>
      </w:r>
      <w:r w:rsidRPr="00F9084A">
        <w:rPr>
          <w:sz w:val="18"/>
          <w:szCs w:val="18"/>
        </w:rPr>
        <w:t xml:space="preserve"> energy levels </w:t>
      </w:r>
      <w:r w:rsidR="00414AB9" w:rsidRPr="00F9084A">
        <w:rPr>
          <w:sz w:val="18"/>
          <w:szCs w:val="18"/>
        </w:rPr>
        <w:t>for</w:t>
      </w:r>
      <w:r w:rsidRPr="00F9084A">
        <w:rPr>
          <w:sz w:val="18"/>
          <w:szCs w:val="18"/>
        </w:rPr>
        <w:t xml:space="preserve"> a </w:t>
      </w:r>
      <w:r w:rsidRPr="00F9084A">
        <w:rPr>
          <w:i/>
          <w:iCs/>
          <w:sz w:val="18"/>
          <w:szCs w:val="18"/>
        </w:rPr>
        <w:t xml:space="preserve">S </w:t>
      </w:r>
      <w:r w:rsidRPr="00F9084A">
        <w:rPr>
          <w:sz w:val="18"/>
          <w:szCs w:val="18"/>
        </w:rPr>
        <w:t xml:space="preserve">= 3/2 spin state </w:t>
      </w:r>
      <w:r w:rsidR="00414AB9" w:rsidRPr="00F9084A">
        <w:rPr>
          <w:sz w:val="18"/>
          <w:szCs w:val="18"/>
        </w:rPr>
        <w:t xml:space="preserve">at 270 GHz. </w:t>
      </w:r>
      <w:r w:rsidRPr="00F9084A">
        <w:rPr>
          <w:sz w:val="18"/>
          <w:szCs w:val="18"/>
        </w:rPr>
        <w:t xml:space="preserve">The </w:t>
      </w:r>
      <w:r w:rsidR="00FC769A">
        <w:rPr>
          <w:sz w:val="18"/>
          <w:szCs w:val="18"/>
        </w:rPr>
        <w:t>HF</w:t>
      </w:r>
      <w:r w:rsidR="005D6CEA">
        <w:rPr>
          <w:sz w:val="18"/>
          <w:szCs w:val="18"/>
        </w:rPr>
        <w:t xml:space="preserve">EPR </w:t>
      </w:r>
      <w:r w:rsidRPr="00F9084A">
        <w:rPr>
          <w:sz w:val="18"/>
          <w:szCs w:val="18"/>
        </w:rPr>
        <w:t>transitions between the spin sublevels are marked with red arrows.</w:t>
      </w:r>
    </w:p>
    <w:p w14:paraId="58A7A8E3" w14:textId="008F3E01" w:rsidR="000E4F17" w:rsidRPr="00F9084A" w:rsidRDefault="000E4F17" w:rsidP="009D2D42">
      <w:pPr>
        <w:spacing w:after="0"/>
        <w:jc w:val="both"/>
        <w:rPr>
          <w:sz w:val="18"/>
          <w:szCs w:val="18"/>
        </w:rPr>
      </w:pPr>
      <w:proofErr w:type="gramStart"/>
      <w:r w:rsidRPr="00F9084A">
        <w:rPr>
          <w:sz w:val="18"/>
          <w:szCs w:val="18"/>
        </w:rPr>
        <w:t>In order to</w:t>
      </w:r>
      <w:proofErr w:type="gramEnd"/>
      <w:r w:rsidRPr="00F9084A">
        <w:rPr>
          <w:sz w:val="18"/>
          <w:szCs w:val="18"/>
        </w:rPr>
        <w:t xml:space="preserve"> extract the full set of frequency-independent spin Hamiltonian parameters, the sample was constrained using </w:t>
      </w:r>
      <w:r w:rsidRPr="00F9084A">
        <w:rPr>
          <w:i/>
          <w:iCs/>
          <w:sz w:val="18"/>
          <w:szCs w:val="18"/>
        </w:rPr>
        <w:t>n</w:t>
      </w:r>
      <w:r w:rsidRPr="00F9084A">
        <w:rPr>
          <w:sz w:val="18"/>
          <w:szCs w:val="18"/>
        </w:rPr>
        <w:t>-eicosane and pressed into a pellet (Figure S</w:t>
      </w:r>
      <w:r w:rsidR="00E82677" w:rsidRPr="00F9084A">
        <w:rPr>
          <w:sz w:val="18"/>
          <w:szCs w:val="18"/>
        </w:rPr>
        <w:t>9</w:t>
      </w:r>
      <w:r w:rsidRPr="00F9084A">
        <w:rPr>
          <w:sz w:val="18"/>
          <w:szCs w:val="18"/>
        </w:rPr>
        <w:t xml:space="preserve">). The resulting spectrum is accompanied by a simulation, this time assuming a powder distribution of the crystallites in space. The simulation parameters are modified relative to those used above to account for the slight asymmetry of the central line: </w:t>
      </w:r>
      <w:r w:rsidRPr="00F9084A">
        <w:rPr>
          <w:i/>
          <w:iCs/>
          <w:sz w:val="18"/>
          <w:szCs w:val="18"/>
        </w:rPr>
        <w:t>D</w:t>
      </w:r>
      <w:r w:rsidRPr="00F9084A">
        <w:rPr>
          <w:sz w:val="18"/>
          <w:szCs w:val="18"/>
        </w:rPr>
        <w:t xml:space="preserve"> = 0.43 cm</w:t>
      </w:r>
      <w:r w:rsidRPr="00F9084A">
        <w:rPr>
          <w:sz w:val="18"/>
          <w:szCs w:val="18"/>
          <w:vertAlign w:val="superscript"/>
        </w:rPr>
        <w:t>–1</w:t>
      </w:r>
      <w:r w:rsidRPr="00F9084A">
        <w:rPr>
          <w:sz w:val="18"/>
          <w:szCs w:val="18"/>
        </w:rPr>
        <w:t xml:space="preserve">, </w:t>
      </w:r>
      <w:r w:rsidRPr="00F9084A">
        <w:rPr>
          <w:i/>
          <w:iCs/>
          <w:sz w:val="18"/>
          <w:szCs w:val="18"/>
        </w:rPr>
        <w:t>E</w:t>
      </w:r>
      <w:r w:rsidRPr="00F9084A">
        <w:rPr>
          <w:sz w:val="18"/>
          <w:szCs w:val="18"/>
        </w:rPr>
        <w:t xml:space="preserve"> = 0.14 cm</w:t>
      </w:r>
      <w:r w:rsidRPr="00F9084A">
        <w:rPr>
          <w:sz w:val="18"/>
          <w:szCs w:val="18"/>
          <w:vertAlign w:val="superscript"/>
        </w:rPr>
        <w:t>–1</w:t>
      </w:r>
      <w:r w:rsidRPr="00F9084A">
        <w:rPr>
          <w:sz w:val="18"/>
          <w:szCs w:val="18"/>
        </w:rPr>
        <w:t xml:space="preserve"> (</w:t>
      </w:r>
      <w:r w:rsidRPr="00F9084A">
        <w:rPr>
          <w:i/>
          <w:iCs/>
          <w:sz w:val="18"/>
          <w:szCs w:val="18"/>
        </w:rPr>
        <w:t>E/D</w:t>
      </w:r>
      <w:r w:rsidRPr="00F9084A">
        <w:rPr>
          <w:sz w:val="18"/>
          <w:szCs w:val="18"/>
        </w:rPr>
        <w:t xml:space="preserve"> = 0.325), </w:t>
      </w:r>
      <w:proofErr w:type="spellStart"/>
      <w:r w:rsidRPr="00F9084A">
        <w:rPr>
          <w:i/>
          <w:iCs/>
          <w:sz w:val="18"/>
          <w:szCs w:val="18"/>
        </w:rPr>
        <w:t>g</w:t>
      </w:r>
      <w:r w:rsidRPr="00CA1D6E">
        <w:rPr>
          <w:sz w:val="18"/>
          <w:szCs w:val="18"/>
          <w:vertAlign w:val="subscript"/>
        </w:rPr>
        <w:t>x</w:t>
      </w:r>
      <w:proofErr w:type="spellEnd"/>
      <w:r w:rsidRPr="00F9084A">
        <w:rPr>
          <w:sz w:val="18"/>
          <w:szCs w:val="18"/>
        </w:rPr>
        <w:t xml:space="preserve"> = 1.99, </w:t>
      </w:r>
      <w:proofErr w:type="spellStart"/>
      <w:proofErr w:type="gramStart"/>
      <w:r w:rsidRPr="00F9084A">
        <w:rPr>
          <w:i/>
          <w:iCs/>
          <w:sz w:val="18"/>
          <w:szCs w:val="18"/>
        </w:rPr>
        <w:t>g</w:t>
      </w:r>
      <w:r w:rsidRPr="00CA1D6E">
        <w:rPr>
          <w:sz w:val="18"/>
          <w:szCs w:val="18"/>
          <w:vertAlign w:val="subscript"/>
        </w:rPr>
        <w:t>y,z</w:t>
      </w:r>
      <w:proofErr w:type="spellEnd"/>
      <w:proofErr w:type="gramEnd"/>
      <w:r w:rsidRPr="00CE2C13">
        <w:rPr>
          <w:sz w:val="18"/>
          <w:szCs w:val="18"/>
        </w:rPr>
        <w:t xml:space="preserve"> </w:t>
      </w:r>
      <w:r w:rsidRPr="00F9084A">
        <w:rPr>
          <w:sz w:val="18"/>
          <w:szCs w:val="18"/>
        </w:rPr>
        <w:t>= 1.98.</w:t>
      </w:r>
    </w:p>
    <w:p w14:paraId="3307027A" w14:textId="6C88040E" w:rsidR="000E4F17" w:rsidRPr="00F9084A" w:rsidRDefault="000E4F17" w:rsidP="009D2D42">
      <w:pPr>
        <w:spacing w:after="0"/>
        <w:jc w:val="both"/>
        <w:rPr>
          <w:sz w:val="18"/>
          <w:szCs w:val="18"/>
        </w:rPr>
      </w:pPr>
      <w:r w:rsidRPr="00F9084A">
        <w:rPr>
          <w:sz w:val="18"/>
          <w:szCs w:val="18"/>
        </w:rPr>
        <w:t xml:space="preserve">To finalize the values of frequency-independent spin Hamiltonian parameters, we built a two-dimensional map of turning points in pellet spectra and applied the </w:t>
      </w:r>
      <w:proofErr w:type="spellStart"/>
      <w:r w:rsidRPr="00F9084A">
        <w:rPr>
          <w:sz w:val="18"/>
          <w:szCs w:val="18"/>
        </w:rPr>
        <w:t>tunable</w:t>
      </w:r>
      <w:proofErr w:type="spellEnd"/>
      <w:r w:rsidRPr="00F9084A">
        <w:rPr>
          <w:sz w:val="18"/>
          <w:szCs w:val="18"/>
        </w:rPr>
        <w:t>-frequency methodology</w:t>
      </w:r>
      <w:r w:rsidRPr="00F9084A">
        <w:rPr>
          <w:sz w:val="18"/>
          <w:szCs w:val="18"/>
        </w:rPr>
        <w:fldChar w:fldCharType="begin"/>
      </w:r>
      <w:r w:rsidR="00095FFC">
        <w:rPr>
          <w:sz w:val="18"/>
          <w:szCs w:val="18"/>
        </w:rPr>
        <w:instrText xml:space="preserve"> ADDIN ZOTERO_ITEM CSL_CITATION {"citationID":"PCOqU1o6","properties":{"formattedCitation":"\\super 81\\nosupersub{}","plainCitation":"81","noteIndex":0},"citationItems":[{"id":7503,"uris":["http://zotero.org/users/2011173/items/8B2KIGA7"],"itemData":{"id":7503,"type":"article-journal","abstract":"A tunable-frequency methodology based on backward wave oscillator sources in high-frequency and -field EPR (HFEPR) is described. This methodology is illustrated by an application to three non-Kramers transition metal ion complexes and one Kramers ion complex. The complexes are of: Ni(II) (S=1) as found in dichlorobistriphenylphosphanenickel(II), Mn(III) (S=2) as found in mesotetrasulfonatoporphyrinatomanganese(III) chloride, Fe(II) (S=2) as found in ferrous sulfate tetrahydrate, and Co(II) (S=3/2) as found in azido(tris(3-tert-butylpyrazol-1-yl)hydroborate)cobalt(II). The above Ni(II) and Mn(III) complexes have been studied before by HFEPR using the multifrequency methodology based on Gunn oscillator sources, but not by the present method, while the Fe(II) and Co(II) complexes presented here have not been studied by any form of HFEPR. Highly accurate spin Hamiltonian parameters can be obtained by the experimental methodology described here, in combination with automated fitting procedures. This method is particularly successful in determining g-matrix parameters, which are very difficult to extract for high-spin systems from single frequency (or a very limited set of multi-frequency) HFEPR spectra, but is also able to deliver equally accurate values of the zero-field splitting tensor. The experimental methods involve either conventional magnetic field modulation or an optical modulation of the sub-THz wave beam. The relative merits of these and other experimental methods are discussed.","container-title":"Journal of Magnetic Resonance","DOI":"10.1016/j.jmr.2005.09.007","ISSN":"1090-7807","issue":"2","journalAbbreviation":"J. Magn. Reson.","page":"174-183","source":"ScienceDirect","title":"Tunable-frequency high-field electron paramagnetic resonance","volume":"178","author":[{"family":"Krzystek","given":"J."},{"family":"Zvyagin","given":"S. A."},{"family":"Ozarowski","given":"Andrew"},{"family":"Trofimenko","given":"S."},{"family":"Telser","given":"Joshua"}],"issued":{"date-parts":[["2006",2,1]]}}}],"schema":"https://github.com/citation-style-language/schema/raw/master/csl-citation.json"} </w:instrText>
      </w:r>
      <w:r w:rsidRPr="00F9084A">
        <w:rPr>
          <w:sz w:val="18"/>
          <w:szCs w:val="18"/>
        </w:rPr>
        <w:fldChar w:fldCharType="separate"/>
      </w:r>
      <w:r w:rsidR="00095FFC" w:rsidRPr="00095FFC">
        <w:rPr>
          <w:rFonts w:ascii="Aptos" w:hAnsi="Aptos" w:cs="Times New Roman"/>
          <w:sz w:val="18"/>
          <w:vertAlign w:val="superscript"/>
        </w:rPr>
        <w:t>81</w:t>
      </w:r>
      <w:r w:rsidRPr="00F9084A">
        <w:rPr>
          <w:sz w:val="18"/>
          <w:szCs w:val="18"/>
        </w:rPr>
        <w:fldChar w:fldCharType="end"/>
      </w:r>
      <w:r w:rsidRPr="00F9084A">
        <w:rPr>
          <w:sz w:val="18"/>
          <w:szCs w:val="18"/>
        </w:rPr>
        <w:t xml:space="preserve"> by fitting the parameters simultaneously to that map. This resulted in the following values: </w:t>
      </w:r>
      <w:r w:rsidRPr="00F9084A">
        <w:rPr>
          <w:i/>
          <w:iCs/>
          <w:sz w:val="18"/>
          <w:szCs w:val="18"/>
        </w:rPr>
        <w:t>D</w:t>
      </w:r>
      <w:r w:rsidRPr="00F9084A">
        <w:rPr>
          <w:sz w:val="18"/>
          <w:szCs w:val="18"/>
        </w:rPr>
        <w:t xml:space="preserve"> = –0.436(7) cm</w:t>
      </w:r>
      <w:r w:rsidRPr="00F9084A">
        <w:rPr>
          <w:sz w:val="18"/>
          <w:szCs w:val="18"/>
          <w:vertAlign w:val="superscript"/>
        </w:rPr>
        <w:noBreakHyphen/>
        <w:t>1</w:t>
      </w:r>
      <w:r w:rsidRPr="00F9084A">
        <w:rPr>
          <w:sz w:val="18"/>
          <w:szCs w:val="18"/>
        </w:rPr>
        <w:t xml:space="preserve">, </w:t>
      </w:r>
      <w:r w:rsidRPr="00F9084A">
        <w:rPr>
          <w:i/>
          <w:iCs/>
          <w:sz w:val="18"/>
          <w:szCs w:val="18"/>
        </w:rPr>
        <w:t>E</w:t>
      </w:r>
      <w:r w:rsidRPr="00F9084A">
        <w:rPr>
          <w:sz w:val="18"/>
          <w:szCs w:val="18"/>
        </w:rPr>
        <w:t xml:space="preserve"> = –0.144(7) cm</w:t>
      </w:r>
      <w:r w:rsidRPr="00F9084A">
        <w:rPr>
          <w:sz w:val="18"/>
          <w:szCs w:val="18"/>
          <w:vertAlign w:val="superscript"/>
        </w:rPr>
        <w:t>–1</w:t>
      </w:r>
      <w:r w:rsidRPr="00F9084A">
        <w:rPr>
          <w:sz w:val="18"/>
          <w:szCs w:val="18"/>
        </w:rPr>
        <w:t xml:space="preserve"> (</w:t>
      </w:r>
      <w:r w:rsidRPr="00F9084A">
        <w:rPr>
          <w:i/>
          <w:iCs/>
          <w:sz w:val="18"/>
          <w:szCs w:val="18"/>
        </w:rPr>
        <w:t>E/D</w:t>
      </w:r>
      <w:r w:rsidRPr="00F9084A">
        <w:rPr>
          <w:sz w:val="18"/>
          <w:szCs w:val="18"/>
        </w:rPr>
        <w:t xml:space="preserve"> = 0.31), </w:t>
      </w:r>
      <w:proofErr w:type="spellStart"/>
      <w:r w:rsidRPr="00F9084A">
        <w:rPr>
          <w:i/>
          <w:iCs/>
          <w:sz w:val="18"/>
          <w:szCs w:val="18"/>
        </w:rPr>
        <w:t>g</w:t>
      </w:r>
      <w:r w:rsidRPr="00F9084A">
        <w:rPr>
          <w:sz w:val="18"/>
          <w:szCs w:val="18"/>
          <w:vertAlign w:val="subscript"/>
        </w:rPr>
        <w:t>iso</w:t>
      </w:r>
      <w:proofErr w:type="spellEnd"/>
      <w:r w:rsidRPr="00F9084A">
        <w:rPr>
          <w:sz w:val="18"/>
          <w:szCs w:val="18"/>
        </w:rPr>
        <w:t xml:space="preserve"> = 1.980(4) (Figure S</w:t>
      </w:r>
      <w:r w:rsidR="00E82677" w:rsidRPr="00F9084A">
        <w:rPr>
          <w:sz w:val="18"/>
          <w:szCs w:val="18"/>
        </w:rPr>
        <w:t>10</w:t>
      </w:r>
      <w:r w:rsidRPr="00F9084A">
        <w:rPr>
          <w:sz w:val="18"/>
          <w:szCs w:val="18"/>
        </w:rPr>
        <w:t xml:space="preserve">). The negative sign of </w:t>
      </w:r>
      <w:r w:rsidRPr="00F9084A">
        <w:rPr>
          <w:i/>
          <w:iCs/>
          <w:sz w:val="18"/>
          <w:szCs w:val="18"/>
        </w:rPr>
        <w:t>D</w:t>
      </w:r>
      <w:r w:rsidRPr="00F9084A">
        <w:rPr>
          <w:sz w:val="18"/>
          <w:szCs w:val="18"/>
        </w:rPr>
        <w:t xml:space="preserve"> reproduced single-frequency spectra better than a positive value.</w:t>
      </w:r>
    </w:p>
    <w:p w14:paraId="2EF6DF62" w14:textId="733A4B2F" w:rsidR="000E4F17" w:rsidRPr="00F9084A" w:rsidRDefault="000E4F17" w:rsidP="000E4F17">
      <w:pPr>
        <w:jc w:val="both"/>
        <w:rPr>
          <w:sz w:val="18"/>
          <w:szCs w:val="18"/>
        </w:rPr>
      </w:pPr>
      <w:r w:rsidRPr="00F9084A">
        <w:rPr>
          <w:sz w:val="18"/>
          <w:szCs w:val="18"/>
        </w:rPr>
        <w:t>Altogether, these results are in good agreement with the ones that we found by MCPL and MCD experiments.</w:t>
      </w:r>
      <w:r w:rsidR="00170A63">
        <w:rPr>
          <w:sz w:val="18"/>
          <w:szCs w:val="18"/>
        </w:rPr>
        <w:t xml:space="preserve"> </w:t>
      </w:r>
      <w:r w:rsidR="00FD0DE7" w:rsidRPr="00FD0DE7">
        <w:rPr>
          <w:sz w:val="18"/>
          <w:szCs w:val="18"/>
          <w:highlight w:val="yellow"/>
        </w:rPr>
        <w:t>Finally,</w:t>
      </w:r>
      <w:r w:rsidR="00170A63" w:rsidRPr="00FD0DE7">
        <w:rPr>
          <w:sz w:val="18"/>
          <w:szCs w:val="18"/>
          <w:highlight w:val="yellow"/>
        </w:rPr>
        <w:t xml:space="preserve"> the nature of the </w:t>
      </w:r>
      <w:r w:rsidR="00170A63" w:rsidRPr="00CA1D6E">
        <w:rPr>
          <w:i/>
          <w:iCs/>
          <w:sz w:val="18"/>
          <w:szCs w:val="18"/>
          <w:highlight w:val="yellow"/>
        </w:rPr>
        <w:t>M</w:t>
      </w:r>
      <w:r w:rsidR="00170A63" w:rsidRPr="00FD0DE7">
        <w:rPr>
          <w:sz w:val="18"/>
          <w:szCs w:val="18"/>
          <w:highlight w:val="yellow"/>
        </w:rPr>
        <w:t xml:space="preserve">s states associated </w:t>
      </w:r>
      <w:r w:rsidR="00CA1D6E">
        <w:rPr>
          <w:sz w:val="18"/>
          <w:szCs w:val="18"/>
          <w:highlight w:val="yellow"/>
        </w:rPr>
        <w:t>with</w:t>
      </w:r>
      <w:r w:rsidR="00CA1D6E" w:rsidRPr="00FD0DE7">
        <w:rPr>
          <w:sz w:val="18"/>
          <w:szCs w:val="18"/>
          <w:highlight w:val="yellow"/>
        </w:rPr>
        <w:t xml:space="preserve"> </w:t>
      </w:r>
      <w:r w:rsidR="00FD0DE7" w:rsidRPr="00FD0DE7">
        <w:rPr>
          <w:sz w:val="18"/>
          <w:szCs w:val="18"/>
          <w:highlight w:val="yellow"/>
          <w:vertAlign w:val="superscript"/>
        </w:rPr>
        <w:t>4</w:t>
      </w:r>
      <w:r w:rsidR="00FD0DE7" w:rsidRPr="00D7755B">
        <w:rPr>
          <w:sz w:val="18"/>
          <w:szCs w:val="18"/>
          <w:highlight w:val="yellow"/>
        </w:rPr>
        <w:t>A</w:t>
      </w:r>
      <w:r w:rsidR="00FD0DE7" w:rsidRPr="00D7755B">
        <w:rPr>
          <w:sz w:val="18"/>
          <w:szCs w:val="18"/>
          <w:highlight w:val="yellow"/>
          <w:vertAlign w:val="subscript"/>
        </w:rPr>
        <w:t>2</w:t>
      </w:r>
      <w:r w:rsidR="00170A63" w:rsidRPr="00D7755B">
        <w:rPr>
          <w:sz w:val="18"/>
          <w:szCs w:val="18"/>
          <w:highlight w:val="yellow"/>
        </w:rPr>
        <w:t xml:space="preserve"> was evaluated by calculating the mixing </w:t>
      </w:r>
      <w:r w:rsidR="00170A63" w:rsidRPr="00D7755B">
        <w:rPr>
          <w:rFonts w:cstheme="minorHAnsi"/>
          <w:sz w:val="18"/>
          <w:szCs w:val="18"/>
          <w:highlight w:val="yellow"/>
        </w:rPr>
        <w:t>coefficients</w:t>
      </w:r>
      <w:r w:rsidR="005B08A8">
        <w:rPr>
          <w:rFonts w:cstheme="minorHAnsi"/>
          <w:sz w:val="18"/>
          <w:szCs w:val="18"/>
          <w:highlight w:val="yellow"/>
        </w:rPr>
        <w:t xml:space="preserve"> at 0.4 T</w:t>
      </w:r>
      <w:r w:rsidR="00D7755B" w:rsidRPr="00D7755B">
        <w:rPr>
          <w:rFonts w:cstheme="minorHAnsi"/>
          <w:sz w:val="18"/>
          <w:szCs w:val="18"/>
          <w:highlight w:val="yellow"/>
        </w:rPr>
        <w:t xml:space="preserve"> (Table S3, S4</w:t>
      </w:r>
      <w:r w:rsidR="00A54036">
        <w:rPr>
          <w:rFonts w:cstheme="minorHAnsi"/>
          <w:sz w:val="18"/>
          <w:szCs w:val="18"/>
          <w:highlight w:val="yellow"/>
        </w:rPr>
        <w:t>, see also Figure S11 for an expansion of HFEPR levels at low field</w:t>
      </w:r>
      <w:r w:rsidR="00D7755B" w:rsidRPr="00D7755B">
        <w:rPr>
          <w:rFonts w:cstheme="minorHAnsi"/>
          <w:sz w:val="18"/>
          <w:szCs w:val="18"/>
          <w:highlight w:val="yellow"/>
        </w:rPr>
        <w:t>)</w:t>
      </w:r>
      <w:r w:rsidR="00170A63" w:rsidRPr="00D7755B">
        <w:rPr>
          <w:rFonts w:cstheme="minorHAnsi"/>
          <w:sz w:val="18"/>
          <w:szCs w:val="18"/>
          <w:highlight w:val="yellow"/>
        </w:rPr>
        <w:t>.</w:t>
      </w:r>
      <w:r w:rsidR="00D7755B" w:rsidRPr="00D7755B">
        <w:rPr>
          <w:rFonts w:cstheme="minorHAnsi"/>
          <w:sz w:val="18"/>
          <w:szCs w:val="18"/>
          <w:highlight w:val="yellow"/>
        </w:rPr>
        <w:t xml:space="preserve"> The coefficients show (in the case of </w:t>
      </w:r>
      <w:r w:rsidR="00D7755B" w:rsidRPr="00C47143">
        <w:rPr>
          <w:rFonts w:cstheme="minorHAnsi"/>
          <w:i/>
          <w:iCs/>
          <w:sz w:val="18"/>
          <w:szCs w:val="18"/>
          <w:highlight w:val="yellow"/>
          <w:lang w:val="en-US"/>
        </w:rPr>
        <w:t>B</w:t>
      </w:r>
      <w:r w:rsidR="00D7755B" w:rsidRPr="00D7755B">
        <w:rPr>
          <w:rFonts w:cstheme="minorHAnsi"/>
          <w:sz w:val="18"/>
          <w:szCs w:val="18"/>
          <w:highlight w:val="yellow"/>
          <w:vertAlign w:val="subscript"/>
          <w:lang w:val="en-US"/>
        </w:rPr>
        <w:t>0 </w:t>
      </w:r>
      <w:r w:rsidR="00D7755B" w:rsidRPr="00D7755B">
        <w:rPr>
          <w:rFonts w:ascii="Cambria Math" w:eastAsia="Aptos" w:hAnsi="Cambria Math" w:cs="Cambria Math"/>
          <w:kern w:val="2"/>
          <w:sz w:val="18"/>
          <w:szCs w:val="18"/>
          <w:highlight w:val="yellow"/>
          <w:lang w:val="en-US"/>
          <w14:ligatures w14:val="standardContextual"/>
        </w:rPr>
        <w:t>∥</w:t>
      </w:r>
      <w:r w:rsidR="00D7755B" w:rsidRPr="00D7755B">
        <w:rPr>
          <w:rFonts w:cstheme="minorHAnsi"/>
          <w:sz w:val="18"/>
          <w:szCs w:val="18"/>
          <w:highlight w:val="yellow"/>
          <w:lang w:val="en-US"/>
        </w:rPr>
        <w:t> </w:t>
      </w:r>
      <w:r w:rsidR="00D7755B" w:rsidRPr="00FC769A">
        <w:rPr>
          <w:rFonts w:cstheme="minorHAnsi"/>
          <w:i/>
          <w:iCs/>
          <w:sz w:val="18"/>
          <w:szCs w:val="18"/>
          <w:highlight w:val="yellow"/>
          <w:lang w:val="en-US"/>
        </w:rPr>
        <w:t>z</w:t>
      </w:r>
      <w:r w:rsidR="00D7755B" w:rsidRPr="00D7755B">
        <w:rPr>
          <w:rFonts w:cstheme="minorHAnsi"/>
          <w:sz w:val="18"/>
          <w:szCs w:val="18"/>
          <w:highlight w:val="yellow"/>
          <w:lang w:val="en-US"/>
        </w:rPr>
        <w:t>, see Table S3</w:t>
      </w:r>
      <w:r w:rsidR="00D7755B" w:rsidRPr="00D7755B">
        <w:rPr>
          <w:rFonts w:cstheme="minorHAnsi"/>
          <w:sz w:val="18"/>
          <w:szCs w:val="18"/>
          <w:highlight w:val="yellow"/>
        </w:rPr>
        <w:t>)</w:t>
      </w:r>
      <w:r w:rsidR="00D7755B" w:rsidRPr="00D7755B">
        <w:rPr>
          <w:sz w:val="18"/>
          <w:szCs w:val="18"/>
          <w:highlight w:val="yellow"/>
        </w:rPr>
        <w:t xml:space="preserve"> a strong mixing between </w:t>
      </w:r>
      <w:r w:rsidR="00C47143">
        <w:rPr>
          <w:sz w:val="18"/>
          <w:szCs w:val="18"/>
          <w:highlight w:val="yellow"/>
        </w:rPr>
        <w:t>two</w:t>
      </w:r>
      <w:r w:rsidR="00C47143" w:rsidRPr="00D7755B">
        <w:rPr>
          <w:sz w:val="18"/>
          <w:szCs w:val="18"/>
          <w:highlight w:val="yellow"/>
        </w:rPr>
        <w:t xml:space="preserve"> </w:t>
      </w:r>
      <w:r w:rsidR="00D7755B" w:rsidRPr="00D7755B">
        <w:rPr>
          <w:sz w:val="18"/>
          <w:szCs w:val="18"/>
          <w:highlight w:val="yellow"/>
        </w:rPr>
        <w:t xml:space="preserve">inner </w:t>
      </w:r>
      <w:r w:rsidR="00C47143" w:rsidRPr="00D7755B">
        <w:rPr>
          <w:rFonts w:eastAsia="Calibri" w:cs="Times New Roman"/>
          <w:sz w:val="18"/>
          <w:szCs w:val="18"/>
          <w:highlight w:val="yellow"/>
        </w:rPr>
        <w:t xml:space="preserve">|+3/2&gt; and |-1/2&gt; </w:t>
      </w:r>
      <w:r w:rsidR="00D7755B" w:rsidRPr="00D7755B">
        <w:rPr>
          <w:sz w:val="18"/>
          <w:szCs w:val="18"/>
          <w:highlight w:val="yellow"/>
        </w:rPr>
        <w:t xml:space="preserve">levels, </w:t>
      </w:r>
      <w:r w:rsidR="00C47143">
        <w:rPr>
          <w:sz w:val="18"/>
          <w:szCs w:val="18"/>
          <w:highlight w:val="yellow"/>
        </w:rPr>
        <w:t xml:space="preserve">responsible for the avoided level crossing near 1 T visible in Figure 5 (bottom), </w:t>
      </w:r>
      <w:r w:rsidR="00D7755B" w:rsidRPr="00D7755B">
        <w:rPr>
          <w:sz w:val="18"/>
          <w:szCs w:val="18"/>
          <w:highlight w:val="yellow"/>
        </w:rPr>
        <w:t xml:space="preserve">while the outer levels retain mostly their </w:t>
      </w:r>
      <w:r w:rsidR="00D7755B" w:rsidRPr="00D7755B">
        <w:rPr>
          <w:rFonts w:eastAsia="Calibri" w:cs="Times New Roman"/>
          <w:sz w:val="18"/>
          <w:szCs w:val="18"/>
          <w:highlight w:val="yellow"/>
        </w:rPr>
        <w:t>|+1/2&gt;</w:t>
      </w:r>
      <w:r w:rsidR="00D7755B">
        <w:rPr>
          <w:sz w:val="18"/>
          <w:szCs w:val="18"/>
          <w:highlight w:val="yellow"/>
        </w:rPr>
        <w:t xml:space="preserve"> and</w:t>
      </w:r>
      <w:r w:rsidR="00D7755B" w:rsidRPr="00D7755B">
        <w:rPr>
          <w:rFonts w:eastAsia="Calibri" w:cs="Times New Roman"/>
          <w:sz w:val="18"/>
          <w:szCs w:val="18"/>
          <w:highlight w:val="yellow"/>
        </w:rPr>
        <w:t>|-3/2&gt; character.</w:t>
      </w:r>
    </w:p>
    <w:p w14:paraId="7F948B1F" w14:textId="4374D2B2" w:rsidR="00E61949" w:rsidRPr="00F9084A" w:rsidRDefault="00180ABE" w:rsidP="00AF4737">
      <w:pPr>
        <w:pStyle w:val="RSCB04AHeadingSection"/>
      </w:pPr>
      <w:r w:rsidRPr="00F9084A">
        <w:lastRenderedPageBreak/>
        <w:t>Conclusions</w:t>
      </w:r>
    </w:p>
    <w:p w14:paraId="196B97EA" w14:textId="63369E57" w:rsidR="004D281F" w:rsidRPr="00F9084A" w:rsidRDefault="00270DB9" w:rsidP="004D281F">
      <w:pPr>
        <w:jc w:val="both"/>
        <w:rPr>
          <w:sz w:val="18"/>
          <w:szCs w:val="18"/>
        </w:rPr>
      </w:pPr>
      <w:r w:rsidRPr="00F9084A">
        <w:rPr>
          <w:sz w:val="18"/>
          <w:szCs w:val="18"/>
        </w:rPr>
        <w:t>B</w:t>
      </w:r>
      <w:r w:rsidR="005B7C7A" w:rsidRPr="00F9084A">
        <w:rPr>
          <w:sz w:val="18"/>
          <w:szCs w:val="18"/>
        </w:rPr>
        <w:t xml:space="preserve">eyond the many areas of interest </w:t>
      </w:r>
      <w:r w:rsidR="00C47143">
        <w:rPr>
          <w:sz w:val="18"/>
          <w:szCs w:val="18"/>
        </w:rPr>
        <w:t>in</w:t>
      </w:r>
      <w:r w:rsidR="00C47143" w:rsidRPr="00F9084A">
        <w:rPr>
          <w:sz w:val="18"/>
          <w:szCs w:val="18"/>
        </w:rPr>
        <w:t xml:space="preserve"> </w:t>
      </w:r>
      <w:proofErr w:type="gramStart"/>
      <w:r w:rsidR="005B7C7A" w:rsidRPr="00F9084A">
        <w:rPr>
          <w:sz w:val="18"/>
          <w:szCs w:val="18"/>
        </w:rPr>
        <w:t>Cr(</w:t>
      </w:r>
      <w:proofErr w:type="gramEnd"/>
      <w:r w:rsidR="005B7C7A" w:rsidRPr="00F9084A">
        <w:rPr>
          <w:sz w:val="18"/>
          <w:szCs w:val="18"/>
        </w:rPr>
        <w:t>III) SF transitions</w:t>
      </w:r>
      <w:r w:rsidR="004D281F" w:rsidRPr="00F9084A">
        <w:rPr>
          <w:sz w:val="18"/>
          <w:szCs w:val="18"/>
        </w:rPr>
        <w:t xml:space="preserve"> of the molecular ruby [Cr(</w:t>
      </w:r>
      <w:proofErr w:type="spellStart"/>
      <w:r w:rsidR="004D281F" w:rsidRPr="00F9084A">
        <w:rPr>
          <w:sz w:val="18"/>
          <w:szCs w:val="18"/>
        </w:rPr>
        <w:t>dqp</w:t>
      </w:r>
      <w:proofErr w:type="spellEnd"/>
      <w:r w:rsidR="004D281F" w:rsidRPr="00F9084A">
        <w:rPr>
          <w:sz w:val="18"/>
          <w:szCs w:val="18"/>
        </w:rPr>
        <w:t>)</w:t>
      </w:r>
      <w:r w:rsidR="004D281F" w:rsidRPr="00F9084A">
        <w:rPr>
          <w:sz w:val="18"/>
          <w:szCs w:val="18"/>
          <w:vertAlign w:val="subscript"/>
        </w:rPr>
        <w:t>2</w:t>
      </w:r>
      <w:r w:rsidR="004D281F" w:rsidRPr="00F9084A">
        <w:rPr>
          <w:sz w:val="18"/>
          <w:szCs w:val="18"/>
        </w:rPr>
        <w:t>]</w:t>
      </w:r>
      <w:r w:rsidR="004D281F" w:rsidRPr="00F9084A">
        <w:rPr>
          <w:sz w:val="18"/>
          <w:szCs w:val="18"/>
          <w:vertAlign w:val="superscript"/>
        </w:rPr>
        <w:t>3+</w:t>
      </w:r>
      <w:r w:rsidR="005B7C7A" w:rsidRPr="00F9084A">
        <w:rPr>
          <w:sz w:val="18"/>
          <w:szCs w:val="18"/>
        </w:rPr>
        <w:t xml:space="preserve">, </w:t>
      </w:r>
      <w:r w:rsidR="001260F9" w:rsidRPr="00F9084A">
        <w:rPr>
          <w:sz w:val="18"/>
          <w:szCs w:val="18"/>
        </w:rPr>
        <w:t xml:space="preserve">we show here that </w:t>
      </w:r>
      <w:r w:rsidR="005B7C7A" w:rsidRPr="00F9084A">
        <w:rPr>
          <w:sz w:val="18"/>
          <w:szCs w:val="18"/>
        </w:rPr>
        <w:t xml:space="preserve">they also </w:t>
      </w:r>
      <w:r w:rsidR="004D281F" w:rsidRPr="00F9084A">
        <w:rPr>
          <w:sz w:val="18"/>
          <w:szCs w:val="18"/>
        </w:rPr>
        <w:t xml:space="preserve">display </w:t>
      </w:r>
      <w:r w:rsidR="009E23D8">
        <w:rPr>
          <w:sz w:val="18"/>
          <w:szCs w:val="18"/>
        </w:rPr>
        <w:t>a</w:t>
      </w:r>
      <w:r w:rsidRPr="00F9084A">
        <w:rPr>
          <w:sz w:val="18"/>
          <w:szCs w:val="18"/>
        </w:rPr>
        <w:t xml:space="preserve"> </w:t>
      </w:r>
      <w:r w:rsidR="004D281F" w:rsidRPr="00F9084A">
        <w:rPr>
          <w:sz w:val="18"/>
          <w:szCs w:val="18"/>
        </w:rPr>
        <w:t xml:space="preserve">strong MCPL activity. MCD and MCPL techniques </w:t>
      </w:r>
      <w:r w:rsidR="00714A1C" w:rsidRPr="00F9084A">
        <w:rPr>
          <w:sz w:val="18"/>
          <w:szCs w:val="18"/>
        </w:rPr>
        <w:t xml:space="preserve">are here </w:t>
      </w:r>
      <w:r w:rsidR="00B76B31" w:rsidRPr="00F9084A">
        <w:rPr>
          <w:sz w:val="18"/>
          <w:szCs w:val="18"/>
        </w:rPr>
        <w:t>applied</w:t>
      </w:r>
      <w:r w:rsidR="00714A1C" w:rsidRPr="00F9084A">
        <w:rPr>
          <w:sz w:val="18"/>
          <w:szCs w:val="18"/>
        </w:rPr>
        <w:t xml:space="preserve"> </w:t>
      </w:r>
      <w:r w:rsidR="004D281F" w:rsidRPr="00F9084A">
        <w:rPr>
          <w:sz w:val="18"/>
          <w:szCs w:val="18"/>
        </w:rPr>
        <w:t>to elucidate the fine structure of the levels involved in the SF transitions</w:t>
      </w:r>
      <w:r w:rsidR="003503F8" w:rsidRPr="00F9084A">
        <w:rPr>
          <w:sz w:val="18"/>
          <w:szCs w:val="18"/>
        </w:rPr>
        <w:t>.</w:t>
      </w:r>
      <w:r w:rsidR="00573EDB">
        <w:rPr>
          <w:sz w:val="18"/>
          <w:szCs w:val="18"/>
        </w:rPr>
        <w:t xml:space="preserve"> </w:t>
      </w:r>
      <w:r w:rsidR="00573EDB" w:rsidRPr="00FC769A">
        <w:rPr>
          <w:sz w:val="18"/>
          <w:szCs w:val="18"/>
          <w:highlight w:val="yellow"/>
        </w:rPr>
        <w:t xml:space="preserve">In particular, the analysis of </w:t>
      </w:r>
      <w:r w:rsidR="00FC71C2" w:rsidRPr="00FC769A">
        <w:rPr>
          <w:sz w:val="18"/>
          <w:szCs w:val="18"/>
          <w:highlight w:val="yellow"/>
        </w:rPr>
        <w:t xml:space="preserve">SF transition through </w:t>
      </w:r>
      <w:r w:rsidR="00573EDB" w:rsidRPr="00FC769A">
        <w:rPr>
          <w:sz w:val="18"/>
          <w:szCs w:val="18"/>
          <w:highlight w:val="yellow"/>
        </w:rPr>
        <w:t xml:space="preserve">MCPL </w:t>
      </w:r>
      <w:r w:rsidR="004473EB" w:rsidRPr="00FC769A">
        <w:rPr>
          <w:sz w:val="18"/>
          <w:szCs w:val="18"/>
          <w:highlight w:val="yellow"/>
        </w:rPr>
        <w:t>was consistent</w:t>
      </w:r>
      <w:r w:rsidR="008C4186" w:rsidRPr="00FC769A">
        <w:rPr>
          <w:sz w:val="18"/>
          <w:szCs w:val="18"/>
          <w:highlight w:val="yellow"/>
        </w:rPr>
        <w:t xml:space="preserve"> with the energies found with </w:t>
      </w:r>
      <w:r w:rsidR="00FC71C2" w:rsidRPr="00FC769A">
        <w:rPr>
          <w:sz w:val="18"/>
          <w:szCs w:val="18"/>
          <w:highlight w:val="yellow"/>
        </w:rPr>
        <w:t xml:space="preserve">the </w:t>
      </w:r>
      <w:r w:rsidR="008C4186" w:rsidRPr="00FC769A">
        <w:rPr>
          <w:sz w:val="18"/>
          <w:szCs w:val="18"/>
          <w:highlight w:val="yellow"/>
        </w:rPr>
        <w:t>more established EPR spectroscopy</w:t>
      </w:r>
      <w:r w:rsidR="00CC3588" w:rsidRPr="00FC769A">
        <w:rPr>
          <w:sz w:val="18"/>
          <w:szCs w:val="18"/>
          <w:highlight w:val="yellow"/>
        </w:rPr>
        <w:t>.</w:t>
      </w:r>
      <w:r w:rsidR="004D281F" w:rsidRPr="00F9084A">
        <w:rPr>
          <w:sz w:val="18"/>
          <w:szCs w:val="18"/>
        </w:rPr>
        <w:t xml:space="preserve"> Such </w:t>
      </w:r>
      <w:r w:rsidR="00041C0A" w:rsidRPr="00F9084A">
        <w:rPr>
          <w:sz w:val="18"/>
          <w:szCs w:val="18"/>
        </w:rPr>
        <w:t>possibilities offered by magneto-optical techniques</w:t>
      </w:r>
      <w:r w:rsidR="004D281F" w:rsidRPr="00F9084A">
        <w:rPr>
          <w:sz w:val="18"/>
          <w:szCs w:val="18"/>
        </w:rPr>
        <w:t xml:space="preserve"> can be exploited to gather more insight into the </w:t>
      </w:r>
      <w:proofErr w:type="spellStart"/>
      <w:r w:rsidR="004D281F" w:rsidRPr="00F9084A">
        <w:rPr>
          <w:sz w:val="18"/>
          <w:szCs w:val="18"/>
        </w:rPr>
        <w:t>photophysics</w:t>
      </w:r>
      <w:proofErr w:type="spellEnd"/>
      <w:r w:rsidR="004D281F" w:rsidRPr="00F9084A">
        <w:rPr>
          <w:sz w:val="18"/>
          <w:szCs w:val="18"/>
        </w:rPr>
        <w:t xml:space="preserve"> of SF transitions in related cases</w:t>
      </w:r>
      <w:r w:rsidR="00415155" w:rsidRPr="00F9084A">
        <w:rPr>
          <w:sz w:val="18"/>
          <w:szCs w:val="18"/>
        </w:rPr>
        <w:t xml:space="preserve">, e.g. in view of </w:t>
      </w:r>
      <w:r w:rsidR="00A76858" w:rsidRPr="00F9084A">
        <w:rPr>
          <w:rFonts w:ascii="MyriadPro-Regular" w:hAnsi="MyriadPro-Regular" w:cs="MyriadPro-Regular"/>
          <w:sz w:val="18"/>
          <w:szCs w:val="18"/>
        </w:rPr>
        <w:t>optical</w:t>
      </w:r>
      <w:r w:rsidR="00906D74" w:rsidRPr="00F9084A">
        <w:rPr>
          <w:rFonts w:ascii="MyriadPro-Regular" w:hAnsi="MyriadPro-Regular" w:cs="MyriadPro-Regular"/>
          <w:sz w:val="18"/>
          <w:szCs w:val="18"/>
        </w:rPr>
        <w:t xml:space="preserve"> read-out of </w:t>
      </w:r>
      <w:r w:rsidR="00A76858" w:rsidRPr="00F9084A">
        <w:rPr>
          <w:rFonts w:ascii="MyriadPro-Regular" w:hAnsi="MyriadPro-Regular" w:cs="MyriadPro-Regular"/>
          <w:sz w:val="18"/>
          <w:szCs w:val="18"/>
        </w:rPr>
        <w:t>molecular qubit</w:t>
      </w:r>
      <w:r w:rsidR="00415155" w:rsidRPr="00F9084A">
        <w:rPr>
          <w:rFonts w:ascii="MyriadPro-Regular" w:hAnsi="MyriadPro-Regular" w:cs="MyriadPro-Regular"/>
          <w:sz w:val="18"/>
          <w:szCs w:val="18"/>
        </w:rPr>
        <w:t>s. M</w:t>
      </w:r>
      <w:r w:rsidR="004D281F" w:rsidRPr="00F9084A">
        <w:rPr>
          <w:sz w:val="18"/>
          <w:szCs w:val="18"/>
        </w:rPr>
        <w:t xml:space="preserve">oreover, it </w:t>
      </w:r>
      <w:proofErr w:type="gramStart"/>
      <w:r w:rsidR="004D281F" w:rsidRPr="00F9084A">
        <w:rPr>
          <w:sz w:val="18"/>
          <w:szCs w:val="18"/>
        </w:rPr>
        <w:t>opens up</w:t>
      </w:r>
      <w:proofErr w:type="gramEnd"/>
      <w:r w:rsidR="004D281F" w:rsidRPr="00F9084A">
        <w:rPr>
          <w:sz w:val="18"/>
          <w:szCs w:val="18"/>
        </w:rPr>
        <w:t xml:space="preserve"> new opportunities such as applications in </w:t>
      </w:r>
      <w:r w:rsidR="00F720C8" w:rsidRPr="00F9084A">
        <w:rPr>
          <w:sz w:val="18"/>
          <w:szCs w:val="18"/>
        </w:rPr>
        <w:t>magneto-optic</w:t>
      </w:r>
      <w:r w:rsidR="006D0463" w:rsidRPr="00F9084A">
        <w:rPr>
          <w:sz w:val="18"/>
          <w:szCs w:val="18"/>
        </w:rPr>
        <w:t>al</w:t>
      </w:r>
      <w:r w:rsidR="00F720C8" w:rsidRPr="00F9084A">
        <w:rPr>
          <w:sz w:val="18"/>
          <w:szCs w:val="18"/>
        </w:rPr>
        <w:t xml:space="preserve"> and </w:t>
      </w:r>
      <w:r w:rsidR="004D281F" w:rsidRPr="00F9084A">
        <w:rPr>
          <w:sz w:val="18"/>
          <w:szCs w:val="18"/>
        </w:rPr>
        <w:t>magnetoelectronic devices.</w:t>
      </w:r>
    </w:p>
    <w:p w14:paraId="466E01EF" w14:textId="12B987D2" w:rsidR="001925B0" w:rsidRPr="00F9084A" w:rsidRDefault="001925B0" w:rsidP="001925B0">
      <w:pPr>
        <w:pStyle w:val="RSCB04AHeadingSection"/>
      </w:pPr>
      <w:r w:rsidRPr="00F9084A">
        <w:t>Author Contributions</w:t>
      </w:r>
    </w:p>
    <w:p w14:paraId="0C746838" w14:textId="6BE28DDA" w:rsidR="00BC708D" w:rsidRPr="00F9084A" w:rsidRDefault="006057EC" w:rsidP="006F23BD">
      <w:pPr>
        <w:spacing w:line="240" w:lineRule="exact"/>
        <w:jc w:val="both"/>
        <w:rPr>
          <w:sz w:val="18"/>
          <w:szCs w:val="18"/>
        </w:rPr>
      </w:pPr>
      <w:r w:rsidRPr="00F9084A">
        <w:rPr>
          <w:sz w:val="18"/>
          <w:szCs w:val="18"/>
        </w:rPr>
        <w:t>Conceptualization: F.Z.; Data curation: A.G., G.P., F.P.,</w:t>
      </w:r>
      <w:r w:rsidR="00B7245C" w:rsidRPr="00F9084A">
        <w:rPr>
          <w:sz w:val="18"/>
          <w:szCs w:val="18"/>
        </w:rPr>
        <w:t xml:space="preserve"> J.R.J.,</w:t>
      </w:r>
      <w:r w:rsidRPr="00F9084A">
        <w:rPr>
          <w:sz w:val="18"/>
          <w:szCs w:val="18"/>
        </w:rPr>
        <w:t xml:space="preserve"> F.Z.; Formal Analysis: A.G., F.Z.; </w:t>
      </w:r>
      <w:r w:rsidR="00AB1C10" w:rsidRPr="00F9084A">
        <w:rPr>
          <w:sz w:val="18"/>
          <w:szCs w:val="18"/>
        </w:rPr>
        <w:t>R</w:t>
      </w:r>
      <w:r w:rsidRPr="00F9084A">
        <w:rPr>
          <w:sz w:val="18"/>
          <w:szCs w:val="18"/>
        </w:rPr>
        <w:t>esources:</w:t>
      </w:r>
      <w:r w:rsidR="00AB1C10" w:rsidRPr="00F9084A">
        <w:rPr>
          <w:sz w:val="18"/>
          <w:szCs w:val="18"/>
        </w:rPr>
        <w:t xml:space="preserve"> M.P., C.P., J.R.J.;</w:t>
      </w:r>
      <w:r w:rsidRPr="00F9084A">
        <w:rPr>
          <w:sz w:val="18"/>
          <w:szCs w:val="18"/>
        </w:rPr>
        <w:t xml:space="preserve"> Funding acquisition: L.D.B.,</w:t>
      </w:r>
      <w:r w:rsidR="00AB1C10" w:rsidRPr="00F9084A">
        <w:rPr>
          <w:sz w:val="18"/>
          <w:szCs w:val="18"/>
        </w:rPr>
        <w:t xml:space="preserve"> C.P.,</w:t>
      </w:r>
      <w:r w:rsidRPr="00F9084A">
        <w:rPr>
          <w:sz w:val="18"/>
          <w:szCs w:val="18"/>
        </w:rPr>
        <w:t xml:space="preserve"> F.P.</w:t>
      </w:r>
      <w:r w:rsidR="006F03F9" w:rsidRPr="00F9084A">
        <w:rPr>
          <w:sz w:val="18"/>
          <w:szCs w:val="18"/>
        </w:rPr>
        <w:t>, J.R.J</w:t>
      </w:r>
      <w:r w:rsidRPr="00F9084A">
        <w:rPr>
          <w:sz w:val="18"/>
          <w:szCs w:val="18"/>
        </w:rPr>
        <w:t>; Investigation: A.G., L.C.,</w:t>
      </w:r>
      <w:r w:rsidR="006F03F9" w:rsidRPr="00F9084A">
        <w:rPr>
          <w:sz w:val="18"/>
          <w:szCs w:val="18"/>
        </w:rPr>
        <w:t xml:space="preserve"> E.C., J.K.,</w:t>
      </w:r>
      <w:r w:rsidRPr="00F9084A">
        <w:rPr>
          <w:sz w:val="18"/>
          <w:szCs w:val="18"/>
        </w:rPr>
        <w:t xml:space="preserve"> F.Z.  Methodology: F.Z., G.P.  Writing – original draft</w:t>
      </w:r>
      <w:r w:rsidR="006F23BD" w:rsidRPr="00F9084A">
        <w:rPr>
          <w:sz w:val="18"/>
          <w:szCs w:val="18"/>
        </w:rPr>
        <w:t>: A.G., J.R.J, F.Z.;</w:t>
      </w:r>
      <w:r w:rsidRPr="00F9084A">
        <w:rPr>
          <w:sz w:val="18"/>
          <w:szCs w:val="18"/>
        </w:rPr>
        <w:t xml:space="preserve"> Writing – review &amp; editing</w:t>
      </w:r>
      <w:r w:rsidR="006F23BD" w:rsidRPr="00F9084A">
        <w:rPr>
          <w:sz w:val="18"/>
          <w:szCs w:val="18"/>
        </w:rPr>
        <w:t>: all authors.</w:t>
      </w:r>
    </w:p>
    <w:p w14:paraId="177CDB0E" w14:textId="30DD831C" w:rsidR="00C9557D" w:rsidRPr="00F9084A" w:rsidRDefault="00C9557D" w:rsidP="00C9557D">
      <w:pPr>
        <w:pStyle w:val="RSCB04AHeadingSection"/>
      </w:pPr>
      <w:r w:rsidRPr="00F9084A">
        <w:t>Conflict</w:t>
      </w:r>
      <w:r w:rsidR="00F05C18" w:rsidRPr="00F9084A">
        <w:t>s</w:t>
      </w:r>
      <w:r w:rsidRPr="00F9084A">
        <w:t xml:space="preserve"> of interest</w:t>
      </w:r>
    </w:p>
    <w:p w14:paraId="246AAD08" w14:textId="7F3680ED" w:rsidR="00A05364" w:rsidRPr="00F9084A" w:rsidRDefault="00A05364" w:rsidP="00A05364">
      <w:pPr>
        <w:rPr>
          <w:rFonts w:cs="Times New Roman"/>
          <w:w w:val="108"/>
          <w:sz w:val="18"/>
          <w:szCs w:val="18"/>
        </w:rPr>
      </w:pPr>
      <w:r w:rsidRPr="00F9084A">
        <w:rPr>
          <w:rFonts w:cs="Times New Roman"/>
          <w:w w:val="108"/>
          <w:sz w:val="18"/>
          <w:szCs w:val="18"/>
        </w:rPr>
        <w:t>There are no conflicts to declare.</w:t>
      </w:r>
    </w:p>
    <w:p w14:paraId="2B7CDDB1" w14:textId="22A5C954" w:rsidR="00FA2DA2" w:rsidRPr="00F9084A" w:rsidRDefault="00FA2DA2" w:rsidP="00ED5BC0">
      <w:pPr>
        <w:pStyle w:val="RSCB04AHeadingSection"/>
        <w:keepNext/>
      </w:pPr>
      <w:r w:rsidRPr="00F9084A">
        <w:t>Acknowledgements</w:t>
      </w:r>
    </w:p>
    <w:p w14:paraId="70519FF5" w14:textId="169CEB0C" w:rsidR="00FA2DA2" w:rsidRPr="00F9084A" w:rsidRDefault="00504EE2" w:rsidP="00FA2DA2">
      <w:pPr>
        <w:pStyle w:val="RSCB02ArticleText"/>
      </w:pPr>
      <w:r>
        <w:t>We would like to thank Mr David Michelotti for technical support with the MCPL set-up.</w:t>
      </w:r>
      <w:r w:rsidR="009918F1">
        <w:t xml:space="preserve"> </w:t>
      </w:r>
      <w:r w:rsidR="00597300">
        <w:t xml:space="preserve"> F.P. acknowledges </w:t>
      </w:r>
      <w:r w:rsidR="009918F1" w:rsidRPr="2DB8FE1B">
        <w:rPr>
          <w:rFonts w:ascii="Calibri" w:hAnsi="Calibri" w:cs="Calibri"/>
        </w:rPr>
        <w:t>MUR through PRIN-PNRR project (P20229723Z)</w:t>
      </w:r>
      <w:r w:rsidR="00716164">
        <w:t xml:space="preserve"> </w:t>
      </w:r>
      <w:r w:rsidR="00716164" w:rsidRPr="2DB8FE1B">
        <w:rPr>
          <w:rFonts w:ascii="Calibri" w:hAnsi="Calibri" w:cs="Calibri"/>
        </w:rPr>
        <w:t>J</w:t>
      </w:r>
      <w:r w:rsidR="00716164" w:rsidRPr="2DB8FE1B">
        <w:rPr>
          <w:rFonts w:ascii="Calibri" w:hAnsi="Calibri" w:cs="Calibri"/>
          <w:lang w:val="en-US"/>
        </w:rPr>
        <w:t xml:space="preserve">.R.J. thanks </w:t>
      </w:r>
      <w:proofErr w:type="spellStart"/>
      <w:r w:rsidR="00716164" w:rsidRPr="2DB8FE1B">
        <w:rPr>
          <w:rFonts w:ascii="Calibri" w:hAnsi="Calibri" w:cs="Calibri"/>
          <w:lang w:val="en-US"/>
        </w:rPr>
        <w:t>Ministerio</w:t>
      </w:r>
      <w:proofErr w:type="spellEnd"/>
      <w:r w:rsidR="00716164" w:rsidRPr="2DB8FE1B">
        <w:rPr>
          <w:rFonts w:ascii="Calibri" w:hAnsi="Calibri" w:cs="Calibri"/>
          <w:lang w:val="en-US"/>
        </w:rPr>
        <w:t xml:space="preserve"> de </w:t>
      </w:r>
      <w:proofErr w:type="spellStart"/>
      <w:r w:rsidR="00716164" w:rsidRPr="2DB8FE1B">
        <w:rPr>
          <w:rFonts w:ascii="Calibri" w:hAnsi="Calibri" w:cs="Calibri"/>
          <w:lang w:val="en-US"/>
        </w:rPr>
        <w:t>Ciencia</w:t>
      </w:r>
      <w:proofErr w:type="spellEnd"/>
      <w:r w:rsidR="00716164" w:rsidRPr="2DB8FE1B">
        <w:rPr>
          <w:rFonts w:ascii="Calibri" w:hAnsi="Calibri" w:cs="Calibri"/>
          <w:lang w:val="en-US"/>
        </w:rPr>
        <w:t xml:space="preserve"> </w:t>
      </w:r>
      <w:proofErr w:type="spellStart"/>
      <w:r w:rsidR="00716164" w:rsidRPr="2DB8FE1B">
        <w:rPr>
          <w:rFonts w:ascii="Calibri" w:hAnsi="Calibri" w:cs="Calibri"/>
          <w:lang w:val="en-US"/>
        </w:rPr>
        <w:t>Innovación</w:t>
      </w:r>
      <w:proofErr w:type="spellEnd"/>
      <w:r w:rsidR="00716164" w:rsidRPr="2DB8FE1B">
        <w:rPr>
          <w:rFonts w:ascii="Calibri" w:hAnsi="Calibri" w:cs="Calibri"/>
          <w:lang w:val="en-US"/>
        </w:rPr>
        <w:t xml:space="preserve"> y </w:t>
      </w:r>
      <w:proofErr w:type="spellStart"/>
      <w:r w:rsidR="00716164" w:rsidRPr="2DB8FE1B">
        <w:rPr>
          <w:rFonts w:ascii="Calibri" w:hAnsi="Calibri" w:cs="Calibri"/>
          <w:lang w:val="en-US"/>
        </w:rPr>
        <w:t>Universidades</w:t>
      </w:r>
      <w:proofErr w:type="spellEnd"/>
      <w:r w:rsidR="00716164" w:rsidRPr="2DB8FE1B">
        <w:rPr>
          <w:rFonts w:ascii="Calibri" w:hAnsi="Calibri" w:cs="Calibri"/>
          <w:lang w:val="en-US"/>
        </w:rPr>
        <w:t xml:space="preserve"> for a Ramón y Cajal contract (grant RYC2022-037255-I) funded by MCIN/AEI/10.13039/501100011033 and FSE+</w:t>
      </w:r>
      <w:r w:rsidR="00716164" w:rsidRPr="2DB8FE1B">
        <w:rPr>
          <w:rFonts w:ascii="Calibri" w:hAnsi="Calibri" w:cs="Calibri"/>
        </w:rPr>
        <w:t>.</w:t>
      </w:r>
      <w:r w:rsidR="00E20A32" w:rsidRPr="2DB8FE1B">
        <w:rPr>
          <w:rFonts w:ascii="Calibri" w:hAnsi="Calibri" w:cs="Calibri"/>
        </w:rPr>
        <w:t xml:space="preserve"> Part of this work was done at the National High Magnetic Field Laboratory which is funded by the US National Science Foundation (Cooperative Agreement DMR-212856) and the State of Florida</w:t>
      </w:r>
      <w:r w:rsidR="00E20A32" w:rsidRPr="00635789">
        <w:rPr>
          <w:rFonts w:ascii="Calibri" w:hAnsi="Calibri" w:cs="Calibri"/>
          <w:highlight w:val="yellow"/>
        </w:rPr>
        <w:t>.</w:t>
      </w:r>
      <w:r w:rsidR="00635789" w:rsidRPr="00635789">
        <w:rPr>
          <w:rFonts w:ascii="Calibri" w:hAnsi="Calibri" w:cs="Calibri"/>
          <w:highlight w:val="yellow"/>
        </w:rPr>
        <w:t xml:space="preserve"> </w:t>
      </w:r>
      <w:proofErr w:type="spellStart"/>
      <w:r w:rsidR="00E972FC" w:rsidRPr="00EA1B03">
        <w:rPr>
          <w:rFonts w:ascii="Calibri" w:hAnsi="Calibri" w:cs="Calibri"/>
          <w:highlight w:val="yellow"/>
        </w:rPr>
        <w:t>Dr.</w:t>
      </w:r>
      <w:proofErr w:type="spellEnd"/>
      <w:r w:rsidR="00E972FC" w:rsidRPr="00EA1B03">
        <w:rPr>
          <w:rFonts w:ascii="Calibri" w:hAnsi="Calibri" w:cs="Calibri"/>
          <w:highlight w:val="yellow"/>
        </w:rPr>
        <w:t xml:space="preserve"> A. Ozarowski (NHMFL) is acknowledged for his EPR fit and simulation software SPIN </w:t>
      </w:r>
      <w:r w:rsidR="00E972FC" w:rsidRPr="00E972FC">
        <w:rPr>
          <w:rFonts w:ascii="Calibri" w:hAnsi="Calibri" w:cs="Calibri"/>
          <w:highlight w:val="yellow"/>
        </w:rPr>
        <w:t>and help with solving the level mixing problem.</w:t>
      </w:r>
      <w:r w:rsidR="00E972FC" w:rsidRPr="2DB8FE1B">
        <w:rPr>
          <w:rFonts w:ascii="Calibri" w:hAnsi="Calibri" w:cs="Calibri"/>
        </w:rPr>
        <w:t xml:space="preserve"> </w:t>
      </w:r>
      <w:r w:rsidR="00635789" w:rsidRPr="00635789">
        <w:rPr>
          <w:rFonts w:ascii="Calibri" w:hAnsi="Calibri" w:cs="Calibri"/>
          <w:highlight w:val="yellow"/>
        </w:rPr>
        <w:t>Prof.</w:t>
      </w:r>
      <w:r w:rsidR="120D1AB8" w:rsidRPr="00635789">
        <w:rPr>
          <w:rFonts w:ascii="Calibri" w:hAnsi="Calibri" w:cs="Calibri"/>
          <w:highlight w:val="yellow"/>
        </w:rPr>
        <w:t xml:space="preserve"> L. </w:t>
      </w:r>
      <w:r w:rsidR="120D1AB8" w:rsidRPr="2DB8FE1B">
        <w:rPr>
          <w:rFonts w:ascii="Calibri" w:hAnsi="Calibri" w:cs="Calibri"/>
          <w:highlight w:val="yellow"/>
        </w:rPr>
        <w:t xml:space="preserve">Sorace (University of Florence) is </w:t>
      </w:r>
      <w:r w:rsidR="00635789" w:rsidRPr="2DB8FE1B">
        <w:rPr>
          <w:rFonts w:ascii="Calibri" w:hAnsi="Calibri" w:cs="Calibri"/>
          <w:highlight w:val="yellow"/>
        </w:rPr>
        <w:t>acknowledged</w:t>
      </w:r>
      <w:r w:rsidR="120D1AB8" w:rsidRPr="2DB8FE1B">
        <w:rPr>
          <w:rFonts w:ascii="Calibri" w:hAnsi="Calibri" w:cs="Calibri"/>
          <w:highlight w:val="yellow"/>
        </w:rPr>
        <w:t xml:space="preserve"> for </w:t>
      </w:r>
      <w:r w:rsidR="00635789" w:rsidRPr="2DB8FE1B">
        <w:rPr>
          <w:rFonts w:ascii="Calibri" w:hAnsi="Calibri" w:cs="Calibri"/>
          <w:highlight w:val="yellow"/>
        </w:rPr>
        <w:t>fruitful</w:t>
      </w:r>
      <w:r w:rsidR="120D1AB8" w:rsidRPr="2DB8FE1B">
        <w:rPr>
          <w:rFonts w:ascii="Calibri" w:hAnsi="Calibri" w:cs="Calibri"/>
          <w:highlight w:val="yellow"/>
        </w:rPr>
        <w:t xml:space="preserve"> discussion</w:t>
      </w:r>
      <w:r w:rsidR="00E972FC">
        <w:rPr>
          <w:rFonts w:ascii="Calibri" w:hAnsi="Calibri" w:cs="Calibri"/>
          <w:highlight w:val="yellow"/>
        </w:rPr>
        <w:t>s</w:t>
      </w:r>
      <w:r w:rsidR="120D1AB8" w:rsidRPr="2DB8FE1B">
        <w:rPr>
          <w:rFonts w:ascii="Calibri" w:hAnsi="Calibri" w:cs="Calibri"/>
          <w:highlight w:val="yellow"/>
        </w:rPr>
        <w:t>.</w:t>
      </w:r>
    </w:p>
    <w:p w14:paraId="1892B867" w14:textId="09409D64" w:rsidR="00D010E8" w:rsidRPr="00F9084A" w:rsidRDefault="00E61949" w:rsidP="0047645B">
      <w:pPr>
        <w:spacing w:before="400" w:after="80" w:line="240" w:lineRule="auto"/>
        <w:rPr>
          <w:sz w:val="18"/>
          <w:szCs w:val="18"/>
        </w:rPr>
      </w:pPr>
      <w:r w:rsidRPr="00F9084A">
        <w:rPr>
          <w:b/>
          <w:sz w:val="24"/>
        </w:rPr>
        <w:t>Notes and references</w:t>
      </w:r>
      <w:r w:rsidR="009918F1" w:rsidRPr="00F9084A">
        <w:rPr>
          <w:b/>
          <w:sz w:val="24"/>
        </w:rPr>
        <w:t xml:space="preserve"> </w:t>
      </w:r>
    </w:p>
    <w:p w14:paraId="307F1CBC" w14:textId="77777777" w:rsidR="004A14F0" w:rsidRPr="00FC769A" w:rsidRDefault="00017E90" w:rsidP="004A14F0">
      <w:pPr>
        <w:pStyle w:val="Bibliografia"/>
        <w:rPr>
          <w:rFonts w:ascii="Calibrì" w:hAnsi="Calibrì" w:cstheme="minorHAnsi"/>
          <w:sz w:val="18"/>
          <w:szCs w:val="18"/>
        </w:rPr>
      </w:pPr>
      <w:r w:rsidRPr="00ED6233">
        <w:rPr>
          <w:rFonts w:ascii="Calibrì" w:hAnsi="Calibrì" w:cstheme="minorHAnsi"/>
          <w:sz w:val="18"/>
          <w:szCs w:val="18"/>
        </w:rPr>
        <w:fldChar w:fldCharType="begin"/>
      </w:r>
      <w:r w:rsidR="004A14F0" w:rsidRPr="00054568">
        <w:rPr>
          <w:rFonts w:ascii="Calibrì" w:hAnsi="Calibrì" w:cstheme="minorHAnsi"/>
          <w:sz w:val="18"/>
          <w:szCs w:val="18"/>
          <w:lang w:val="en-US"/>
        </w:rPr>
        <w:instrText xml:space="preserve"> ADDIN ZOTERO_BIBL {"uncited":[],"omitted":[],"custom":[]} CSL_BIBLIOGRAPHY </w:instrText>
      </w:r>
      <w:r w:rsidRPr="00ED6233">
        <w:rPr>
          <w:rFonts w:ascii="Calibrì" w:hAnsi="Calibrì" w:cstheme="minorHAnsi"/>
          <w:sz w:val="18"/>
          <w:szCs w:val="18"/>
        </w:rPr>
        <w:fldChar w:fldCharType="separate"/>
      </w:r>
      <w:r w:rsidR="004A14F0" w:rsidRPr="00054568">
        <w:rPr>
          <w:rFonts w:ascii="Calibrì" w:hAnsi="Calibrì" w:cstheme="minorHAnsi"/>
          <w:sz w:val="18"/>
          <w:szCs w:val="18"/>
          <w:lang w:val="en-US"/>
        </w:rPr>
        <w:t>1</w:t>
      </w:r>
      <w:r w:rsidR="004A14F0" w:rsidRPr="00054568">
        <w:rPr>
          <w:rFonts w:ascii="Calibrì" w:hAnsi="Calibrì" w:cstheme="minorHAnsi"/>
          <w:sz w:val="18"/>
          <w:szCs w:val="18"/>
          <w:lang w:val="en-US"/>
        </w:rPr>
        <w:tab/>
        <w:t xml:space="preserve">V. Balzani, A. Credi and M. Venturi, </w:t>
      </w:r>
      <w:r w:rsidR="004A14F0" w:rsidRPr="00054568">
        <w:rPr>
          <w:rFonts w:ascii="Calibrì" w:hAnsi="Calibrì" w:cstheme="minorHAnsi"/>
          <w:i/>
          <w:iCs/>
          <w:sz w:val="18"/>
          <w:szCs w:val="18"/>
          <w:lang w:val="en-US"/>
        </w:rPr>
        <w:t xml:space="preserve">Coord. </w:t>
      </w:r>
      <w:r w:rsidR="004A14F0" w:rsidRPr="00FC769A">
        <w:rPr>
          <w:rFonts w:ascii="Calibrì" w:hAnsi="Calibrì" w:cstheme="minorHAnsi"/>
          <w:i/>
          <w:iCs/>
          <w:sz w:val="18"/>
          <w:szCs w:val="18"/>
        </w:rPr>
        <w:t>Chem. Rev.</w:t>
      </w:r>
      <w:r w:rsidR="004A14F0" w:rsidRPr="00FC769A">
        <w:rPr>
          <w:rFonts w:ascii="Calibrì" w:hAnsi="Calibrì" w:cstheme="minorHAnsi"/>
          <w:sz w:val="18"/>
          <w:szCs w:val="18"/>
        </w:rPr>
        <w:t xml:space="preserve">, 1998, </w:t>
      </w:r>
      <w:r w:rsidR="004A14F0" w:rsidRPr="00FC769A">
        <w:rPr>
          <w:rFonts w:ascii="Calibrì" w:hAnsi="Calibrì" w:cstheme="minorHAnsi"/>
          <w:b/>
          <w:bCs/>
          <w:sz w:val="18"/>
          <w:szCs w:val="18"/>
        </w:rPr>
        <w:t>171</w:t>
      </w:r>
      <w:r w:rsidR="004A14F0" w:rsidRPr="00FC769A">
        <w:rPr>
          <w:rFonts w:ascii="Calibrì" w:hAnsi="Calibrì" w:cstheme="minorHAnsi"/>
          <w:sz w:val="18"/>
          <w:szCs w:val="18"/>
        </w:rPr>
        <w:t>, 3–16.</w:t>
      </w:r>
    </w:p>
    <w:p w14:paraId="177E24F4"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2</w:t>
      </w:r>
      <w:r w:rsidRPr="00FC769A">
        <w:rPr>
          <w:rFonts w:ascii="Calibrì" w:hAnsi="Calibrì" w:cstheme="minorHAnsi"/>
          <w:sz w:val="18"/>
          <w:szCs w:val="18"/>
        </w:rPr>
        <w:tab/>
        <w:t xml:space="preserve">J. Twilton, C. (Chip) Le, P. Zhang, M. H. Shaw, R. W. Evans and D. W. C. MacMillan, </w:t>
      </w:r>
      <w:r w:rsidRPr="00FC769A">
        <w:rPr>
          <w:rFonts w:ascii="Calibrì" w:hAnsi="Calibrì" w:cstheme="minorHAnsi"/>
          <w:i/>
          <w:iCs/>
          <w:sz w:val="18"/>
          <w:szCs w:val="18"/>
        </w:rPr>
        <w:t>Nat Rev Chem</w:t>
      </w:r>
      <w:r w:rsidRPr="00FC769A">
        <w:rPr>
          <w:rFonts w:ascii="Calibrì" w:hAnsi="Calibrì" w:cstheme="minorHAnsi"/>
          <w:sz w:val="18"/>
          <w:szCs w:val="18"/>
        </w:rPr>
        <w:t xml:space="preserve">, 2017, </w:t>
      </w:r>
      <w:r w:rsidRPr="00FC769A">
        <w:rPr>
          <w:rFonts w:ascii="Calibrì" w:hAnsi="Calibrì" w:cstheme="minorHAnsi"/>
          <w:b/>
          <w:bCs/>
          <w:sz w:val="18"/>
          <w:szCs w:val="18"/>
        </w:rPr>
        <w:t>1</w:t>
      </w:r>
      <w:r w:rsidRPr="00FC769A">
        <w:rPr>
          <w:rFonts w:ascii="Calibrì" w:hAnsi="Calibrì" w:cstheme="minorHAnsi"/>
          <w:sz w:val="18"/>
          <w:szCs w:val="18"/>
        </w:rPr>
        <w:t>, 1–19.</w:t>
      </w:r>
    </w:p>
    <w:p w14:paraId="5D5C5F88"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3</w:t>
      </w:r>
      <w:r w:rsidRPr="00FC769A">
        <w:rPr>
          <w:rFonts w:ascii="Calibrì" w:hAnsi="Calibrì" w:cstheme="minorHAnsi"/>
          <w:sz w:val="18"/>
          <w:szCs w:val="18"/>
        </w:rPr>
        <w:tab/>
        <w:t xml:space="preserve">H. Xu, R. Chen, Q. Sun, W. Lai, Q. Su, W. Huang and X. Liu, </w:t>
      </w:r>
      <w:r w:rsidRPr="00FC769A">
        <w:rPr>
          <w:rFonts w:ascii="Calibrì" w:hAnsi="Calibrì" w:cstheme="minorHAnsi"/>
          <w:i/>
          <w:iCs/>
          <w:sz w:val="18"/>
          <w:szCs w:val="18"/>
        </w:rPr>
        <w:t>Chem. Soc. Rev.</w:t>
      </w:r>
      <w:r w:rsidRPr="00FC769A">
        <w:rPr>
          <w:rFonts w:ascii="Calibrì" w:hAnsi="Calibrì" w:cstheme="minorHAnsi"/>
          <w:sz w:val="18"/>
          <w:szCs w:val="18"/>
        </w:rPr>
        <w:t xml:space="preserve">, 2014, </w:t>
      </w:r>
      <w:r w:rsidRPr="00FC769A">
        <w:rPr>
          <w:rFonts w:ascii="Calibrì" w:hAnsi="Calibrì" w:cstheme="minorHAnsi"/>
          <w:b/>
          <w:bCs/>
          <w:sz w:val="18"/>
          <w:szCs w:val="18"/>
        </w:rPr>
        <w:t>43</w:t>
      </w:r>
      <w:r w:rsidRPr="00FC769A">
        <w:rPr>
          <w:rFonts w:ascii="Calibrì" w:hAnsi="Calibrì" w:cstheme="minorHAnsi"/>
          <w:sz w:val="18"/>
          <w:szCs w:val="18"/>
        </w:rPr>
        <w:t>, 3259–3302.</w:t>
      </w:r>
    </w:p>
    <w:p w14:paraId="3BC9DBC5"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4</w:t>
      </w:r>
      <w:r w:rsidRPr="00FC769A">
        <w:rPr>
          <w:rFonts w:ascii="Calibrì" w:hAnsi="Calibrì" w:cstheme="minorHAnsi"/>
          <w:sz w:val="18"/>
          <w:szCs w:val="18"/>
        </w:rPr>
        <w:tab/>
        <w:t xml:space="preserve">W. C. H. Choy, W. K. Chan and Y. Yuan, </w:t>
      </w:r>
      <w:r w:rsidRPr="00FC769A">
        <w:rPr>
          <w:rFonts w:ascii="Calibrì" w:hAnsi="Calibrì" w:cstheme="minorHAnsi"/>
          <w:i/>
          <w:iCs/>
          <w:sz w:val="18"/>
          <w:szCs w:val="18"/>
        </w:rPr>
        <w:t>Adv. Mater.</w:t>
      </w:r>
      <w:r w:rsidRPr="00FC769A">
        <w:rPr>
          <w:rFonts w:ascii="Calibrì" w:hAnsi="Calibrì" w:cstheme="minorHAnsi"/>
          <w:sz w:val="18"/>
          <w:szCs w:val="18"/>
        </w:rPr>
        <w:t xml:space="preserve">, 2014, </w:t>
      </w:r>
      <w:r w:rsidRPr="00FC769A">
        <w:rPr>
          <w:rFonts w:ascii="Calibrì" w:hAnsi="Calibrì" w:cstheme="minorHAnsi"/>
          <w:b/>
          <w:bCs/>
          <w:sz w:val="18"/>
          <w:szCs w:val="18"/>
        </w:rPr>
        <w:t>26</w:t>
      </w:r>
      <w:r w:rsidRPr="00FC769A">
        <w:rPr>
          <w:rFonts w:ascii="Calibrì" w:hAnsi="Calibrì" w:cstheme="minorHAnsi"/>
          <w:sz w:val="18"/>
          <w:szCs w:val="18"/>
        </w:rPr>
        <w:t>, 5368–5399.</w:t>
      </w:r>
    </w:p>
    <w:p w14:paraId="4A00D59B"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5</w:t>
      </w:r>
      <w:r w:rsidRPr="00FC769A">
        <w:rPr>
          <w:rFonts w:ascii="Calibrì" w:hAnsi="Calibrì" w:cstheme="minorHAnsi"/>
          <w:sz w:val="18"/>
          <w:szCs w:val="18"/>
        </w:rPr>
        <w:tab/>
        <w:t xml:space="preserve">M. P. Coogan and V. Fernández-Moreira, </w:t>
      </w:r>
      <w:r w:rsidRPr="00FC769A">
        <w:rPr>
          <w:rFonts w:ascii="Calibrì" w:hAnsi="Calibrì" w:cstheme="minorHAnsi"/>
          <w:i/>
          <w:iCs/>
          <w:sz w:val="18"/>
          <w:szCs w:val="18"/>
        </w:rPr>
        <w:t>Chem. Commun.</w:t>
      </w:r>
      <w:r w:rsidRPr="00FC769A">
        <w:rPr>
          <w:rFonts w:ascii="Calibrì" w:hAnsi="Calibrì" w:cstheme="minorHAnsi"/>
          <w:sz w:val="18"/>
          <w:szCs w:val="18"/>
        </w:rPr>
        <w:t xml:space="preserve">, 2013, </w:t>
      </w:r>
      <w:r w:rsidRPr="00FC769A">
        <w:rPr>
          <w:rFonts w:ascii="Calibrì" w:hAnsi="Calibrì" w:cstheme="minorHAnsi"/>
          <w:b/>
          <w:bCs/>
          <w:sz w:val="18"/>
          <w:szCs w:val="18"/>
        </w:rPr>
        <w:t>50</w:t>
      </w:r>
      <w:r w:rsidRPr="00FC769A">
        <w:rPr>
          <w:rFonts w:ascii="Calibrì" w:hAnsi="Calibrì" w:cstheme="minorHAnsi"/>
          <w:sz w:val="18"/>
          <w:szCs w:val="18"/>
        </w:rPr>
        <w:t>, 384–399.</w:t>
      </w:r>
    </w:p>
    <w:p w14:paraId="1D0F6843"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6</w:t>
      </w:r>
      <w:r w:rsidRPr="00FC769A">
        <w:rPr>
          <w:rFonts w:ascii="Calibrì" w:hAnsi="Calibrì" w:cstheme="minorHAnsi"/>
          <w:sz w:val="18"/>
          <w:szCs w:val="18"/>
        </w:rPr>
        <w:tab/>
        <w:t xml:space="preserve">J. Berrones Reyes, M. K. Kuimova and R. Vilar, </w:t>
      </w:r>
      <w:r w:rsidRPr="00FC769A">
        <w:rPr>
          <w:rFonts w:ascii="Calibrì" w:hAnsi="Calibrì" w:cstheme="minorHAnsi"/>
          <w:i/>
          <w:iCs/>
          <w:sz w:val="18"/>
          <w:szCs w:val="18"/>
        </w:rPr>
        <w:t>Curr. Opin. Chem. Biol.</w:t>
      </w:r>
      <w:r w:rsidRPr="00FC769A">
        <w:rPr>
          <w:rFonts w:ascii="Calibrì" w:hAnsi="Calibrì" w:cstheme="minorHAnsi"/>
          <w:sz w:val="18"/>
          <w:szCs w:val="18"/>
        </w:rPr>
        <w:t xml:space="preserve">, 2021, </w:t>
      </w:r>
      <w:r w:rsidRPr="00FC769A">
        <w:rPr>
          <w:rFonts w:ascii="Calibrì" w:hAnsi="Calibrì" w:cstheme="minorHAnsi"/>
          <w:b/>
          <w:bCs/>
          <w:sz w:val="18"/>
          <w:szCs w:val="18"/>
        </w:rPr>
        <w:t>61</w:t>
      </w:r>
      <w:r w:rsidRPr="00FC769A">
        <w:rPr>
          <w:rFonts w:ascii="Calibrì" w:hAnsi="Calibrì" w:cstheme="minorHAnsi"/>
          <w:sz w:val="18"/>
          <w:szCs w:val="18"/>
        </w:rPr>
        <w:t>, 179–190.</w:t>
      </w:r>
    </w:p>
    <w:p w14:paraId="731F9AB8"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7</w:t>
      </w:r>
      <w:r w:rsidRPr="00FC769A">
        <w:rPr>
          <w:rFonts w:ascii="Calibrì" w:hAnsi="Calibrì" w:cstheme="minorHAnsi"/>
          <w:sz w:val="18"/>
          <w:szCs w:val="18"/>
        </w:rPr>
        <w:tab/>
        <w:t xml:space="preserve">Y. Wu, S. Li, Y. Chen, W. He and Z. Guo, </w:t>
      </w:r>
      <w:r w:rsidRPr="00FC769A">
        <w:rPr>
          <w:rFonts w:ascii="Calibrì" w:hAnsi="Calibrì" w:cstheme="minorHAnsi"/>
          <w:i/>
          <w:iCs/>
          <w:sz w:val="18"/>
          <w:szCs w:val="18"/>
        </w:rPr>
        <w:t>Chem. Sci.</w:t>
      </w:r>
      <w:r w:rsidRPr="00FC769A">
        <w:rPr>
          <w:rFonts w:ascii="Calibrì" w:hAnsi="Calibrì" w:cstheme="minorHAnsi"/>
          <w:sz w:val="18"/>
          <w:szCs w:val="18"/>
        </w:rPr>
        <w:t xml:space="preserve">, 2022, </w:t>
      </w:r>
      <w:r w:rsidRPr="00FC769A">
        <w:rPr>
          <w:rFonts w:ascii="Calibrì" w:hAnsi="Calibrì" w:cstheme="minorHAnsi"/>
          <w:b/>
          <w:bCs/>
          <w:sz w:val="18"/>
          <w:szCs w:val="18"/>
        </w:rPr>
        <w:t>13</w:t>
      </w:r>
      <w:r w:rsidRPr="00FC769A">
        <w:rPr>
          <w:rFonts w:ascii="Calibrì" w:hAnsi="Calibrì" w:cstheme="minorHAnsi"/>
          <w:sz w:val="18"/>
          <w:szCs w:val="18"/>
        </w:rPr>
        <w:t>, 5085–5106.</w:t>
      </w:r>
    </w:p>
    <w:p w14:paraId="1E7F7085"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8</w:t>
      </w:r>
      <w:r w:rsidRPr="00FC769A">
        <w:rPr>
          <w:rFonts w:ascii="Calibrì" w:hAnsi="Calibrì" w:cstheme="minorHAnsi"/>
          <w:sz w:val="18"/>
          <w:szCs w:val="18"/>
        </w:rPr>
        <w:tab/>
        <w:t xml:space="preserve">T. W. Rees, P.-Y. Ho and J. Hess, </w:t>
      </w:r>
      <w:r w:rsidRPr="00FC769A">
        <w:rPr>
          <w:rFonts w:ascii="Calibrì" w:hAnsi="Calibrì" w:cstheme="minorHAnsi"/>
          <w:i/>
          <w:iCs/>
          <w:sz w:val="18"/>
          <w:szCs w:val="18"/>
        </w:rPr>
        <w:t>ChemBioChem</w:t>
      </w:r>
      <w:r w:rsidRPr="00FC769A">
        <w:rPr>
          <w:rFonts w:ascii="Calibrì" w:hAnsi="Calibrì" w:cstheme="minorHAnsi"/>
          <w:sz w:val="18"/>
          <w:szCs w:val="18"/>
        </w:rPr>
        <w:t xml:space="preserve">, 2023, </w:t>
      </w:r>
      <w:r w:rsidRPr="00FC769A">
        <w:rPr>
          <w:rFonts w:ascii="Calibrì" w:hAnsi="Calibrì" w:cstheme="minorHAnsi"/>
          <w:b/>
          <w:bCs/>
          <w:sz w:val="18"/>
          <w:szCs w:val="18"/>
        </w:rPr>
        <w:t>24</w:t>
      </w:r>
      <w:r w:rsidRPr="00FC769A">
        <w:rPr>
          <w:rFonts w:ascii="Calibrì" w:hAnsi="Calibrì" w:cstheme="minorHAnsi"/>
          <w:sz w:val="18"/>
          <w:szCs w:val="18"/>
        </w:rPr>
        <w:t>, e202200796.</w:t>
      </w:r>
    </w:p>
    <w:p w14:paraId="1A0C528B"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9</w:t>
      </w:r>
      <w:r w:rsidRPr="00FC769A">
        <w:rPr>
          <w:rFonts w:ascii="Calibrì" w:hAnsi="Calibrì" w:cstheme="minorHAnsi"/>
          <w:sz w:val="18"/>
          <w:szCs w:val="18"/>
        </w:rPr>
        <w:tab/>
        <w:t xml:space="preserve">C. B. Smith, L. C. Days, D. R. Alajroush, K. Faye, Y. Khodour, S. J. Beebe and A. A. Holder, </w:t>
      </w:r>
      <w:r w:rsidRPr="00FC769A">
        <w:rPr>
          <w:rFonts w:ascii="Calibrì" w:hAnsi="Calibrì" w:cstheme="minorHAnsi"/>
          <w:i/>
          <w:iCs/>
          <w:sz w:val="18"/>
          <w:szCs w:val="18"/>
        </w:rPr>
        <w:t>Photochem. Photobiol.</w:t>
      </w:r>
      <w:r w:rsidRPr="00FC769A">
        <w:rPr>
          <w:rFonts w:ascii="Calibrì" w:hAnsi="Calibrì" w:cstheme="minorHAnsi"/>
          <w:sz w:val="18"/>
          <w:szCs w:val="18"/>
        </w:rPr>
        <w:t xml:space="preserve">, 2022, </w:t>
      </w:r>
      <w:r w:rsidRPr="00FC769A">
        <w:rPr>
          <w:rFonts w:ascii="Calibrì" w:hAnsi="Calibrì" w:cstheme="minorHAnsi"/>
          <w:b/>
          <w:bCs/>
          <w:sz w:val="18"/>
          <w:szCs w:val="18"/>
        </w:rPr>
        <w:t>98</w:t>
      </w:r>
      <w:r w:rsidRPr="00FC769A">
        <w:rPr>
          <w:rFonts w:ascii="Calibrì" w:hAnsi="Calibrì" w:cstheme="minorHAnsi"/>
          <w:sz w:val="18"/>
          <w:szCs w:val="18"/>
        </w:rPr>
        <w:t>, 17–41.</w:t>
      </w:r>
    </w:p>
    <w:p w14:paraId="65C7691F"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10</w:t>
      </w:r>
      <w:r w:rsidRPr="00FC769A">
        <w:rPr>
          <w:rFonts w:ascii="Calibrì" w:hAnsi="Calibrì" w:cstheme="minorHAnsi"/>
          <w:sz w:val="18"/>
          <w:szCs w:val="18"/>
        </w:rPr>
        <w:tab/>
        <w:t xml:space="preserve">W. R. Kitzmann, J. Moll and K. Heinze, </w:t>
      </w:r>
      <w:r w:rsidRPr="00FC769A">
        <w:rPr>
          <w:rFonts w:ascii="Calibrì" w:hAnsi="Calibrì" w:cstheme="minorHAnsi"/>
          <w:i/>
          <w:iCs/>
          <w:sz w:val="18"/>
          <w:szCs w:val="18"/>
        </w:rPr>
        <w:t>Photochem Photobiol Sci</w:t>
      </w:r>
      <w:r w:rsidRPr="00FC769A">
        <w:rPr>
          <w:rFonts w:ascii="Calibrì" w:hAnsi="Calibrì" w:cstheme="minorHAnsi"/>
          <w:sz w:val="18"/>
          <w:szCs w:val="18"/>
        </w:rPr>
        <w:t xml:space="preserve">, 2022, </w:t>
      </w:r>
      <w:r w:rsidRPr="00FC769A">
        <w:rPr>
          <w:rFonts w:ascii="Calibrì" w:hAnsi="Calibrì" w:cstheme="minorHAnsi"/>
          <w:b/>
          <w:bCs/>
          <w:sz w:val="18"/>
          <w:szCs w:val="18"/>
        </w:rPr>
        <w:t>21</w:t>
      </w:r>
      <w:r w:rsidRPr="00FC769A">
        <w:rPr>
          <w:rFonts w:ascii="Calibrì" w:hAnsi="Calibrì" w:cstheme="minorHAnsi"/>
          <w:sz w:val="18"/>
          <w:szCs w:val="18"/>
        </w:rPr>
        <w:t>, 1309–1331.</w:t>
      </w:r>
    </w:p>
    <w:p w14:paraId="2E18C72B"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11</w:t>
      </w:r>
      <w:r w:rsidRPr="00FC769A">
        <w:rPr>
          <w:rFonts w:ascii="Calibrì" w:hAnsi="Calibrì" w:cstheme="minorHAnsi"/>
          <w:sz w:val="18"/>
          <w:szCs w:val="18"/>
        </w:rPr>
        <w:tab/>
        <w:t xml:space="preserve">M. Dorn, J. Kalmbach, P. Boden, A. Kruse, C. Dab, C. Reber, G. Niedner-Schatteburg, S. Lochbrunner, M. Gerhards, M. Seitz and K. Heinze, </w:t>
      </w:r>
      <w:r w:rsidRPr="00FC769A">
        <w:rPr>
          <w:rFonts w:ascii="Calibrì" w:hAnsi="Calibrì" w:cstheme="minorHAnsi"/>
          <w:i/>
          <w:iCs/>
          <w:sz w:val="18"/>
          <w:szCs w:val="18"/>
        </w:rPr>
        <w:t>Chem. Sci.</w:t>
      </w:r>
      <w:r w:rsidRPr="00FC769A">
        <w:rPr>
          <w:rFonts w:ascii="Calibrì" w:hAnsi="Calibrì" w:cstheme="minorHAnsi"/>
          <w:sz w:val="18"/>
          <w:szCs w:val="18"/>
        </w:rPr>
        <w:t xml:space="preserve">, 2021, </w:t>
      </w:r>
      <w:r w:rsidRPr="00FC769A">
        <w:rPr>
          <w:rFonts w:ascii="Calibrì" w:hAnsi="Calibrì" w:cstheme="minorHAnsi"/>
          <w:b/>
          <w:bCs/>
          <w:sz w:val="18"/>
          <w:szCs w:val="18"/>
        </w:rPr>
        <w:t>12</w:t>
      </w:r>
      <w:r w:rsidRPr="00FC769A">
        <w:rPr>
          <w:rFonts w:ascii="Calibrì" w:hAnsi="Calibrì" w:cstheme="minorHAnsi"/>
          <w:sz w:val="18"/>
          <w:szCs w:val="18"/>
        </w:rPr>
        <w:t>, 10780–10790.</w:t>
      </w:r>
    </w:p>
    <w:p w14:paraId="079D8E99"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12</w:t>
      </w:r>
      <w:r w:rsidRPr="00FC769A">
        <w:rPr>
          <w:rFonts w:ascii="Calibrì" w:hAnsi="Calibrì" w:cstheme="minorHAnsi"/>
          <w:sz w:val="18"/>
          <w:szCs w:val="18"/>
        </w:rPr>
        <w:tab/>
        <w:t xml:space="preserve">M. Dorn, D. Hunger, C. Förster, R. Naumann, J. van Slageren and K. Heinze, </w:t>
      </w:r>
      <w:r w:rsidRPr="00FC769A">
        <w:rPr>
          <w:rFonts w:ascii="Calibrì" w:hAnsi="Calibrì" w:cstheme="minorHAnsi"/>
          <w:i/>
          <w:iCs/>
          <w:sz w:val="18"/>
          <w:szCs w:val="18"/>
        </w:rPr>
        <w:t>Chem. Eur. J.</w:t>
      </w:r>
      <w:r w:rsidRPr="00FC769A">
        <w:rPr>
          <w:rFonts w:ascii="Calibrì" w:hAnsi="Calibrì" w:cstheme="minorHAnsi"/>
          <w:sz w:val="18"/>
          <w:szCs w:val="18"/>
        </w:rPr>
        <w:t xml:space="preserve">, 2023, </w:t>
      </w:r>
      <w:r w:rsidRPr="00FC769A">
        <w:rPr>
          <w:rFonts w:ascii="Calibrì" w:hAnsi="Calibrì" w:cstheme="minorHAnsi"/>
          <w:b/>
          <w:bCs/>
          <w:sz w:val="18"/>
          <w:szCs w:val="18"/>
        </w:rPr>
        <w:t>29</w:t>
      </w:r>
      <w:r w:rsidRPr="00FC769A">
        <w:rPr>
          <w:rFonts w:ascii="Calibrì" w:hAnsi="Calibrì" w:cstheme="minorHAnsi"/>
          <w:sz w:val="18"/>
          <w:szCs w:val="18"/>
        </w:rPr>
        <w:t>, e202202898.</w:t>
      </w:r>
    </w:p>
    <w:p w14:paraId="42742C1E"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13</w:t>
      </w:r>
      <w:r w:rsidRPr="00FC769A">
        <w:rPr>
          <w:rFonts w:ascii="Calibrì" w:hAnsi="Calibrì" w:cstheme="minorHAnsi"/>
          <w:sz w:val="18"/>
          <w:szCs w:val="18"/>
        </w:rPr>
        <w:tab/>
        <w:t xml:space="preserve">M. Dorn, J. Kalmbach, P. Boden, A. Päpcke, S. Gómez, C. Förster, F. Kuczelinis, L. M. Carrella, L. A. Büldt, N. H. Bings, E. Rentschler, S. Lochbrunner, L. González, M. Gerhards, M. Seitz and K. Heinze, </w:t>
      </w:r>
      <w:r w:rsidRPr="00FC769A">
        <w:rPr>
          <w:rFonts w:ascii="Calibrì" w:hAnsi="Calibrì" w:cstheme="minorHAnsi"/>
          <w:i/>
          <w:iCs/>
          <w:sz w:val="18"/>
          <w:szCs w:val="18"/>
        </w:rPr>
        <w:t>J. Am. Chem. Soc.</w:t>
      </w:r>
      <w:r w:rsidRPr="00FC769A">
        <w:rPr>
          <w:rFonts w:ascii="Calibrì" w:hAnsi="Calibrì" w:cstheme="minorHAnsi"/>
          <w:sz w:val="18"/>
          <w:szCs w:val="18"/>
        </w:rPr>
        <w:t xml:space="preserve">, 2020, </w:t>
      </w:r>
      <w:r w:rsidRPr="00FC769A">
        <w:rPr>
          <w:rFonts w:ascii="Calibrì" w:hAnsi="Calibrì" w:cstheme="minorHAnsi"/>
          <w:b/>
          <w:bCs/>
          <w:sz w:val="18"/>
          <w:szCs w:val="18"/>
        </w:rPr>
        <w:t>142</w:t>
      </w:r>
      <w:r w:rsidRPr="00FC769A">
        <w:rPr>
          <w:rFonts w:ascii="Calibrì" w:hAnsi="Calibrì" w:cstheme="minorHAnsi"/>
          <w:sz w:val="18"/>
          <w:szCs w:val="18"/>
        </w:rPr>
        <w:t>, 7947–7955.</w:t>
      </w:r>
    </w:p>
    <w:p w14:paraId="7DCD5F00"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14</w:t>
      </w:r>
      <w:r w:rsidRPr="00FC769A">
        <w:rPr>
          <w:rFonts w:ascii="Calibrì" w:hAnsi="Calibrì" w:cstheme="minorHAnsi"/>
          <w:sz w:val="18"/>
          <w:szCs w:val="18"/>
        </w:rPr>
        <w:tab/>
        <w:t xml:space="preserve">J. P. Harris, C. Reber, H. E. Colmer, T. A. Jackson, A. P. Forshaw, J. M. Smith, R. A. Kinney and J. Telser, </w:t>
      </w:r>
      <w:r w:rsidRPr="00FC769A">
        <w:rPr>
          <w:rFonts w:ascii="Calibrì" w:hAnsi="Calibrì" w:cstheme="minorHAnsi"/>
          <w:i/>
          <w:iCs/>
          <w:sz w:val="18"/>
          <w:szCs w:val="18"/>
        </w:rPr>
        <w:t>Can. J. Chem.</w:t>
      </w:r>
      <w:r w:rsidRPr="00FC769A">
        <w:rPr>
          <w:rFonts w:ascii="Calibrì" w:hAnsi="Calibrì" w:cstheme="minorHAnsi"/>
          <w:sz w:val="18"/>
          <w:szCs w:val="18"/>
        </w:rPr>
        <w:t xml:space="preserve">, 2017, </w:t>
      </w:r>
      <w:r w:rsidRPr="00FC769A">
        <w:rPr>
          <w:rFonts w:ascii="Calibrì" w:hAnsi="Calibrì" w:cstheme="minorHAnsi"/>
          <w:b/>
          <w:bCs/>
          <w:sz w:val="18"/>
          <w:szCs w:val="18"/>
        </w:rPr>
        <w:t>95</w:t>
      </w:r>
      <w:r w:rsidRPr="00FC769A">
        <w:rPr>
          <w:rFonts w:ascii="Calibrì" w:hAnsi="Calibrì" w:cstheme="minorHAnsi"/>
          <w:sz w:val="18"/>
          <w:szCs w:val="18"/>
        </w:rPr>
        <w:t>, 547–552.</w:t>
      </w:r>
    </w:p>
    <w:p w14:paraId="4AC2769D"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15</w:t>
      </w:r>
      <w:r w:rsidRPr="00FC769A">
        <w:rPr>
          <w:rFonts w:ascii="Calibrì" w:hAnsi="Calibrì" w:cstheme="minorHAnsi"/>
          <w:sz w:val="18"/>
          <w:szCs w:val="18"/>
        </w:rPr>
        <w:tab/>
        <w:t xml:space="preserve">N. R. East, R. Naumann, C. Förster, C. Ramanan, G. Diezemann and K. Heinze, </w:t>
      </w:r>
      <w:r w:rsidRPr="00FC769A">
        <w:rPr>
          <w:rFonts w:ascii="Calibrì" w:hAnsi="Calibrì" w:cstheme="minorHAnsi"/>
          <w:i/>
          <w:iCs/>
          <w:sz w:val="18"/>
          <w:szCs w:val="18"/>
        </w:rPr>
        <w:t>Nat. Chem.</w:t>
      </w:r>
      <w:r w:rsidRPr="00FC769A">
        <w:rPr>
          <w:rFonts w:ascii="Calibrì" w:hAnsi="Calibrì" w:cstheme="minorHAnsi"/>
          <w:sz w:val="18"/>
          <w:szCs w:val="18"/>
        </w:rPr>
        <w:t>, 2024, 1–8.</w:t>
      </w:r>
    </w:p>
    <w:p w14:paraId="214D495E"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16</w:t>
      </w:r>
      <w:r w:rsidRPr="00FC769A">
        <w:rPr>
          <w:rFonts w:ascii="Calibrì" w:hAnsi="Calibrì" w:cstheme="minorHAnsi"/>
          <w:sz w:val="18"/>
          <w:szCs w:val="18"/>
        </w:rPr>
        <w:tab/>
        <w:t xml:space="preserve">W. R. Kitzmann, D. Hunger, A.-P. M. Reponen, C. Förster, R. Schoch, M. Bauer, S. Feldmann, J. van Slageren and K. Heinze, </w:t>
      </w:r>
      <w:r w:rsidRPr="00FC769A">
        <w:rPr>
          <w:rFonts w:ascii="Calibrì" w:hAnsi="Calibrì" w:cstheme="minorHAnsi"/>
          <w:i/>
          <w:iCs/>
          <w:sz w:val="18"/>
          <w:szCs w:val="18"/>
        </w:rPr>
        <w:t>Inorg. Chem.</w:t>
      </w:r>
      <w:r w:rsidRPr="00FC769A">
        <w:rPr>
          <w:rFonts w:ascii="Calibrì" w:hAnsi="Calibrì" w:cstheme="minorHAnsi"/>
          <w:sz w:val="18"/>
          <w:szCs w:val="18"/>
        </w:rPr>
        <w:t xml:space="preserve">, 2023, </w:t>
      </w:r>
      <w:r w:rsidRPr="00FC769A">
        <w:rPr>
          <w:rFonts w:ascii="Calibrì" w:hAnsi="Calibrì" w:cstheme="minorHAnsi"/>
          <w:b/>
          <w:bCs/>
          <w:sz w:val="18"/>
          <w:szCs w:val="18"/>
        </w:rPr>
        <w:t>62</w:t>
      </w:r>
      <w:r w:rsidRPr="00FC769A">
        <w:rPr>
          <w:rFonts w:ascii="Calibrì" w:hAnsi="Calibrì" w:cstheme="minorHAnsi"/>
          <w:sz w:val="18"/>
          <w:szCs w:val="18"/>
        </w:rPr>
        <w:t>, 15797–15808.</w:t>
      </w:r>
    </w:p>
    <w:p w14:paraId="2D0456F1"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17</w:t>
      </w:r>
      <w:r w:rsidRPr="00FC769A">
        <w:rPr>
          <w:rFonts w:ascii="Calibrì" w:hAnsi="Calibrì" w:cstheme="minorHAnsi"/>
          <w:sz w:val="18"/>
          <w:szCs w:val="18"/>
        </w:rPr>
        <w:tab/>
        <w:t xml:space="preserve">Q. Yao and A. W. Maverick, </w:t>
      </w:r>
      <w:r w:rsidRPr="00FC769A">
        <w:rPr>
          <w:rFonts w:ascii="Calibrì" w:hAnsi="Calibrì" w:cstheme="minorHAnsi"/>
          <w:i/>
          <w:iCs/>
          <w:sz w:val="18"/>
          <w:szCs w:val="18"/>
        </w:rPr>
        <w:t>Inorg. Chem.</w:t>
      </w:r>
      <w:r w:rsidRPr="00FC769A">
        <w:rPr>
          <w:rFonts w:ascii="Calibrì" w:hAnsi="Calibrì" w:cstheme="minorHAnsi"/>
          <w:sz w:val="18"/>
          <w:szCs w:val="18"/>
        </w:rPr>
        <w:t xml:space="preserve">, 1988, </w:t>
      </w:r>
      <w:r w:rsidRPr="00FC769A">
        <w:rPr>
          <w:rFonts w:ascii="Calibrì" w:hAnsi="Calibrì" w:cstheme="minorHAnsi"/>
          <w:b/>
          <w:bCs/>
          <w:sz w:val="18"/>
          <w:szCs w:val="18"/>
        </w:rPr>
        <w:t>27</w:t>
      </w:r>
      <w:r w:rsidRPr="00FC769A">
        <w:rPr>
          <w:rFonts w:ascii="Calibrì" w:hAnsi="Calibrì" w:cstheme="minorHAnsi"/>
          <w:sz w:val="18"/>
          <w:szCs w:val="18"/>
        </w:rPr>
        <w:t>, 1669–1670.</w:t>
      </w:r>
    </w:p>
    <w:p w14:paraId="1A883372"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18</w:t>
      </w:r>
      <w:r w:rsidRPr="00FC769A">
        <w:rPr>
          <w:rFonts w:ascii="Calibrì" w:hAnsi="Calibrì" w:cstheme="minorHAnsi"/>
          <w:sz w:val="18"/>
          <w:szCs w:val="18"/>
        </w:rPr>
        <w:tab/>
        <w:t xml:space="preserve">C. Wang, S. Otto, M. Dorn, E. Kreidt, J. Lebon, L. Sršan, P. Di Martino-Fumo, M. Gerhards, U. Resch-Genger, M. Seitz and K. Heinze, </w:t>
      </w:r>
      <w:r w:rsidRPr="00FC769A">
        <w:rPr>
          <w:rFonts w:ascii="Calibrì" w:hAnsi="Calibrì" w:cstheme="minorHAnsi"/>
          <w:i/>
          <w:iCs/>
          <w:sz w:val="18"/>
          <w:szCs w:val="18"/>
        </w:rPr>
        <w:t>Angew. Chem. Int. Ed.</w:t>
      </w:r>
      <w:r w:rsidRPr="00FC769A">
        <w:rPr>
          <w:rFonts w:ascii="Calibrì" w:hAnsi="Calibrì" w:cstheme="minorHAnsi"/>
          <w:sz w:val="18"/>
          <w:szCs w:val="18"/>
        </w:rPr>
        <w:t xml:space="preserve">, 2018, </w:t>
      </w:r>
      <w:r w:rsidRPr="00FC769A">
        <w:rPr>
          <w:rFonts w:ascii="Calibrì" w:hAnsi="Calibrì" w:cstheme="minorHAnsi"/>
          <w:b/>
          <w:bCs/>
          <w:sz w:val="18"/>
          <w:szCs w:val="18"/>
        </w:rPr>
        <w:t>57</w:t>
      </w:r>
      <w:r w:rsidRPr="00FC769A">
        <w:rPr>
          <w:rFonts w:ascii="Calibrì" w:hAnsi="Calibrì" w:cstheme="minorHAnsi"/>
          <w:sz w:val="18"/>
          <w:szCs w:val="18"/>
        </w:rPr>
        <w:t>, 1112–1116.</w:t>
      </w:r>
    </w:p>
    <w:p w14:paraId="762A525C"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19</w:t>
      </w:r>
      <w:r w:rsidRPr="00FC769A">
        <w:rPr>
          <w:rFonts w:ascii="Calibrì" w:hAnsi="Calibrì" w:cstheme="minorHAnsi"/>
          <w:sz w:val="18"/>
          <w:szCs w:val="18"/>
        </w:rPr>
        <w:tab/>
        <w:t xml:space="preserve">S. Treiling, C. Wang, C. Förster, F. Reichenauer, J. Kalmbach, P. Boden, J. P. Harris, L. M. Carrella, E. Rentschler, U. Resch-Genger, C. Reber, M. Seitz, M. Gerhards and K. Heinze, </w:t>
      </w:r>
      <w:r w:rsidRPr="00FC769A">
        <w:rPr>
          <w:rFonts w:ascii="Calibrì" w:hAnsi="Calibrì" w:cstheme="minorHAnsi"/>
          <w:i/>
          <w:iCs/>
          <w:sz w:val="18"/>
          <w:szCs w:val="18"/>
        </w:rPr>
        <w:t>Angew. Chem. Int. Ed.</w:t>
      </w:r>
      <w:r w:rsidRPr="00FC769A">
        <w:rPr>
          <w:rFonts w:ascii="Calibrì" w:hAnsi="Calibrì" w:cstheme="minorHAnsi"/>
          <w:sz w:val="18"/>
          <w:szCs w:val="18"/>
        </w:rPr>
        <w:t xml:space="preserve">, 2019, </w:t>
      </w:r>
      <w:r w:rsidRPr="00FC769A">
        <w:rPr>
          <w:rFonts w:ascii="Calibrì" w:hAnsi="Calibrì" w:cstheme="minorHAnsi"/>
          <w:b/>
          <w:bCs/>
          <w:sz w:val="18"/>
          <w:szCs w:val="18"/>
        </w:rPr>
        <w:t>58</w:t>
      </w:r>
      <w:r w:rsidRPr="00FC769A">
        <w:rPr>
          <w:rFonts w:ascii="Calibrì" w:hAnsi="Calibrì" w:cstheme="minorHAnsi"/>
          <w:sz w:val="18"/>
          <w:szCs w:val="18"/>
        </w:rPr>
        <w:t>, 18075–18085.</w:t>
      </w:r>
    </w:p>
    <w:p w14:paraId="50A68B3B"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20</w:t>
      </w:r>
      <w:r w:rsidRPr="00FC769A">
        <w:rPr>
          <w:rFonts w:ascii="Calibrì" w:hAnsi="Calibrì" w:cstheme="minorHAnsi"/>
          <w:sz w:val="18"/>
          <w:szCs w:val="18"/>
        </w:rPr>
        <w:tab/>
        <w:t xml:space="preserve">C. Wang, S. Otto, M. Dorn, K. Heinze and U. Resch-Genger, </w:t>
      </w:r>
      <w:r w:rsidRPr="00FC769A">
        <w:rPr>
          <w:rFonts w:ascii="Calibrì" w:hAnsi="Calibrì" w:cstheme="minorHAnsi"/>
          <w:i/>
          <w:iCs/>
          <w:sz w:val="18"/>
          <w:szCs w:val="18"/>
        </w:rPr>
        <w:t>Anal. Chem.</w:t>
      </w:r>
      <w:r w:rsidRPr="00FC769A">
        <w:rPr>
          <w:rFonts w:ascii="Calibrì" w:hAnsi="Calibrì" w:cstheme="minorHAnsi"/>
          <w:sz w:val="18"/>
          <w:szCs w:val="18"/>
        </w:rPr>
        <w:t xml:space="preserve">, 2019, </w:t>
      </w:r>
      <w:r w:rsidRPr="00FC769A">
        <w:rPr>
          <w:rFonts w:ascii="Calibrì" w:hAnsi="Calibrì" w:cstheme="minorHAnsi"/>
          <w:b/>
          <w:bCs/>
          <w:sz w:val="18"/>
          <w:szCs w:val="18"/>
        </w:rPr>
        <w:t>91</w:t>
      </w:r>
      <w:r w:rsidRPr="00FC769A">
        <w:rPr>
          <w:rFonts w:ascii="Calibrì" w:hAnsi="Calibrì" w:cstheme="minorHAnsi"/>
          <w:sz w:val="18"/>
          <w:szCs w:val="18"/>
        </w:rPr>
        <w:t>, 2337–2344.</w:t>
      </w:r>
    </w:p>
    <w:p w14:paraId="2038415C"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21</w:t>
      </w:r>
      <w:r w:rsidRPr="00FC769A">
        <w:rPr>
          <w:rFonts w:ascii="Calibrì" w:hAnsi="Calibrì" w:cstheme="minorHAnsi"/>
          <w:sz w:val="18"/>
          <w:szCs w:val="18"/>
        </w:rPr>
        <w:tab/>
        <w:t xml:space="preserve">S. Otto, J. P. Harris, K. Heinze and C. Reber, </w:t>
      </w:r>
      <w:r w:rsidRPr="00FC769A">
        <w:rPr>
          <w:rFonts w:ascii="Calibrì" w:hAnsi="Calibrì" w:cstheme="minorHAnsi"/>
          <w:i/>
          <w:iCs/>
          <w:sz w:val="18"/>
          <w:szCs w:val="18"/>
        </w:rPr>
        <w:t>Angew. Chem. Int. Ed.</w:t>
      </w:r>
      <w:r w:rsidRPr="00FC769A">
        <w:rPr>
          <w:rFonts w:ascii="Calibrì" w:hAnsi="Calibrì" w:cstheme="minorHAnsi"/>
          <w:sz w:val="18"/>
          <w:szCs w:val="18"/>
        </w:rPr>
        <w:t xml:space="preserve">, 2018, </w:t>
      </w:r>
      <w:r w:rsidRPr="00FC769A">
        <w:rPr>
          <w:rFonts w:ascii="Calibrì" w:hAnsi="Calibrì" w:cstheme="minorHAnsi"/>
          <w:b/>
          <w:bCs/>
          <w:sz w:val="18"/>
          <w:szCs w:val="18"/>
        </w:rPr>
        <w:t>57</w:t>
      </w:r>
      <w:r w:rsidRPr="00FC769A">
        <w:rPr>
          <w:rFonts w:ascii="Calibrì" w:hAnsi="Calibrì" w:cstheme="minorHAnsi"/>
          <w:sz w:val="18"/>
          <w:szCs w:val="18"/>
        </w:rPr>
        <w:t>, 11069–11073.</w:t>
      </w:r>
    </w:p>
    <w:p w14:paraId="2930219E"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22</w:t>
      </w:r>
      <w:r w:rsidRPr="00FC769A">
        <w:rPr>
          <w:rFonts w:ascii="Calibrì" w:hAnsi="Calibrì" w:cstheme="minorHAnsi"/>
          <w:sz w:val="18"/>
          <w:szCs w:val="18"/>
        </w:rPr>
        <w:tab/>
        <w:t xml:space="preserve">S. Otto, N. Scholz, T. Behnke, U. Resch-Genger and K. Heinze, </w:t>
      </w:r>
      <w:r w:rsidRPr="00FC769A">
        <w:rPr>
          <w:rFonts w:ascii="Calibrì" w:hAnsi="Calibrì" w:cstheme="minorHAnsi"/>
          <w:i/>
          <w:iCs/>
          <w:sz w:val="18"/>
          <w:szCs w:val="18"/>
        </w:rPr>
        <w:t>Chem. Eur. J.</w:t>
      </w:r>
      <w:r w:rsidRPr="00FC769A">
        <w:rPr>
          <w:rFonts w:ascii="Calibrì" w:hAnsi="Calibrì" w:cstheme="minorHAnsi"/>
          <w:sz w:val="18"/>
          <w:szCs w:val="18"/>
        </w:rPr>
        <w:t xml:space="preserve">, 2017, </w:t>
      </w:r>
      <w:r w:rsidRPr="00FC769A">
        <w:rPr>
          <w:rFonts w:ascii="Calibrì" w:hAnsi="Calibrì" w:cstheme="minorHAnsi"/>
          <w:b/>
          <w:bCs/>
          <w:sz w:val="18"/>
          <w:szCs w:val="18"/>
        </w:rPr>
        <w:t>23</w:t>
      </w:r>
      <w:r w:rsidRPr="00FC769A">
        <w:rPr>
          <w:rFonts w:ascii="Calibrì" w:hAnsi="Calibrì" w:cstheme="minorHAnsi"/>
          <w:sz w:val="18"/>
          <w:szCs w:val="18"/>
        </w:rPr>
        <w:t>, 12131–12135.</w:t>
      </w:r>
    </w:p>
    <w:p w14:paraId="368670E8"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23</w:t>
      </w:r>
      <w:r w:rsidRPr="00FC769A">
        <w:rPr>
          <w:rFonts w:ascii="Calibrì" w:hAnsi="Calibrì" w:cstheme="minorHAnsi"/>
          <w:sz w:val="18"/>
          <w:szCs w:val="18"/>
        </w:rPr>
        <w:tab/>
        <w:t xml:space="preserve">W. R. Kitzmann and K. Heinze, </w:t>
      </w:r>
      <w:r w:rsidRPr="00FC769A">
        <w:rPr>
          <w:rFonts w:ascii="Calibrì" w:hAnsi="Calibrì" w:cstheme="minorHAnsi"/>
          <w:i/>
          <w:iCs/>
          <w:sz w:val="18"/>
          <w:szCs w:val="18"/>
        </w:rPr>
        <w:t>Angew. Chem. Int. Ed.</w:t>
      </w:r>
      <w:r w:rsidRPr="00FC769A">
        <w:rPr>
          <w:rFonts w:ascii="Calibrì" w:hAnsi="Calibrì" w:cstheme="minorHAnsi"/>
          <w:sz w:val="18"/>
          <w:szCs w:val="18"/>
        </w:rPr>
        <w:t xml:space="preserve">, 2023, </w:t>
      </w:r>
      <w:r w:rsidRPr="00FC769A">
        <w:rPr>
          <w:rFonts w:ascii="Calibrì" w:hAnsi="Calibrì" w:cstheme="minorHAnsi"/>
          <w:b/>
          <w:bCs/>
          <w:sz w:val="18"/>
          <w:szCs w:val="18"/>
        </w:rPr>
        <w:t>62</w:t>
      </w:r>
      <w:r w:rsidRPr="00FC769A">
        <w:rPr>
          <w:rFonts w:ascii="Calibrì" w:hAnsi="Calibrì" w:cstheme="minorHAnsi"/>
          <w:sz w:val="18"/>
          <w:szCs w:val="18"/>
        </w:rPr>
        <w:t>, e202213207.</w:t>
      </w:r>
    </w:p>
    <w:p w14:paraId="5EA64B32"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24</w:t>
      </w:r>
      <w:r w:rsidRPr="00FC769A">
        <w:rPr>
          <w:rFonts w:ascii="Calibrì" w:hAnsi="Calibrì" w:cstheme="minorHAnsi"/>
          <w:sz w:val="18"/>
          <w:szCs w:val="18"/>
        </w:rPr>
        <w:tab/>
        <w:t xml:space="preserve">T. H. Bürgin, F. Glaser and O. S. Wenger, </w:t>
      </w:r>
      <w:r w:rsidRPr="00FC769A">
        <w:rPr>
          <w:rFonts w:ascii="Calibrì" w:hAnsi="Calibrì" w:cstheme="minorHAnsi"/>
          <w:i/>
          <w:iCs/>
          <w:sz w:val="18"/>
          <w:szCs w:val="18"/>
        </w:rPr>
        <w:t>J. Am. Chem. Soc.</w:t>
      </w:r>
      <w:r w:rsidRPr="00FC769A">
        <w:rPr>
          <w:rFonts w:ascii="Calibrì" w:hAnsi="Calibrì" w:cstheme="minorHAnsi"/>
          <w:sz w:val="18"/>
          <w:szCs w:val="18"/>
        </w:rPr>
        <w:t xml:space="preserve">, 2022, </w:t>
      </w:r>
      <w:r w:rsidRPr="00FC769A">
        <w:rPr>
          <w:rFonts w:ascii="Calibrì" w:hAnsi="Calibrì" w:cstheme="minorHAnsi"/>
          <w:b/>
          <w:bCs/>
          <w:sz w:val="18"/>
          <w:szCs w:val="18"/>
        </w:rPr>
        <w:t>144</w:t>
      </w:r>
      <w:r w:rsidRPr="00FC769A">
        <w:rPr>
          <w:rFonts w:ascii="Calibrì" w:hAnsi="Calibrì" w:cstheme="minorHAnsi"/>
          <w:sz w:val="18"/>
          <w:szCs w:val="18"/>
        </w:rPr>
        <w:t>, 14181–14194.</w:t>
      </w:r>
    </w:p>
    <w:p w14:paraId="2C9FB1FB"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25</w:t>
      </w:r>
      <w:r w:rsidRPr="00FC769A">
        <w:rPr>
          <w:rFonts w:ascii="Calibrì" w:hAnsi="Calibrì" w:cstheme="minorHAnsi"/>
          <w:sz w:val="18"/>
          <w:szCs w:val="18"/>
        </w:rPr>
        <w:tab/>
        <w:t xml:space="preserve">C. Wang, H. Li, T. H. Bürgin and O. S. Wenger, </w:t>
      </w:r>
      <w:r w:rsidRPr="00FC769A">
        <w:rPr>
          <w:rFonts w:ascii="Calibrì" w:hAnsi="Calibrì" w:cstheme="minorHAnsi"/>
          <w:i/>
          <w:iCs/>
          <w:sz w:val="18"/>
          <w:szCs w:val="18"/>
        </w:rPr>
        <w:t>Nat. Chem.</w:t>
      </w:r>
      <w:r w:rsidRPr="00FC769A">
        <w:rPr>
          <w:rFonts w:ascii="Calibrì" w:hAnsi="Calibrì" w:cstheme="minorHAnsi"/>
          <w:sz w:val="18"/>
          <w:szCs w:val="18"/>
        </w:rPr>
        <w:t>, 2024, 1–9.</w:t>
      </w:r>
    </w:p>
    <w:p w14:paraId="057BA47B"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26</w:t>
      </w:r>
      <w:r w:rsidRPr="00FC769A">
        <w:rPr>
          <w:rFonts w:ascii="Calibrì" w:hAnsi="Calibrì" w:cstheme="minorHAnsi"/>
          <w:sz w:val="18"/>
          <w:szCs w:val="18"/>
        </w:rPr>
        <w:tab/>
        <w:t xml:space="preserve">B. Doistau, G. Collet, E. A. Bolomey, V. Sadat-Noorbakhsh, C. Besnard and C. Piguet, </w:t>
      </w:r>
      <w:r w:rsidRPr="00FC769A">
        <w:rPr>
          <w:rFonts w:ascii="Calibrì" w:hAnsi="Calibrì" w:cstheme="minorHAnsi"/>
          <w:i/>
          <w:iCs/>
          <w:sz w:val="18"/>
          <w:szCs w:val="18"/>
        </w:rPr>
        <w:t>Inorg. Chem.</w:t>
      </w:r>
      <w:r w:rsidRPr="00FC769A">
        <w:rPr>
          <w:rFonts w:ascii="Calibrì" w:hAnsi="Calibrì" w:cstheme="minorHAnsi"/>
          <w:sz w:val="18"/>
          <w:szCs w:val="18"/>
        </w:rPr>
        <w:t xml:space="preserve">, 2018, </w:t>
      </w:r>
      <w:r w:rsidRPr="00FC769A">
        <w:rPr>
          <w:rFonts w:ascii="Calibrì" w:hAnsi="Calibrì" w:cstheme="minorHAnsi"/>
          <w:b/>
          <w:bCs/>
          <w:sz w:val="18"/>
          <w:szCs w:val="18"/>
        </w:rPr>
        <w:t>57</w:t>
      </w:r>
      <w:r w:rsidRPr="00FC769A">
        <w:rPr>
          <w:rFonts w:ascii="Calibrì" w:hAnsi="Calibrì" w:cstheme="minorHAnsi"/>
          <w:sz w:val="18"/>
          <w:szCs w:val="18"/>
        </w:rPr>
        <w:t>, 14362–14373.</w:t>
      </w:r>
    </w:p>
    <w:p w14:paraId="7361C24B"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27</w:t>
      </w:r>
      <w:r w:rsidRPr="00FC769A">
        <w:rPr>
          <w:rFonts w:ascii="Calibrì" w:hAnsi="Calibrì" w:cstheme="minorHAnsi"/>
          <w:sz w:val="18"/>
          <w:szCs w:val="18"/>
        </w:rPr>
        <w:tab/>
        <w:t xml:space="preserve">S. Otto, M. Grabolle, C. Förster, C. Kreitner, U. Resch-Genger and K. Heinze, </w:t>
      </w:r>
      <w:r w:rsidRPr="00FC769A">
        <w:rPr>
          <w:rFonts w:ascii="Calibrì" w:hAnsi="Calibrì" w:cstheme="minorHAnsi"/>
          <w:i/>
          <w:iCs/>
          <w:sz w:val="18"/>
          <w:szCs w:val="18"/>
        </w:rPr>
        <w:t>Angew. Chem. Int. Ed.</w:t>
      </w:r>
      <w:r w:rsidRPr="00FC769A">
        <w:rPr>
          <w:rFonts w:ascii="Calibrì" w:hAnsi="Calibrì" w:cstheme="minorHAnsi"/>
          <w:sz w:val="18"/>
          <w:szCs w:val="18"/>
        </w:rPr>
        <w:t xml:space="preserve">, 2015, </w:t>
      </w:r>
      <w:r w:rsidRPr="00FC769A">
        <w:rPr>
          <w:rFonts w:ascii="Calibrì" w:hAnsi="Calibrì" w:cstheme="minorHAnsi"/>
          <w:b/>
          <w:bCs/>
          <w:sz w:val="18"/>
          <w:szCs w:val="18"/>
        </w:rPr>
        <w:t>54</w:t>
      </w:r>
      <w:r w:rsidRPr="00FC769A">
        <w:rPr>
          <w:rFonts w:ascii="Calibrì" w:hAnsi="Calibrì" w:cstheme="minorHAnsi"/>
          <w:sz w:val="18"/>
          <w:szCs w:val="18"/>
        </w:rPr>
        <w:t>, 11572–11576.</w:t>
      </w:r>
    </w:p>
    <w:p w14:paraId="0867BF9F"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28</w:t>
      </w:r>
      <w:r w:rsidRPr="00FC769A">
        <w:rPr>
          <w:rFonts w:ascii="Calibrì" w:hAnsi="Calibrì" w:cstheme="minorHAnsi"/>
          <w:sz w:val="18"/>
          <w:szCs w:val="18"/>
        </w:rPr>
        <w:tab/>
        <w:t xml:space="preserve">S. Otto, C. Förster, C. Wang, U. Resch-Genger and K. Heinze, </w:t>
      </w:r>
      <w:r w:rsidRPr="00FC769A">
        <w:rPr>
          <w:rFonts w:ascii="Calibrì" w:hAnsi="Calibrì" w:cstheme="minorHAnsi"/>
          <w:i/>
          <w:iCs/>
          <w:sz w:val="18"/>
          <w:szCs w:val="18"/>
        </w:rPr>
        <w:t>Chem. Eur. J.</w:t>
      </w:r>
      <w:r w:rsidRPr="00FC769A">
        <w:rPr>
          <w:rFonts w:ascii="Calibrì" w:hAnsi="Calibrì" w:cstheme="minorHAnsi"/>
          <w:sz w:val="18"/>
          <w:szCs w:val="18"/>
        </w:rPr>
        <w:t xml:space="preserve">, 2018, </w:t>
      </w:r>
      <w:r w:rsidRPr="00FC769A">
        <w:rPr>
          <w:rFonts w:ascii="Calibrì" w:hAnsi="Calibrì" w:cstheme="minorHAnsi"/>
          <w:b/>
          <w:bCs/>
          <w:sz w:val="18"/>
          <w:szCs w:val="18"/>
        </w:rPr>
        <w:t>24</w:t>
      </w:r>
      <w:r w:rsidRPr="00FC769A">
        <w:rPr>
          <w:rFonts w:ascii="Calibrì" w:hAnsi="Calibrì" w:cstheme="minorHAnsi"/>
          <w:sz w:val="18"/>
          <w:szCs w:val="18"/>
        </w:rPr>
        <w:t>, 12555–12563.</w:t>
      </w:r>
    </w:p>
    <w:p w14:paraId="0F2EDA5B"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29</w:t>
      </w:r>
      <w:r w:rsidRPr="00FC769A">
        <w:rPr>
          <w:rFonts w:ascii="Calibrì" w:hAnsi="Calibrì" w:cstheme="minorHAnsi"/>
          <w:sz w:val="18"/>
          <w:szCs w:val="18"/>
        </w:rPr>
        <w:tab/>
        <w:t xml:space="preserve">J.-R. Jiménez, M. Poncet, B. Doistau, C. Besnard and C. Piguet, </w:t>
      </w:r>
      <w:r w:rsidRPr="00FC769A">
        <w:rPr>
          <w:rFonts w:ascii="Calibrì" w:hAnsi="Calibrì" w:cstheme="minorHAnsi"/>
          <w:i/>
          <w:iCs/>
          <w:sz w:val="18"/>
          <w:szCs w:val="18"/>
        </w:rPr>
        <w:t>Dalton Trans.</w:t>
      </w:r>
      <w:r w:rsidRPr="00FC769A">
        <w:rPr>
          <w:rFonts w:ascii="Calibrì" w:hAnsi="Calibrì" w:cstheme="minorHAnsi"/>
          <w:sz w:val="18"/>
          <w:szCs w:val="18"/>
        </w:rPr>
        <w:t xml:space="preserve">, 2020, </w:t>
      </w:r>
      <w:r w:rsidRPr="00FC769A">
        <w:rPr>
          <w:rFonts w:ascii="Calibrì" w:hAnsi="Calibrì" w:cstheme="minorHAnsi"/>
          <w:b/>
          <w:bCs/>
          <w:sz w:val="18"/>
          <w:szCs w:val="18"/>
        </w:rPr>
        <w:t>49</w:t>
      </w:r>
      <w:r w:rsidRPr="00FC769A">
        <w:rPr>
          <w:rFonts w:ascii="Calibrì" w:hAnsi="Calibrì" w:cstheme="minorHAnsi"/>
          <w:sz w:val="18"/>
          <w:szCs w:val="18"/>
        </w:rPr>
        <w:t>, 13528–13532.</w:t>
      </w:r>
    </w:p>
    <w:p w14:paraId="137B9341"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30</w:t>
      </w:r>
      <w:r w:rsidRPr="00FC769A">
        <w:rPr>
          <w:rFonts w:ascii="Calibrì" w:hAnsi="Calibrì" w:cstheme="minorHAnsi"/>
          <w:sz w:val="18"/>
          <w:szCs w:val="18"/>
        </w:rPr>
        <w:tab/>
        <w:t xml:space="preserve">J.-R. Jiménez, B. Doistau, C. M. Cruz, C. Besnard, J. M. Cuerva, A. G. Campaña and C. Piguet, </w:t>
      </w:r>
      <w:r w:rsidRPr="00FC769A">
        <w:rPr>
          <w:rFonts w:ascii="Calibrì" w:hAnsi="Calibrì" w:cstheme="minorHAnsi"/>
          <w:i/>
          <w:iCs/>
          <w:sz w:val="18"/>
          <w:szCs w:val="18"/>
        </w:rPr>
        <w:t>J. Am. Chem. Soc.</w:t>
      </w:r>
      <w:r w:rsidRPr="00FC769A">
        <w:rPr>
          <w:rFonts w:ascii="Calibrì" w:hAnsi="Calibrì" w:cstheme="minorHAnsi"/>
          <w:sz w:val="18"/>
          <w:szCs w:val="18"/>
        </w:rPr>
        <w:t xml:space="preserve">, 2019, </w:t>
      </w:r>
      <w:r w:rsidRPr="00FC769A">
        <w:rPr>
          <w:rFonts w:ascii="Calibrì" w:hAnsi="Calibrì" w:cstheme="minorHAnsi"/>
          <w:b/>
          <w:bCs/>
          <w:sz w:val="18"/>
          <w:szCs w:val="18"/>
        </w:rPr>
        <w:t>141</w:t>
      </w:r>
      <w:r w:rsidRPr="00FC769A">
        <w:rPr>
          <w:rFonts w:ascii="Calibrì" w:hAnsi="Calibrì" w:cstheme="minorHAnsi"/>
          <w:sz w:val="18"/>
          <w:szCs w:val="18"/>
        </w:rPr>
        <w:t>, 13244–13252.</w:t>
      </w:r>
    </w:p>
    <w:p w14:paraId="06CCCEF4"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31</w:t>
      </w:r>
      <w:r w:rsidRPr="00FC769A">
        <w:rPr>
          <w:rFonts w:ascii="Calibrì" w:hAnsi="Calibrì" w:cstheme="minorHAnsi"/>
          <w:sz w:val="18"/>
          <w:szCs w:val="18"/>
        </w:rPr>
        <w:tab/>
        <w:t xml:space="preserve">M. Poncet, A. Benchohra, J.-R. Jiménez and C. Piguet, </w:t>
      </w:r>
      <w:r w:rsidRPr="00FC769A">
        <w:rPr>
          <w:rFonts w:ascii="Calibrì" w:hAnsi="Calibrì" w:cstheme="minorHAnsi"/>
          <w:i/>
          <w:iCs/>
          <w:sz w:val="18"/>
          <w:szCs w:val="18"/>
        </w:rPr>
        <w:t>ChemPhotoChem</w:t>
      </w:r>
      <w:r w:rsidRPr="00FC769A">
        <w:rPr>
          <w:rFonts w:ascii="Calibrì" w:hAnsi="Calibrì" w:cstheme="minorHAnsi"/>
          <w:sz w:val="18"/>
          <w:szCs w:val="18"/>
        </w:rPr>
        <w:t xml:space="preserve">, 2021, </w:t>
      </w:r>
      <w:r w:rsidRPr="00FC769A">
        <w:rPr>
          <w:rFonts w:ascii="Calibrì" w:hAnsi="Calibrì" w:cstheme="minorHAnsi"/>
          <w:b/>
          <w:bCs/>
          <w:sz w:val="18"/>
          <w:szCs w:val="18"/>
        </w:rPr>
        <w:t>5</w:t>
      </w:r>
      <w:r w:rsidRPr="00FC769A">
        <w:rPr>
          <w:rFonts w:ascii="Calibrì" w:hAnsi="Calibrì" w:cstheme="minorHAnsi"/>
          <w:sz w:val="18"/>
          <w:szCs w:val="18"/>
        </w:rPr>
        <w:t>, 880–892.</w:t>
      </w:r>
    </w:p>
    <w:p w14:paraId="7A2C0BCD"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32</w:t>
      </w:r>
      <w:r w:rsidRPr="00FC769A">
        <w:rPr>
          <w:rFonts w:ascii="Calibrì" w:hAnsi="Calibrì" w:cstheme="minorHAnsi"/>
          <w:sz w:val="18"/>
          <w:szCs w:val="18"/>
        </w:rPr>
        <w:tab/>
        <w:t xml:space="preserve">C. Dee, F. Zinna, W. R. Kitzmann, G. Pescitelli, K. Heinze, L. D. Bari and M. Seitz, </w:t>
      </w:r>
      <w:r w:rsidRPr="00FC769A">
        <w:rPr>
          <w:rFonts w:ascii="Calibrì" w:hAnsi="Calibrì" w:cstheme="minorHAnsi"/>
          <w:i/>
          <w:iCs/>
          <w:sz w:val="18"/>
          <w:szCs w:val="18"/>
        </w:rPr>
        <w:t>Chem. Commun.</w:t>
      </w:r>
      <w:r w:rsidRPr="00FC769A">
        <w:rPr>
          <w:rFonts w:ascii="Calibrì" w:hAnsi="Calibrì" w:cstheme="minorHAnsi"/>
          <w:sz w:val="18"/>
          <w:szCs w:val="18"/>
        </w:rPr>
        <w:t xml:space="preserve">, 2019, </w:t>
      </w:r>
      <w:r w:rsidRPr="00FC769A">
        <w:rPr>
          <w:rFonts w:ascii="Calibrì" w:hAnsi="Calibrì" w:cstheme="minorHAnsi"/>
          <w:b/>
          <w:bCs/>
          <w:sz w:val="18"/>
          <w:szCs w:val="18"/>
        </w:rPr>
        <w:t>55</w:t>
      </w:r>
      <w:r w:rsidRPr="00FC769A">
        <w:rPr>
          <w:rFonts w:ascii="Calibrì" w:hAnsi="Calibrì" w:cstheme="minorHAnsi"/>
          <w:sz w:val="18"/>
          <w:szCs w:val="18"/>
        </w:rPr>
        <w:t>, 13078–13081.</w:t>
      </w:r>
    </w:p>
    <w:p w14:paraId="06CDBB46"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33</w:t>
      </w:r>
      <w:r w:rsidRPr="00FC769A">
        <w:rPr>
          <w:rFonts w:ascii="Calibrì" w:hAnsi="Calibrì" w:cstheme="minorHAnsi"/>
          <w:sz w:val="18"/>
          <w:szCs w:val="18"/>
        </w:rPr>
        <w:tab/>
        <w:t xml:space="preserve">J.-R. Jiménez, M. Poncet, S. Míguez-Lago, S. Grass, J. Lacour, C. Besnard, J. M. Cuerva, A. G. Campaña and C. Piguet, </w:t>
      </w:r>
      <w:r w:rsidRPr="00FC769A">
        <w:rPr>
          <w:rFonts w:ascii="Calibrì" w:hAnsi="Calibrì" w:cstheme="minorHAnsi"/>
          <w:i/>
          <w:iCs/>
          <w:sz w:val="18"/>
          <w:szCs w:val="18"/>
        </w:rPr>
        <w:t>Angew. Chem. Int. Ed.</w:t>
      </w:r>
      <w:r w:rsidRPr="00FC769A">
        <w:rPr>
          <w:rFonts w:ascii="Calibrì" w:hAnsi="Calibrì" w:cstheme="minorHAnsi"/>
          <w:sz w:val="18"/>
          <w:szCs w:val="18"/>
        </w:rPr>
        <w:t xml:space="preserve">, 2021, </w:t>
      </w:r>
      <w:r w:rsidRPr="00FC769A">
        <w:rPr>
          <w:rFonts w:ascii="Calibrì" w:hAnsi="Calibrì" w:cstheme="minorHAnsi"/>
          <w:b/>
          <w:bCs/>
          <w:sz w:val="18"/>
          <w:szCs w:val="18"/>
        </w:rPr>
        <w:t>60</w:t>
      </w:r>
      <w:r w:rsidRPr="00FC769A">
        <w:rPr>
          <w:rFonts w:ascii="Calibrì" w:hAnsi="Calibrì" w:cstheme="minorHAnsi"/>
          <w:sz w:val="18"/>
          <w:szCs w:val="18"/>
        </w:rPr>
        <w:t>, 10095–10102.</w:t>
      </w:r>
    </w:p>
    <w:p w14:paraId="1D963364" w14:textId="77777777" w:rsidR="004A14F0" w:rsidRPr="00FC769A" w:rsidRDefault="004A14F0" w:rsidP="004A14F0">
      <w:pPr>
        <w:pStyle w:val="Bibliografia"/>
        <w:rPr>
          <w:rFonts w:ascii="Calibrì" w:hAnsi="Calibrì" w:cstheme="minorHAnsi"/>
          <w:sz w:val="18"/>
          <w:szCs w:val="18"/>
          <w:lang w:val="it-IT"/>
        </w:rPr>
      </w:pPr>
      <w:r w:rsidRPr="00FC769A">
        <w:rPr>
          <w:rFonts w:ascii="Calibrì" w:hAnsi="Calibrì" w:cstheme="minorHAnsi"/>
          <w:sz w:val="18"/>
          <w:szCs w:val="18"/>
        </w:rPr>
        <w:lastRenderedPageBreak/>
        <w:t>34</w:t>
      </w:r>
      <w:r w:rsidRPr="00FC769A">
        <w:rPr>
          <w:rFonts w:ascii="Calibrì" w:hAnsi="Calibrì" w:cstheme="minorHAnsi"/>
          <w:sz w:val="18"/>
          <w:szCs w:val="18"/>
        </w:rPr>
        <w:tab/>
        <w:t xml:space="preserve">J.-R. Jiménez, S. Míguez-Lago, M. Poncet, Y. Ye, C. L. Ruiz, C. M. Cruz, A. G. Campaña, E. Colacio, C. Piguet and J. M. Herrera, </w:t>
      </w:r>
      <w:r w:rsidRPr="00FC769A">
        <w:rPr>
          <w:rFonts w:ascii="Calibrì" w:hAnsi="Calibrì" w:cstheme="minorHAnsi"/>
          <w:i/>
          <w:iCs/>
          <w:sz w:val="18"/>
          <w:szCs w:val="18"/>
        </w:rPr>
        <w:t xml:space="preserve">J. Mater. </w:t>
      </w:r>
      <w:r w:rsidRPr="00FC769A">
        <w:rPr>
          <w:rFonts w:ascii="Calibrì" w:hAnsi="Calibrì" w:cstheme="minorHAnsi"/>
          <w:i/>
          <w:iCs/>
          <w:sz w:val="18"/>
          <w:szCs w:val="18"/>
          <w:lang w:val="it-IT"/>
        </w:rPr>
        <w:t>Chem. C</w:t>
      </w:r>
      <w:r w:rsidRPr="00FC769A">
        <w:rPr>
          <w:rFonts w:ascii="Calibrì" w:hAnsi="Calibrì" w:cstheme="minorHAnsi"/>
          <w:sz w:val="18"/>
          <w:szCs w:val="18"/>
          <w:lang w:val="it-IT"/>
        </w:rPr>
        <w:t xml:space="preserve">, 2023, </w:t>
      </w:r>
      <w:r w:rsidRPr="00FC769A">
        <w:rPr>
          <w:rFonts w:ascii="Calibrì" w:hAnsi="Calibrì" w:cstheme="minorHAnsi"/>
          <w:b/>
          <w:bCs/>
          <w:sz w:val="18"/>
          <w:szCs w:val="18"/>
          <w:lang w:val="it-IT"/>
        </w:rPr>
        <w:t>11</w:t>
      </w:r>
      <w:r w:rsidRPr="00FC769A">
        <w:rPr>
          <w:rFonts w:ascii="Calibrì" w:hAnsi="Calibrì" w:cstheme="minorHAnsi"/>
          <w:sz w:val="18"/>
          <w:szCs w:val="18"/>
          <w:lang w:val="it-IT"/>
        </w:rPr>
        <w:t>, 2582–2590.</w:t>
      </w:r>
    </w:p>
    <w:p w14:paraId="263E3755" w14:textId="77777777" w:rsidR="004A14F0" w:rsidRPr="00FC769A" w:rsidRDefault="004A14F0" w:rsidP="004A14F0">
      <w:pPr>
        <w:pStyle w:val="Bibliografia"/>
        <w:rPr>
          <w:rFonts w:ascii="Calibrì" w:hAnsi="Calibrì" w:cstheme="minorHAnsi"/>
          <w:sz w:val="18"/>
          <w:szCs w:val="18"/>
          <w:lang w:val="it-IT"/>
        </w:rPr>
      </w:pPr>
      <w:r w:rsidRPr="00FC769A">
        <w:rPr>
          <w:rFonts w:ascii="Calibrì" w:hAnsi="Calibrì" w:cstheme="minorHAnsi"/>
          <w:sz w:val="18"/>
          <w:szCs w:val="18"/>
          <w:lang w:val="it-IT"/>
        </w:rPr>
        <w:t>35</w:t>
      </w:r>
      <w:r w:rsidRPr="00FC769A">
        <w:rPr>
          <w:rFonts w:ascii="Calibrì" w:hAnsi="Calibrì" w:cstheme="minorHAnsi"/>
          <w:sz w:val="18"/>
          <w:szCs w:val="18"/>
          <w:lang w:val="it-IT"/>
        </w:rPr>
        <w:tab/>
        <w:t xml:space="preserve">O. G. Willis, F. Zinna and L. Di Bari, </w:t>
      </w:r>
      <w:r w:rsidRPr="00FC769A">
        <w:rPr>
          <w:rFonts w:ascii="Calibrì" w:hAnsi="Calibrì" w:cstheme="minorHAnsi"/>
          <w:i/>
          <w:iCs/>
          <w:sz w:val="18"/>
          <w:szCs w:val="18"/>
          <w:lang w:val="it-IT"/>
        </w:rPr>
        <w:t>Angew. Chem. Int. Ed.</w:t>
      </w:r>
      <w:r w:rsidRPr="00FC769A">
        <w:rPr>
          <w:rFonts w:ascii="Calibrì" w:hAnsi="Calibrì" w:cstheme="minorHAnsi"/>
          <w:sz w:val="18"/>
          <w:szCs w:val="18"/>
          <w:lang w:val="it-IT"/>
        </w:rPr>
        <w:t xml:space="preserve">, 2023, </w:t>
      </w:r>
      <w:r w:rsidRPr="00FC769A">
        <w:rPr>
          <w:rFonts w:ascii="Calibrì" w:hAnsi="Calibrì" w:cstheme="minorHAnsi"/>
          <w:b/>
          <w:bCs/>
          <w:sz w:val="18"/>
          <w:szCs w:val="18"/>
          <w:lang w:val="it-IT"/>
        </w:rPr>
        <w:t>62</w:t>
      </w:r>
      <w:r w:rsidRPr="00FC769A">
        <w:rPr>
          <w:rFonts w:ascii="Calibrì" w:hAnsi="Calibrì" w:cstheme="minorHAnsi"/>
          <w:sz w:val="18"/>
          <w:szCs w:val="18"/>
          <w:lang w:val="it-IT"/>
        </w:rPr>
        <w:t>, e202302358.</w:t>
      </w:r>
    </w:p>
    <w:p w14:paraId="3BDD6D9A"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lang w:val="it-IT"/>
        </w:rPr>
        <w:t>36</w:t>
      </w:r>
      <w:r w:rsidRPr="00FC769A">
        <w:rPr>
          <w:rFonts w:ascii="Calibrì" w:hAnsi="Calibrì" w:cstheme="minorHAnsi"/>
          <w:sz w:val="18"/>
          <w:szCs w:val="18"/>
          <w:lang w:val="it-IT"/>
        </w:rPr>
        <w:tab/>
        <w:t xml:space="preserve">L. Llanos, P. Cancino, P. Mella, P. Fuentealba and D. Aravena, </w:t>
      </w:r>
      <w:r w:rsidRPr="00FC769A">
        <w:rPr>
          <w:rFonts w:ascii="Calibrì" w:hAnsi="Calibrì" w:cstheme="minorHAnsi"/>
          <w:i/>
          <w:iCs/>
          <w:sz w:val="18"/>
          <w:szCs w:val="18"/>
          <w:lang w:val="it-IT"/>
        </w:rPr>
        <w:t xml:space="preserve">Coord. </w:t>
      </w:r>
      <w:r w:rsidRPr="00FC769A">
        <w:rPr>
          <w:rFonts w:ascii="Calibrì" w:hAnsi="Calibrì" w:cstheme="minorHAnsi"/>
          <w:i/>
          <w:iCs/>
          <w:sz w:val="18"/>
          <w:szCs w:val="18"/>
        </w:rPr>
        <w:t>Chem. Rev.</w:t>
      </w:r>
      <w:r w:rsidRPr="00FC769A">
        <w:rPr>
          <w:rFonts w:ascii="Calibrì" w:hAnsi="Calibrì" w:cstheme="minorHAnsi"/>
          <w:sz w:val="18"/>
          <w:szCs w:val="18"/>
        </w:rPr>
        <w:t xml:space="preserve">, 2024, </w:t>
      </w:r>
      <w:r w:rsidRPr="00FC769A">
        <w:rPr>
          <w:rFonts w:ascii="Calibrì" w:hAnsi="Calibrì" w:cstheme="minorHAnsi"/>
          <w:b/>
          <w:bCs/>
          <w:sz w:val="18"/>
          <w:szCs w:val="18"/>
        </w:rPr>
        <w:t>505</w:t>
      </w:r>
      <w:r w:rsidRPr="00FC769A">
        <w:rPr>
          <w:rFonts w:ascii="Calibrì" w:hAnsi="Calibrì" w:cstheme="minorHAnsi"/>
          <w:sz w:val="18"/>
          <w:szCs w:val="18"/>
        </w:rPr>
        <w:t>, 215675.</w:t>
      </w:r>
    </w:p>
    <w:p w14:paraId="38C28FDA"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37</w:t>
      </w:r>
      <w:r w:rsidRPr="00FC769A">
        <w:rPr>
          <w:rFonts w:ascii="Calibrì" w:hAnsi="Calibrì" w:cstheme="minorHAnsi"/>
          <w:sz w:val="18"/>
          <w:szCs w:val="18"/>
        </w:rPr>
        <w:tab/>
        <w:t xml:space="preserve">H.-Y. Wong, W.-S. Lo, K.-H. Yim and G.-L. Law, </w:t>
      </w:r>
      <w:r w:rsidRPr="00FC769A">
        <w:rPr>
          <w:rFonts w:ascii="Calibrì" w:hAnsi="Calibrì" w:cstheme="minorHAnsi"/>
          <w:i/>
          <w:iCs/>
          <w:sz w:val="18"/>
          <w:szCs w:val="18"/>
        </w:rPr>
        <w:t>Chem</w:t>
      </w:r>
      <w:r w:rsidRPr="00FC769A">
        <w:rPr>
          <w:rFonts w:ascii="Calibrì" w:hAnsi="Calibrì" w:cstheme="minorHAnsi"/>
          <w:sz w:val="18"/>
          <w:szCs w:val="18"/>
        </w:rPr>
        <w:t xml:space="preserve">, 2019, </w:t>
      </w:r>
      <w:r w:rsidRPr="00FC769A">
        <w:rPr>
          <w:rFonts w:ascii="Calibrì" w:hAnsi="Calibrì" w:cstheme="minorHAnsi"/>
          <w:b/>
          <w:bCs/>
          <w:sz w:val="18"/>
          <w:szCs w:val="18"/>
        </w:rPr>
        <w:t>5</w:t>
      </w:r>
      <w:r w:rsidRPr="00FC769A">
        <w:rPr>
          <w:rFonts w:ascii="Calibrì" w:hAnsi="Calibrì" w:cstheme="minorHAnsi"/>
          <w:sz w:val="18"/>
          <w:szCs w:val="18"/>
        </w:rPr>
        <w:t>, 3058–3095.</w:t>
      </w:r>
    </w:p>
    <w:p w14:paraId="1B156F0C" w14:textId="77777777" w:rsidR="004A14F0" w:rsidRPr="00FC769A" w:rsidRDefault="004A14F0" w:rsidP="004A14F0">
      <w:pPr>
        <w:pStyle w:val="Bibliografia"/>
        <w:rPr>
          <w:rFonts w:ascii="Calibrì" w:hAnsi="Calibrì" w:cstheme="minorHAnsi"/>
          <w:sz w:val="18"/>
          <w:szCs w:val="18"/>
          <w:lang w:val="it-IT"/>
        </w:rPr>
      </w:pPr>
      <w:r w:rsidRPr="00FC769A">
        <w:rPr>
          <w:rFonts w:ascii="Calibrì" w:hAnsi="Calibrì" w:cstheme="minorHAnsi"/>
          <w:sz w:val="18"/>
          <w:szCs w:val="18"/>
          <w:lang w:val="it-IT"/>
        </w:rPr>
        <w:t>38</w:t>
      </w:r>
      <w:r w:rsidRPr="00FC769A">
        <w:rPr>
          <w:rFonts w:ascii="Calibrì" w:hAnsi="Calibrì" w:cstheme="minorHAnsi"/>
          <w:sz w:val="18"/>
          <w:szCs w:val="18"/>
          <w:lang w:val="it-IT"/>
        </w:rPr>
        <w:tab/>
        <w:t xml:space="preserve">F. Zinna and L. Di Bari, </w:t>
      </w:r>
      <w:r w:rsidRPr="00FC769A">
        <w:rPr>
          <w:rFonts w:ascii="Calibrì" w:hAnsi="Calibrì" w:cstheme="minorHAnsi"/>
          <w:i/>
          <w:iCs/>
          <w:sz w:val="18"/>
          <w:szCs w:val="18"/>
          <w:lang w:val="it-IT"/>
        </w:rPr>
        <w:t>Chirality</w:t>
      </w:r>
      <w:r w:rsidRPr="00FC769A">
        <w:rPr>
          <w:rFonts w:ascii="Calibrì" w:hAnsi="Calibrì" w:cstheme="minorHAnsi"/>
          <w:sz w:val="18"/>
          <w:szCs w:val="18"/>
          <w:lang w:val="it-IT"/>
        </w:rPr>
        <w:t xml:space="preserve">, 2015, </w:t>
      </w:r>
      <w:r w:rsidRPr="00FC769A">
        <w:rPr>
          <w:rFonts w:ascii="Calibrì" w:hAnsi="Calibrì" w:cstheme="minorHAnsi"/>
          <w:b/>
          <w:bCs/>
          <w:sz w:val="18"/>
          <w:szCs w:val="18"/>
          <w:lang w:val="it-IT"/>
        </w:rPr>
        <w:t>27</w:t>
      </w:r>
      <w:r w:rsidRPr="00FC769A">
        <w:rPr>
          <w:rFonts w:ascii="Calibrì" w:hAnsi="Calibrì" w:cstheme="minorHAnsi"/>
          <w:sz w:val="18"/>
          <w:szCs w:val="18"/>
          <w:lang w:val="it-IT"/>
        </w:rPr>
        <w:t>, 1–13.</w:t>
      </w:r>
    </w:p>
    <w:p w14:paraId="2051D276"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39</w:t>
      </w:r>
      <w:r w:rsidRPr="00FC769A">
        <w:rPr>
          <w:rFonts w:ascii="Calibrì" w:hAnsi="Calibrì" w:cstheme="minorHAnsi"/>
          <w:sz w:val="18"/>
          <w:szCs w:val="18"/>
        </w:rPr>
        <w:tab/>
        <w:t xml:space="preserve">B. Doistau, J.-R. Jiménez and C. Piguet, </w:t>
      </w:r>
      <w:r w:rsidRPr="00FC769A">
        <w:rPr>
          <w:rFonts w:ascii="Calibrì" w:hAnsi="Calibrì" w:cstheme="minorHAnsi"/>
          <w:i/>
          <w:iCs/>
          <w:sz w:val="18"/>
          <w:szCs w:val="18"/>
        </w:rPr>
        <w:t>Front. Chem.</w:t>
      </w:r>
      <w:r w:rsidRPr="00FC769A">
        <w:rPr>
          <w:rFonts w:ascii="Calibrì" w:hAnsi="Calibrì" w:cstheme="minorHAnsi"/>
          <w:sz w:val="18"/>
          <w:szCs w:val="18"/>
        </w:rPr>
        <w:t>, , DOI:10.3389/fchem.2020.00555.</w:t>
      </w:r>
    </w:p>
    <w:p w14:paraId="7E03CE0F"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40</w:t>
      </w:r>
      <w:r w:rsidRPr="00FC769A">
        <w:rPr>
          <w:rFonts w:ascii="Calibrì" w:hAnsi="Calibrì" w:cstheme="minorHAnsi"/>
          <w:sz w:val="18"/>
          <w:szCs w:val="18"/>
        </w:rPr>
        <w:tab/>
        <w:t xml:space="preserve">C. Förster and K. Heinze, </w:t>
      </w:r>
      <w:r w:rsidRPr="00FC769A">
        <w:rPr>
          <w:rFonts w:ascii="Calibrì" w:hAnsi="Calibrì" w:cstheme="minorHAnsi"/>
          <w:i/>
          <w:iCs/>
          <w:sz w:val="18"/>
          <w:szCs w:val="18"/>
        </w:rPr>
        <w:t>Chem. Soc. Rev.</w:t>
      </w:r>
      <w:r w:rsidRPr="00FC769A">
        <w:rPr>
          <w:rFonts w:ascii="Calibrì" w:hAnsi="Calibrì" w:cstheme="minorHAnsi"/>
          <w:sz w:val="18"/>
          <w:szCs w:val="18"/>
        </w:rPr>
        <w:t xml:space="preserve">, 2020, </w:t>
      </w:r>
      <w:r w:rsidRPr="00FC769A">
        <w:rPr>
          <w:rFonts w:ascii="Calibrì" w:hAnsi="Calibrì" w:cstheme="minorHAnsi"/>
          <w:b/>
          <w:bCs/>
          <w:sz w:val="18"/>
          <w:szCs w:val="18"/>
        </w:rPr>
        <w:t>49</w:t>
      </w:r>
      <w:r w:rsidRPr="00FC769A">
        <w:rPr>
          <w:rFonts w:ascii="Calibrì" w:hAnsi="Calibrì" w:cstheme="minorHAnsi"/>
          <w:sz w:val="18"/>
          <w:szCs w:val="18"/>
        </w:rPr>
        <w:t>, 1057–1070.</w:t>
      </w:r>
    </w:p>
    <w:p w14:paraId="73050371"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41</w:t>
      </w:r>
      <w:r w:rsidRPr="00FC769A">
        <w:rPr>
          <w:rFonts w:ascii="Calibrì" w:hAnsi="Calibrì" w:cstheme="minorHAnsi"/>
          <w:sz w:val="18"/>
          <w:szCs w:val="18"/>
        </w:rPr>
        <w:tab/>
        <w:t xml:space="preserve">P. N. Schatz, A. J. McCaffery, W. Suetaka, G. N. Henning, A. B. Ritchie and P. J. Stephens, </w:t>
      </w:r>
      <w:r w:rsidRPr="00FC769A">
        <w:rPr>
          <w:rFonts w:ascii="Calibrì" w:hAnsi="Calibrì" w:cstheme="minorHAnsi"/>
          <w:i/>
          <w:iCs/>
          <w:sz w:val="18"/>
          <w:szCs w:val="18"/>
        </w:rPr>
        <w:t>J. Chem. Phys.</w:t>
      </w:r>
      <w:r w:rsidRPr="00FC769A">
        <w:rPr>
          <w:rFonts w:ascii="Calibrì" w:hAnsi="Calibrì" w:cstheme="minorHAnsi"/>
          <w:sz w:val="18"/>
          <w:szCs w:val="18"/>
        </w:rPr>
        <w:t xml:space="preserve">, 1966, </w:t>
      </w:r>
      <w:r w:rsidRPr="00FC769A">
        <w:rPr>
          <w:rFonts w:ascii="Calibrì" w:hAnsi="Calibrì" w:cstheme="minorHAnsi"/>
          <w:b/>
          <w:bCs/>
          <w:sz w:val="18"/>
          <w:szCs w:val="18"/>
        </w:rPr>
        <w:t>45</w:t>
      </w:r>
      <w:r w:rsidRPr="00FC769A">
        <w:rPr>
          <w:rFonts w:ascii="Calibrì" w:hAnsi="Calibrì" w:cstheme="minorHAnsi"/>
          <w:sz w:val="18"/>
          <w:szCs w:val="18"/>
        </w:rPr>
        <w:t>, 722–734.</w:t>
      </w:r>
    </w:p>
    <w:p w14:paraId="2261F8C5"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42</w:t>
      </w:r>
      <w:r w:rsidRPr="00FC769A">
        <w:rPr>
          <w:rFonts w:ascii="Calibrì" w:hAnsi="Calibrì" w:cstheme="minorHAnsi"/>
          <w:sz w:val="18"/>
          <w:szCs w:val="18"/>
        </w:rPr>
        <w:tab/>
        <w:t xml:space="preserve">P. J. Stephens, W. Suëtaak and P. N. Schatz, </w:t>
      </w:r>
      <w:r w:rsidRPr="00FC769A">
        <w:rPr>
          <w:rFonts w:ascii="Calibrì" w:hAnsi="Calibrì" w:cstheme="minorHAnsi"/>
          <w:i/>
          <w:iCs/>
          <w:sz w:val="18"/>
          <w:szCs w:val="18"/>
        </w:rPr>
        <w:t>J. Chem. Phys.</w:t>
      </w:r>
      <w:r w:rsidRPr="00FC769A">
        <w:rPr>
          <w:rFonts w:ascii="Calibrì" w:hAnsi="Calibrì" w:cstheme="minorHAnsi"/>
          <w:sz w:val="18"/>
          <w:szCs w:val="18"/>
        </w:rPr>
        <w:t xml:space="preserve">, 1966, </w:t>
      </w:r>
      <w:r w:rsidRPr="00FC769A">
        <w:rPr>
          <w:rFonts w:ascii="Calibrì" w:hAnsi="Calibrì" w:cstheme="minorHAnsi"/>
          <w:b/>
          <w:bCs/>
          <w:sz w:val="18"/>
          <w:szCs w:val="18"/>
        </w:rPr>
        <w:t>44</w:t>
      </w:r>
      <w:r w:rsidRPr="00FC769A">
        <w:rPr>
          <w:rFonts w:ascii="Calibrì" w:hAnsi="Calibrì" w:cstheme="minorHAnsi"/>
          <w:sz w:val="18"/>
          <w:szCs w:val="18"/>
        </w:rPr>
        <w:t>, 4592–4602.</w:t>
      </w:r>
    </w:p>
    <w:p w14:paraId="239154A4"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43</w:t>
      </w:r>
      <w:r w:rsidRPr="00FC769A">
        <w:rPr>
          <w:rFonts w:ascii="Calibrì" w:hAnsi="Calibrì" w:cstheme="minorHAnsi"/>
          <w:sz w:val="18"/>
          <w:szCs w:val="18"/>
        </w:rPr>
        <w:tab/>
        <w:t xml:space="preserve">W. R. Mason, </w:t>
      </w:r>
      <w:r w:rsidRPr="00FC769A">
        <w:rPr>
          <w:rFonts w:ascii="Calibrì" w:hAnsi="Calibrì" w:cstheme="minorHAnsi"/>
          <w:i/>
          <w:iCs/>
          <w:sz w:val="18"/>
          <w:szCs w:val="18"/>
        </w:rPr>
        <w:t>A practical guide to magnetic circular dichroism spectroscopy</w:t>
      </w:r>
      <w:r w:rsidRPr="00FC769A">
        <w:rPr>
          <w:rFonts w:ascii="Calibrì" w:hAnsi="Calibrì" w:cstheme="minorHAnsi"/>
          <w:sz w:val="18"/>
          <w:szCs w:val="18"/>
        </w:rPr>
        <w:t>, Wiley-Interscience, Hoboken, N.J., 2007.</w:t>
      </w:r>
    </w:p>
    <w:p w14:paraId="1968DE77" w14:textId="77777777" w:rsidR="004A14F0" w:rsidRPr="00FC769A" w:rsidRDefault="004A14F0" w:rsidP="004A14F0">
      <w:pPr>
        <w:pStyle w:val="Bibliografia"/>
        <w:rPr>
          <w:rFonts w:ascii="Calibrì" w:hAnsi="Calibrì" w:cstheme="minorHAnsi"/>
          <w:sz w:val="18"/>
          <w:szCs w:val="18"/>
          <w:lang w:val="it-IT"/>
        </w:rPr>
      </w:pPr>
      <w:r w:rsidRPr="00FC769A">
        <w:rPr>
          <w:rFonts w:ascii="Calibrì" w:hAnsi="Calibrì" w:cstheme="minorHAnsi"/>
          <w:sz w:val="18"/>
          <w:szCs w:val="18"/>
          <w:lang w:val="it-IT"/>
        </w:rPr>
        <w:t>44</w:t>
      </w:r>
      <w:r w:rsidRPr="00FC769A">
        <w:rPr>
          <w:rFonts w:ascii="Calibrì" w:hAnsi="Calibrì" w:cstheme="minorHAnsi"/>
          <w:sz w:val="18"/>
          <w:szCs w:val="18"/>
          <w:lang w:val="it-IT"/>
        </w:rPr>
        <w:tab/>
        <w:t xml:space="preserve">F. Zinna and G. Pescitelli, </w:t>
      </w:r>
      <w:r w:rsidRPr="00FC769A">
        <w:rPr>
          <w:rFonts w:ascii="Calibrì" w:hAnsi="Calibrì" w:cstheme="minorHAnsi"/>
          <w:i/>
          <w:iCs/>
          <w:sz w:val="18"/>
          <w:szCs w:val="18"/>
          <w:lang w:val="it-IT"/>
        </w:rPr>
        <w:t>Eur. J. Org. Chem.</w:t>
      </w:r>
      <w:r w:rsidRPr="00FC769A">
        <w:rPr>
          <w:rFonts w:ascii="Calibrì" w:hAnsi="Calibrì" w:cstheme="minorHAnsi"/>
          <w:sz w:val="18"/>
          <w:szCs w:val="18"/>
          <w:lang w:val="it-IT"/>
        </w:rPr>
        <w:t xml:space="preserve">, 2023, </w:t>
      </w:r>
      <w:r w:rsidRPr="00FC769A">
        <w:rPr>
          <w:rFonts w:ascii="Calibrì" w:hAnsi="Calibrì" w:cstheme="minorHAnsi"/>
          <w:b/>
          <w:bCs/>
          <w:sz w:val="18"/>
          <w:szCs w:val="18"/>
          <w:lang w:val="it-IT"/>
        </w:rPr>
        <w:t>26</w:t>
      </w:r>
      <w:r w:rsidRPr="00FC769A">
        <w:rPr>
          <w:rFonts w:ascii="Calibrì" w:hAnsi="Calibrì" w:cstheme="minorHAnsi"/>
          <w:sz w:val="18"/>
          <w:szCs w:val="18"/>
          <w:lang w:val="it-IT"/>
        </w:rPr>
        <w:t>, e202300509.</w:t>
      </w:r>
    </w:p>
    <w:p w14:paraId="672B2843"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lang w:val="it-IT"/>
        </w:rPr>
        <w:t>45</w:t>
      </w:r>
      <w:r w:rsidRPr="00FC769A">
        <w:rPr>
          <w:rFonts w:ascii="Calibrì" w:hAnsi="Calibrì" w:cstheme="minorHAnsi"/>
          <w:sz w:val="18"/>
          <w:szCs w:val="18"/>
          <w:lang w:val="it-IT"/>
        </w:rPr>
        <w:tab/>
        <w:t xml:space="preserve">M. Fusè, G. Mazzeo, S. Ghidinelli, A. Evidente, S. Abbate and G. Longhi, </w:t>
      </w:r>
      <w:r w:rsidRPr="00FC769A">
        <w:rPr>
          <w:rFonts w:ascii="Calibrì" w:hAnsi="Calibrì" w:cstheme="minorHAnsi"/>
          <w:i/>
          <w:iCs/>
          <w:sz w:val="18"/>
          <w:szCs w:val="18"/>
          <w:lang w:val="it-IT"/>
        </w:rPr>
        <w:t xml:space="preserve">Spectrochim. </w:t>
      </w:r>
      <w:r w:rsidRPr="00FC769A">
        <w:rPr>
          <w:rFonts w:ascii="Calibrì" w:hAnsi="Calibrì" w:cstheme="minorHAnsi"/>
          <w:i/>
          <w:iCs/>
          <w:sz w:val="18"/>
          <w:szCs w:val="18"/>
        </w:rPr>
        <w:t>Acta A</w:t>
      </w:r>
      <w:r w:rsidRPr="00FC769A">
        <w:rPr>
          <w:rFonts w:ascii="Calibrì" w:hAnsi="Calibrì" w:cstheme="minorHAnsi"/>
          <w:sz w:val="18"/>
          <w:szCs w:val="18"/>
        </w:rPr>
        <w:t xml:space="preserve">, 2024, </w:t>
      </w:r>
      <w:r w:rsidRPr="00FC769A">
        <w:rPr>
          <w:rFonts w:ascii="Calibrì" w:hAnsi="Calibrì" w:cstheme="minorHAnsi"/>
          <w:b/>
          <w:bCs/>
          <w:sz w:val="18"/>
          <w:szCs w:val="18"/>
        </w:rPr>
        <w:t>319</w:t>
      </w:r>
      <w:r w:rsidRPr="00FC769A">
        <w:rPr>
          <w:rFonts w:ascii="Calibrì" w:hAnsi="Calibrì" w:cstheme="minorHAnsi"/>
          <w:sz w:val="18"/>
          <w:szCs w:val="18"/>
        </w:rPr>
        <w:t>, 124583.</w:t>
      </w:r>
    </w:p>
    <w:p w14:paraId="7DB4728B"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46</w:t>
      </w:r>
      <w:r w:rsidRPr="00FC769A">
        <w:rPr>
          <w:rFonts w:ascii="Calibrì" w:hAnsi="Calibrì" w:cstheme="minorHAnsi"/>
          <w:sz w:val="18"/>
          <w:szCs w:val="18"/>
        </w:rPr>
        <w:tab/>
        <w:t xml:space="preserve">J. P. Riehl and F. S. Richardson, </w:t>
      </w:r>
      <w:r w:rsidRPr="00FC769A">
        <w:rPr>
          <w:rFonts w:ascii="Calibrì" w:hAnsi="Calibrì" w:cstheme="minorHAnsi"/>
          <w:i/>
          <w:iCs/>
          <w:sz w:val="18"/>
          <w:szCs w:val="18"/>
        </w:rPr>
        <w:t>Chem. Rev.</w:t>
      </w:r>
      <w:r w:rsidRPr="00FC769A">
        <w:rPr>
          <w:rFonts w:ascii="Calibrì" w:hAnsi="Calibrì" w:cstheme="minorHAnsi"/>
          <w:sz w:val="18"/>
          <w:szCs w:val="18"/>
        </w:rPr>
        <w:t xml:space="preserve">, 1986, </w:t>
      </w:r>
      <w:r w:rsidRPr="00FC769A">
        <w:rPr>
          <w:rFonts w:ascii="Calibrì" w:hAnsi="Calibrì" w:cstheme="minorHAnsi"/>
          <w:b/>
          <w:bCs/>
          <w:sz w:val="18"/>
          <w:szCs w:val="18"/>
        </w:rPr>
        <w:t>86</w:t>
      </w:r>
      <w:r w:rsidRPr="00FC769A">
        <w:rPr>
          <w:rFonts w:ascii="Calibrì" w:hAnsi="Calibrì" w:cstheme="minorHAnsi"/>
          <w:sz w:val="18"/>
          <w:szCs w:val="18"/>
        </w:rPr>
        <w:t>, 1–16.</w:t>
      </w:r>
    </w:p>
    <w:p w14:paraId="0E9B4765"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47</w:t>
      </w:r>
      <w:r w:rsidRPr="00FC769A">
        <w:rPr>
          <w:rFonts w:ascii="Calibrì" w:hAnsi="Calibrì" w:cstheme="minorHAnsi"/>
          <w:sz w:val="18"/>
          <w:szCs w:val="18"/>
        </w:rPr>
        <w:tab/>
        <w:t xml:space="preserve">J. P. Riehl and F. S. Richardson, </w:t>
      </w:r>
      <w:r w:rsidRPr="00FC769A">
        <w:rPr>
          <w:rFonts w:ascii="Calibrì" w:hAnsi="Calibrì" w:cstheme="minorHAnsi"/>
          <w:i/>
          <w:iCs/>
          <w:sz w:val="18"/>
          <w:szCs w:val="18"/>
        </w:rPr>
        <w:t>J. Chem. Phys.</w:t>
      </w:r>
      <w:r w:rsidRPr="00FC769A">
        <w:rPr>
          <w:rFonts w:ascii="Calibrì" w:hAnsi="Calibrì" w:cstheme="minorHAnsi"/>
          <w:sz w:val="18"/>
          <w:szCs w:val="18"/>
        </w:rPr>
        <w:t xml:space="preserve">, 1977, </w:t>
      </w:r>
      <w:r w:rsidRPr="00FC769A">
        <w:rPr>
          <w:rFonts w:ascii="Calibrì" w:hAnsi="Calibrì" w:cstheme="minorHAnsi"/>
          <w:b/>
          <w:bCs/>
          <w:sz w:val="18"/>
          <w:szCs w:val="18"/>
        </w:rPr>
        <w:t>66</w:t>
      </w:r>
      <w:r w:rsidRPr="00FC769A">
        <w:rPr>
          <w:rFonts w:ascii="Calibrì" w:hAnsi="Calibrì" w:cstheme="minorHAnsi"/>
          <w:sz w:val="18"/>
          <w:szCs w:val="18"/>
        </w:rPr>
        <w:t>, 1988–1998.</w:t>
      </w:r>
    </w:p>
    <w:p w14:paraId="760E9BC5"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48</w:t>
      </w:r>
      <w:r w:rsidRPr="00FC769A">
        <w:rPr>
          <w:rFonts w:ascii="Calibrì" w:hAnsi="Calibrì" w:cstheme="minorHAnsi"/>
          <w:sz w:val="18"/>
          <w:szCs w:val="18"/>
        </w:rPr>
        <w:tab/>
        <w:t xml:space="preserve">L. D. Barron, </w:t>
      </w:r>
      <w:r w:rsidRPr="00FC769A">
        <w:rPr>
          <w:rFonts w:ascii="Calibrì" w:hAnsi="Calibrì" w:cstheme="minorHAnsi"/>
          <w:i/>
          <w:iCs/>
          <w:sz w:val="18"/>
          <w:szCs w:val="18"/>
        </w:rPr>
        <w:t>Molecular Light Scattering and Optical Activity</w:t>
      </w:r>
      <w:r w:rsidRPr="00FC769A">
        <w:rPr>
          <w:rFonts w:ascii="Calibrì" w:hAnsi="Calibrì" w:cstheme="minorHAnsi"/>
          <w:sz w:val="18"/>
          <w:szCs w:val="18"/>
        </w:rPr>
        <w:t>, Cambridge University Press, 2009.</w:t>
      </w:r>
    </w:p>
    <w:p w14:paraId="297AC99B"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49</w:t>
      </w:r>
      <w:r w:rsidRPr="00FC769A">
        <w:rPr>
          <w:rFonts w:ascii="Calibrì" w:hAnsi="Calibrì" w:cstheme="minorHAnsi"/>
          <w:sz w:val="18"/>
          <w:szCs w:val="18"/>
        </w:rPr>
        <w:tab/>
        <w:t xml:space="preserve">P. J. Stephens, </w:t>
      </w:r>
      <w:r w:rsidRPr="00FC769A">
        <w:rPr>
          <w:rFonts w:ascii="Calibrì" w:hAnsi="Calibrì" w:cstheme="minorHAnsi"/>
          <w:i/>
          <w:iCs/>
          <w:sz w:val="18"/>
          <w:szCs w:val="18"/>
        </w:rPr>
        <w:t>J. Chem. Phys.</w:t>
      </w:r>
      <w:r w:rsidRPr="00FC769A">
        <w:rPr>
          <w:rFonts w:ascii="Calibrì" w:hAnsi="Calibrì" w:cstheme="minorHAnsi"/>
          <w:sz w:val="18"/>
          <w:szCs w:val="18"/>
        </w:rPr>
        <w:t xml:space="preserve">, 1970, </w:t>
      </w:r>
      <w:r w:rsidRPr="00FC769A">
        <w:rPr>
          <w:rFonts w:ascii="Calibrì" w:hAnsi="Calibrì" w:cstheme="minorHAnsi"/>
          <w:b/>
          <w:bCs/>
          <w:sz w:val="18"/>
          <w:szCs w:val="18"/>
        </w:rPr>
        <w:t>52</w:t>
      </w:r>
      <w:r w:rsidRPr="00FC769A">
        <w:rPr>
          <w:rFonts w:ascii="Calibrì" w:hAnsi="Calibrì" w:cstheme="minorHAnsi"/>
          <w:sz w:val="18"/>
          <w:szCs w:val="18"/>
        </w:rPr>
        <w:t>, 3489–3516.</w:t>
      </w:r>
    </w:p>
    <w:p w14:paraId="66950EA8"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50</w:t>
      </w:r>
      <w:r w:rsidRPr="00FC769A">
        <w:rPr>
          <w:rFonts w:ascii="Calibrì" w:hAnsi="Calibrì" w:cstheme="minorHAnsi"/>
          <w:sz w:val="18"/>
          <w:szCs w:val="18"/>
        </w:rPr>
        <w:tab/>
        <w:t xml:space="preserve">Z. Nelson, L. Delage-Laurin and T. M. Swager, </w:t>
      </w:r>
      <w:r w:rsidRPr="00FC769A">
        <w:rPr>
          <w:rFonts w:ascii="Calibrì" w:hAnsi="Calibrì" w:cstheme="minorHAnsi"/>
          <w:i/>
          <w:iCs/>
          <w:sz w:val="18"/>
          <w:szCs w:val="18"/>
        </w:rPr>
        <w:t>J. Am. Chem. Soc.</w:t>
      </w:r>
      <w:r w:rsidRPr="00FC769A">
        <w:rPr>
          <w:rFonts w:ascii="Calibrì" w:hAnsi="Calibrì" w:cstheme="minorHAnsi"/>
          <w:sz w:val="18"/>
          <w:szCs w:val="18"/>
        </w:rPr>
        <w:t xml:space="preserve">, 2022, </w:t>
      </w:r>
      <w:r w:rsidRPr="00FC769A">
        <w:rPr>
          <w:rFonts w:ascii="Calibrì" w:hAnsi="Calibrì" w:cstheme="minorHAnsi"/>
          <w:b/>
          <w:bCs/>
          <w:sz w:val="18"/>
          <w:szCs w:val="18"/>
        </w:rPr>
        <w:t>144</w:t>
      </w:r>
      <w:r w:rsidRPr="00FC769A">
        <w:rPr>
          <w:rFonts w:ascii="Calibrì" w:hAnsi="Calibrì" w:cstheme="minorHAnsi"/>
          <w:sz w:val="18"/>
          <w:szCs w:val="18"/>
        </w:rPr>
        <w:t>, 11912–11926.</w:t>
      </w:r>
    </w:p>
    <w:p w14:paraId="7F602A94"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51</w:t>
      </w:r>
      <w:r w:rsidRPr="00FC769A">
        <w:rPr>
          <w:rFonts w:ascii="Calibrì" w:hAnsi="Calibrì" w:cstheme="minorHAnsi"/>
          <w:sz w:val="18"/>
          <w:szCs w:val="18"/>
        </w:rPr>
        <w:tab/>
        <w:t xml:space="preserve">F. S. Richardson and H. G. Brittain, </w:t>
      </w:r>
      <w:r w:rsidRPr="00FC769A">
        <w:rPr>
          <w:rFonts w:ascii="Calibrì" w:hAnsi="Calibrì" w:cstheme="minorHAnsi"/>
          <w:i/>
          <w:iCs/>
          <w:sz w:val="18"/>
          <w:szCs w:val="18"/>
        </w:rPr>
        <w:t>J. Am. Chem. Soc.</w:t>
      </w:r>
      <w:r w:rsidRPr="00FC769A">
        <w:rPr>
          <w:rFonts w:ascii="Calibrì" w:hAnsi="Calibrì" w:cstheme="minorHAnsi"/>
          <w:sz w:val="18"/>
          <w:szCs w:val="18"/>
        </w:rPr>
        <w:t xml:space="preserve">, 1981, </w:t>
      </w:r>
      <w:r w:rsidRPr="00FC769A">
        <w:rPr>
          <w:rFonts w:ascii="Calibrì" w:hAnsi="Calibrì" w:cstheme="minorHAnsi"/>
          <w:b/>
          <w:bCs/>
          <w:sz w:val="18"/>
          <w:szCs w:val="18"/>
        </w:rPr>
        <w:t>103</w:t>
      </w:r>
      <w:r w:rsidRPr="00FC769A">
        <w:rPr>
          <w:rFonts w:ascii="Calibrì" w:hAnsi="Calibrì" w:cstheme="minorHAnsi"/>
          <w:sz w:val="18"/>
          <w:szCs w:val="18"/>
        </w:rPr>
        <w:t>, 18–24.</w:t>
      </w:r>
    </w:p>
    <w:p w14:paraId="274E7105" w14:textId="77777777" w:rsidR="004A14F0" w:rsidRPr="003A1F9E" w:rsidRDefault="004A14F0" w:rsidP="004A14F0">
      <w:pPr>
        <w:pStyle w:val="Bibliografia"/>
        <w:rPr>
          <w:rFonts w:ascii="Calibrì" w:hAnsi="Calibrì" w:cstheme="minorHAnsi"/>
          <w:sz w:val="18"/>
          <w:szCs w:val="18"/>
          <w:lang w:val="pl-PL"/>
        </w:rPr>
      </w:pPr>
      <w:r w:rsidRPr="00FC769A">
        <w:rPr>
          <w:rFonts w:ascii="Calibrì" w:hAnsi="Calibrì" w:cstheme="minorHAnsi"/>
          <w:sz w:val="18"/>
          <w:szCs w:val="18"/>
        </w:rPr>
        <w:t>52</w:t>
      </w:r>
      <w:r w:rsidRPr="00FC769A">
        <w:rPr>
          <w:rFonts w:ascii="Calibrì" w:hAnsi="Calibrì" w:cstheme="minorHAnsi"/>
          <w:sz w:val="18"/>
          <w:szCs w:val="18"/>
        </w:rPr>
        <w:tab/>
        <w:t xml:space="preserve">T. Wu, J. Kapitán, V. Andrushchenko and P. Bouř, </w:t>
      </w:r>
      <w:r w:rsidRPr="00FC769A">
        <w:rPr>
          <w:rFonts w:ascii="Calibrì" w:hAnsi="Calibrì" w:cstheme="minorHAnsi"/>
          <w:i/>
          <w:iCs/>
          <w:sz w:val="18"/>
          <w:szCs w:val="18"/>
        </w:rPr>
        <w:t xml:space="preserve">Anal. </w:t>
      </w:r>
      <w:r w:rsidRPr="003A1F9E">
        <w:rPr>
          <w:rFonts w:ascii="Calibrì" w:hAnsi="Calibrì" w:cstheme="minorHAnsi"/>
          <w:i/>
          <w:iCs/>
          <w:sz w:val="18"/>
          <w:szCs w:val="18"/>
          <w:lang w:val="pl-PL"/>
        </w:rPr>
        <w:t>Chem.</w:t>
      </w:r>
      <w:r w:rsidRPr="003A1F9E">
        <w:rPr>
          <w:rFonts w:ascii="Calibrì" w:hAnsi="Calibrì" w:cstheme="minorHAnsi"/>
          <w:sz w:val="18"/>
          <w:szCs w:val="18"/>
          <w:lang w:val="pl-PL"/>
        </w:rPr>
        <w:t xml:space="preserve">, 2017, </w:t>
      </w:r>
      <w:r w:rsidRPr="003A1F9E">
        <w:rPr>
          <w:rFonts w:ascii="Calibrì" w:hAnsi="Calibrì" w:cstheme="minorHAnsi"/>
          <w:b/>
          <w:bCs/>
          <w:sz w:val="18"/>
          <w:szCs w:val="18"/>
          <w:lang w:val="pl-PL"/>
        </w:rPr>
        <w:t>89</w:t>
      </w:r>
      <w:r w:rsidRPr="003A1F9E">
        <w:rPr>
          <w:rFonts w:ascii="Calibrì" w:hAnsi="Calibrì" w:cstheme="minorHAnsi"/>
          <w:sz w:val="18"/>
          <w:szCs w:val="18"/>
          <w:lang w:val="pl-PL"/>
        </w:rPr>
        <w:t>, 5043–5049.</w:t>
      </w:r>
    </w:p>
    <w:p w14:paraId="07528D09" w14:textId="77777777" w:rsidR="004A14F0" w:rsidRPr="003A1F9E" w:rsidRDefault="004A14F0" w:rsidP="004A14F0">
      <w:pPr>
        <w:pStyle w:val="Bibliografia"/>
        <w:rPr>
          <w:rFonts w:ascii="Calibrì" w:hAnsi="Calibrì" w:cstheme="minorHAnsi"/>
          <w:sz w:val="18"/>
          <w:szCs w:val="18"/>
          <w:lang w:val="pl-PL"/>
        </w:rPr>
      </w:pPr>
      <w:r w:rsidRPr="003A1F9E">
        <w:rPr>
          <w:rFonts w:ascii="Calibrì" w:hAnsi="Calibrì" w:cstheme="minorHAnsi"/>
          <w:sz w:val="18"/>
          <w:szCs w:val="18"/>
          <w:lang w:val="pl-PL"/>
        </w:rPr>
        <w:t>53</w:t>
      </w:r>
      <w:r w:rsidRPr="003A1F9E">
        <w:rPr>
          <w:rFonts w:ascii="Calibrì" w:hAnsi="Calibrì" w:cstheme="minorHAnsi"/>
          <w:sz w:val="18"/>
          <w:szCs w:val="18"/>
          <w:lang w:val="pl-PL"/>
        </w:rPr>
        <w:tab/>
        <w:t xml:space="preserve">H. Yoshikawa, G. Nakajima, Y. Mimura, T. Kimoto, Y. Kondo, S. Suzuki, M. Fujiki and Y. Imai, </w:t>
      </w:r>
      <w:r w:rsidRPr="003A1F9E">
        <w:rPr>
          <w:rFonts w:ascii="Calibrì" w:hAnsi="Calibrì" w:cstheme="minorHAnsi"/>
          <w:i/>
          <w:iCs/>
          <w:sz w:val="18"/>
          <w:szCs w:val="18"/>
          <w:lang w:val="pl-PL"/>
        </w:rPr>
        <w:t>Dalton Trans.</w:t>
      </w:r>
      <w:r w:rsidRPr="003A1F9E">
        <w:rPr>
          <w:rFonts w:ascii="Calibrì" w:hAnsi="Calibrì" w:cstheme="minorHAnsi"/>
          <w:sz w:val="18"/>
          <w:szCs w:val="18"/>
          <w:lang w:val="pl-PL"/>
        </w:rPr>
        <w:t xml:space="preserve">, 2020, </w:t>
      </w:r>
      <w:r w:rsidRPr="003A1F9E">
        <w:rPr>
          <w:rFonts w:ascii="Calibrì" w:hAnsi="Calibrì" w:cstheme="minorHAnsi"/>
          <w:b/>
          <w:bCs/>
          <w:sz w:val="18"/>
          <w:szCs w:val="18"/>
          <w:lang w:val="pl-PL"/>
        </w:rPr>
        <w:t>49</w:t>
      </w:r>
      <w:r w:rsidRPr="003A1F9E">
        <w:rPr>
          <w:rFonts w:ascii="Calibrì" w:hAnsi="Calibrì" w:cstheme="minorHAnsi"/>
          <w:sz w:val="18"/>
          <w:szCs w:val="18"/>
          <w:lang w:val="pl-PL"/>
        </w:rPr>
        <w:t>, 9588–9594.</w:t>
      </w:r>
    </w:p>
    <w:p w14:paraId="04F938F0"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54</w:t>
      </w:r>
      <w:r w:rsidRPr="00FC769A">
        <w:rPr>
          <w:rFonts w:ascii="Calibrì" w:hAnsi="Calibrì" w:cstheme="minorHAnsi"/>
          <w:sz w:val="18"/>
          <w:szCs w:val="18"/>
        </w:rPr>
        <w:tab/>
        <w:t xml:space="preserve">M. Kitahara, S. Suzuki, K. Matsudaira, S. Yagi, M. Fujiki and Y. Imai, </w:t>
      </w:r>
      <w:r w:rsidRPr="00FC769A">
        <w:rPr>
          <w:rFonts w:ascii="Calibrì" w:hAnsi="Calibrì" w:cstheme="minorHAnsi"/>
          <w:i/>
          <w:iCs/>
          <w:sz w:val="18"/>
          <w:szCs w:val="18"/>
        </w:rPr>
        <w:t>ChemistrySelect</w:t>
      </w:r>
      <w:r w:rsidRPr="00FC769A">
        <w:rPr>
          <w:rFonts w:ascii="Calibrì" w:hAnsi="Calibrì" w:cstheme="minorHAnsi"/>
          <w:sz w:val="18"/>
          <w:szCs w:val="18"/>
        </w:rPr>
        <w:t xml:space="preserve">, 2021, </w:t>
      </w:r>
      <w:r w:rsidRPr="00FC769A">
        <w:rPr>
          <w:rFonts w:ascii="Calibrì" w:hAnsi="Calibrì" w:cstheme="minorHAnsi"/>
          <w:b/>
          <w:bCs/>
          <w:sz w:val="18"/>
          <w:szCs w:val="18"/>
        </w:rPr>
        <w:t>6</w:t>
      </w:r>
      <w:r w:rsidRPr="00FC769A">
        <w:rPr>
          <w:rFonts w:ascii="Calibrì" w:hAnsi="Calibrì" w:cstheme="minorHAnsi"/>
          <w:sz w:val="18"/>
          <w:szCs w:val="18"/>
        </w:rPr>
        <w:t>, 11182–11187.</w:t>
      </w:r>
    </w:p>
    <w:p w14:paraId="6809F82C"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55</w:t>
      </w:r>
      <w:r w:rsidRPr="00FC769A">
        <w:rPr>
          <w:rFonts w:ascii="Calibrì" w:hAnsi="Calibrì" w:cstheme="minorHAnsi"/>
          <w:sz w:val="18"/>
          <w:szCs w:val="18"/>
        </w:rPr>
        <w:tab/>
        <w:t xml:space="preserve">E. Krausz, G. Moran and H. Riesen, </w:t>
      </w:r>
      <w:r w:rsidRPr="00FC769A">
        <w:rPr>
          <w:rFonts w:ascii="Calibrì" w:hAnsi="Calibrì" w:cstheme="minorHAnsi"/>
          <w:i/>
          <w:iCs/>
          <w:sz w:val="18"/>
          <w:szCs w:val="18"/>
        </w:rPr>
        <w:t>Chem. Phys. Lett.</w:t>
      </w:r>
      <w:r w:rsidRPr="00FC769A">
        <w:rPr>
          <w:rFonts w:ascii="Calibrì" w:hAnsi="Calibrì" w:cstheme="minorHAnsi"/>
          <w:sz w:val="18"/>
          <w:szCs w:val="18"/>
        </w:rPr>
        <w:t xml:space="preserve">, 1990, </w:t>
      </w:r>
      <w:r w:rsidRPr="00FC769A">
        <w:rPr>
          <w:rFonts w:ascii="Calibrì" w:hAnsi="Calibrì" w:cstheme="minorHAnsi"/>
          <w:b/>
          <w:bCs/>
          <w:sz w:val="18"/>
          <w:szCs w:val="18"/>
        </w:rPr>
        <w:t>165</w:t>
      </w:r>
      <w:r w:rsidRPr="00FC769A">
        <w:rPr>
          <w:rFonts w:ascii="Calibrì" w:hAnsi="Calibrì" w:cstheme="minorHAnsi"/>
          <w:sz w:val="18"/>
          <w:szCs w:val="18"/>
        </w:rPr>
        <w:t>, 401–406.</w:t>
      </w:r>
    </w:p>
    <w:p w14:paraId="61829789" w14:textId="77777777" w:rsidR="004A14F0" w:rsidRPr="00FC769A" w:rsidRDefault="004A14F0" w:rsidP="004A14F0">
      <w:pPr>
        <w:pStyle w:val="Bibliografia"/>
        <w:rPr>
          <w:rFonts w:ascii="Calibrì" w:hAnsi="Calibrì" w:cstheme="minorHAnsi"/>
          <w:sz w:val="18"/>
          <w:szCs w:val="18"/>
          <w:lang w:val="it-IT"/>
        </w:rPr>
      </w:pPr>
      <w:r w:rsidRPr="00FC769A">
        <w:rPr>
          <w:rFonts w:ascii="Calibrì" w:hAnsi="Calibrì" w:cstheme="minorHAnsi"/>
          <w:sz w:val="18"/>
          <w:szCs w:val="18"/>
        </w:rPr>
        <w:t>56</w:t>
      </w:r>
      <w:r w:rsidRPr="00FC769A">
        <w:rPr>
          <w:rFonts w:ascii="Calibrì" w:hAnsi="Calibrì" w:cstheme="minorHAnsi"/>
          <w:sz w:val="18"/>
          <w:szCs w:val="18"/>
        </w:rPr>
        <w:tab/>
        <w:t xml:space="preserve">S. Jena, S. K. Behera, J. Eyyathiyil, M. Kitahara, Y. Imai and P. Thilagar, </w:t>
      </w:r>
      <w:r w:rsidRPr="00FC769A">
        <w:rPr>
          <w:rFonts w:ascii="Calibrì" w:hAnsi="Calibrì" w:cstheme="minorHAnsi"/>
          <w:i/>
          <w:iCs/>
          <w:sz w:val="18"/>
          <w:szCs w:val="18"/>
        </w:rPr>
        <w:t xml:space="preserve">Adv. Opt. </w:t>
      </w:r>
      <w:r w:rsidRPr="00FC769A">
        <w:rPr>
          <w:rFonts w:ascii="Calibrì" w:hAnsi="Calibrì" w:cstheme="minorHAnsi"/>
          <w:i/>
          <w:iCs/>
          <w:sz w:val="18"/>
          <w:szCs w:val="18"/>
          <w:lang w:val="it-IT"/>
        </w:rPr>
        <w:t>Mater.</w:t>
      </w:r>
      <w:r w:rsidRPr="00FC769A">
        <w:rPr>
          <w:rFonts w:ascii="Calibrì" w:hAnsi="Calibrì" w:cstheme="minorHAnsi"/>
          <w:sz w:val="18"/>
          <w:szCs w:val="18"/>
          <w:lang w:val="it-IT"/>
        </w:rPr>
        <w:t xml:space="preserve">, 2023, </w:t>
      </w:r>
      <w:r w:rsidRPr="00FC769A">
        <w:rPr>
          <w:rFonts w:ascii="Calibrì" w:hAnsi="Calibrì" w:cstheme="minorHAnsi"/>
          <w:b/>
          <w:bCs/>
          <w:sz w:val="18"/>
          <w:szCs w:val="18"/>
          <w:lang w:val="it-IT"/>
        </w:rPr>
        <w:t>11</w:t>
      </w:r>
      <w:r w:rsidRPr="00FC769A">
        <w:rPr>
          <w:rFonts w:ascii="Calibrì" w:hAnsi="Calibrì" w:cstheme="minorHAnsi"/>
          <w:sz w:val="18"/>
          <w:szCs w:val="18"/>
          <w:lang w:val="it-IT"/>
        </w:rPr>
        <w:t>, 2300923.</w:t>
      </w:r>
    </w:p>
    <w:p w14:paraId="69FC3DA8" w14:textId="77777777" w:rsidR="004A14F0" w:rsidRPr="00FC769A" w:rsidRDefault="004A14F0" w:rsidP="004A14F0">
      <w:pPr>
        <w:pStyle w:val="Bibliografia"/>
        <w:rPr>
          <w:rFonts w:ascii="Calibrì" w:hAnsi="Calibrì" w:cstheme="minorHAnsi"/>
          <w:sz w:val="18"/>
          <w:szCs w:val="18"/>
          <w:lang w:val="it-IT"/>
        </w:rPr>
      </w:pPr>
      <w:r w:rsidRPr="00FC769A">
        <w:rPr>
          <w:rFonts w:ascii="Calibrì" w:hAnsi="Calibrì" w:cstheme="minorHAnsi"/>
          <w:sz w:val="18"/>
          <w:szCs w:val="18"/>
          <w:lang w:val="it-IT"/>
        </w:rPr>
        <w:t>57</w:t>
      </w:r>
      <w:r w:rsidRPr="00FC769A">
        <w:rPr>
          <w:rFonts w:ascii="Calibrì" w:hAnsi="Calibrì" w:cstheme="minorHAnsi"/>
          <w:sz w:val="18"/>
          <w:szCs w:val="18"/>
          <w:lang w:val="it-IT"/>
        </w:rPr>
        <w:tab/>
        <w:t xml:space="preserve">S. Ghidinelli, S. Abbate, G. Mazzeo, L. Paoloni, E. Viola, C. Ercolani, M. P. Donzello and G. Longhi, </w:t>
      </w:r>
      <w:r w:rsidRPr="00FC769A">
        <w:rPr>
          <w:rFonts w:ascii="Calibrì" w:hAnsi="Calibrì" w:cstheme="minorHAnsi"/>
          <w:i/>
          <w:iCs/>
          <w:sz w:val="18"/>
          <w:szCs w:val="18"/>
          <w:lang w:val="it-IT"/>
        </w:rPr>
        <w:t>Chirality</w:t>
      </w:r>
      <w:r w:rsidRPr="00FC769A">
        <w:rPr>
          <w:rFonts w:ascii="Calibrì" w:hAnsi="Calibrì" w:cstheme="minorHAnsi"/>
          <w:sz w:val="18"/>
          <w:szCs w:val="18"/>
          <w:lang w:val="it-IT"/>
        </w:rPr>
        <w:t xml:space="preserve">, 2020, </w:t>
      </w:r>
      <w:r w:rsidRPr="00FC769A">
        <w:rPr>
          <w:rFonts w:ascii="Calibrì" w:hAnsi="Calibrì" w:cstheme="minorHAnsi"/>
          <w:b/>
          <w:bCs/>
          <w:sz w:val="18"/>
          <w:szCs w:val="18"/>
          <w:lang w:val="it-IT"/>
        </w:rPr>
        <w:t>32</w:t>
      </w:r>
      <w:r w:rsidRPr="00FC769A">
        <w:rPr>
          <w:rFonts w:ascii="Calibrì" w:hAnsi="Calibrì" w:cstheme="minorHAnsi"/>
          <w:sz w:val="18"/>
          <w:szCs w:val="18"/>
          <w:lang w:val="it-IT"/>
        </w:rPr>
        <w:t>, 808–816.</w:t>
      </w:r>
    </w:p>
    <w:p w14:paraId="0CD63C89" w14:textId="77777777" w:rsidR="004A14F0" w:rsidRPr="00FC769A" w:rsidRDefault="004A14F0" w:rsidP="004A14F0">
      <w:pPr>
        <w:pStyle w:val="Bibliografia"/>
        <w:rPr>
          <w:rFonts w:ascii="Calibrì" w:hAnsi="Calibrì" w:cstheme="minorHAnsi"/>
          <w:sz w:val="18"/>
          <w:szCs w:val="18"/>
          <w:lang w:val="it-IT"/>
        </w:rPr>
      </w:pPr>
      <w:r w:rsidRPr="00FC769A">
        <w:rPr>
          <w:rFonts w:ascii="Calibrì" w:hAnsi="Calibrì" w:cstheme="minorHAnsi"/>
          <w:sz w:val="18"/>
          <w:szCs w:val="18"/>
          <w:lang w:val="it-IT"/>
        </w:rPr>
        <w:t>58</w:t>
      </w:r>
      <w:r w:rsidRPr="00FC769A">
        <w:rPr>
          <w:rFonts w:ascii="Calibrì" w:hAnsi="Calibrì" w:cstheme="minorHAnsi"/>
          <w:sz w:val="18"/>
          <w:szCs w:val="18"/>
          <w:lang w:val="it-IT"/>
        </w:rPr>
        <w:tab/>
        <w:t xml:space="preserve">S. Ghidinelli, S. Abbate, G. Mazzeo, R. Paolesse, G. Pomarico and G. Longhi, </w:t>
      </w:r>
      <w:r w:rsidRPr="00FC769A">
        <w:rPr>
          <w:rFonts w:ascii="Calibrì" w:hAnsi="Calibrì" w:cstheme="minorHAnsi"/>
          <w:i/>
          <w:iCs/>
          <w:sz w:val="18"/>
          <w:szCs w:val="18"/>
          <w:lang w:val="it-IT"/>
        </w:rPr>
        <w:t>ACS Omega</w:t>
      </w:r>
      <w:r w:rsidRPr="00FC769A">
        <w:rPr>
          <w:rFonts w:ascii="Calibrì" w:hAnsi="Calibrì" w:cstheme="minorHAnsi"/>
          <w:sz w:val="18"/>
          <w:szCs w:val="18"/>
          <w:lang w:val="it-IT"/>
        </w:rPr>
        <w:t xml:space="preserve">, 2021, </w:t>
      </w:r>
      <w:r w:rsidRPr="00FC769A">
        <w:rPr>
          <w:rFonts w:ascii="Calibrì" w:hAnsi="Calibrì" w:cstheme="minorHAnsi"/>
          <w:b/>
          <w:bCs/>
          <w:sz w:val="18"/>
          <w:szCs w:val="18"/>
          <w:lang w:val="it-IT"/>
        </w:rPr>
        <w:t>6</w:t>
      </w:r>
      <w:r w:rsidRPr="00FC769A">
        <w:rPr>
          <w:rFonts w:ascii="Calibrì" w:hAnsi="Calibrì" w:cstheme="minorHAnsi"/>
          <w:sz w:val="18"/>
          <w:szCs w:val="18"/>
          <w:lang w:val="it-IT"/>
        </w:rPr>
        <w:t>, 26659–26671.</w:t>
      </w:r>
    </w:p>
    <w:p w14:paraId="11DD19D5"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59</w:t>
      </w:r>
      <w:r w:rsidRPr="00FC769A">
        <w:rPr>
          <w:rFonts w:ascii="Calibrì" w:hAnsi="Calibrì" w:cstheme="minorHAnsi"/>
          <w:sz w:val="18"/>
          <w:szCs w:val="18"/>
        </w:rPr>
        <w:tab/>
        <w:t xml:space="preserve">Q. Jin, S. Chen, Y. Sang, H. Guo, S. Dong, J. Han, W. Chen, X. Yang, F. Li and P. Duan, </w:t>
      </w:r>
      <w:r w:rsidRPr="00FC769A">
        <w:rPr>
          <w:rFonts w:ascii="Calibrì" w:hAnsi="Calibrì" w:cstheme="minorHAnsi"/>
          <w:i/>
          <w:iCs/>
          <w:sz w:val="18"/>
          <w:szCs w:val="18"/>
        </w:rPr>
        <w:t>Chem. Commun.</w:t>
      </w:r>
      <w:r w:rsidRPr="00FC769A">
        <w:rPr>
          <w:rFonts w:ascii="Calibrì" w:hAnsi="Calibrì" w:cstheme="minorHAnsi"/>
          <w:sz w:val="18"/>
          <w:szCs w:val="18"/>
        </w:rPr>
        <w:t xml:space="preserve">, 2019, </w:t>
      </w:r>
      <w:r w:rsidRPr="00FC769A">
        <w:rPr>
          <w:rFonts w:ascii="Calibrì" w:hAnsi="Calibrì" w:cstheme="minorHAnsi"/>
          <w:b/>
          <w:bCs/>
          <w:sz w:val="18"/>
          <w:szCs w:val="18"/>
        </w:rPr>
        <w:t>55</w:t>
      </w:r>
      <w:r w:rsidRPr="00FC769A">
        <w:rPr>
          <w:rFonts w:ascii="Calibrì" w:hAnsi="Calibrì" w:cstheme="minorHAnsi"/>
          <w:sz w:val="18"/>
          <w:szCs w:val="18"/>
        </w:rPr>
        <w:t>, 6583–6586.</w:t>
      </w:r>
    </w:p>
    <w:p w14:paraId="6A34AD7C"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60</w:t>
      </w:r>
      <w:r w:rsidRPr="00FC769A">
        <w:rPr>
          <w:rFonts w:ascii="Calibrì" w:hAnsi="Calibrì" w:cstheme="minorHAnsi"/>
          <w:sz w:val="18"/>
          <w:szCs w:val="18"/>
        </w:rPr>
        <w:tab/>
        <w:t xml:space="preserve">H. Toda, N. Hara, M. Fujiki and Y. Imai, </w:t>
      </w:r>
      <w:r w:rsidRPr="00FC769A">
        <w:rPr>
          <w:rFonts w:ascii="Calibrì" w:hAnsi="Calibrì" w:cstheme="minorHAnsi"/>
          <w:i/>
          <w:iCs/>
          <w:sz w:val="18"/>
          <w:szCs w:val="18"/>
        </w:rPr>
        <w:t>RSC Adv.</w:t>
      </w:r>
      <w:r w:rsidRPr="00FC769A">
        <w:rPr>
          <w:rFonts w:ascii="Calibrì" w:hAnsi="Calibrì" w:cstheme="minorHAnsi"/>
          <w:sz w:val="18"/>
          <w:szCs w:val="18"/>
        </w:rPr>
        <w:t xml:space="preserve">, 2021, </w:t>
      </w:r>
      <w:r w:rsidRPr="00FC769A">
        <w:rPr>
          <w:rFonts w:ascii="Calibrì" w:hAnsi="Calibrì" w:cstheme="minorHAnsi"/>
          <w:b/>
          <w:bCs/>
          <w:sz w:val="18"/>
          <w:szCs w:val="18"/>
        </w:rPr>
        <w:t>11</w:t>
      </w:r>
      <w:r w:rsidRPr="00FC769A">
        <w:rPr>
          <w:rFonts w:ascii="Calibrì" w:hAnsi="Calibrì" w:cstheme="minorHAnsi"/>
          <w:sz w:val="18"/>
          <w:szCs w:val="18"/>
        </w:rPr>
        <w:t>, 1581–1585.</w:t>
      </w:r>
    </w:p>
    <w:p w14:paraId="01F0553A"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61</w:t>
      </w:r>
      <w:r w:rsidRPr="00FC769A">
        <w:rPr>
          <w:rFonts w:ascii="Calibrì" w:hAnsi="Calibrì" w:cstheme="minorHAnsi"/>
          <w:sz w:val="18"/>
          <w:szCs w:val="18"/>
        </w:rPr>
        <w:tab/>
        <w:t xml:space="preserve">H. Toda, S. Otake, A. Ito, M. Miyasaka, M. Fujiki and Y. Imai, </w:t>
      </w:r>
      <w:r w:rsidRPr="00FC769A">
        <w:rPr>
          <w:rFonts w:ascii="Calibrì" w:hAnsi="Calibrì" w:cstheme="minorHAnsi"/>
          <w:i/>
          <w:iCs/>
          <w:sz w:val="18"/>
          <w:szCs w:val="18"/>
        </w:rPr>
        <w:t>ChemPhysChem</w:t>
      </w:r>
      <w:r w:rsidRPr="00FC769A">
        <w:rPr>
          <w:rFonts w:ascii="Calibrì" w:hAnsi="Calibrì" w:cstheme="minorHAnsi"/>
          <w:sz w:val="18"/>
          <w:szCs w:val="18"/>
        </w:rPr>
        <w:t xml:space="preserve">, 2021, </w:t>
      </w:r>
      <w:r w:rsidRPr="00FC769A">
        <w:rPr>
          <w:rFonts w:ascii="Calibrì" w:hAnsi="Calibrì" w:cstheme="minorHAnsi"/>
          <w:b/>
          <w:bCs/>
          <w:sz w:val="18"/>
          <w:szCs w:val="18"/>
        </w:rPr>
        <w:t>22</w:t>
      </w:r>
      <w:r w:rsidRPr="00FC769A">
        <w:rPr>
          <w:rFonts w:ascii="Calibrì" w:hAnsi="Calibrì" w:cstheme="minorHAnsi"/>
          <w:sz w:val="18"/>
          <w:szCs w:val="18"/>
        </w:rPr>
        <w:t>, 2058–2062.</w:t>
      </w:r>
    </w:p>
    <w:p w14:paraId="7C024A1D" w14:textId="77777777" w:rsidR="004A14F0" w:rsidRPr="00EA1B03" w:rsidRDefault="004A14F0" w:rsidP="004A14F0">
      <w:pPr>
        <w:pStyle w:val="Bibliografia"/>
        <w:rPr>
          <w:rFonts w:ascii="Calibrì" w:hAnsi="Calibrì" w:cstheme="minorHAnsi"/>
          <w:sz w:val="18"/>
          <w:szCs w:val="18"/>
          <w:lang w:val="pl-PL"/>
        </w:rPr>
      </w:pPr>
      <w:r w:rsidRPr="00EA1B03">
        <w:rPr>
          <w:rFonts w:ascii="Calibrì" w:hAnsi="Calibrì" w:cstheme="minorHAnsi"/>
          <w:sz w:val="18"/>
          <w:szCs w:val="18"/>
          <w:lang w:val="pl-PL"/>
        </w:rPr>
        <w:t>62</w:t>
      </w:r>
      <w:r w:rsidRPr="00EA1B03">
        <w:rPr>
          <w:rFonts w:ascii="Calibrì" w:hAnsi="Calibrì" w:cstheme="minorHAnsi"/>
          <w:sz w:val="18"/>
          <w:szCs w:val="18"/>
          <w:lang w:val="pl-PL"/>
        </w:rPr>
        <w:tab/>
        <w:t xml:space="preserve">N. Hara, M. Kitahara, T. Sugimura, H. Toda, M. Shizuma, A. Ito, M. Miyasaka, M. Fujiki and Y. Imai, </w:t>
      </w:r>
      <w:r w:rsidRPr="00EA1B03">
        <w:rPr>
          <w:rFonts w:ascii="Calibrì" w:hAnsi="Calibrì" w:cstheme="minorHAnsi"/>
          <w:i/>
          <w:iCs/>
          <w:sz w:val="18"/>
          <w:szCs w:val="18"/>
          <w:lang w:val="pl-PL"/>
        </w:rPr>
        <w:t>Phys. Chem. Chem. Phys.</w:t>
      </w:r>
      <w:r w:rsidRPr="00EA1B03">
        <w:rPr>
          <w:rFonts w:ascii="Calibrì" w:hAnsi="Calibrì" w:cstheme="minorHAnsi"/>
          <w:sz w:val="18"/>
          <w:szCs w:val="18"/>
          <w:lang w:val="pl-PL"/>
        </w:rPr>
        <w:t xml:space="preserve">, 2021, </w:t>
      </w:r>
      <w:r w:rsidRPr="00EA1B03">
        <w:rPr>
          <w:rFonts w:ascii="Calibrì" w:hAnsi="Calibrì" w:cstheme="minorHAnsi"/>
          <w:b/>
          <w:bCs/>
          <w:sz w:val="18"/>
          <w:szCs w:val="18"/>
          <w:lang w:val="pl-PL"/>
        </w:rPr>
        <w:t>23</w:t>
      </w:r>
      <w:r w:rsidRPr="00EA1B03">
        <w:rPr>
          <w:rFonts w:ascii="Calibrì" w:hAnsi="Calibrì" w:cstheme="minorHAnsi"/>
          <w:sz w:val="18"/>
          <w:szCs w:val="18"/>
          <w:lang w:val="pl-PL"/>
        </w:rPr>
        <w:t>, 8236</w:t>
      </w:r>
      <w:r w:rsidRPr="00EA1B03">
        <w:rPr>
          <w:rFonts w:ascii="Calibrì" w:hAnsi="Calibrì" w:cstheme="minorHAnsi" w:hint="eastAsia"/>
          <w:sz w:val="18"/>
          <w:szCs w:val="18"/>
          <w:lang w:val="pl-PL"/>
        </w:rPr>
        <w:t>–</w:t>
      </w:r>
      <w:r w:rsidRPr="00EA1B03">
        <w:rPr>
          <w:rFonts w:ascii="Calibrì" w:hAnsi="Calibrì" w:cstheme="minorHAnsi"/>
          <w:sz w:val="18"/>
          <w:szCs w:val="18"/>
          <w:lang w:val="pl-PL"/>
        </w:rPr>
        <w:t>8240.</w:t>
      </w:r>
    </w:p>
    <w:p w14:paraId="7EE235A4" w14:textId="77777777" w:rsidR="004A14F0" w:rsidRPr="00EA1B03" w:rsidRDefault="004A14F0" w:rsidP="004A14F0">
      <w:pPr>
        <w:pStyle w:val="Bibliografia"/>
        <w:rPr>
          <w:rFonts w:ascii="Calibrì" w:hAnsi="Calibrì" w:cstheme="minorHAnsi"/>
          <w:sz w:val="18"/>
          <w:szCs w:val="18"/>
          <w:lang w:val="pl-PL"/>
        </w:rPr>
      </w:pPr>
      <w:r w:rsidRPr="00EA1B03">
        <w:rPr>
          <w:rFonts w:ascii="Calibrì" w:hAnsi="Calibrì" w:cstheme="minorHAnsi"/>
          <w:sz w:val="18"/>
          <w:szCs w:val="18"/>
          <w:lang w:val="pl-PL"/>
        </w:rPr>
        <w:t>63</w:t>
      </w:r>
      <w:r w:rsidRPr="00EA1B03">
        <w:rPr>
          <w:rFonts w:ascii="Calibrì" w:hAnsi="Calibrì" w:cstheme="minorHAnsi"/>
          <w:sz w:val="18"/>
          <w:szCs w:val="18"/>
          <w:lang w:val="pl-PL"/>
        </w:rPr>
        <w:tab/>
        <w:t xml:space="preserve">R. Amasaki, M. Kitahara, T. Kimoto, M. Fujiki and Y. Imai, </w:t>
      </w:r>
      <w:r w:rsidRPr="00EA1B03">
        <w:rPr>
          <w:rFonts w:ascii="Calibrì" w:hAnsi="Calibrì" w:cstheme="minorHAnsi"/>
          <w:i/>
          <w:iCs/>
          <w:sz w:val="18"/>
          <w:szCs w:val="18"/>
          <w:lang w:val="pl-PL"/>
        </w:rPr>
        <w:t>Eur. J. Inorg. Chem.</w:t>
      </w:r>
      <w:r w:rsidRPr="00EA1B03">
        <w:rPr>
          <w:rFonts w:ascii="Calibrì" w:hAnsi="Calibrì" w:cstheme="minorHAnsi"/>
          <w:sz w:val="18"/>
          <w:szCs w:val="18"/>
          <w:lang w:val="pl-PL"/>
        </w:rPr>
        <w:t xml:space="preserve">, 2022, </w:t>
      </w:r>
      <w:r w:rsidRPr="00EA1B03">
        <w:rPr>
          <w:rFonts w:ascii="Calibrì" w:hAnsi="Calibrì" w:cstheme="minorHAnsi"/>
          <w:b/>
          <w:bCs/>
          <w:sz w:val="18"/>
          <w:szCs w:val="18"/>
          <w:lang w:val="pl-PL"/>
        </w:rPr>
        <w:t>2022</w:t>
      </w:r>
      <w:r w:rsidRPr="00EA1B03">
        <w:rPr>
          <w:rFonts w:ascii="Calibrì" w:hAnsi="Calibrì" w:cstheme="minorHAnsi"/>
          <w:sz w:val="18"/>
          <w:szCs w:val="18"/>
          <w:lang w:val="pl-PL"/>
        </w:rPr>
        <w:t>, e202101066.</w:t>
      </w:r>
    </w:p>
    <w:p w14:paraId="4730D621" w14:textId="77777777" w:rsidR="004A14F0" w:rsidRPr="00FC769A" w:rsidRDefault="004A14F0" w:rsidP="004A14F0">
      <w:pPr>
        <w:pStyle w:val="Bibliografia"/>
        <w:rPr>
          <w:rFonts w:ascii="Calibrì" w:hAnsi="Calibrì" w:cstheme="minorHAnsi"/>
          <w:sz w:val="18"/>
          <w:szCs w:val="18"/>
        </w:rPr>
      </w:pPr>
      <w:r w:rsidRPr="00EA1B03">
        <w:rPr>
          <w:rFonts w:ascii="Calibrì" w:hAnsi="Calibrì" w:cstheme="minorHAnsi"/>
          <w:sz w:val="18"/>
          <w:szCs w:val="18"/>
          <w:lang w:val="pl-PL"/>
        </w:rPr>
        <w:t>64</w:t>
      </w:r>
      <w:r w:rsidRPr="00EA1B03">
        <w:rPr>
          <w:rFonts w:ascii="Calibrì" w:hAnsi="Calibrì" w:cstheme="minorHAnsi"/>
          <w:sz w:val="18"/>
          <w:szCs w:val="18"/>
          <w:lang w:val="pl-PL"/>
        </w:rPr>
        <w:tab/>
        <w:t xml:space="preserve">T. Tomikawa, Y. Kitagawa, K. Yoshioka, K. Murata, T. Miyatake, Y. Hasegawa and K. Ishii, </w:t>
      </w:r>
      <w:r w:rsidRPr="00EA1B03">
        <w:rPr>
          <w:rFonts w:ascii="Calibrì" w:hAnsi="Calibrì" w:cstheme="minorHAnsi"/>
          <w:i/>
          <w:iCs/>
          <w:sz w:val="18"/>
          <w:szCs w:val="18"/>
          <w:lang w:val="pl-PL"/>
        </w:rPr>
        <w:t xml:space="preserve">J. Mater. </w:t>
      </w:r>
      <w:r w:rsidRPr="00FC769A">
        <w:rPr>
          <w:rFonts w:ascii="Calibrì" w:hAnsi="Calibrì" w:cstheme="minorHAnsi"/>
          <w:i/>
          <w:iCs/>
          <w:sz w:val="18"/>
          <w:szCs w:val="18"/>
        </w:rPr>
        <w:t>Chem. C</w:t>
      </w:r>
      <w:r w:rsidRPr="00FC769A">
        <w:rPr>
          <w:rFonts w:ascii="Calibrì" w:hAnsi="Calibrì" w:cstheme="minorHAnsi"/>
          <w:sz w:val="18"/>
          <w:szCs w:val="18"/>
        </w:rPr>
        <w:t xml:space="preserve">, 2023, </w:t>
      </w:r>
      <w:r w:rsidRPr="00FC769A">
        <w:rPr>
          <w:rFonts w:ascii="Calibrì" w:hAnsi="Calibrì" w:cstheme="minorHAnsi"/>
          <w:b/>
          <w:bCs/>
          <w:sz w:val="18"/>
          <w:szCs w:val="18"/>
        </w:rPr>
        <w:t>11</w:t>
      </w:r>
      <w:r w:rsidRPr="00FC769A">
        <w:rPr>
          <w:rFonts w:ascii="Calibrì" w:hAnsi="Calibrì" w:cstheme="minorHAnsi"/>
          <w:sz w:val="18"/>
          <w:szCs w:val="18"/>
        </w:rPr>
        <w:t>, 2831–2835.</w:t>
      </w:r>
    </w:p>
    <w:p w14:paraId="37938C13"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65</w:t>
      </w:r>
      <w:r w:rsidRPr="00FC769A">
        <w:rPr>
          <w:rFonts w:ascii="Calibrì" w:hAnsi="Calibrì" w:cstheme="minorHAnsi"/>
          <w:sz w:val="18"/>
          <w:szCs w:val="18"/>
        </w:rPr>
        <w:tab/>
        <w:t xml:space="preserve">R. A. Shatwell and A. J. McCaffery, </w:t>
      </w:r>
      <w:r w:rsidRPr="00FC769A">
        <w:rPr>
          <w:rFonts w:ascii="Calibrì" w:hAnsi="Calibrì" w:cstheme="minorHAnsi"/>
          <w:i/>
          <w:iCs/>
          <w:sz w:val="18"/>
          <w:szCs w:val="18"/>
        </w:rPr>
        <w:t>Mol. Phys.</w:t>
      </w:r>
      <w:r w:rsidRPr="00FC769A">
        <w:rPr>
          <w:rFonts w:ascii="Calibrì" w:hAnsi="Calibrì" w:cstheme="minorHAnsi"/>
          <w:sz w:val="18"/>
          <w:szCs w:val="18"/>
        </w:rPr>
        <w:t xml:space="preserve">, 1975, </w:t>
      </w:r>
      <w:r w:rsidRPr="00FC769A">
        <w:rPr>
          <w:rFonts w:ascii="Calibrì" w:hAnsi="Calibrì" w:cstheme="minorHAnsi"/>
          <w:b/>
          <w:bCs/>
          <w:sz w:val="18"/>
          <w:szCs w:val="18"/>
        </w:rPr>
        <w:t>30</w:t>
      </w:r>
      <w:r w:rsidRPr="00FC769A">
        <w:rPr>
          <w:rFonts w:ascii="Calibrì" w:hAnsi="Calibrì" w:cstheme="minorHAnsi"/>
          <w:sz w:val="18"/>
          <w:szCs w:val="18"/>
        </w:rPr>
        <w:t>, 1489–1504.</w:t>
      </w:r>
    </w:p>
    <w:p w14:paraId="327197CF"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66</w:t>
      </w:r>
      <w:r w:rsidRPr="00FC769A">
        <w:rPr>
          <w:rFonts w:ascii="Calibrì" w:hAnsi="Calibrì" w:cstheme="minorHAnsi"/>
          <w:sz w:val="18"/>
          <w:szCs w:val="18"/>
        </w:rPr>
        <w:tab/>
        <w:t xml:space="preserve">A. J. McCaffery, P. Brint, R. Gale and R. A. Shatwell, </w:t>
      </w:r>
      <w:r w:rsidRPr="00FC769A">
        <w:rPr>
          <w:rFonts w:ascii="Calibrì" w:hAnsi="Calibrì" w:cstheme="minorHAnsi"/>
          <w:i/>
          <w:iCs/>
          <w:sz w:val="18"/>
          <w:szCs w:val="18"/>
        </w:rPr>
        <w:t>Chem. Phys. Lett.</w:t>
      </w:r>
      <w:r w:rsidRPr="00FC769A">
        <w:rPr>
          <w:rFonts w:ascii="Calibrì" w:hAnsi="Calibrì" w:cstheme="minorHAnsi"/>
          <w:sz w:val="18"/>
          <w:szCs w:val="18"/>
        </w:rPr>
        <w:t xml:space="preserve">, 1973, </w:t>
      </w:r>
      <w:r w:rsidRPr="00FC769A">
        <w:rPr>
          <w:rFonts w:ascii="Calibrì" w:hAnsi="Calibrì" w:cstheme="minorHAnsi"/>
          <w:b/>
          <w:bCs/>
          <w:sz w:val="18"/>
          <w:szCs w:val="18"/>
        </w:rPr>
        <w:t>22</w:t>
      </w:r>
      <w:r w:rsidRPr="00FC769A">
        <w:rPr>
          <w:rFonts w:ascii="Calibrì" w:hAnsi="Calibrì" w:cstheme="minorHAnsi"/>
          <w:sz w:val="18"/>
          <w:szCs w:val="18"/>
        </w:rPr>
        <w:t>, 600–602.</w:t>
      </w:r>
    </w:p>
    <w:p w14:paraId="4AD9B10C"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67</w:t>
      </w:r>
      <w:r w:rsidRPr="00FC769A">
        <w:rPr>
          <w:rFonts w:ascii="Calibrì" w:hAnsi="Calibrì" w:cstheme="minorHAnsi"/>
          <w:sz w:val="18"/>
          <w:szCs w:val="18"/>
        </w:rPr>
        <w:tab/>
        <w:t xml:space="preserve">K. Murata and K. Ishii, </w:t>
      </w:r>
      <w:r w:rsidRPr="00FC769A">
        <w:rPr>
          <w:rFonts w:ascii="Calibrì" w:hAnsi="Calibrì" w:cstheme="minorHAnsi"/>
          <w:i/>
          <w:iCs/>
          <w:sz w:val="18"/>
          <w:szCs w:val="18"/>
        </w:rPr>
        <w:t>European Journal of Inorganic Chemistry</w:t>
      </w:r>
      <w:r w:rsidRPr="00FC769A">
        <w:rPr>
          <w:rFonts w:ascii="Calibrì" w:hAnsi="Calibrì" w:cstheme="minorHAnsi"/>
          <w:sz w:val="18"/>
          <w:szCs w:val="18"/>
        </w:rPr>
        <w:t xml:space="preserve">, 2017, </w:t>
      </w:r>
      <w:r w:rsidRPr="00FC769A">
        <w:rPr>
          <w:rFonts w:ascii="Calibrì" w:hAnsi="Calibrì" w:cstheme="minorHAnsi"/>
          <w:b/>
          <w:bCs/>
          <w:sz w:val="18"/>
          <w:szCs w:val="18"/>
        </w:rPr>
        <w:t>2017</w:t>
      </w:r>
      <w:r w:rsidRPr="00FC769A">
        <w:rPr>
          <w:rFonts w:ascii="Calibrì" w:hAnsi="Calibrì" w:cstheme="minorHAnsi"/>
          <w:sz w:val="18"/>
          <w:szCs w:val="18"/>
        </w:rPr>
        <w:t>, 5103–5107.</w:t>
      </w:r>
    </w:p>
    <w:p w14:paraId="1C69F2D4"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68</w:t>
      </w:r>
      <w:r w:rsidRPr="00FC769A">
        <w:rPr>
          <w:rFonts w:ascii="Calibrì" w:hAnsi="Calibrì" w:cstheme="minorHAnsi"/>
          <w:sz w:val="18"/>
          <w:szCs w:val="18"/>
        </w:rPr>
        <w:tab/>
        <w:t xml:space="preserve">K. Ishii, J. Wada and K. Murata, </w:t>
      </w:r>
      <w:r w:rsidRPr="00FC769A">
        <w:rPr>
          <w:rFonts w:ascii="Calibrì" w:hAnsi="Calibrì" w:cstheme="minorHAnsi"/>
          <w:i/>
          <w:iCs/>
          <w:sz w:val="18"/>
          <w:szCs w:val="18"/>
        </w:rPr>
        <w:t>J. Phys. Chem. Lett.</w:t>
      </w:r>
      <w:r w:rsidRPr="00FC769A">
        <w:rPr>
          <w:rFonts w:ascii="Calibrì" w:hAnsi="Calibrì" w:cstheme="minorHAnsi"/>
          <w:sz w:val="18"/>
          <w:szCs w:val="18"/>
        </w:rPr>
        <w:t xml:space="preserve">, 2020, </w:t>
      </w:r>
      <w:r w:rsidRPr="00FC769A">
        <w:rPr>
          <w:rFonts w:ascii="Calibrì" w:hAnsi="Calibrì" w:cstheme="minorHAnsi"/>
          <w:b/>
          <w:bCs/>
          <w:sz w:val="18"/>
          <w:szCs w:val="18"/>
        </w:rPr>
        <w:t>11</w:t>
      </w:r>
      <w:r w:rsidRPr="00FC769A">
        <w:rPr>
          <w:rFonts w:ascii="Calibrì" w:hAnsi="Calibrì" w:cstheme="minorHAnsi"/>
          <w:sz w:val="18"/>
          <w:szCs w:val="18"/>
        </w:rPr>
        <w:t>, 9828–9833.</w:t>
      </w:r>
    </w:p>
    <w:p w14:paraId="27955DD9"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69</w:t>
      </w:r>
      <w:r w:rsidRPr="00FC769A">
        <w:rPr>
          <w:rFonts w:ascii="Calibrì" w:hAnsi="Calibrì" w:cstheme="minorHAnsi"/>
          <w:sz w:val="18"/>
          <w:szCs w:val="18"/>
        </w:rPr>
        <w:tab/>
        <w:t xml:space="preserve">K. Hara, A. Morimoto, K. Matsudaira, S. Suzuki, S. Yagi, M. Fujiki and Y. Imai, </w:t>
      </w:r>
      <w:r w:rsidRPr="00FC769A">
        <w:rPr>
          <w:rFonts w:ascii="Calibrì" w:hAnsi="Calibrì" w:cstheme="minorHAnsi"/>
          <w:i/>
          <w:iCs/>
          <w:sz w:val="18"/>
          <w:szCs w:val="18"/>
        </w:rPr>
        <w:t>ChemPhotoChem</w:t>
      </w:r>
      <w:r w:rsidRPr="00FC769A">
        <w:rPr>
          <w:rFonts w:ascii="Calibrì" w:hAnsi="Calibrì" w:cstheme="minorHAnsi"/>
          <w:sz w:val="18"/>
          <w:szCs w:val="18"/>
        </w:rPr>
        <w:t xml:space="preserve">, 2022, </w:t>
      </w:r>
      <w:r w:rsidRPr="00FC769A">
        <w:rPr>
          <w:rFonts w:ascii="Calibrì" w:hAnsi="Calibrì" w:cstheme="minorHAnsi"/>
          <w:b/>
          <w:bCs/>
          <w:sz w:val="18"/>
          <w:szCs w:val="18"/>
        </w:rPr>
        <w:t>6</w:t>
      </w:r>
      <w:r w:rsidRPr="00FC769A">
        <w:rPr>
          <w:rFonts w:ascii="Calibrì" w:hAnsi="Calibrì" w:cstheme="minorHAnsi"/>
          <w:sz w:val="18"/>
          <w:szCs w:val="18"/>
        </w:rPr>
        <w:t>, e202100253.</w:t>
      </w:r>
    </w:p>
    <w:p w14:paraId="283E1577"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70</w:t>
      </w:r>
      <w:r w:rsidRPr="00FC769A">
        <w:rPr>
          <w:rFonts w:ascii="Calibrì" w:hAnsi="Calibrì" w:cstheme="minorHAnsi"/>
          <w:sz w:val="18"/>
          <w:szCs w:val="18"/>
        </w:rPr>
        <w:tab/>
        <w:t xml:space="preserve">T. Kuroda, M. Kitahara, S. Yagi and Y. Imai, </w:t>
      </w:r>
      <w:r w:rsidRPr="00FC769A">
        <w:rPr>
          <w:rFonts w:ascii="Calibrì" w:hAnsi="Calibrì" w:cstheme="minorHAnsi"/>
          <w:i/>
          <w:iCs/>
          <w:sz w:val="18"/>
          <w:szCs w:val="18"/>
        </w:rPr>
        <w:t>Front. Chem.</w:t>
      </w:r>
      <w:r w:rsidRPr="00FC769A">
        <w:rPr>
          <w:rFonts w:ascii="Calibrì" w:hAnsi="Calibrì" w:cstheme="minorHAnsi"/>
          <w:sz w:val="18"/>
          <w:szCs w:val="18"/>
        </w:rPr>
        <w:t>, , DOI:10.3389/fchem.2023.1281168.</w:t>
      </w:r>
    </w:p>
    <w:p w14:paraId="70CA4294"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71</w:t>
      </w:r>
      <w:r w:rsidRPr="00FC769A">
        <w:rPr>
          <w:rFonts w:ascii="Calibrì" w:hAnsi="Calibrì" w:cstheme="minorHAnsi"/>
          <w:sz w:val="18"/>
          <w:szCs w:val="18"/>
        </w:rPr>
        <w:tab/>
        <w:t xml:space="preserve">M. Kitahara, K. Hara, S. Suzuki, H. Iwasaki, S. Yagi and Y. Imai, </w:t>
      </w:r>
      <w:r w:rsidRPr="00FC769A">
        <w:rPr>
          <w:rFonts w:ascii="Calibrì" w:hAnsi="Calibrì" w:cstheme="minorHAnsi"/>
          <w:i/>
          <w:iCs/>
          <w:sz w:val="18"/>
          <w:szCs w:val="18"/>
        </w:rPr>
        <w:t>Organic Electronics</w:t>
      </w:r>
      <w:r w:rsidRPr="00FC769A">
        <w:rPr>
          <w:rFonts w:ascii="Calibrì" w:hAnsi="Calibrì" w:cstheme="minorHAnsi"/>
          <w:sz w:val="18"/>
          <w:szCs w:val="18"/>
        </w:rPr>
        <w:t xml:space="preserve">, 2023, </w:t>
      </w:r>
      <w:r w:rsidRPr="00FC769A">
        <w:rPr>
          <w:rFonts w:ascii="Calibrì" w:hAnsi="Calibrì" w:cstheme="minorHAnsi"/>
          <w:b/>
          <w:bCs/>
          <w:sz w:val="18"/>
          <w:szCs w:val="18"/>
        </w:rPr>
        <w:t>119</w:t>
      </w:r>
      <w:r w:rsidRPr="00FC769A">
        <w:rPr>
          <w:rFonts w:ascii="Calibrì" w:hAnsi="Calibrì" w:cstheme="minorHAnsi"/>
          <w:sz w:val="18"/>
          <w:szCs w:val="18"/>
        </w:rPr>
        <w:t>, 106814.</w:t>
      </w:r>
    </w:p>
    <w:p w14:paraId="1A692B7E"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72</w:t>
      </w:r>
      <w:r w:rsidRPr="00FC769A">
        <w:rPr>
          <w:rFonts w:ascii="Calibrì" w:hAnsi="Calibrì" w:cstheme="minorHAnsi"/>
          <w:sz w:val="18"/>
          <w:szCs w:val="18"/>
        </w:rPr>
        <w:tab/>
        <w:t xml:space="preserve">S. Suzuki, Y. Yamamoto, M. Kitahara, R. Shikura, S. Yagi and Y. Imai, </w:t>
      </w:r>
      <w:r w:rsidRPr="00FC769A">
        <w:rPr>
          <w:rFonts w:ascii="Calibrì" w:hAnsi="Calibrì" w:cstheme="minorHAnsi"/>
          <w:i/>
          <w:iCs/>
          <w:sz w:val="18"/>
          <w:szCs w:val="18"/>
        </w:rPr>
        <w:t>J. Mater. Chem. C</w:t>
      </w:r>
      <w:r w:rsidRPr="00FC769A">
        <w:rPr>
          <w:rFonts w:ascii="Calibrì" w:hAnsi="Calibrì" w:cstheme="minorHAnsi"/>
          <w:sz w:val="18"/>
          <w:szCs w:val="18"/>
        </w:rPr>
        <w:t xml:space="preserve">, 2024, </w:t>
      </w:r>
      <w:r w:rsidRPr="00FC769A">
        <w:rPr>
          <w:rFonts w:ascii="Calibrì" w:hAnsi="Calibrì" w:cstheme="minorHAnsi"/>
          <w:b/>
          <w:bCs/>
          <w:sz w:val="18"/>
          <w:szCs w:val="18"/>
        </w:rPr>
        <w:t>12</w:t>
      </w:r>
      <w:r w:rsidRPr="00FC769A">
        <w:rPr>
          <w:rFonts w:ascii="Calibrì" w:hAnsi="Calibrì" w:cstheme="minorHAnsi"/>
          <w:sz w:val="18"/>
          <w:szCs w:val="18"/>
        </w:rPr>
        <w:t>, 3430–3436.</w:t>
      </w:r>
    </w:p>
    <w:p w14:paraId="4FB640D6"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73</w:t>
      </w:r>
      <w:r w:rsidRPr="00FC769A">
        <w:rPr>
          <w:rFonts w:ascii="Calibrì" w:hAnsi="Calibrì" w:cstheme="minorHAnsi"/>
          <w:sz w:val="18"/>
          <w:szCs w:val="18"/>
        </w:rPr>
        <w:tab/>
        <w:t xml:space="preserve">Y. Imai, </w:t>
      </w:r>
      <w:r w:rsidRPr="00FC769A">
        <w:rPr>
          <w:rFonts w:ascii="Calibrì" w:hAnsi="Calibrì" w:cstheme="minorHAnsi"/>
          <w:i/>
          <w:iCs/>
          <w:sz w:val="18"/>
          <w:szCs w:val="18"/>
        </w:rPr>
        <w:t>ChemPhotoChem</w:t>
      </w:r>
      <w:r w:rsidRPr="00FC769A">
        <w:rPr>
          <w:rFonts w:ascii="Calibrì" w:hAnsi="Calibrì" w:cstheme="minorHAnsi"/>
          <w:sz w:val="18"/>
          <w:szCs w:val="18"/>
        </w:rPr>
        <w:t xml:space="preserve">, 2021, </w:t>
      </w:r>
      <w:r w:rsidRPr="00FC769A">
        <w:rPr>
          <w:rFonts w:ascii="Calibrì" w:hAnsi="Calibrì" w:cstheme="minorHAnsi"/>
          <w:b/>
          <w:bCs/>
          <w:sz w:val="18"/>
          <w:szCs w:val="18"/>
        </w:rPr>
        <w:t>5</w:t>
      </w:r>
      <w:r w:rsidRPr="00FC769A">
        <w:rPr>
          <w:rFonts w:ascii="Calibrì" w:hAnsi="Calibrì" w:cstheme="minorHAnsi"/>
          <w:sz w:val="18"/>
          <w:szCs w:val="18"/>
        </w:rPr>
        <w:t>, 969–973.</w:t>
      </w:r>
    </w:p>
    <w:p w14:paraId="1DE23733"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74</w:t>
      </w:r>
      <w:r w:rsidRPr="00FC769A">
        <w:rPr>
          <w:rFonts w:ascii="Calibrì" w:hAnsi="Calibrì" w:cstheme="minorHAnsi"/>
          <w:sz w:val="18"/>
          <w:szCs w:val="18"/>
        </w:rPr>
        <w:tab/>
        <w:t xml:space="preserve">S. Lenz, H. Bamberger, P. P. Hallmen, Y. Thiebes, S. Otto, K. Heinze and J. van Slageren, </w:t>
      </w:r>
      <w:r w:rsidRPr="00FC769A">
        <w:rPr>
          <w:rFonts w:ascii="Calibrì" w:hAnsi="Calibrì" w:cstheme="minorHAnsi"/>
          <w:i/>
          <w:iCs/>
          <w:sz w:val="18"/>
          <w:szCs w:val="18"/>
        </w:rPr>
        <w:t>Phys. Chem. Chem. Phys.</w:t>
      </w:r>
      <w:r w:rsidRPr="00FC769A">
        <w:rPr>
          <w:rFonts w:ascii="Calibrì" w:hAnsi="Calibrì" w:cstheme="minorHAnsi"/>
          <w:sz w:val="18"/>
          <w:szCs w:val="18"/>
        </w:rPr>
        <w:t xml:space="preserve">, 2019, </w:t>
      </w:r>
      <w:r w:rsidRPr="00FC769A">
        <w:rPr>
          <w:rFonts w:ascii="Calibrì" w:hAnsi="Calibrì" w:cstheme="minorHAnsi"/>
          <w:b/>
          <w:bCs/>
          <w:sz w:val="18"/>
          <w:szCs w:val="18"/>
        </w:rPr>
        <w:t>21</w:t>
      </w:r>
      <w:r w:rsidRPr="00FC769A">
        <w:rPr>
          <w:rFonts w:ascii="Calibrì" w:hAnsi="Calibrì" w:cstheme="minorHAnsi"/>
          <w:sz w:val="18"/>
          <w:szCs w:val="18"/>
        </w:rPr>
        <w:t>, 6976–6983.</w:t>
      </w:r>
    </w:p>
    <w:p w14:paraId="0A6C50C2" w14:textId="77777777" w:rsidR="004A14F0" w:rsidRPr="00FC769A" w:rsidRDefault="004A14F0" w:rsidP="004A14F0">
      <w:pPr>
        <w:pStyle w:val="Bibliografia"/>
        <w:rPr>
          <w:rFonts w:ascii="Calibrì" w:hAnsi="Calibrì" w:cstheme="minorHAnsi"/>
          <w:sz w:val="18"/>
          <w:szCs w:val="18"/>
        </w:rPr>
      </w:pPr>
      <w:r w:rsidRPr="00FC769A">
        <w:rPr>
          <w:rFonts w:ascii="Calibrì" w:hAnsi="Calibrì" w:cstheme="minorHAnsi"/>
          <w:sz w:val="18"/>
          <w:szCs w:val="18"/>
        </w:rPr>
        <w:t>75</w:t>
      </w:r>
      <w:r w:rsidRPr="00FC769A">
        <w:rPr>
          <w:rFonts w:ascii="Calibrì" w:hAnsi="Calibrì" w:cstheme="minorHAnsi"/>
          <w:sz w:val="18"/>
          <w:szCs w:val="18"/>
        </w:rPr>
        <w:tab/>
        <w:t xml:space="preserve">E. I. Solomon, M. L. Neidig and G. Schenk, in </w:t>
      </w:r>
      <w:r w:rsidRPr="00FC769A">
        <w:rPr>
          <w:rFonts w:ascii="Calibrì" w:hAnsi="Calibrì" w:cstheme="minorHAnsi"/>
          <w:i/>
          <w:iCs/>
          <w:sz w:val="18"/>
          <w:szCs w:val="18"/>
        </w:rPr>
        <w:t>Comprehensive Coordination Chemistry II</w:t>
      </w:r>
      <w:r w:rsidRPr="00FC769A">
        <w:rPr>
          <w:rFonts w:ascii="Calibrì" w:hAnsi="Calibrì" w:cstheme="minorHAnsi"/>
          <w:sz w:val="18"/>
          <w:szCs w:val="18"/>
        </w:rPr>
        <w:t>, Elsevier, 2003, pp. 339–349.</w:t>
      </w:r>
    </w:p>
    <w:p w14:paraId="7862E2E9" w14:textId="77777777" w:rsidR="004A14F0" w:rsidRPr="00FC769A" w:rsidRDefault="004A14F0" w:rsidP="004A14F0">
      <w:pPr>
        <w:pStyle w:val="Bibliografia"/>
        <w:rPr>
          <w:rFonts w:ascii="Calibrì" w:hAnsi="Calibrì" w:cstheme="minorHAnsi"/>
          <w:sz w:val="18"/>
          <w:szCs w:val="18"/>
          <w:lang w:val="it-IT"/>
        </w:rPr>
      </w:pPr>
      <w:r w:rsidRPr="00FC769A">
        <w:rPr>
          <w:rFonts w:ascii="Calibrì" w:hAnsi="Calibrì" w:cstheme="minorHAnsi"/>
          <w:sz w:val="18"/>
          <w:szCs w:val="18"/>
          <w:lang w:val="it-IT"/>
        </w:rPr>
        <w:t>76</w:t>
      </w:r>
      <w:r w:rsidRPr="00FC769A">
        <w:rPr>
          <w:rFonts w:ascii="Calibrì" w:hAnsi="Calibrì" w:cstheme="minorHAnsi"/>
          <w:sz w:val="18"/>
          <w:szCs w:val="18"/>
          <w:lang w:val="it-IT"/>
        </w:rPr>
        <w:tab/>
        <w:t xml:space="preserve">A. Gabbani, G. Petrucci and F. Pineider, </w:t>
      </w:r>
      <w:r w:rsidRPr="00FC769A">
        <w:rPr>
          <w:rFonts w:ascii="Calibrì" w:hAnsi="Calibrì" w:cstheme="minorHAnsi"/>
          <w:i/>
          <w:iCs/>
          <w:sz w:val="18"/>
          <w:szCs w:val="18"/>
          <w:lang w:val="it-IT"/>
        </w:rPr>
        <w:t>J. Appl. Phys.</w:t>
      </w:r>
      <w:r w:rsidRPr="00FC769A">
        <w:rPr>
          <w:rFonts w:ascii="Calibrì" w:hAnsi="Calibrì" w:cstheme="minorHAnsi"/>
          <w:sz w:val="18"/>
          <w:szCs w:val="18"/>
          <w:lang w:val="it-IT"/>
        </w:rPr>
        <w:t xml:space="preserve">, 2021, </w:t>
      </w:r>
      <w:r w:rsidRPr="00FC769A">
        <w:rPr>
          <w:rFonts w:ascii="Calibrì" w:hAnsi="Calibrì" w:cstheme="minorHAnsi"/>
          <w:b/>
          <w:bCs/>
          <w:sz w:val="18"/>
          <w:szCs w:val="18"/>
          <w:lang w:val="it-IT"/>
        </w:rPr>
        <w:t>129</w:t>
      </w:r>
      <w:r w:rsidRPr="00FC769A">
        <w:rPr>
          <w:rFonts w:ascii="Calibrì" w:hAnsi="Calibrì" w:cstheme="minorHAnsi"/>
          <w:sz w:val="18"/>
          <w:szCs w:val="18"/>
          <w:lang w:val="it-IT"/>
        </w:rPr>
        <w:t>, 211101.</w:t>
      </w:r>
    </w:p>
    <w:p w14:paraId="04A80CF1" w14:textId="77777777" w:rsidR="004A14F0" w:rsidRPr="003A1F9E" w:rsidRDefault="004A14F0" w:rsidP="004A14F0">
      <w:pPr>
        <w:pStyle w:val="Bibliografia"/>
        <w:rPr>
          <w:rFonts w:ascii="Calibrì" w:hAnsi="Calibrì" w:cstheme="minorHAnsi"/>
          <w:sz w:val="18"/>
          <w:szCs w:val="18"/>
          <w:lang w:val="pl-PL"/>
        </w:rPr>
      </w:pPr>
      <w:r w:rsidRPr="00FC769A">
        <w:rPr>
          <w:rFonts w:ascii="Calibrì" w:hAnsi="Calibrì" w:cstheme="minorHAnsi"/>
          <w:sz w:val="18"/>
          <w:szCs w:val="18"/>
          <w:lang w:val="it-IT"/>
        </w:rPr>
        <w:t>77</w:t>
      </w:r>
      <w:r w:rsidRPr="00FC769A">
        <w:rPr>
          <w:rFonts w:ascii="Calibrì" w:hAnsi="Calibrì" w:cstheme="minorHAnsi"/>
          <w:sz w:val="18"/>
          <w:szCs w:val="18"/>
          <w:lang w:val="it-IT"/>
        </w:rPr>
        <w:tab/>
        <w:t xml:space="preserve">A. Gabbani, G. Campo, V. Bonanni, P. van Rhee, G. Bottaro, C. de Julián Fernández, V. Bello, E. Fantechi, F. Biccari, M. Gurioli, L. Armelao, C. Sangregorio, G. Mattei, P. Christianen and F. Pineider, </w:t>
      </w:r>
      <w:r w:rsidRPr="00FC769A">
        <w:rPr>
          <w:rFonts w:ascii="Calibrì" w:hAnsi="Calibrì" w:cstheme="minorHAnsi"/>
          <w:i/>
          <w:iCs/>
          <w:sz w:val="18"/>
          <w:szCs w:val="18"/>
          <w:lang w:val="it-IT"/>
        </w:rPr>
        <w:t xml:space="preserve">J. Phys. </w:t>
      </w:r>
      <w:r w:rsidRPr="003A1F9E">
        <w:rPr>
          <w:rFonts w:ascii="Calibrì" w:hAnsi="Calibrì" w:cstheme="minorHAnsi"/>
          <w:i/>
          <w:iCs/>
          <w:sz w:val="18"/>
          <w:szCs w:val="18"/>
          <w:lang w:val="pl-PL"/>
        </w:rPr>
        <w:t>Chem. C</w:t>
      </w:r>
      <w:r w:rsidRPr="003A1F9E">
        <w:rPr>
          <w:rFonts w:ascii="Calibrì" w:hAnsi="Calibrì" w:cstheme="minorHAnsi"/>
          <w:sz w:val="18"/>
          <w:szCs w:val="18"/>
          <w:lang w:val="pl-PL"/>
        </w:rPr>
        <w:t xml:space="preserve">, 2022, </w:t>
      </w:r>
      <w:r w:rsidRPr="003A1F9E">
        <w:rPr>
          <w:rFonts w:ascii="Calibrì" w:hAnsi="Calibrì" w:cstheme="minorHAnsi"/>
          <w:b/>
          <w:bCs/>
          <w:sz w:val="18"/>
          <w:szCs w:val="18"/>
          <w:lang w:val="pl-PL"/>
        </w:rPr>
        <w:t>126</w:t>
      </w:r>
      <w:r w:rsidRPr="003A1F9E">
        <w:rPr>
          <w:rFonts w:ascii="Calibrì" w:hAnsi="Calibrì" w:cstheme="minorHAnsi"/>
          <w:sz w:val="18"/>
          <w:szCs w:val="18"/>
          <w:lang w:val="pl-PL"/>
        </w:rPr>
        <w:t>, 1939–1945.</w:t>
      </w:r>
    </w:p>
    <w:p w14:paraId="3E053C9D" w14:textId="77777777" w:rsidR="004A14F0" w:rsidRPr="00FC769A" w:rsidRDefault="004A14F0" w:rsidP="004A14F0">
      <w:pPr>
        <w:pStyle w:val="Bibliografia"/>
        <w:rPr>
          <w:rFonts w:ascii="Calibrì" w:hAnsi="Calibrì" w:cstheme="minorHAnsi"/>
          <w:sz w:val="18"/>
          <w:szCs w:val="18"/>
        </w:rPr>
      </w:pPr>
      <w:r w:rsidRPr="003A1F9E">
        <w:rPr>
          <w:rFonts w:ascii="Calibrì" w:hAnsi="Calibrì" w:cstheme="minorHAnsi"/>
          <w:sz w:val="18"/>
          <w:szCs w:val="18"/>
          <w:lang w:val="pl-PL"/>
        </w:rPr>
        <w:t>78</w:t>
      </w:r>
      <w:r w:rsidRPr="003A1F9E">
        <w:rPr>
          <w:rFonts w:ascii="Calibrì" w:hAnsi="Calibrì" w:cstheme="minorHAnsi"/>
          <w:sz w:val="18"/>
          <w:szCs w:val="18"/>
          <w:lang w:val="pl-PL"/>
        </w:rPr>
        <w:tab/>
        <w:t xml:space="preserve">A. Kamińska, A. Suchocki, S. Kobyakov, L. Arizmendi, M. Potemski and F. J. Teran, </w:t>
      </w:r>
      <w:r w:rsidRPr="003A1F9E">
        <w:rPr>
          <w:rFonts w:ascii="Calibrì" w:hAnsi="Calibrì" w:cstheme="minorHAnsi"/>
          <w:i/>
          <w:iCs/>
          <w:sz w:val="18"/>
          <w:szCs w:val="18"/>
          <w:lang w:val="pl-PL"/>
        </w:rPr>
        <w:t xml:space="preserve">Phys. </w:t>
      </w:r>
      <w:r w:rsidRPr="00FC769A">
        <w:rPr>
          <w:rFonts w:ascii="Calibrì" w:hAnsi="Calibrì" w:cstheme="minorHAnsi"/>
          <w:i/>
          <w:iCs/>
          <w:sz w:val="18"/>
          <w:szCs w:val="18"/>
        </w:rPr>
        <w:t>Rev. B</w:t>
      </w:r>
      <w:r w:rsidRPr="00FC769A">
        <w:rPr>
          <w:rFonts w:ascii="Calibrì" w:hAnsi="Calibrì" w:cstheme="minorHAnsi"/>
          <w:sz w:val="18"/>
          <w:szCs w:val="18"/>
        </w:rPr>
        <w:t xml:space="preserve">, 2007, </w:t>
      </w:r>
      <w:r w:rsidRPr="00FC769A">
        <w:rPr>
          <w:rFonts w:ascii="Calibrì" w:hAnsi="Calibrì" w:cstheme="minorHAnsi"/>
          <w:b/>
          <w:bCs/>
          <w:sz w:val="18"/>
          <w:szCs w:val="18"/>
        </w:rPr>
        <w:t>76</w:t>
      </w:r>
      <w:r w:rsidRPr="00FC769A">
        <w:rPr>
          <w:rFonts w:ascii="Calibrì" w:hAnsi="Calibrì" w:cstheme="minorHAnsi"/>
          <w:sz w:val="18"/>
          <w:szCs w:val="18"/>
        </w:rPr>
        <w:t>, 144117.</w:t>
      </w:r>
    </w:p>
    <w:p w14:paraId="69F31C50" w14:textId="77777777" w:rsidR="004A14F0" w:rsidRPr="003A1F9E" w:rsidRDefault="004A14F0" w:rsidP="004A14F0">
      <w:pPr>
        <w:pStyle w:val="Bibliografia"/>
        <w:rPr>
          <w:rFonts w:ascii="Calibrì" w:hAnsi="Calibrì" w:cstheme="minorHAnsi"/>
          <w:sz w:val="18"/>
          <w:szCs w:val="18"/>
          <w:lang w:val="pl-PL"/>
        </w:rPr>
      </w:pPr>
      <w:r w:rsidRPr="00FC769A">
        <w:rPr>
          <w:rFonts w:ascii="Calibrì" w:hAnsi="Calibrì" w:cstheme="minorHAnsi"/>
          <w:sz w:val="18"/>
          <w:szCs w:val="18"/>
        </w:rPr>
        <w:t>79</w:t>
      </w:r>
      <w:r w:rsidRPr="00FC769A">
        <w:rPr>
          <w:rFonts w:ascii="Calibrì" w:hAnsi="Calibrì" w:cstheme="minorHAnsi"/>
          <w:sz w:val="18"/>
          <w:szCs w:val="18"/>
        </w:rPr>
        <w:tab/>
        <w:t xml:space="preserve">N. F. Chilton, R. P. Anderson, L. D. Turner, A. Soncini and K. S. Murray, </w:t>
      </w:r>
      <w:r w:rsidRPr="00FC769A">
        <w:rPr>
          <w:rFonts w:ascii="Calibrì" w:hAnsi="Calibrì" w:cstheme="minorHAnsi"/>
          <w:i/>
          <w:iCs/>
          <w:sz w:val="18"/>
          <w:szCs w:val="18"/>
        </w:rPr>
        <w:t xml:space="preserve">J. Comput. </w:t>
      </w:r>
      <w:r w:rsidRPr="003A1F9E">
        <w:rPr>
          <w:rFonts w:ascii="Calibrì" w:hAnsi="Calibrì" w:cstheme="minorHAnsi"/>
          <w:i/>
          <w:iCs/>
          <w:sz w:val="18"/>
          <w:szCs w:val="18"/>
          <w:lang w:val="pl-PL"/>
        </w:rPr>
        <w:t>Chem.</w:t>
      </w:r>
      <w:r w:rsidRPr="003A1F9E">
        <w:rPr>
          <w:rFonts w:ascii="Calibrì" w:hAnsi="Calibrì" w:cstheme="minorHAnsi"/>
          <w:sz w:val="18"/>
          <w:szCs w:val="18"/>
          <w:lang w:val="pl-PL"/>
        </w:rPr>
        <w:t xml:space="preserve">, 2013, </w:t>
      </w:r>
      <w:r w:rsidRPr="003A1F9E">
        <w:rPr>
          <w:rFonts w:ascii="Calibrì" w:hAnsi="Calibrì" w:cstheme="minorHAnsi"/>
          <w:b/>
          <w:bCs/>
          <w:sz w:val="18"/>
          <w:szCs w:val="18"/>
          <w:lang w:val="pl-PL"/>
        </w:rPr>
        <w:t>34</w:t>
      </w:r>
      <w:r w:rsidRPr="003A1F9E">
        <w:rPr>
          <w:rFonts w:ascii="Calibrì" w:hAnsi="Calibrì" w:cstheme="minorHAnsi"/>
          <w:sz w:val="18"/>
          <w:szCs w:val="18"/>
          <w:lang w:val="pl-PL"/>
        </w:rPr>
        <w:t>, 1164–1175.</w:t>
      </w:r>
    </w:p>
    <w:p w14:paraId="2E921BA1" w14:textId="77777777" w:rsidR="004A14F0" w:rsidRPr="003A1F9E" w:rsidRDefault="004A14F0" w:rsidP="004A14F0">
      <w:pPr>
        <w:pStyle w:val="Bibliografia"/>
        <w:rPr>
          <w:rFonts w:ascii="Calibrì" w:hAnsi="Calibrì" w:cstheme="minorHAnsi"/>
          <w:sz w:val="18"/>
          <w:szCs w:val="18"/>
          <w:lang w:val="pl-PL"/>
        </w:rPr>
      </w:pPr>
      <w:r w:rsidRPr="003A1F9E">
        <w:rPr>
          <w:rFonts w:ascii="Calibrì" w:hAnsi="Calibrì" w:cstheme="minorHAnsi"/>
          <w:sz w:val="18"/>
          <w:szCs w:val="18"/>
          <w:lang w:val="pl-PL"/>
        </w:rPr>
        <w:t>80</w:t>
      </w:r>
      <w:r w:rsidRPr="003A1F9E">
        <w:rPr>
          <w:rFonts w:ascii="Calibrì" w:hAnsi="Calibrì" w:cstheme="minorHAnsi"/>
          <w:sz w:val="18"/>
          <w:szCs w:val="18"/>
          <w:lang w:val="pl-PL"/>
        </w:rPr>
        <w:tab/>
        <w:t xml:space="preserve">J. Krzystek, A. Ozarowski and J. Telser, </w:t>
      </w:r>
      <w:r w:rsidRPr="003A1F9E">
        <w:rPr>
          <w:rFonts w:ascii="Calibrì" w:hAnsi="Calibrì" w:cstheme="minorHAnsi"/>
          <w:i/>
          <w:iCs/>
          <w:sz w:val="18"/>
          <w:szCs w:val="18"/>
          <w:lang w:val="pl-PL"/>
        </w:rPr>
        <w:t>Coord. Chem. Rev.</w:t>
      </w:r>
      <w:r w:rsidRPr="003A1F9E">
        <w:rPr>
          <w:rFonts w:ascii="Calibrì" w:hAnsi="Calibrì" w:cstheme="minorHAnsi"/>
          <w:sz w:val="18"/>
          <w:szCs w:val="18"/>
          <w:lang w:val="pl-PL"/>
        </w:rPr>
        <w:t xml:space="preserve">, 2006, </w:t>
      </w:r>
      <w:r w:rsidRPr="003A1F9E">
        <w:rPr>
          <w:rFonts w:ascii="Calibrì" w:hAnsi="Calibrì" w:cstheme="minorHAnsi"/>
          <w:b/>
          <w:bCs/>
          <w:sz w:val="18"/>
          <w:szCs w:val="18"/>
          <w:lang w:val="pl-PL"/>
        </w:rPr>
        <w:t>250</w:t>
      </w:r>
      <w:r w:rsidRPr="003A1F9E">
        <w:rPr>
          <w:rFonts w:ascii="Calibrì" w:hAnsi="Calibrì" w:cstheme="minorHAnsi"/>
          <w:sz w:val="18"/>
          <w:szCs w:val="18"/>
          <w:lang w:val="pl-PL"/>
        </w:rPr>
        <w:t>, 2308–2324.</w:t>
      </w:r>
    </w:p>
    <w:p w14:paraId="363ABEEA" w14:textId="77777777" w:rsidR="004A14F0" w:rsidRPr="00FC769A" w:rsidRDefault="004A14F0" w:rsidP="004A14F0">
      <w:pPr>
        <w:pStyle w:val="Bibliografia"/>
        <w:rPr>
          <w:rFonts w:ascii="Calibrì" w:hAnsi="Calibrì" w:cstheme="minorHAnsi"/>
          <w:sz w:val="18"/>
          <w:szCs w:val="18"/>
        </w:rPr>
      </w:pPr>
      <w:r w:rsidRPr="003A1F9E">
        <w:rPr>
          <w:rFonts w:ascii="Calibrì" w:hAnsi="Calibrì" w:cstheme="minorHAnsi"/>
          <w:sz w:val="18"/>
          <w:szCs w:val="18"/>
          <w:lang w:val="pl-PL"/>
        </w:rPr>
        <w:t>81</w:t>
      </w:r>
      <w:r w:rsidRPr="003A1F9E">
        <w:rPr>
          <w:rFonts w:ascii="Calibrì" w:hAnsi="Calibrì" w:cstheme="minorHAnsi"/>
          <w:sz w:val="18"/>
          <w:szCs w:val="18"/>
          <w:lang w:val="pl-PL"/>
        </w:rPr>
        <w:tab/>
        <w:t xml:space="preserve">J. Krzystek, S. A. Zvyagin, A. Ozarowski, S. Trofimenko and J. Telser, </w:t>
      </w:r>
      <w:r w:rsidRPr="003A1F9E">
        <w:rPr>
          <w:rFonts w:ascii="Calibrì" w:hAnsi="Calibrì" w:cstheme="minorHAnsi"/>
          <w:i/>
          <w:iCs/>
          <w:sz w:val="18"/>
          <w:szCs w:val="18"/>
          <w:lang w:val="pl-PL"/>
        </w:rPr>
        <w:t xml:space="preserve">J. Magn. </w:t>
      </w:r>
      <w:r w:rsidRPr="00FC769A">
        <w:rPr>
          <w:rFonts w:ascii="Calibrì" w:hAnsi="Calibrì" w:cstheme="minorHAnsi"/>
          <w:i/>
          <w:iCs/>
          <w:sz w:val="18"/>
          <w:szCs w:val="18"/>
        </w:rPr>
        <w:t>Reson.</w:t>
      </w:r>
      <w:r w:rsidRPr="00FC769A">
        <w:rPr>
          <w:rFonts w:ascii="Calibrì" w:hAnsi="Calibrì" w:cstheme="minorHAnsi"/>
          <w:sz w:val="18"/>
          <w:szCs w:val="18"/>
        </w:rPr>
        <w:t xml:space="preserve">, 2006, </w:t>
      </w:r>
      <w:r w:rsidRPr="00FC769A">
        <w:rPr>
          <w:rFonts w:ascii="Calibrì" w:hAnsi="Calibrì" w:cstheme="minorHAnsi"/>
          <w:b/>
          <w:bCs/>
          <w:sz w:val="18"/>
          <w:szCs w:val="18"/>
        </w:rPr>
        <w:t>178</w:t>
      </w:r>
      <w:r w:rsidRPr="00FC769A">
        <w:rPr>
          <w:rFonts w:ascii="Calibrì" w:hAnsi="Calibrì" w:cstheme="minorHAnsi"/>
          <w:sz w:val="18"/>
          <w:szCs w:val="18"/>
        </w:rPr>
        <w:t>, 174–183.</w:t>
      </w:r>
    </w:p>
    <w:p w14:paraId="5825F60D" w14:textId="4A102506" w:rsidR="00855387" w:rsidRPr="00ED6233" w:rsidRDefault="00017E90" w:rsidP="00241ACD">
      <w:pPr>
        <w:pStyle w:val="RSCF02FootnotestoTitleAuthors"/>
        <w:spacing w:line="200" w:lineRule="exact"/>
        <w:rPr>
          <w:rFonts w:ascii="Calibrì" w:hAnsi="Calibrì" w:cstheme="minorHAnsi"/>
          <w:b/>
          <w:bCs/>
          <w:sz w:val="18"/>
          <w:szCs w:val="18"/>
        </w:rPr>
      </w:pPr>
      <w:r w:rsidRPr="00ED6233">
        <w:rPr>
          <w:rFonts w:ascii="Calibrì" w:hAnsi="Calibrì" w:cstheme="minorHAnsi"/>
          <w:b/>
          <w:bCs/>
          <w:sz w:val="18"/>
          <w:szCs w:val="18"/>
        </w:rPr>
        <w:fldChar w:fldCharType="end"/>
      </w:r>
    </w:p>
    <w:p w14:paraId="62B4A3D5" w14:textId="77777777" w:rsidR="00832766" w:rsidRPr="00FC769A" w:rsidRDefault="00832766" w:rsidP="00241ACD">
      <w:pPr>
        <w:pStyle w:val="RSCF02FootnotestoTitleAuthors"/>
        <w:spacing w:line="200" w:lineRule="exact"/>
        <w:rPr>
          <w:rFonts w:ascii="Calibrì" w:hAnsi="Calibrì" w:cstheme="minorHAnsi"/>
          <w:sz w:val="18"/>
          <w:szCs w:val="18"/>
        </w:rPr>
      </w:pPr>
    </w:p>
    <w:p w14:paraId="43F89CA5" w14:textId="675134FE" w:rsidR="00E61949" w:rsidRPr="00357D86" w:rsidRDefault="00E61949" w:rsidP="00E41125">
      <w:pPr>
        <w:pStyle w:val="RSCR02References"/>
        <w:numPr>
          <w:ilvl w:val="0"/>
          <w:numId w:val="0"/>
        </w:numPr>
        <w:jc w:val="left"/>
      </w:pPr>
    </w:p>
    <w:p w14:paraId="339E4F4B" w14:textId="322724BB" w:rsidR="00F157DD" w:rsidRPr="005937A3" w:rsidRDefault="00F157DD" w:rsidP="002B62B5">
      <w:pPr>
        <w:pStyle w:val="RSCR02References"/>
        <w:numPr>
          <w:ilvl w:val="0"/>
          <w:numId w:val="0"/>
        </w:numPr>
      </w:pPr>
    </w:p>
    <w:sectPr w:rsidR="00F157DD" w:rsidRPr="005937A3" w:rsidSect="00514CB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F93D92" w14:textId="77777777" w:rsidR="009F28D3" w:rsidRPr="006F03F9" w:rsidRDefault="009F28D3" w:rsidP="00E547DB">
      <w:pPr>
        <w:spacing w:after="0" w:line="240" w:lineRule="auto"/>
      </w:pPr>
      <w:r w:rsidRPr="006F03F9">
        <w:separator/>
      </w:r>
    </w:p>
    <w:p w14:paraId="66BBD424" w14:textId="77777777" w:rsidR="009F28D3" w:rsidRPr="006F03F9" w:rsidRDefault="009F28D3"/>
    <w:p w14:paraId="4EC65B91" w14:textId="77777777" w:rsidR="009F28D3" w:rsidRPr="006F03F9" w:rsidRDefault="009F28D3"/>
    <w:p w14:paraId="2AB3B87F" w14:textId="77777777" w:rsidR="009F28D3" w:rsidRPr="006F03F9" w:rsidRDefault="009F28D3"/>
    <w:p w14:paraId="4BB9AC6A" w14:textId="77777777" w:rsidR="009F28D3" w:rsidRPr="006F03F9" w:rsidRDefault="009F28D3"/>
    <w:p w14:paraId="2D1834E7" w14:textId="77777777" w:rsidR="009F28D3" w:rsidRPr="006F03F9" w:rsidRDefault="009F28D3"/>
  </w:endnote>
  <w:endnote w:type="continuationSeparator" w:id="0">
    <w:p w14:paraId="163278C9" w14:textId="77777777" w:rsidR="009F28D3" w:rsidRPr="006F03F9" w:rsidRDefault="009F28D3" w:rsidP="00E547DB">
      <w:pPr>
        <w:spacing w:after="0" w:line="240" w:lineRule="auto"/>
      </w:pPr>
      <w:r w:rsidRPr="006F03F9">
        <w:continuationSeparator/>
      </w:r>
    </w:p>
    <w:p w14:paraId="29507403" w14:textId="77777777" w:rsidR="009F28D3" w:rsidRPr="006F03F9" w:rsidRDefault="009F28D3"/>
    <w:p w14:paraId="0E7F6B63" w14:textId="77777777" w:rsidR="009F28D3" w:rsidRPr="006F03F9" w:rsidRDefault="009F28D3"/>
    <w:p w14:paraId="494775B4" w14:textId="77777777" w:rsidR="009F28D3" w:rsidRPr="006F03F9" w:rsidRDefault="009F28D3"/>
    <w:p w14:paraId="557B51D5" w14:textId="77777777" w:rsidR="009F28D3" w:rsidRPr="006F03F9" w:rsidRDefault="009F28D3"/>
    <w:p w14:paraId="76FF313E" w14:textId="77777777" w:rsidR="009F28D3" w:rsidRPr="006F03F9" w:rsidRDefault="009F28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2BEA5D6-6DFF-4EEF-AA80-AEF568B6D0E3}"/>
    <w:embedBold r:id="rId2" w:fontKey="{39707AFA-9019-427B-BCFA-C5E57C8F43B5}"/>
    <w:embedItalic r:id="rId3" w:fontKey="{75EB8A91-2648-4EA6-A8A5-C0E1BC11EE5D}"/>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D798618A-BD6B-4A58-9309-339D5A3D1644}"/>
  </w:font>
  <w:font w:name="Source Sans Pro">
    <w:altName w:val="Arial"/>
    <w:charset w:val="00"/>
    <w:family w:val="swiss"/>
    <w:pitch w:val="variable"/>
    <w:sig w:usb0="600002F7" w:usb1="02000001" w:usb2="00000000" w:usb3="00000000" w:csb0="0000019F" w:csb1="00000000"/>
    <w:embedItalic r:id="rId5" w:fontKey="{877DB3A2-E03D-4DC8-9363-24E5EFA76E53}"/>
  </w:font>
  <w:font w:name="Aptos">
    <w:charset w:val="00"/>
    <w:family w:val="swiss"/>
    <w:pitch w:val="variable"/>
    <w:sig w:usb0="20000287" w:usb1="00000003" w:usb2="00000000" w:usb3="00000000" w:csb0="0000019F" w:csb1="00000000"/>
    <w:embedRegular r:id="rId6" w:fontKey="{76120772-EDD7-4C24-AB15-10B6080F601D}"/>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7" w:fontKey="{F4F23154-05CC-4EE8-A497-F1F67E43BB2F}"/>
    <w:embedBold r:id="rId8" w:fontKey="{B235B040-ED9C-4453-AC06-8482439A3912}"/>
    <w:embedItalic r:id="rId9" w:fontKey="{2C740B35-F8F6-42A8-B4E1-24C81AE0C110}"/>
  </w:font>
  <w:font w:name="ArnoPro-Regular">
    <w:altName w:val="Yu Gothic"/>
    <w:panose1 w:val="00000000000000000000"/>
    <w:charset w:val="80"/>
    <w:family w:val="swiss"/>
    <w:notTrueType/>
    <w:pitch w:val="default"/>
    <w:sig w:usb0="00000001" w:usb1="08070000" w:usb2="00000010" w:usb3="00000000" w:csb0="00020000" w:csb1="00000000"/>
  </w:font>
  <w:font w:name="MyriadPro-Regular">
    <w:altName w:val="Calibri"/>
    <w:panose1 w:val="00000000000000000000"/>
    <w:charset w:val="00"/>
    <w:family w:val="swiss"/>
    <w:notTrueType/>
    <w:pitch w:val="default"/>
    <w:sig w:usb0="00000003" w:usb1="00000000" w:usb2="00000000" w:usb3="00000000" w:csb0="00000001" w:csb1="00000000"/>
  </w:font>
  <w:font w:name="Calibrì">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10" w:fontKey="{3A08319F-4B60-43F1-BDA9-164F488201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87C395" w14:textId="53E734BB" w:rsidR="00E70DCE" w:rsidRPr="006F03F9" w:rsidRDefault="00E70DCE" w:rsidP="00D45ADF">
    <w:pPr>
      <w:pStyle w:val="Pidipagina"/>
      <w:tabs>
        <w:tab w:val="clear" w:pos="4513"/>
        <w:tab w:val="clear" w:pos="9026"/>
        <w:tab w:val="right" w:pos="10206"/>
      </w:tabs>
      <w:spacing w:before="480"/>
      <w:rPr>
        <w:spacing w:val="10"/>
        <w:sz w:val="16"/>
        <w:szCs w:val="16"/>
      </w:rPr>
    </w:pPr>
    <w:r w:rsidRPr="006F03F9">
      <w:rPr>
        <w:b/>
        <w:noProof/>
        <w:spacing w:val="10"/>
        <w:sz w:val="16"/>
        <w:szCs w:val="16"/>
      </w:rPr>
      <w:fldChar w:fldCharType="begin"/>
    </w:r>
    <w:r w:rsidRPr="006F03F9">
      <w:rPr>
        <w:b/>
        <w:spacing w:val="10"/>
        <w:sz w:val="16"/>
        <w:szCs w:val="16"/>
      </w:rPr>
      <w:instrText xml:space="preserve"> PAGE   \* MERGEFORMAT </w:instrText>
    </w:r>
    <w:r w:rsidRPr="006F03F9">
      <w:rPr>
        <w:b/>
        <w:noProof/>
        <w:spacing w:val="10"/>
        <w:sz w:val="16"/>
        <w:szCs w:val="16"/>
      </w:rPr>
      <w:fldChar w:fldCharType="separate"/>
    </w:r>
    <w:r w:rsidR="00832766" w:rsidRPr="006F03F9">
      <w:rPr>
        <w:b/>
        <w:spacing w:val="10"/>
        <w:sz w:val="16"/>
        <w:szCs w:val="16"/>
      </w:rPr>
      <w:t>2</w:t>
    </w:r>
    <w:r w:rsidRPr="006F03F9">
      <w:rPr>
        <w:b/>
        <w:spacing w:val="10"/>
        <w:sz w:val="16"/>
        <w:szCs w:val="16"/>
      </w:rPr>
      <w:fldChar w:fldCharType="end"/>
    </w:r>
    <w:r w:rsidRPr="006F03F9">
      <w:rPr>
        <w:spacing w:val="10"/>
        <w:sz w:val="16"/>
        <w:szCs w:val="16"/>
      </w:rPr>
      <w:t xml:space="preserve"> | </w:t>
    </w:r>
    <w:r w:rsidR="00672928" w:rsidRPr="006F03F9">
      <w:rPr>
        <w:i/>
        <w:spacing w:val="10"/>
        <w:sz w:val="16"/>
        <w:szCs w:val="16"/>
      </w:rPr>
      <w:t>J</w:t>
    </w:r>
    <w:r w:rsidRPr="006F03F9">
      <w:rPr>
        <w:i/>
        <w:spacing w:val="10"/>
        <w:sz w:val="16"/>
        <w:szCs w:val="16"/>
      </w:rPr>
      <w:t xml:space="preserve">. </w:t>
    </w:r>
    <w:r w:rsidR="00672928" w:rsidRPr="006F03F9">
      <w:rPr>
        <w:i/>
        <w:spacing w:val="10"/>
        <w:sz w:val="16"/>
        <w:szCs w:val="16"/>
      </w:rPr>
      <w:t>Name</w:t>
    </w:r>
    <w:r w:rsidRPr="006F03F9">
      <w:rPr>
        <w:spacing w:val="10"/>
        <w:sz w:val="16"/>
        <w:szCs w:val="16"/>
      </w:rPr>
      <w:t xml:space="preserve">., 2012, </w:t>
    </w:r>
    <w:r w:rsidRPr="006F03F9">
      <w:rPr>
        <w:b/>
        <w:spacing w:val="10"/>
        <w:sz w:val="16"/>
        <w:szCs w:val="16"/>
      </w:rPr>
      <w:t>00</w:t>
    </w:r>
    <w:r w:rsidRPr="006F03F9">
      <w:rPr>
        <w:spacing w:val="10"/>
        <w:sz w:val="16"/>
        <w:szCs w:val="16"/>
      </w:rPr>
      <w:t>, 1-3</w:t>
    </w:r>
    <w:r w:rsidR="004877C8" w:rsidRPr="006F03F9">
      <w:rPr>
        <w:spacing w:val="10"/>
        <w:sz w:val="16"/>
        <w:szCs w:val="16"/>
      </w:rPr>
      <w:tab/>
    </w:r>
    <w:r w:rsidR="004877C8" w:rsidRPr="006F03F9">
      <w:rPr>
        <w:spacing w:val="2"/>
        <w:sz w:val="16"/>
        <w:szCs w:val="16"/>
      </w:rPr>
      <w:t xml:space="preserve">This journal is </w:t>
    </w:r>
    <w:r w:rsidR="004877C8" w:rsidRPr="006F03F9">
      <w:rPr>
        <w:rFonts w:cstheme="minorHAnsi"/>
        <w:spacing w:val="2"/>
        <w:sz w:val="16"/>
        <w:szCs w:val="16"/>
      </w:rPr>
      <w:t>©</w:t>
    </w:r>
    <w:r w:rsidR="004877C8" w:rsidRPr="006F03F9">
      <w:rPr>
        <w:spacing w:val="2"/>
        <w:sz w:val="16"/>
        <w:szCs w:val="16"/>
      </w:rPr>
      <w:t xml:space="preserve"> The Royal Society of Chemistry 20</w:t>
    </w:r>
    <w:r w:rsidR="00180ABE" w:rsidRPr="006F03F9">
      <w:rPr>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CC148E" w14:textId="77777777" w:rsidR="004877C8" w:rsidRPr="006F03F9" w:rsidRDefault="00180ABE" w:rsidP="00D45ADF">
    <w:pPr>
      <w:pStyle w:val="Pidipagina"/>
      <w:tabs>
        <w:tab w:val="clear" w:pos="4513"/>
        <w:tab w:val="clear" w:pos="9026"/>
        <w:tab w:val="right" w:pos="10205"/>
      </w:tabs>
      <w:spacing w:before="480"/>
      <w:rPr>
        <w:sz w:val="16"/>
        <w:szCs w:val="16"/>
      </w:rPr>
    </w:pPr>
    <w:r w:rsidRPr="006F03F9">
      <w:rPr>
        <w:spacing w:val="2"/>
        <w:sz w:val="16"/>
        <w:szCs w:val="16"/>
      </w:rPr>
      <w:t xml:space="preserve">This journal is </w:t>
    </w:r>
    <w:r w:rsidRPr="006F03F9">
      <w:rPr>
        <w:rFonts w:cstheme="minorHAnsi"/>
        <w:spacing w:val="2"/>
        <w:sz w:val="16"/>
        <w:szCs w:val="16"/>
      </w:rPr>
      <w:t>©</w:t>
    </w:r>
    <w:r w:rsidRPr="006F03F9">
      <w:rPr>
        <w:spacing w:val="2"/>
        <w:sz w:val="16"/>
        <w:szCs w:val="16"/>
      </w:rPr>
      <w:t xml:space="preserve"> The Royal Society of Chemistry 20xx</w:t>
    </w:r>
    <w:r w:rsidRPr="006F03F9">
      <w:rPr>
        <w:i/>
        <w:spacing w:val="10"/>
        <w:sz w:val="16"/>
        <w:szCs w:val="16"/>
      </w:rPr>
      <w:tab/>
      <w:t>J. Name</w:t>
    </w:r>
    <w:r w:rsidRPr="006F03F9">
      <w:rPr>
        <w:spacing w:val="10"/>
        <w:sz w:val="16"/>
        <w:szCs w:val="16"/>
      </w:rPr>
      <w:t xml:space="preserve">., 2013, </w:t>
    </w:r>
    <w:r w:rsidRPr="006F03F9">
      <w:rPr>
        <w:b/>
        <w:spacing w:val="10"/>
        <w:sz w:val="16"/>
        <w:szCs w:val="16"/>
      </w:rPr>
      <w:t>00</w:t>
    </w:r>
    <w:r w:rsidRPr="006F03F9">
      <w:rPr>
        <w:spacing w:val="10"/>
        <w:sz w:val="16"/>
        <w:szCs w:val="16"/>
      </w:rPr>
      <w:t xml:space="preserve">, 1-3 | </w:t>
    </w:r>
    <w:r w:rsidRPr="006F03F9">
      <w:rPr>
        <w:b/>
        <w:noProof/>
        <w:spacing w:val="10"/>
        <w:sz w:val="16"/>
        <w:szCs w:val="16"/>
      </w:rPr>
      <w:fldChar w:fldCharType="begin"/>
    </w:r>
    <w:r w:rsidRPr="006F03F9">
      <w:rPr>
        <w:b/>
        <w:spacing w:val="10"/>
        <w:sz w:val="16"/>
        <w:szCs w:val="16"/>
      </w:rPr>
      <w:instrText xml:space="preserve"> PAGE   \* MERGEFORMAT </w:instrText>
    </w:r>
    <w:r w:rsidRPr="006F03F9">
      <w:rPr>
        <w:b/>
        <w:noProof/>
        <w:spacing w:val="10"/>
        <w:sz w:val="16"/>
        <w:szCs w:val="16"/>
      </w:rPr>
      <w:fldChar w:fldCharType="separate"/>
    </w:r>
    <w:r w:rsidR="00F157DD" w:rsidRPr="006F03F9">
      <w:rPr>
        <w:b/>
        <w:spacing w:val="10"/>
        <w:sz w:val="16"/>
        <w:szCs w:val="16"/>
      </w:rPr>
      <w:t>3</w:t>
    </w:r>
    <w:r w:rsidRPr="006F03F9">
      <w:rPr>
        <w:b/>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2C4DD8" w14:textId="50EDEF34" w:rsidR="00E70DCE" w:rsidRPr="006F03F9" w:rsidRDefault="006D701D" w:rsidP="00D45ADF">
    <w:pPr>
      <w:pStyle w:val="Pidipagina"/>
      <w:tabs>
        <w:tab w:val="clear" w:pos="4513"/>
        <w:tab w:val="clear" w:pos="9026"/>
        <w:tab w:val="right" w:pos="10206"/>
      </w:tabs>
      <w:spacing w:before="480"/>
      <w:rPr>
        <w:sz w:val="16"/>
        <w:szCs w:val="16"/>
      </w:rPr>
    </w:pPr>
    <w:r>
      <w:rPr>
        <w:noProof/>
      </w:rPr>
      <mc:AlternateContent>
        <mc:Choice Requires="wps">
          <w:drawing>
            <wp:anchor distT="0" distB="0" distL="114300" distR="114300" simplePos="0" relativeHeight="251664384" behindDoc="0" locked="0" layoutInCell="1" allowOverlap="1" wp14:anchorId="0B9D9361" wp14:editId="54A4CA33">
              <wp:simplePos x="0" y="0"/>
              <wp:positionH relativeFrom="column">
                <wp:align>center</wp:align>
              </wp:positionH>
              <wp:positionV relativeFrom="page">
                <wp:align>bottom</wp:align>
              </wp:positionV>
              <wp:extent cx="7700645" cy="39624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645" cy="396240"/>
                      </a:xfrm>
                      <a:prstGeom prst="rect">
                        <a:avLst/>
                      </a:prstGeom>
                      <a:solidFill>
                        <a:schemeClr val="bg1">
                          <a:lumMod val="65000"/>
                        </a:schemeClr>
                      </a:solidFill>
                      <a:ln w="9525">
                        <a:noFill/>
                        <a:miter lim="800000"/>
                        <a:headEnd/>
                        <a:tailEnd/>
                      </a:ln>
                    </wps:spPr>
                    <wps:txbx>
                      <w:txbxContent>
                        <w:p w14:paraId="2BD3FB71"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B9D9361" id="_x0000_t202" coordsize="21600,21600" o:spt="202" path="m,l,21600r21600,l21600,xe">
              <v:stroke joinstyle="miter"/>
              <v:path gradientshapeok="t" o:connecttype="rect"/>
            </v:shapetype>
            <v:shape id="Text Box 1" o:spid="_x0000_s1032"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" fillcolor="#a5a5a5 [2092]" stroked="f">
              <v:textbox>
                <w:txbxContent>
                  <w:p w14:paraId="2BD3FB71"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v:textbox>
              <w10:wrap anchory="page"/>
            </v:shape>
          </w:pict>
        </mc:Fallback>
      </mc:AlternateContent>
    </w:r>
    <w:r w:rsidR="00E70DCE" w:rsidRPr="006F03F9">
      <w:rPr>
        <w:i/>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5F651A" w14:textId="77777777" w:rsidR="009F28D3" w:rsidRPr="006F03F9" w:rsidRDefault="009F28D3" w:rsidP="00E547DB">
      <w:pPr>
        <w:spacing w:after="0" w:line="240" w:lineRule="auto"/>
      </w:pPr>
      <w:r w:rsidRPr="006F03F9">
        <w:separator/>
      </w:r>
    </w:p>
    <w:p w14:paraId="0DB68126" w14:textId="77777777" w:rsidR="009F28D3" w:rsidRPr="006F03F9" w:rsidRDefault="009F28D3"/>
    <w:p w14:paraId="2D853518" w14:textId="77777777" w:rsidR="009F28D3" w:rsidRPr="006F03F9" w:rsidRDefault="009F28D3"/>
    <w:p w14:paraId="6A52AC96" w14:textId="77777777" w:rsidR="009F28D3" w:rsidRPr="006F03F9" w:rsidRDefault="009F28D3"/>
    <w:p w14:paraId="00B3F2A7" w14:textId="77777777" w:rsidR="009F28D3" w:rsidRPr="006F03F9" w:rsidRDefault="009F28D3"/>
    <w:p w14:paraId="1270A353" w14:textId="77777777" w:rsidR="009F28D3" w:rsidRPr="006F03F9" w:rsidRDefault="009F28D3"/>
  </w:footnote>
  <w:footnote w:type="continuationSeparator" w:id="0">
    <w:p w14:paraId="6D093DA0" w14:textId="77777777" w:rsidR="009F28D3" w:rsidRPr="006F03F9" w:rsidRDefault="009F28D3" w:rsidP="00E547DB">
      <w:pPr>
        <w:spacing w:after="0" w:line="240" w:lineRule="auto"/>
      </w:pPr>
      <w:r w:rsidRPr="006F03F9">
        <w:continuationSeparator/>
      </w:r>
    </w:p>
    <w:p w14:paraId="168E223E" w14:textId="77777777" w:rsidR="009F28D3" w:rsidRPr="006F03F9" w:rsidRDefault="009F28D3"/>
    <w:p w14:paraId="65C4712C" w14:textId="77777777" w:rsidR="009F28D3" w:rsidRPr="006F03F9" w:rsidRDefault="009F28D3"/>
    <w:p w14:paraId="3C369E38" w14:textId="77777777" w:rsidR="009F28D3" w:rsidRPr="006F03F9" w:rsidRDefault="009F28D3"/>
    <w:p w14:paraId="1660A024" w14:textId="77777777" w:rsidR="009F28D3" w:rsidRPr="006F03F9" w:rsidRDefault="009F28D3"/>
    <w:p w14:paraId="13EC37BC" w14:textId="77777777" w:rsidR="009F28D3" w:rsidRPr="006F03F9" w:rsidRDefault="009F28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C5D6BB" w14:textId="019A33AB" w:rsidR="009316A6" w:rsidRPr="006F03F9" w:rsidRDefault="006D701D" w:rsidP="00D45ADF">
    <w:pPr>
      <w:pStyle w:val="Intestazione"/>
      <w:tabs>
        <w:tab w:val="clear" w:pos="4513"/>
        <w:tab w:val="clear" w:pos="9026"/>
        <w:tab w:val="right" w:pos="10206"/>
      </w:tabs>
      <w:spacing w:after="240"/>
      <w:rPr>
        <w:rFonts w:cstheme="minorHAnsi"/>
        <w:color w:val="999999"/>
        <w:sz w:val="20"/>
        <w:szCs w:val="20"/>
      </w:rPr>
    </w:pPr>
    <w:r>
      <w:rPr>
        <w:noProof/>
      </w:rPr>
      <mc:AlternateContent>
        <mc:Choice Requires="wps">
          <w:drawing>
            <wp:anchor distT="0" distB="0" distL="114300" distR="114300" simplePos="0" relativeHeight="251668480" behindDoc="0" locked="0" layoutInCell="1" allowOverlap="1" wp14:anchorId="05C80B5C" wp14:editId="32EE78BA">
              <wp:simplePos x="0" y="0"/>
              <wp:positionH relativeFrom="column">
                <wp:align>center</wp:align>
              </wp:positionH>
              <wp:positionV relativeFrom="page">
                <wp:align>bottom</wp:align>
              </wp:positionV>
              <wp:extent cx="7700645" cy="39624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645" cy="396240"/>
                      </a:xfrm>
                      <a:prstGeom prst="rect">
                        <a:avLst/>
                      </a:prstGeom>
                      <a:solidFill>
                        <a:schemeClr val="bg1">
                          <a:lumMod val="65000"/>
                        </a:schemeClr>
                      </a:solidFill>
                      <a:ln w="9525">
                        <a:noFill/>
                        <a:miter lim="800000"/>
                        <a:headEnd/>
                        <a:tailEnd/>
                      </a:ln>
                    </wps:spPr>
                    <wps:txbx>
                      <w:txbxContent>
                        <w:p w14:paraId="3C389A26"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5C80B5C" id="_x0000_t202" coordsize="21600,21600" o:spt="202" path="m,l,21600r21600,l21600,xe">
              <v:stroke joinstyle="miter"/>
              <v:path gradientshapeok="t" o:connecttype="rect"/>
            </v:shapetype>
            <v:shape id="Text Box 6" o:spid="_x0000_s1027"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" fillcolor="#a5a5a5 [2092]" stroked="f">
              <v:textbox>
                <w:txbxContent>
                  <w:p w14:paraId="3C389A26"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v:textbox>
              <w10:wrap anchory="page"/>
            </v:shape>
          </w:pict>
        </mc:Fallback>
      </mc:AlternateContent>
    </w:r>
    <w:r>
      <w:rPr>
        <w:noProof/>
      </w:rPr>
      <mc:AlternateContent>
        <mc:Choice Requires="wps">
          <w:drawing>
            <wp:anchor distT="0" distB="0" distL="114300" distR="114300" simplePos="0" relativeHeight="251666432" behindDoc="0" locked="0" layoutInCell="1" allowOverlap="1" wp14:anchorId="2EDE008C" wp14:editId="527C4CD0">
              <wp:simplePos x="0" y="0"/>
              <wp:positionH relativeFrom="column">
                <wp:align>center</wp:align>
              </wp:positionH>
              <wp:positionV relativeFrom="page">
                <wp:align>top</wp:align>
              </wp:positionV>
              <wp:extent cx="7700645" cy="396240"/>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645" cy="396240"/>
                      </a:xfrm>
                      <a:prstGeom prst="rect">
                        <a:avLst/>
                      </a:prstGeom>
                      <a:solidFill>
                        <a:schemeClr val="bg1">
                          <a:lumMod val="65000"/>
                        </a:schemeClr>
                      </a:solidFill>
                      <a:ln w="9525">
                        <a:noFill/>
                        <a:miter lim="800000"/>
                        <a:headEnd/>
                        <a:tailEnd/>
                      </a:ln>
                    </wps:spPr>
                    <wps:txbx>
                      <w:txbxContent>
                        <w:p w14:paraId="2A3F4DC3"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EDE008C" id="Text Box 5" o:spid="_x0000_s1028"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" fillcolor="#a5a5a5 [2092]" stroked="f">
              <v:textbox>
                <w:txbxContent>
                  <w:p w14:paraId="2A3F4DC3"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v:textbox>
              <w10:wrap anchory="page"/>
            </v:shape>
          </w:pict>
        </mc:Fallback>
      </mc:AlternateContent>
    </w:r>
    <w:r w:rsidR="00F157DD" w:rsidRPr="006F03F9">
      <w:rPr>
        <w:rFonts w:cstheme="minorHAnsi"/>
        <w:b/>
        <w:color w:val="999999"/>
        <w:sz w:val="20"/>
        <w:szCs w:val="20"/>
      </w:rPr>
      <w:t>ARTICLE</w:t>
    </w:r>
    <w:r w:rsidR="0052630A" w:rsidRPr="006F03F9">
      <w:rPr>
        <w:rFonts w:cstheme="minorHAnsi"/>
        <w:color w:val="999999"/>
        <w:sz w:val="20"/>
        <w:szCs w:val="20"/>
      </w:rPr>
      <w:tab/>
    </w:r>
    <w:r w:rsidR="00672928" w:rsidRPr="006F03F9">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68EC0D" w14:textId="36407970" w:rsidR="009316A6" w:rsidRPr="006F03F9" w:rsidRDefault="006D701D" w:rsidP="00D45ADF">
    <w:pPr>
      <w:pStyle w:val="Intestazione"/>
      <w:tabs>
        <w:tab w:val="clear" w:pos="4513"/>
        <w:tab w:val="clear" w:pos="9026"/>
        <w:tab w:val="right" w:pos="10206"/>
      </w:tabs>
      <w:spacing w:after="240"/>
      <w:rPr>
        <w:rFonts w:cstheme="minorHAnsi"/>
        <w:b/>
        <w:color w:val="999999"/>
        <w:sz w:val="20"/>
        <w:szCs w:val="20"/>
      </w:rPr>
    </w:pPr>
    <w:r>
      <w:rPr>
        <w:noProof/>
      </w:rPr>
      <mc:AlternateContent>
        <mc:Choice Requires="wps">
          <w:drawing>
            <wp:anchor distT="0" distB="0" distL="114300" distR="114300" simplePos="0" relativeHeight="251672576" behindDoc="0" locked="0" layoutInCell="1" allowOverlap="1" wp14:anchorId="23DF5D0A" wp14:editId="03B0F1FF">
              <wp:simplePos x="0" y="0"/>
              <wp:positionH relativeFrom="column">
                <wp:align>center</wp:align>
              </wp:positionH>
              <wp:positionV relativeFrom="page">
                <wp:align>bottom</wp:align>
              </wp:positionV>
              <wp:extent cx="7700645" cy="399415"/>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645" cy="399415"/>
                      </a:xfrm>
                      <a:prstGeom prst="rect">
                        <a:avLst/>
                      </a:prstGeom>
                      <a:solidFill>
                        <a:schemeClr val="bg1">
                          <a:lumMod val="65000"/>
                        </a:schemeClr>
                      </a:solidFill>
                      <a:ln w="9525">
                        <a:noFill/>
                        <a:miter lim="800000"/>
                        <a:headEnd/>
                        <a:tailEnd/>
                      </a:ln>
                    </wps:spPr>
                    <wps:txbx>
                      <w:txbxContent>
                        <w:p w14:paraId="0E9A3293"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3DF5D0A" id="_x0000_t202" coordsize="21600,21600" o:spt="202" path="m,l,21600r21600,l21600,xe">
              <v:stroke joinstyle="miter"/>
              <v:path gradientshapeok="t" o:connecttype="rect"/>
            </v:shapetype>
            <v:shape id="Text Box 4" o:spid="_x0000_s1029"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" fillcolor="#a5a5a5 [2092]" stroked="f">
              <v:textbox>
                <w:txbxContent>
                  <w:p w14:paraId="0E9A3293"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v:textbox>
              <w10:wrap anchory="page"/>
            </v:shape>
          </w:pict>
        </mc:Fallback>
      </mc:AlternateContent>
    </w:r>
    <w:r w:rsidR="00E46BDF" w:rsidRPr="006F03F9">
      <w:rPr>
        <w:rFonts w:cstheme="minorHAnsi"/>
        <w:b/>
        <w:color w:val="999999"/>
        <w:sz w:val="20"/>
        <w:szCs w:val="20"/>
      </w:rPr>
      <w:t>Journal Name</w:t>
    </w:r>
    <w:r>
      <w:rPr>
        <w:noProof/>
      </w:rPr>
      <mc:AlternateContent>
        <mc:Choice Requires="wps">
          <w:drawing>
            <wp:anchor distT="0" distB="0" distL="114300" distR="114300" simplePos="0" relativeHeight="251670528" behindDoc="0" locked="0" layoutInCell="1" allowOverlap="1" wp14:anchorId="7C4DBC2A" wp14:editId="0406D8B6">
              <wp:simplePos x="0" y="0"/>
              <wp:positionH relativeFrom="column">
                <wp:align>center</wp:align>
              </wp:positionH>
              <wp:positionV relativeFrom="page">
                <wp:align>top</wp:align>
              </wp:positionV>
              <wp:extent cx="7700645" cy="424815"/>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645" cy="424815"/>
                      </a:xfrm>
                      <a:prstGeom prst="rect">
                        <a:avLst/>
                      </a:prstGeom>
                      <a:solidFill>
                        <a:schemeClr val="bg1">
                          <a:lumMod val="65000"/>
                        </a:schemeClr>
                      </a:solidFill>
                      <a:ln w="9525">
                        <a:noFill/>
                        <a:miter lim="800000"/>
                        <a:headEnd/>
                        <a:tailEnd/>
                      </a:ln>
                    </wps:spPr>
                    <wps:txbx>
                      <w:txbxContent>
                        <w:p w14:paraId="390D4CCD"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C4DBC2A" id="Text Box 3" o:spid="_x0000_s1030"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" fillcolor="#a5a5a5 [2092]" stroked="f">
              <v:textbox>
                <w:txbxContent>
                  <w:p w14:paraId="390D4CCD"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v:textbox>
              <w10:wrap anchory="page"/>
            </v:shape>
          </w:pict>
        </mc:Fallback>
      </mc:AlternateContent>
    </w:r>
    <w:r w:rsidR="00E46BDF" w:rsidRPr="006F03F9">
      <w:rPr>
        <w:rFonts w:cstheme="minorHAnsi"/>
        <w:b/>
        <w:color w:val="999999"/>
        <w:sz w:val="20"/>
        <w:szCs w:val="20"/>
      </w:rPr>
      <w:ptab w:relativeTo="margin" w:alignment="right" w:leader="none"/>
    </w:r>
    <w:r w:rsidR="00E46BDF" w:rsidRPr="006F03F9">
      <w:rPr>
        <w:rFonts w:cstheme="minorHAnsi"/>
        <w:b/>
        <w:color w:val="999999"/>
        <w:sz w:val="20"/>
        <w:szCs w:val="20"/>
      </w:rPr>
      <w:t xml:space="preserve"> </w:t>
    </w:r>
    <w:r w:rsidR="00F157DD" w:rsidRPr="006F03F9">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727CF2" w14:textId="57557381" w:rsidR="00180ABE" w:rsidRPr="006F03F9" w:rsidRDefault="006D701D" w:rsidP="00180ABE">
    <w:pPr>
      <w:pStyle w:val="Intestazione"/>
      <w:shd w:val="clear" w:color="auto" w:fill="FFFFFF" w:themeFill="background1"/>
      <w:tabs>
        <w:tab w:val="clear" w:pos="4513"/>
        <w:tab w:val="clear" w:pos="9026"/>
        <w:tab w:val="right" w:pos="10205"/>
      </w:tabs>
      <w:spacing w:after="240"/>
      <w:rPr>
        <w:b/>
        <w:sz w:val="32"/>
        <w:szCs w:val="32"/>
        <w:lang w:eastAsia="en-GB"/>
      </w:rPr>
    </w:pPr>
    <w:r>
      <w:rPr>
        <w:noProof/>
      </w:rPr>
      <mc:AlternateContent>
        <mc:Choice Requires="wps">
          <w:drawing>
            <wp:anchor distT="0" distB="0" distL="114300" distR="114300" simplePos="0" relativeHeight="251662336" behindDoc="0" locked="0" layoutInCell="1" allowOverlap="1" wp14:anchorId="554C9D84" wp14:editId="12F4E081">
              <wp:simplePos x="0" y="0"/>
              <wp:positionH relativeFrom="column">
                <wp:align>center</wp:align>
              </wp:positionH>
              <wp:positionV relativeFrom="page">
                <wp:align>top</wp:align>
              </wp:positionV>
              <wp:extent cx="7700645" cy="399415"/>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645" cy="399415"/>
                      </a:xfrm>
                      <a:prstGeom prst="rect">
                        <a:avLst/>
                      </a:prstGeom>
                      <a:solidFill>
                        <a:schemeClr val="bg1">
                          <a:lumMod val="65000"/>
                        </a:schemeClr>
                      </a:solidFill>
                      <a:ln w="9525">
                        <a:noFill/>
                        <a:miter lim="800000"/>
                        <a:headEnd/>
                        <a:tailEnd/>
                      </a:ln>
                    </wps:spPr>
                    <wps:txbx>
                      <w:txbxContent>
                        <w:p w14:paraId="40D533DE"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554C9D84" id="_x0000_t202" coordsize="21600,21600" o:spt="202" path="m,l,21600r21600,l21600,xe">
              <v:stroke joinstyle="miter"/>
              <v:path gradientshapeok="t" o:connecttype="rect"/>
            </v:shapetype>
            <v:shape id="Text Box 2" o:spid="_x0000_s1031"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" fillcolor="#a5a5a5 [2092]" stroked="f">
              <v:textbox>
                <w:txbxContent>
                  <w:p w14:paraId="40D533DE" w14:textId="77777777" w:rsidR="00514CBA" w:rsidRPr="006F03F9" w:rsidRDefault="00514CBA" w:rsidP="00514CBA">
                    <w:pPr>
                      <w:spacing w:after="0"/>
                      <w:jc w:val="center"/>
                      <w:rPr>
                        <w:color w:val="FFFFFF" w:themeColor="background1"/>
                      </w:rPr>
                    </w:pPr>
                    <w:r w:rsidRPr="006F03F9">
                      <w:rPr>
                        <w:color w:val="FFFFFF" w:themeColor="background1"/>
                      </w:rPr>
                      <w:t>Please do not adjust margins</w:t>
                    </w:r>
                  </w:p>
                </w:txbxContent>
              </v:textbox>
              <w10:wrap anchory="page"/>
            </v:shape>
          </w:pict>
        </mc:Fallback>
      </mc:AlternateContent>
    </w:r>
    <w:r w:rsidR="00180ABE" w:rsidRPr="006F03F9">
      <w:rPr>
        <w:b/>
        <w:sz w:val="32"/>
        <w:szCs w:val="32"/>
      </w:rPr>
      <w:tab/>
    </w:r>
  </w:p>
  <w:p w14:paraId="25301B85" w14:textId="77777777" w:rsidR="00BA42DD" w:rsidRPr="006F03F9" w:rsidRDefault="00BA42DD" w:rsidP="00180ABE">
    <w:pPr>
      <w:pStyle w:val="Intestazione"/>
      <w:shd w:val="clear" w:color="auto" w:fill="FFFFFF" w:themeFill="background1"/>
      <w:tabs>
        <w:tab w:val="clear" w:pos="4513"/>
        <w:tab w:val="clear" w:pos="9026"/>
        <w:tab w:val="right" w:pos="10205"/>
      </w:tabs>
      <w:spacing w:after="240"/>
      <w:rPr>
        <w:b/>
        <w:sz w:val="32"/>
        <w:szCs w:val="32"/>
      </w:rPr>
    </w:pPr>
  </w:p>
  <w:p w14:paraId="419C7B5B" w14:textId="77777777" w:rsidR="00180ABE" w:rsidRPr="006F03F9" w:rsidRDefault="00B70B18" w:rsidP="00180ABE">
    <w:pPr>
      <w:pStyle w:val="Intestazione"/>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sidRPr="006F03F9">
      <w:rPr>
        <w:rFonts w:cstheme="minorHAnsi"/>
        <w:color w:val="FFFFFF" w:themeColor="background1"/>
        <w:sz w:val="32"/>
        <w:szCs w:val="32"/>
      </w:rPr>
      <w:t>ARTICLE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BBA19DE"/>
    <w:multiLevelType w:val="hybridMultilevel"/>
    <w:tmpl w:val="29A8A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4BCD4D4E"/>
    <w:multiLevelType w:val="hybridMultilevel"/>
    <w:tmpl w:val="C8C00290"/>
    <w:lvl w:ilvl="0" w:tplc="C40CADE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42040479">
    <w:abstractNumId w:val="0"/>
  </w:num>
  <w:num w:numId="2" w16cid:durableId="191381651">
    <w:abstractNumId w:val="6"/>
  </w:num>
  <w:num w:numId="3" w16cid:durableId="1415711026">
    <w:abstractNumId w:val="5"/>
  </w:num>
  <w:num w:numId="4" w16cid:durableId="317653795">
    <w:abstractNumId w:val="10"/>
  </w:num>
  <w:num w:numId="5" w16cid:durableId="571045278">
    <w:abstractNumId w:val="9"/>
  </w:num>
  <w:num w:numId="6" w16cid:durableId="434057088">
    <w:abstractNumId w:val="2"/>
  </w:num>
  <w:num w:numId="7" w16cid:durableId="430591931">
    <w:abstractNumId w:val="7"/>
  </w:num>
  <w:num w:numId="8" w16cid:durableId="1540043323">
    <w:abstractNumId w:val="3"/>
  </w:num>
  <w:num w:numId="9" w16cid:durableId="488643728">
    <w:abstractNumId w:val="1"/>
  </w:num>
  <w:num w:numId="10" w16cid:durableId="823007202">
    <w:abstractNumId w:val="4"/>
  </w:num>
  <w:num w:numId="11" w16cid:durableId="194052274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stylePaneSortMethod w:val="0000"/>
  <w:defaultTabStop w:val="284"/>
  <w:hyphenationZone w:val="283"/>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25A0"/>
    <w:rsid w:val="00000D98"/>
    <w:rsid w:val="0000393C"/>
    <w:rsid w:val="00005B8A"/>
    <w:rsid w:val="0001289B"/>
    <w:rsid w:val="00013132"/>
    <w:rsid w:val="00017E90"/>
    <w:rsid w:val="00022D8A"/>
    <w:rsid w:val="0002767C"/>
    <w:rsid w:val="00032DE1"/>
    <w:rsid w:val="000333A6"/>
    <w:rsid w:val="00033669"/>
    <w:rsid w:val="000338AA"/>
    <w:rsid w:val="0003744F"/>
    <w:rsid w:val="00041C0A"/>
    <w:rsid w:val="00054568"/>
    <w:rsid w:val="00057F61"/>
    <w:rsid w:val="000612BB"/>
    <w:rsid w:val="000622D1"/>
    <w:rsid w:val="00071E41"/>
    <w:rsid w:val="00073639"/>
    <w:rsid w:val="00082303"/>
    <w:rsid w:val="00084135"/>
    <w:rsid w:val="000910ED"/>
    <w:rsid w:val="00095FFC"/>
    <w:rsid w:val="00096FE9"/>
    <w:rsid w:val="000A2670"/>
    <w:rsid w:val="000B090A"/>
    <w:rsid w:val="000B30B5"/>
    <w:rsid w:val="000C0A9D"/>
    <w:rsid w:val="000C10A3"/>
    <w:rsid w:val="000C6103"/>
    <w:rsid w:val="000C7757"/>
    <w:rsid w:val="000D243A"/>
    <w:rsid w:val="000D2FAC"/>
    <w:rsid w:val="000D51F2"/>
    <w:rsid w:val="000D5891"/>
    <w:rsid w:val="000D5E40"/>
    <w:rsid w:val="000D6963"/>
    <w:rsid w:val="000E4F17"/>
    <w:rsid w:val="000E613B"/>
    <w:rsid w:val="000E7A32"/>
    <w:rsid w:val="000F058D"/>
    <w:rsid w:val="000F0959"/>
    <w:rsid w:val="000F3A41"/>
    <w:rsid w:val="00101147"/>
    <w:rsid w:val="001028BC"/>
    <w:rsid w:val="00102F7E"/>
    <w:rsid w:val="001048E1"/>
    <w:rsid w:val="001112BB"/>
    <w:rsid w:val="00115510"/>
    <w:rsid w:val="00120227"/>
    <w:rsid w:val="0012153E"/>
    <w:rsid w:val="00123540"/>
    <w:rsid w:val="00126027"/>
    <w:rsid w:val="001260F9"/>
    <w:rsid w:val="00134F6E"/>
    <w:rsid w:val="001357C1"/>
    <w:rsid w:val="0014781A"/>
    <w:rsid w:val="001508E9"/>
    <w:rsid w:val="001521F6"/>
    <w:rsid w:val="00157A07"/>
    <w:rsid w:val="00162227"/>
    <w:rsid w:val="001633D9"/>
    <w:rsid w:val="00167494"/>
    <w:rsid w:val="0017006A"/>
    <w:rsid w:val="00170A63"/>
    <w:rsid w:val="00180ABE"/>
    <w:rsid w:val="00184B2F"/>
    <w:rsid w:val="00186A4C"/>
    <w:rsid w:val="00191D8F"/>
    <w:rsid w:val="001923AB"/>
    <w:rsid w:val="001925B0"/>
    <w:rsid w:val="001934EE"/>
    <w:rsid w:val="001972F8"/>
    <w:rsid w:val="001A1266"/>
    <w:rsid w:val="001A1C65"/>
    <w:rsid w:val="001A1E09"/>
    <w:rsid w:val="001A25F6"/>
    <w:rsid w:val="001A3D04"/>
    <w:rsid w:val="001A4F8E"/>
    <w:rsid w:val="001A5A0A"/>
    <w:rsid w:val="001B0F14"/>
    <w:rsid w:val="001B1C1D"/>
    <w:rsid w:val="001B5A97"/>
    <w:rsid w:val="001C1EB8"/>
    <w:rsid w:val="001C44DA"/>
    <w:rsid w:val="001C520C"/>
    <w:rsid w:val="001D1209"/>
    <w:rsid w:val="001E6B67"/>
    <w:rsid w:val="001F2F65"/>
    <w:rsid w:val="001F7362"/>
    <w:rsid w:val="002032FB"/>
    <w:rsid w:val="00206A82"/>
    <w:rsid w:val="002137BD"/>
    <w:rsid w:val="00214BEC"/>
    <w:rsid w:val="00221341"/>
    <w:rsid w:val="00237C8A"/>
    <w:rsid w:val="0024022C"/>
    <w:rsid w:val="00240353"/>
    <w:rsid w:val="0024159A"/>
    <w:rsid w:val="00241ACD"/>
    <w:rsid w:val="0024631F"/>
    <w:rsid w:val="0024706C"/>
    <w:rsid w:val="00253551"/>
    <w:rsid w:val="00262682"/>
    <w:rsid w:val="00264026"/>
    <w:rsid w:val="00267017"/>
    <w:rsid w:val="00270DB9"/>
    <w:rsid w:val="00270DD5"/>
    <w:rsid w:val="00271235"/>
    <w:rsid w:val="002717CF"/>
    <w:rsid w:val="002719F0"/>
    <w:rsid w:val="00272AFB"/>
    <w:rsid w:val="00272B83"/>
    <w:rsid w:val="00272D6F"/>
    <w:rsid w:val="0027532E"/>
    <w:rsid w:val="002759E7"/>
    <w:rsid w:val="00282422"/>
    <w:rsid w:val="00285849"/>
    <w:rsid w:val="00296C3B"/>
    <w:rsid w:val="002A5421"/>
    <w:rsid w:val="002A6364"/>
    <w:rsid w:val="002B5BC9"/>
    <w:rsid w:val="002B62B5"/>
    <w:rsid w:val="002C0803"/>
    <w:rsid w:val="002C251C"/>
    <w:rsid w:val="002C3D7C"/>
    <w:rsid w:val="002E12A9"/>
    <w:rsid w:val="002E2B06"/>
    <w:rsid w:val="002E5B1D"/>
    <w:rsid w:val="002F37C7"/>
    <w:rsid w:val="002F3C1E"/>
    <w:rsid w:val="002F52C3"/>
    <w:rsid w:val="002F7E0D"/>
    <w:rsid w:val="003017B9"/>
    <w:rsid w:val="003020EA"/>
    <w:rsid w:val="003109B4"/>
    <w:rsid w:val="00313AC3"/>
    <w:rsid w:val="00321E47"/>
    <w:rsid w:val="003221A6"/>
    <w:rsid w:val="00324F1F"/>
    <w:rsid w:val="003256E1"/>
    <w:rsid w:val="00334AD9"/>
    <w:rsid w:val="00335BC7"/>
    <w:rsid w:val="00336CF2"/>
    <w:rsid w:val="00337145"/>
    <w:rsid w:val="00337E68"/>
    <w:rsid w:val="003503F8"/>
    <w:rsid w:val="00352029"/>
    <w:rsid w:val="00352A71"/>
    <w:rsid w:val="00352AA4"/>
    <w:rsid w:val="00354579"/>
    <w:rsid w:val="00356F00"/>
    <w:rsid w:val="00357D86"/>
    <w:rsid w:val="0037164E"/>
    <w:rsid w:val="00371B46"/>
    <w:rsid w:val="00377481"/>
    <w:rsid w:val="003774A8"/>
    <w:rsid w:val="00385965"/>
    <w:rsid w:val="003A1F9E"/>
    <w:rsid w:val="003A3928"/>
    <w:rsid w:val="003A6DD6"/>
    <w:rsid w:val="003A7E95"/>
    <w:rsid w:val="003B0677"/>
    <w:rsid w:val="003B0CFA"/>
    <w:rsid w:val="003B3B06"/>
    <w:rsid w:val="003B5EBB"/>
    <w:rsid w:val="003B651B"/>
    <w:rsid w:val="003B739C"/>
    <w:rsid w:val="003B7697"/>
    <w:rsid w:val="003B7743"/>
    <w:rsid w:val="003C4324"/>
    <w:rsid w:val="003C6313"/>
    <w:rsid w:val="003D0FC3"/>
    <w:rsid w:val="003D4ECA"/>
    <w:rsid w:val="003D6360"/>
    <w:rsid w:val="003D6715"/>
    <w:rsid w:val="003E0D4E"/>
    <w:rsid w:val="003E55B2"/>
    <w:rsid w:val="003E7C96"/>
    <w:rsid w:val="003F2BC3"/>
    <w:rsid w:val="003F6A1C"/>
    <w:rsid w:val="00402F41"/>
    <w:rsid w:val="00405D12"/>
    <w:rsid w:val="004143E6"/>
    <w:rsid w:val="00414AB9"/>
    <w:rsid w:val="00415155"/>
    <w:rsid w:val="004229FD"/>
    <w:rsid w:val="00426D64"/>
    <w:rsid w:val="00427B65"/>
    <w:rsid w:val="0043180D"/>
    <w:rsid w:val="004339AC"/>
    <w:rsid w:val="004414A5"/>
    <w:rsid w:val="00442B26"/>
    <w:rsid w:val="0044700B"/>
    <w:rsid w:val="004473EB"/>
    <w:rsid w:val="004510F2"/>
    <w:rsid w:val="004562DA"/>
    <w:rsid w:val="00467171"/>
    <w:rsid w:val="00467BC5"/>
    <w:rsid w:val="00467C80"/>
    <w:rsid w:val="004733BB"/>
    <w:rsid w:val="00474052"/>
    <w:rsid w:val="00474F90"/>
    <w:rsid w:val="0047645B"/>
    <w:rsid w:val="00482653"/>
    <w:rsid w:val="004877C8"/>
    <w:rsid w:val="004901D3"/>
    <w:rsid w:val="00491A48"/>
    <w:rsid w:val="00495464"/>
    <w:rsid w:val="004A1344"/>
    <w:rsid w:val="004A14F0"/>
    <w:rsid w:val="004B5A93"/>
    <w:rsid w:val="004B5EA4"/>
    <w:rsid w:val="004C0B07"/>
    <w:rsid w:val="004C531E"/>
    <w:rsid w:val="004C6C90"/>
    <w:rsid w:val="004C74FC"/>
    <w:rsid w:val="004D15E7"/>
    <w:rsid w:val="004D281F"/>
    <w:rsid w:val="004D3685"/>
    <w:rsid w:val="004D5DFE"/>
    <w:rsid w:val="004F04E1"/>
    <w:rsid w:val="004F187A"/>
    <w:rsid w:val="004F580F"/>
    <w:rsid w:val="004F6CFA"/>
    <w:rsid w:val="004F74A1"/>
    <w:rsid w:val="00500A9D"/>
    <w:rsid w:val="005037CD"/>
    <w:rsid w:val="00504795"/>
    <w:rsid w:val="00504EE2"/>
    <w:rsid w:val="00506D4F"/>
    <w:rsid w:val="00510720"/>
    <w:rsid w:val="00514CBA"/>
    <w:rsid w:val="00515875"/>
    <w:rsid w:val="00523F15"/>
    <w:rsid w:val="0052630A"/>
    <w:rsid w:val="00530372"/>
    <w:rsid w:val="0053177A"/>
    <w:rsid w:val="00533EA1"/>
    <w:rsid w:val="00555212"/>
    <w:rsid w:val="0056090D"/>
    <w:rsid w:val="00562691"/>
    <w:rsid w:val="005656C5"/>
    <w:rsid w:val="00565F55"/>
    <w:rsid w:val="00571262"/>
    <w:rsid w:val="00571CC0"/>
    <w:rsid w:val="005739E0"/>
    <w:rsid w:val="00573EDB"/>
    <w:rsid w:val="00574C8C"/>
    <w:rsid w:val="005771C3"/>
    <w:rsid w:val="00577B54"/>
    <w:rsid w:val="005822AF"/>
    <w:rsid w:val="00587D77"/>
    <w:rsid w:val="00590F6D"/>
    <w:rsid w:val="005937A3"/>
    <w:rsid w:val="005943D2"/>
    <w:rsid w:val="00597300"/>
    <w:rsid w:val="00597F2B"/>
    <w:rsid w:val="005A2924"/>
    <w:rsid w:val="005A365D"/>
    <w:rsid w:val="005A42D4"/>
    <w:rsid w:val="005A5A6D"/>
    <w:rsid w:val="005A5ED7"/>
    <w:rsid w:val="005B08A8"/>
    <w:rsid w:val="005B6C77"/>
    <w:rsid w:val="005B7C7A"/>
    <w:rsid w:val="005C0FB3"/>
    <w:rsid w:val="005C1A41"/>
    <w:rsid w:val="005C4565"/>
    <w:rsid w:val="005D2AB7"/>
    <w:rsid w:val="005D2E59"/>
    <w:rsid w:val="005D3C91"/>
    <w:rsid w:val="005D6CEA"/>
    <w:rsid w:val="005D7CB3"/>
    <w:rsid w:val="005E05CD"/>
    <w:rsid w:val="005F186C"/>
    <w:rsid w:val="005F47AC"/>
    <w:rsid w:val="006052ED"/>
    <w:rsid w:val="006057EC"/>
    <w:rsid w:val="006058DB"/>
    <w:rsid w:val="0060627E"/>
    <w:rsid w:val="00610CAE"/>
    <w:rsid w:val="0061572F"/>
    <w:rsid w:val="00616D34"/>
    <w:rsid w:val="0062030A"/>
    <w:rsid w:val="006232A0"/>
    <w:rsid w:val="00630192"/>
    <w:rsid w:val="00630F7E"/>
    <w:rsid w:val="00631441"/>
    <w:rsid w:val="0063468A"/>
    <w:rsid w:val="00635789"/>
    <w:rsid w:val="00641030"/>
    <w:rsid w:val="00641968"/>
    <w:rsid w:val="0064283E"/>
    <w:rsid w:val="00645D52"/>
    <w:rsid w:val="00647491"/>
    <w:rsid w:val="00647AF3"/>
    <w:rsid w:val="0065133B"/>
    <w:rsid w:val="006556AC"/>
    <w:rsid w:val="006602F1"/>
    <w:rsid w:val="006625C7"/>
    <w:rsid w:val="00670ED4"/>
    <w:rsid w:val="00672928"/>
    <w:rsid w:val="00674A86"/>
    <w:rsid w:val="00676893"/>
    <w:rsid w:val="0069383F"/>
    <w:rsid w:val="00694FC7"/>
    <w:rsid w:val="006A69C8"/>
    <w:rsid w:val="006A6BFC"/>
    <w:rsid w:val="006B218D"/>
    <w:rsid w:val="006B72C4"/>
    <w:rsid w:val="006C0F30"/>
    <w:rsid w:val="006C3EE1"/>
    <w:rsid w:val="006C7254"/>
    <w:rsid w:val="006D0463"/>
    <w:rsid w:val="006D6163"/>
    <w:rsid w:val="006D701D"/>
    <w:rsid w:val="006E58B1"/>
    <w:rsid w:val="006F01C4"/>
    <w:rsid w:val="006F03F9"/>
    <w:rsid w:val="006F23BD"/>
    <w:rsid w:val="006F487B"/>
    <w:rsid w:val="006F740B"/>
    <w:rsid w:val="007038E9"/>
    <w:rsid w:val="007057EC"/>
    <w:rsid w:val="00706EAB"/>
    <w:rsid w:val="00714A1C"/>
    <w:rsid w:val="00716164"/>
    <w:rsid w:val="00716894"/>
    <w:rsid w:val="00722C27"/>
    <w:rsid w:val="007230A5"/>
    <w:rsid w:val="007266AB"/>
    <w:rsid w:val="007412B1"/>
    <w:rsid w:val="00744A41"/>
    <w:rsid w:val="0076782C"/>
    <w:rsid w:val="00767FB2"/>
    <w:rsid w:val="00772C5B"/>
    <w:rsid w:val="00773A8C"/>
    <w:rsid w:val="007744A0"/>
    <w:rsid w:val="00776E10"/>
    <w:rsid w:val="00780A41"/>
    <w:rsid w:val="00792E6C"/>
    <w:rsid w:val="00794787"/>
    <w:rsid w:val="00796150"/>
    <w:rsid w:val="007A163A"/>
    <w:rsid w:val="007A3159"/>
    <w:rsid w:val="007A37D8"/>
    <w:rsid w:val="007A5575"/>
    <w:rsid w:val="007C1850"/>
    <w:rsid w:val="007C3D03"/>
    <w:rsid w:val="007C4BAD"/>
    <w:rsid w:val="007C64B6"/>
    <w:rsid w:val="007D1EFA"/>
    <w:rsid w:val="007D5FE4"/>
    <w:rsid w:val="007D6FE4"/>
    <w:rsid w:val="007E12B8"/>
    <w:rsid w:val="007F00A0"/>
    <w:rsid w:val="007F7A32"/>
    <w:rsid w:val="00802E99"/>
    <w:rsid w:val="008103E5"/>
    <w:rsid w:val="008104E2"/>
    <w:rsid w:val="008125A0"/>
    <w:rsid w:val="008300E2"/>
    <w:rsid w:val="00832766"/>
    <w:rsid w:val="00832D4E"/>
    <w:rsid w:val="00833154"/>
    <w:rsid w:val="00837434"/>
    <w:rsid w:val="00837908"/>
    <w:rsid w:val="00844BAB"/>
    <w:rsid w:val="00846123"/>
    <w:rsid w:val="00855387"/>
    <w:rsid w:val="00855727"/>
    <w:rsid w:val="008560DE"/>
    <w:rsid w:val="00870EA2"/>
    <w:rsid w:val="008768F2"/>
    <w:rsid w:val="008802E2"/>
    <w:rsid w:val="0088525A"/>
    <w:rsid w:val="008A0210"/>
    <w:rsid w:val="008A0D60"/>
    <w:rsid w:val="008B2E02"/>
    <w:rsid w:val="008B3E9B"/>
    <w:rsid w:val="008B72D5"/>
    <w:rsid w:val="008B749B"/>
    <w:rsid w:val="008C1387"/>
    <w:rsid w:val="008C4186"/>
    <w:rsid w:val="008C41B1"/>
    <w:rsid w:val="008C5B0F"/>
    <w:rsid w:val="008C682F"/>
    <w:rsid w:val="008C6D49"/>
    <w:rsid w:val="008D0B44"/>
    <w:rsid w:val="008D3DE6"/>
    <w:rsid w:val="008D5DDC"/>
    <w:rsid w:val="008D7B96"/>
    <w:rsid w:val="008E185F"/>
    <w:rsid w:val="008E509B"/>
    <w:rsid w:val="008F40E1"/>
    <w:rsid w:val="008F4811"/>
    <w:rsid w:val="008F4EFC"/>
    <w:rsid w:val="008F525A"/>
    <w:rsid w:val="008F6B45"/>
    <w:rsid w:val="009026D4"/>
    <w:rsid w:val="00906D74"/>
    <w:rsid w:val="00910F69"/>
    <w:rsid w:val="00924348"/>
    <w:rsid w:val="009250AC"/>
    <w:rsid w:val="0092763E"/>
    <w:rsid w:val="009278B3"/>
    <w:rsid w:val="0093096E"/>
    <w:rsid w:val="009316A6"/>
    <w:rsid w:val="00936114"/>
    <w:rsid w:val="009400E9"/>
    <w:rsid w:val="00944075"/>
    <w:rsid w:val="00944881"/>
    <w:rsid w:val="00946830"/>
    <w:rsid w:val="00951B31"/>
    <w:rsid w:val="00951FAA"/>
    <w:rsid w:val="009524C2"/>
    <w:rsid w:val="00961404"/>
    <w:rsid w:val="00962779"/>
    <w:rsid w:val="009654EC"/>
    <w:rsid w:val="00970AB6"/>
    <w:rsid w:val="00972949"/>
    <w:rsid w:val="0097555C"/>
    <w:rsid w:val="009918D9"/>
    <w:rsid w:val="009918F1"/>
    <w:rsid w:val="00993266"/>
    <w:rsid w:val="009A021A"/>
    <w:rsid w:val="009A392D"/>
    <w:rsid w:val="009B112A"/>
    <w:rsid w:val="009B2CA1"/>
    <w:rsid w:val="009B4200"/>
    <w:rsid w:val="009C10E0"/>
    <w:rsid w:val="009D17C3"/>
    <w:rsid w:val="009D2D42"/>
    <w:rsid w:val="009D47C2"/>
    <w:rsid w:val="009D535D"/>
    <w:rsid w:val="009E1B7D"/>
    <w:rsid w:val="009E23D8"/>
    <w:rsid w:val="009E51F8"/>
    <w:rsid w:val="009E70BE"/>
    <w:rsid w:val="009F2649"/>
    <w:rsid w:val="009F28D3"/>
    <w:rsid w:val="009F46E6"/>
    <w:rsid w:val="00A05364"/>
    <w:rsid w:val="00A074D7"/>
    <w:rsid w:val="00A10176"/>
    <w:rsid w:val="00A1342C"/>
    <w:rsid w:val="00A17D23"/>
    <w:rsid w:val="00A208E1"/>
    <w:rsid w:val="00A24F22"/>
    <w:rsid w:val="00A25B10"/>
    <w:rsid w:val="00A30B54"/>
    <w:rsid w:val="00A30B97"/>
    <w:rsid w:val="00A440D3"/>
    <w:rsid w:val="00A4484E"/>
    <w:rsid w:val="00A472B9"/>
    <w:rsid w:val="00A513AF"/>
    <w:rsid w:val="00A521AB"/>
    <w:rsid w:val="00A54036"/>
    <w:rsid w:val="00A54DA9"/>
    <w:rsid w:val="00A55E14"/>
    <w:rsid w:val="00A56679"/>
    <w:rsid w:val="00A56CD0"/>
    <w:rsid w:val="00A605BA"/>
    <w:rsid w:val="00A61D3E"/>
    <w:rsid w:val="00A62B18"/>
    <w:rsid w:val="00A76323"/>
    <w:rsid w:val="00A7643E"/>
    <w:rsid w:val="00A76858"/>
    <w:rsid w:val="00A807EA"/>
    <w:rsid w:val="00A80C76"/>
    <w:rsid w:val="00A839F1"/>
    <w:rsid w:val="00A90AD2"/>
    <w:rsid w:val="00A93379"/>
    <w:rsid w:val="00A9500A"/>
    <w:rsid w:val="00A9649E"/>
    <w:rsid w:val="00AA1341"/>
    <w:rsid w:val="00AA5428"/>
    <w:rsid w:val="00AB16D0"/>
    <w:rsid w:val="00AB1C10"/>
    <w:rsid w:val="00AB253A"/>
    <w:rsid w:val="00AB25B3"/>
    <w:rsid w:val="00AB2C1B"/>
    <w:rsid w:val="00AC13B2"/>
    <w:rsid w:val="00AC1632"/>
    <w:rsid w:val="00AC3BF2"/>
    <w:rsid w:val="00AC5954"/>
    <w:rsid w:val="00AD5483"/>
    <w:rsid w:val="00AD7234"/>
    <w:rsid w:val="00AE1057"/>
    <w:rsid w:val="00AE7FC7"/>
    <w:rsid w:val="00AF0249"/>
    <w:rsid w:val="00AF150F"/>
    <w:rsid w:val="00AF4737"/>
    <w:rsid w:val="00B041A7"/>
    <w:rsid w:val="00B0470A"/>
    <w:rsid w:val="00B2364D"/>
    <w:rsid w:val="00B24E03"/>
    <w:rsid w:val="00B27CE6"/>
    <w:rsid w:val="00B30A72"/>
    <w:rsid w:val="00B53582"/>
    <w:rsid w:val="00B6239D"/>
    <w:rsid w:val="00B66C98"/>
    <w:rsid w:val="00B67630"/>
    <w:rsid w:val="00B70B18"/>
    <w:rsid w:val="00B722DE"/>
    <w:rsid w:val="00B7245C"/>
    <w:rsid w:val="00B74E2C"/>
    <w:rsid w:val="00B76B31"/>
    <w:rsid w:val="00B80DDB"/>
    <w:rsid w:val="00B81EE1"/>
    <w:rsid w:val="00B8242A"/>
    <w:rsid w:val="00B9392D"/>
    <w:rsid w:val="00BA23DE"/>
    <w:rsid w:val="00BA42DD"/>
    <w:rsid w:val="00BA57F2"/>
    <w:rsid w:val="00BA597D"/>
    <w:rsid w:val="00BA761E"/>
    <w:rsid w:val="00BB1254"/>
    <w:rsid w:val="00BB1B6C"/>
    <w:rsid w:val="00BB3FBE"/>
    <w:rsid w:val="00BB4980"/>
    <w:rsid w:val="00BC5484"/>
    <w:rsid w:val="00BC603D"/>
    <w:rsid w:val="00BC6405"/>
    <w:rsid w:val="00BC6F5D"/>
    <w:rsid w:val="00BC708D"/>
    <w:rsid w:val="00BD1D41"/>
    <w:rsid w:val="00BD326D"/>
    <w:rsid w:val="00BE3498"/>
    <w:rsid w:val="00BE36C7"/>
    <w:rsid w:val="00BE50B2"/>
    <w:rsid w:val="00BF021E"/>
    <w:rsid w:val="00BF1026"/>
    <w:rsid w:val="00BF34BB"/>
    <w:rsid w:val="00C03CE1"/>
    <w:rsid w:val="00C10876"/>
    <w:rsid w:val="00C10F87"/>
    <w:rsid w:val="00C155DB"/>
    <w:rsid w:val="00C2141D"/>
    <w:rsid w:val="00C226C0"/>
    <w:rsid w:val="00C3007F"/>
    <w:rsid w:val="00C3016F"/>
    <w:rsid w:val="00C31922"/>
    <w:rsid w:val="00C32EDF"/>
    <w:rsid w:val="00C40418"/>
    <w:rsid w:val="00C405FD"/>
    <w:rsid w:val="00C41A1C"/>
    <w:rsid w:val="00C42573"/>
    <w:rsid w:val="00C467EE"/>
    <w:rsid w:val="00C47143"/>
    <w:rsid w:val="00C5024A"/>
    <w:rsid w:val="00C5341F"/>
    <w:rsid w:val="00C539A0"/>
    <w:rsid w:val="00C57107"/>
    <w:rsid w:val="00C62C2D"/>
    <w:rsid w:val="00C639CE"/>
    <w:rsid w:val="00C76164"/>
    <w:rsid w:val="00C841F9"/>
    <w:rsid w:val="00C852D1"/>
    <w:rsid w:val="00C85CEA"/>
    <w:rsid w:val="00C90624"/>
    <w:rsid w:val="00C9227C"/>
    <w:rsid w:val="00C93F95"/>
    <w:rsid w:val="00C94D7C"/>
    <w:rsid w:val="00C9557D"/>
    <w:rsid w:val="00CA1D6E"/>
    <w:rsid w:val="00CA1EB6"/>
    <w:rsid w:val="00CA2740"/>
    <w:rsid w:val="00CA4E3B"/>
    <w:rsid w:val="00CB33CE"/>
    <w:rsid w:val="00CB5248"/>
    <w:rsid w:val="00CC0F3F"/>
    <w:rsid w:val="00CC12E6"/>
    <w:rsid w:val="00CC2E25"/>
    <w:rsid w:val="00CC3588"/>
    <w:rsid w:val="00CC7C64"/>
    <w:rsid w:val="00CD0B47"/>
    <w:rsid w:val="00CD18C9"/>
    <w:rsid w:val="00CD54CA"/>
    <w:rsid w:val="00CD7BCA"/>
    <w:rsid w:val="00CE12BA"/>
    <w:rsid w:val="00CE2B46"/>
    <w:rsid w:val="00CE2C13"/>
    <w:rsid w:val="00CE3029"/>
    <w:rsid w:val="00CE4A12"/>
    <w:rsid w:val="00CE5B38"/>
    <w:rsid w:val="00CF40CC"/>
    <w:rsid w:val="00CF59B1"/>
    <w:rsid w:val="00CF5F1A"/>
    <w:rsid w:val="00D010E8"/>
    <w:rsid w:val="00D02C04"/>
    <w:rsid w:val="00D02F59"/>
    <w:rsid w:val="00D138E8"/>
    <w:rsid w:val="00D17D6E"/>
    <w:rsid w:val="00D20259"/>
    <w:rsid w:val="00D208BA"/>
    <w:rsid w:val="00D21668"/>
    <w:rsid w:val="00D216BC"/>
    <w:rsid w:val="00D224D4"/>
    <w:rsid w:val="00D3785A"/>
    <w:rsid w:val="00D42F8F"/>
    <w:rsid w:val="00D44403"/>
    <w:rsid w:val="00D44E4F"/>
    <w:rsid w:val="00D45ADF"/>
    <w:rsid w:val="00D45CE8"/>
    <w:rsid w:val="00D60984"/>
    <w:rsid w:val="00D638B0"/>
    <w:rsid w:val="00D6668F"/>
    <w:rsid w:val="00D7755B"/>
    <w:rsid w:val="00D7792E"/>
    <w:rsid w:val="00D86AE4"/>
    <w:rsid w:val="00D91F6F"/>
    <w:rsid w:val="00D9458E"/>
    <w:rsid w:val="00D9563B"/>
    <w:rsid w:val="00D967E3"/>
    <w:rsid w:val="00DA057C"/>
    <w:rsid w:val="00DA07F1"/>
    <w:rsid w:val="00DB409E"/>
    <w:rsid w:val="00DC340B"/>
    <w:rsid w:val="00DC6103"/>
    <w:rsid w:val="00DD06F4"/>
    <w:rsid w:val="00DD1574"/>
    <w:rsid w:val="00DD26F2"/>
    <w:rsid w:val="00DD500F"/>
    <w:rsid w:val="00DE1A53"/>
    <w:rsid w:val="00DE60B0"/>
    <w:rsid w:val="00DE7FC2"/>
    <w:rsid w:val="00DF5192"/>
    <w:rsid w:val="00DF53E4"/>
    <w:rsid w:val="00DF562C"/>
    <w:rsid w:val="00E047FC"/>
    <w:rsid w:val="00E063A7"/>
    <w:rsid w:val="00E063BA"/>
    <w:rsid w:val="00E0772E"/>
    <w:rsid w:val="00E12F91"/>
    <w:rsid w:val="00E207A6"/>
    <w:rsid w:val="00E20A32"/>
    <w:rsid w:val="00E2136E"/>
    <w:rsid w:val="00E25AF8"/>
    <w:rsid w:val="00E31A6A"/>
    <w:rsid w:val="00E35905"/>
    <w:rsid w:val="00E36C8C"/>
    <w:rsid w:val="00E40369"/>
    <w:rsid w:val="00E41125"/>
    <w:rsid w:val="00E425D8"/>
    <w:rsid w:val="00E46BDF"/>
    <w:rsid w:val="00E547DB"/>
    <w:rsid w:val="00E555BF"/>
    <w:rsid w:val="00E56DF0"/>
    <w:rsid w:val="00E57584"/>
    <w:rsid w:val="00E61949"/>
    <w:rsid w:val="00E61BCE"/>
    <w:rsid w:val="00E629CB"/>
    <w:rsid w:val="00E64AF7"/>
    <w:rsid w:val="00E67A0D"/>
    <w:rsid w:val="00E70DCE"/>
    <w:rsid w:val="00E7119C"/>
    <w:rsid w:val="00E71FAD"/>
    <w:rsid w:val="00E772DA"/>
    <w:rsid w:val="00E82677"/>
    <w:rsid w:val="00E85923"/>
    <w:rsid w:val="00E87276"/>
    <w:rsid w:val="00E968D4"/>
    <w:rsid w:val="00E972FC"/>
    <w:rsid w:val="00EA1B03"/>
    <w:rsid w:val="00EA383C"/>
    <w:rsid w:val="00EA446A"/>
    <w:rsid w:val="00EA7DC1"/>
    <w:rsid w:val="00EB17D6"/>
    <w:rsid w:val="00EB2C83"/>
    <w:rsid w:val="00EB5483"/>
    <w:rsid w:val="00EB5BA2"/>
    <w:rsid w:val="00EB5C28"/>
    <w:rsid w:val="00EC127F"/>
    <w:rsid w:val="00EC6884"/>
    <w:rsid w:val="00ED5BC0"/>
    <w:rsid w:val="00ED6233"/>
    <w:rsid w:val="00EE0D6D"/>
    <w:rsid w:val="00EE3AFB"/>
    <w:rsid w:val="00EF0D19"/>
    <w:rsid w:val="00EF1577"/>
    <w:rsid w:val="00EF239C"/>
    <w:rsid w:val="00EF6BD4"/>
    <w:rsid w:val="00EF6E36"/>
    <w:rsid w:val="00F012CB"/>
    <w:rsid w:val="00F02A47"/>
    <w:rsid w:val="00F04D98"/>
    <w:rsid w:val="00F05C18"/>
    <w:rsid w:val="00F14113"/>
    <w:rsid w:val="00F157DD"/>
    <w:rsid w:val="00F15F90"/>
    <w:rsid w:val="00F1797F"/>
    <w:rsid w:val="00F21465"/>
    <w:rsid w:val="00F23A7C"/>
    <w:rsid w:val="00F23BF1"/>
    <w:rsid w:val="00F30E2F"/>
    <w:rsid w:val="00F35911"/>
    <w:rsid w:val="00F36235"/>
    <w:rsid w:val="00F409D1"/>
    <w:rsid w:val="00F4483B"/>
    <w:rsid w:val="00F53ABF"/>
    <w:rsid w:val="00F6065C"/>
    <w:rsid w:val="00F61B70"/>
    <w:rsid w:val="00F61EB1"/>
    <w:rsid w:val="00F62C8B"/>
    <w:rsid w:val="00F720C8"/>
    <w:rsid w:val="00F728C5"/>
    <w:rsid w:val="00F7578C"/>
    <w:rsid w:val="00F77CF8"/>
    <w:rsid w:val="00F802D4"/>
    <w:rsid w:val="00F84C4F"/>
    <w:rsid w:val="00F84F9E"/>
    <w:rsid w:val="00F9084A"/>
    <w:rsid w:val="00F91982"/>
    <w:rsid w:val="00FA0199"/>
    <w:rsid w:val="00FA123B"/>
    <w:rsid w:val="00FA2DA2"/>
    <w:rsid w:val="00FA311A"/>
    <w:rsid w:val="00FA6152"/>
    <w:rsid w:val="00FB16A8"/>
    <w:rsid w:val="00FB1C6D"/>
    <w:rsid w:val="00FB4B63"/>
    <w:rsid w:val="00FC1AAD"/>
    <w:rsid w:val="00FC71C2"/>
    <w:rsid w:val="00FC769A"/>
    <w:rsid w:val="00FD0DE7"/>
    <w:rsid w:val="00FD5C92"/>
    <w:rsid w:val="00FD75F0"/>
    <w:rsid w:val="00FE0FE8"/>
    <w:rsid w:val="00FE61BD"/>
    <w:rsid w:val="00FF56AA"/>
    <w:rsid w:val="00FF67E8"/>
    <w:rsid w:val="0EF4C5E2"/>
    <w:rsid w:val="120D1AB8"/>
    <w:rsid w:val="2DB8FE1B"/>
    <w:rsid w:val="54F9B7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FF81D6"/>
  <w15:docId w15:val="{D1E59CB7-365B-499D-9A1E-7F0AECB792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rsid w:val="00EF1577"/>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547DB"/>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E547DB"/>
  </w:style>
  <w:style w:type="paragraph" w:styleId="Pidipagina">
    <w:name w:val="footer"/>
    <w:basedOn w:val="Normale"/>
    <w:link w:val="PidipaginaCarattere"/>
    <w:uiPriority w:val="99"/>
    <w:unhideWhenUsed/>
    <w:rsid w:val="00E547DB"/>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E547DB"/>
  </w:style>
  <w:style w:type="paragraph" w:styleId="Testofumetto">
    <w:name w:val="Balloon Text"/>
    <w:basedOn w:val="Normale"/>
    <w:link w:val="TestofumettoCarattere"/>
    <w:uiPriority w:val="99"/>
    <w:semiHidden/>
    <w:unhideWhenUsed/>
    <w:rsid w:val="00E547DB"/>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547DB"/>
    <w:rPr>
      <w:rFonts w:ascii="Tahoma" w:hAnsi="Tahoma" w:cs="Tahoma"/>
      <w:sz w:val="16"/>
      <w:szCs w:val="16"/>
    </w:rPr>
  </w:style>
  <w:style w:type="paragraph" w:customStyle="1" w:styleId="RSCH01PaperTitle">
    <w:name w:val="RSC H01 Paper Title"/>
    <w:basedOn w:val="Normale"/>
    <w:next w:val="Normale"/>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e"/>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Normale"/>
    <w:link w:val="RSCB01ARTAbstractChar"/>
    <w:qFormat/>
    <w:rsid w:val="00FA2DA2"/>
    <w:pPr>
      <w:spacing w:line="240" w:lineRule="exact"/>
      <w:jc w:val="both"/>
    </w:pPr>
    <w:rPr>
      <w:noProof/>
      <w:sz w:val="16"/>
      <w:lang w:eastAsia="en-GB"/>
    </w:rPr>
  </w:style>
  <w:style w:type="table" w:styleId="Grigliatabella">
    <w:name w:val="Table Grid"/>
    <w:basedOn w:val="Tabellanormale"/>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e"/>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Carpredefinitoparagrafo"/>
    <w:link w:val="RSCB02ArticleTex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e"/>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e"/>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e"/>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Normale"/>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e"/>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Carpredefinitoparagrafo"/>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ind w:left="284" w:hanging="284"/>
    </w:pPr>
    <w:rPr>
      <w:w w:val="105"/>
    </w:rPr>
  </w:style>
  <w:style w:type="character" w:customStyle="1" w:styleId="RSCF02FootnotestoTitleAuthorsChar">
    <w:name w:val="RSC F02 Footnotes to Title/Authors Char"/>
    <w:basedOn w:val="Carpredefinitoparagrafo"/>
    <w:link w:val="RSCF02FootnotestoTitleAuthors"/>
    <w:rsid w:val="006556AC"/>
    <w:rPr>
      <w:rFonts w:cs="Times New Roman"/>
      <w:w w:val="105"/>
      <w:sz w:val="14"/>
      <w:szCs w:val="14"/>
    </w:rPr>
  </w:style>
  <w:style w:type="paragraph" w:styleId="Nessunaspaziatura">
    <w:name w:val="No Spacing"/>
    <w:uiPriority w:val="1"/>
    <w:rsid w:val="00272D6F"/>
    <w:pPr>
      <w:spacing w:after="0" w:line="240" w:lineRule="auto"/>
    </w:pPr>
  </w:style>
  <w:style w:type="character" w:customStyle="1" w:styleId="RSCR02ReferencesChar">
    <w:name w:val="RSC R02 References Char"/>
    <w:basedOn w:val="Carpredefinitoparagrafo"/>
    <w:link w:val="RSCR02References"/>
    <w:rsid w:val="00CF5F1A"/>
    <w:rPr>
      <w:rFonts w:cs="Times New Roman"/>
      <w:w w:val="105"/>
      <w:sz w:val="18"/>
      <w:szCs w:val="18"/>
    </w:rPr>
  </w:style>
  <w:style w:type="paragraph" w:customStyle="1" w:styleId="RSCB04AHeadingSection">
    <w:name w:val="RSC B04 A Heading (Section)"/>
    <w:basedOn w:val="Normale"/>
    <w:link w:val="RSCB04AHeadingSectionChar"/>
    <w:qFormat/>
    <w:rsid w:val="00EF6BD4"/>
    <w:pPr>
      <w:spacing w:before="400" w:after="80" w:line="240" w:lineRule="auto"/>
    </w:pPr>
    <w:rPr>
      <w:b/>
      <w:sz w:val="24"/>
    </w:rPr>
  </w:style>
  <w:style w:type="character" w:customStyle="1" w:styleId="RSCH01PaperTitleChar">
    <w:name w:val="RSC H01 Paper Title Char"/>
    <w:basedOn w:val="Carpredefinitoparagrafo"/>
    <w:link w:val="RSCH01PaperTitle"/>
    <w:rsid w:val="00C32EDF"/>
    <w:rPr>
      <w:rFonts w:cs="Times New Roman"/>
      <w:b/>
      <w:sz w:val="29"/>
      <w:szCs w:val="32"/>
    </w:rPr>
  </w:style>
  <w:style w:type="character" w:customStyle="1" w:styleId="RSCH02PaperAuthorsandBylineChar">
    <w:name w:val="RSC H02 Paper Authors and Byline Char"/>
    <w:basedOn w:val="Carpredefinitoparagrafo"/>
    <w:link w:val="RSCH02PaperAuthorsandByline"/>
    <w:rsid w:val="001633D9"/>
    <w:rPr>
      <w:rFonts w:cs="Times New Roman"/>
      <w:sz w:val="20"/>
    </w:rPr>
  </w:style>
  <w:style w:type="character" w:customStyle="1" w:styleId="RSCB01ARTAbstractChar">
    <w:name w:val="RSC B01 ART Abstract Char"/>
    <w:basedOn w:val="Carpredefinitoparagrafo"/>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Carpredefinitoparagrafo"/>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e"/>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Carpredefinitoparagrafo"/>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Carpredefinitoparagrafo"/>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Carpredefinitoparagrafo"/>
    <w:link w:val="RSCI03FigureSchemeChartUncaptioned"/>
    <w:rsid w:val="006556AC"/>
    <w:rPr>
      <w:rFonts w:cs="Times New Roman"/>
      <w:sz w:val="16"/>
      <w:szCs w:val="16"/>
    </w:rPr>
  </w:style>
  <w:style w:type="character" w:customStyle="1" w:styleId="RSCB03MathematicsGreeketcChar">
    <w:name w:val="RSC B03 Mathematics/Greek etc Char"/>
    <w:basedOn w:val="Carpredefinitoparagrafo"/>
    <w:link w:val="RSCB03MathematicsGreeketc"/>
    <w:rsid w:val="007A37D8"/>
    <w:rPr>
      <w:rFonts w:ascii="Times New Roman" w:hAnsi="Times New Roman"/>
      <w:sz w:val="18"/>
    </w:rPr>
  </w:style>
  <w:style w:type="paragraph" w:customStyle="1" w:styleId="RSCT03TableBody">
    <w:name w:val="RSC T03 Table Body"/>
    <w:basedOn w:val="Normale"/>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Carpredefinitoparagrafo"/>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Normale"/>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Carpredefinitoparagrafo"/>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Carpredefinitoparagrafo"/>
    <w:link w:val="RSCT04TableFootnotewithbottombar"/>
    <w:rsid w:val="006556AC"/>
    <w:rPr>
      <w:rFonts w:eastAsia="Times New Roman" w:cs="Times New Roman"/>
      <w:sz w:val="15"/>
      <w:szCs w:val="20"/>
      <w:lang w:eastAsia="en-GB"/>
    </w:rPr>
  </w:style>
  <w:style w:type="character" w:styleId="Collegamentoipertestuale">
    <w:name w:val="Hyperlink"/>
    <w:basedOn w:val="Carpredefinitoparagrafo"/>
    <w:uiPriority w:val="99"/>
    <w:unhideWhenUsed/>
    <w:rsid w:val="005037CD"/>
    <w:rPr>
      <w:color w:val="0000FF" w:themeColor="hyperlink"/>
      <w:u w:val="single"/>
    </w:rPr>
  </w:style>
  <w:style w:type="paragraph" w:styleId="Paragrafoelenco">
    <w:name w:val="List Paragraph"/>
    <w:basedOn w:val="Normale"/>
    <w:uiPriority w:val="34"/>
    <w:qFormat/>
    <w:rsid w:val="00F15F90"/>
    <w:pPr>
      <w:ind w:left="720"/>
      <w:contextualSpacing/>
    </w:pPr>
  </w:style>
  <w:style w:type="paragraph" w:styleId="Revisione">
    <w:name w:val="Revision"/>
    <w:hidden/>
    <w:uiPriority w:val="99"/>
    <w:semiHidden/>
    <w:rsid w:val="000D5891"/>
    <w:pPr>
      <w:spacing w:after="0" w:line="240" w:lineRule="auto"/>
    </w:pPr>
  </w:style>
  <w:style w:type="paragraph" w:styleId="Testonotaapidipagina">
    <w:name w:val="footnote text"/>
    <w:basedOn w:val="Normale"/>
    <w:link w:val="TestonotaapidipaginaCarattere"/>
    <w:uiPriority w:val="99"/>
    <w:semiHidden/>
    <w:unhideWhenUsed/>
    <w:rsid w:val="00CA2740"/>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CA2740"/>
    <w:rPr>
      <w:sz w:val="20"/>
      <w:szCs w:val="20"/>
    </w:rPr>
  </w:style>
  <w:style w:type="character" w:styleId="Rimandonotaapidipagina">
    <w:name w:val="footnote reference"/>
    <w:basedOn w:val="Carpredefinitoparagrafo"/>
    <w:uiPriority w:val="99"/>
    <w:semiHidden/>
    <w:unhideWhenUsed/>
    <w:rsid w:val="00CA2740"/>
    <w:rPr>
      <w:vertAlign w:val="superscript"/>
    </w:rPr>
  </w:style>
  <w:style w:type="paragraph" w:styleId="NormaleWeb">
    <w:name w:val="Normal (Web)"/>
    <w:basedOn w:val="Normale"/>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Didascalia">
    <w:name w:val="caption"/>
    <w:basedOn w:val="Normale"/>
    <w:next w:val="Normale"/>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Carpredefinitoparagrafo"/>
    <w:link w:val="RSCI04CaptiontoFigureSchemeChart"/>
    <w:rsid w:val="006556AC"/>
    <w:rPr>
      <w:bCs/>
      <w:sz w:val="14"/>
      <w:szCs w:val="18"/>
    </w:rPr>
  </w:style>
  <w:style w:type="paragraph" w:customStyle="1" w:styleId="RSCM01ReceivedAccepted">
    <w:name w:val="RSC M01 Received/Accepted"/>
    <w:basedOn w:val="Normale"/>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Normale"/>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Carpredefinitoparagrafo"/>
    <w:link w:val="RSCM01ReceivedAccepted"/>
    <w:rsid w:val="004C531E"/>
    <w:rPr>
      <w:rFonts w:eastAsiaTheme="minorEastAsia"/>
      <w:noProof/>
      <w:sz w:val="14"/>
      <w:szCs w:val="14"/>
      <w:lang w:eastAsia="en-GB"/>
    </w:rPr>
  </w:style>
  <w:style w:type="paragraph" w:customStyle="1" w:styleId="RSCM03Website">
    <w:name w:val="RSC M03 Website"/>
    <w:basedOn w:val="Normale"/>
    <w:link w:val="RSCM03WebsiteChar"/>
    <w:qFormat/>
    <w:rsid w:val="004C531E"/>
    <w:pPr>
      <w:spacing w:line="400" w:lineRule="exact"/>
    </w:pPr>
    <w:rPr>
      <w:b/>
      <w:sz w:val="14"/>
      <w:szCs w:val="14"/>
    </w:rPr>
  </w:style>
  <w:style w:type="character" w:customStyle="1" w:styleId="RSCM02DOIChar">
    <w:name w:val="RSC M02 DOI Char"/>
    <w:basedOn w:val="Carpredefinitoparagrafo"/>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Carpredefinitoparagrafo"/>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Carpredefinitoparagrafo"/>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Carpredefinitoparagrafo"/>
    <w:link w:val="RSCB07BHeadingSub-Section-standalone"/>
    <w:rsid w:val="00EF6BD4"/>
    <w:rPr>
      <w:b/>
      <w:sz w:val="18"/>
    </w:rPr>
  </w:style>
  <w:style w:type="character" w:customStyle="1" w:styleId="RSCB08CHeadingIn-lineChar">
    <w:name w:val="RSC B08 C Heading (In-line) Char"/>
    <w:basedOn w:val="Carpredefinitoparagrafo"/>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Normale"/>
    <w:next w:val="Normale"/>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Normale"/>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Collegamentovisitato">
    <w:name w:val="FollowedHyperlink"/>
    <w:basedOn w:val="Carpredefinitoparagrafo"/>
    <w:uiPriority w:val="99"/>
    <w:semiHidden/>
    <w:unhideWhenUsed/>
    <w:rsid w:val="0024022C"/>
    <w:rPr>
      <w:color w:val="800080" w:themeColor="followedHyperlink"/>
      <w:u w:val="single"/>
    </w:rPr>
  </w:style>
  <w:style w:type="character" w:styleId="Rimandocommento">
    <w:name w:val="annotation reference"/>
    <w:basedOn w:val="Carpredefinitoparagrafo"/>
    <w:uiPriority w:val="99"/>
    <w:semiHidden/>
    <w:unhideWhenUsed/>
    <w:rsid w:val="0060627E"/>
    <w:rPr>
      <w:sz w:val="16"/>
      <w:szCs w:val="16"/>
    </w:rPr>
  </w:style>
  <w:style w:type="paragraph" w:styleId="Testocommento">
    <w:name w:val="annotation text"/>
    <w:basedOn w:val="Normale"/>
    <w:link w:val="TestocommentoCarattere"/>
    <w:uiPriority w:val="99"/>
    <w:unhideWhenUsed/>
    <w:rsid w:val="0060627E"/>
    <w:pPr>
      <w:spacing w:line="240" w:lineRule="auto"/>
    </w:pPr>
    <w:rPr>
      <w:sz w:val="20"/>
      <w:szCs w:val="20"/>
    </w:rPr>
  </w:style>
  <w:style w:type="character" w:customStyle="1" w:styleId="TestocommentoCarattere">
    <w:name w:val="Testo commento Carattere"/>
    <w:basedOn w:val="Carpredefinitoparagrafo"/>
    <w:link w:val="Testocommento"/>
    <w:uiPriority w:val="99"/>
    <w:rsid w:val="0060627E"/>
    <w:rPr>
      <w:sz w:val="20"/>
      <w:szCs w:val="20"/>
    </w:rPr>
  </w:style>
  <w:style w:type="paragraph" w:styleId="Soggettocommento">
    <w:name w:val="annotation subject"/>
    <w:basedOn w:val="Testocommento"/>
    <w:next w:val="Testocommento"/>
    <w:link w:val="SoggettocommentoCarattere"/>
    <w:uiPriority w:val="99"/>
    <w:semiHidden/>
    <w:unhideWhenUsed/>
    <w:rsid w:val="0060627E"/>
    <w:rPr>
      <w:b/>
      <w:bCs/>
    </w:rPr>
  </w:style>
  <w:style w:type="character" w:customStyle="1" w:styleId="SoggettocommentoCarattere">
    <w:name w:val="Soggetto commento Carattere"/>
    <w:basedOn w:val="TestocommentoCarattere"/>
    <w:link w:val="Soggettocommento"/>
    <w:uiPriority w:val="99"/>
    <w:semiHidden/>
    <w:rsid w:val="0060627E"/>
    <w:rPr>
      <w:b/>
      <w:bCs/>
      <w:sz w:val="20"/>
      <w:szCs w:val="20"/>
    </w:rPr>
  </w:style>
  <w:style w:type="character" w:customStyle="1" w:styleId="eetcfd">
    <w:name w:val="eetcfd"/>
    <w:basedOn w:val="Carpredefinitoparagrafo"/>
    <w:rsid w:val="004F580F"/>
  </w:style>
  <w:style w:type="character" w:customStyle="1" w:styleId="hgkelc">
    <w:name w:val="hgkelc"/>
    <w:basedOn w:val="Carpredefinitoparagrafo"/>
    <w:rsid w:val="001D1209"/>
  </w:style>
  <w:style w:type="paragraph" w:styleId="Bibliografia">
    <w:name w:val="Bibliography"/>
    <w:basedOn w:val="Normale"/>
    <w:next w:val="Normale"/>
    <w:uiPriority w:val="37"/>
    <w:unhideWhenUsed/>
    <w:rsid w:val="00017E90"/>
    <w:pPr>
      <w:tabs>
        <w:tab w:val="left" w:pos="264"/>
      </w:tabs>
      <w:spacing w:after="0" w:line="240" w:lineRule="auto"/>
      <w:ind w:left="264" w:hanging="264"/>
    </w:pPr>
  </w:style>
  <w:style w:type="character" w:styleId="Menzionenonrisolta">
    <w:name w:val="Unresolved Mention"/>
    <w:basedOn w:val="Carpredefinitoparagrafo"/>
    <w:uiPriority w:val="99"/>
    <w:semiHidden/>
    <w:unhideWhenUsed/>
    <w:rsid w:val="00BF34B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77660375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325475318">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jrjimenez@ugr.es" TargetMode="External"/><Relationship Id="rId18" Type="http://schemas.openxmlformats.org/officeDocument/2006/relationships/footer" Target="footer2.xml"/><Relationship Id="rId26"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image" Target="media/image1.emf"/><Relationship Id="rId7" Type="http://schemas.openxmlformats.org/officeDocument/2006/relationships/settings" Target="settings.xml"/><Relationship Id="rId12" Type="http://schemas.openxmlformats.org/officeDocument/2006/relationships/hyperlink" Target="mailto:francesco.zinna@unipi.it" TargetMode="External"/><Relationship Id="rId17" Type="http://schemas.openxmlformats.org/officeDocument/2006/relationships/footer" Target="footer1.xml"/><Relationship Id="rId25"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jrjimenez@ugr.es" TargetMode="External"/><Relationship Id="rId24" Type="http://schemas.openxmlformats.org/officeDocument/2006/relationships/image" Target="media/image4.pn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3.tif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francesco.zinna@unipi.it" TargetMode="External"/><Relationship Id="rId22" Type="http://schemas.openxmlformats.org/officeDocument/2006/relationships/image" Target="media/image2.tiff"/><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BC1441A7286B74C82D78C86B5515CE7" ma:contentTypeVersion="14" ma:contentTypeDescription="Crée un document." ma:contentTypeScope="" ma:versionID="4536bf581594dfc3f23d6b8366cea972">
  <xsd:schema xmlns:xsd="http://www.w3.org/2001/XMLSchema" xmlns:xs="http://www.w3.org/2001/XMLSchema" xmlns:p="http://schemas.microsoft.com/office/2006/metadata/properties" xmlns:ns3="4bd5a2f5-48af-4c12-855a-e75d72c4fd04" targetNamespace="http://schemas.microsoft.com/office/2006/metadata/properties" ma:root="true" ma:fieldsID="d742c1f4c0c1c7db70a34dcad394f545" ns3:_="">
    <xsd:import namespace="4bd5a2f5-48af-4c12-855a-e75d72c4fd0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d5a2f5-48af-4c12-855a-e75d72c4fd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ServiceSystemTags" ma:index="20" nillable="true" ma:displayName="MediaServiceSystemTags" ma:hidden="true" ma:internalName="MediaServiceSystemTags" ma:readOnly="true">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EDE6376-4CF4-455D-8126-8D3819AA354A}">
  <ds:schemaRefs>
    <ds:schemaRef ds:uri="http://schemas.openxmlformats.org/officeDocument/2006/bibliography"/>
  </ds:schemaRefs>
</ds:datastoreItem>
</file>

<file path=customXml/itemProps2.xml><?xml version="1.0" encoding="utf-8"?>
<ds:datastoreItem xmlns:ds="http://schemas.openxmlformats.org/officeDocument/2006/customXml" ds:itemID="{6B96221A-FAD3-41B7-A233-E29F4298EF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d5a2f5-48af-4c12-855a-e75d72c4fd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39F3AA1-C48F-499B-B6B5-6BCDB242F5C8}">
  <ds:schemaRefs>
    <ds:schemaRef ds:uri="http://schemas.microsoft.com/sharepoint/v3/contenttype/forms"/>
  </ds:schemaRefs>
</ds:datastoreItem>
</file>

<file path=customXml/itemProps4.xml><?xml version="1.0" encoding="utf-8"?>
<ds:datastoreItem xmlns:ds="http://schemas.openxmlformats.org/officeDocument/2006/customXml" ds:itemID="{C89FE9F3-76EE-408C-93BD-9CCD4F61BB8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251</TotalTime>
  <Pages>7</Pages>
  <Words>31273</Words>
  <Characters>178261</Characters>
  <Application>Microsoft Office Word</Application>
  <DocSecurity>0</DocSecurity>
  <Lines>1485</Lines>
  <Paragraphs>418</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The Royal Society of Chemistry</Company>
  <LinksUpToDate>false</LinksUpToDate>
  <CharactersWithSpaces>209116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Kate McCallum</dc:creator>
  <cp:keywords/>
  <dc:description/>
  <cp:lastModifiedBy>Francesco Zinna</cp:lastModifiedBy>
  <cp:revision>6</cp:revision>
  <cp:lastPrinted>2014-10-09T15:34:00Z</cp:lastPrinted>
  <dcterms:created xsi:type="dcterms:W3CDTF">2024-08-27T19:18:00Z</dcterms:created>
  <dcterms:modified xsi:type="dcterms:W3CDTF">2024-08-28T09:45:00Z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id="0viSY0VA"/&gt;&lt;style id="http://www.zotero.org/styles/royal-society-of-chemistry" hasBibliography="1" bibliographyStyleHasBeenSet="1"/&gt;&lt;prefs&gt;&lt;pref name="fieldType" value="Field"/&gt;&lt;/prefs&gt;&lt;/data&gt;</vt:lpwstr>
  </property>
  <property fmtid="{D5CDD505-2E9C-101B-9397-08002B2CF9AE}" pid="3" name="ContentTypeId">
    <vt:lpwstr>0x010100CBC1441A7286B74C82D78C86B5515CE7</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 11th edition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http://www.zotero.org/styles/american-sociological-association</vt:lpwstr>
  </property>
  <property fmtid="{D5CDD505-2E9C-101B-9397-08002B2CF9AE}" pid="9" name="Mendeley Recent Style Name 2_1">
    <vt:lpwstr>American Sociological Association 6th edition</vt:lpwstr>
  </property>
  <property fmtid="{D5CDD505-2E9C-101B-9397-08002B2CF9AE}" pid="10" name="Mendeley Recent Style Id 3_1">
    <vt:lpwstr>http://www.zotero.org/styles/chemical-science</vt:lpwstr>
  </property>
  <property fmtid="{D5CDD505-2E9C-101B-9397-08002B2CF9AE}" pid="11" name="Mendeley Recent Style Name 3_1">
    <vt:lpwstr>Chemical Science</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17th edition (author-date)</vt:lpwstr>
  </property>
  <property fmtid="{D5CDD505-2E9C-101B-9397-08002B2CF9AE}" pid="14" name="Mendeley Recent Style Id 5_1">
    <vt:lpwstr>http://www.zotero.org/styles/harvard-cite-them-right</vt:lpwstr>
  </property>
  <property fmtid="{D5CDD505-2E9C-101B-9397-08002B2CF9AE}" pid="15" name="Mendeley Recent Style Name 5_1">
    <vt:lpwstr>Cite Them Right 12th edition - Harvard</vt:lpwstr>
  </property>
  <property fmtid="{D5CDD505-2E9C-101B-9397-08002B2CF9AE}" pid="16" name="Mendeley Recent Style Id 6_1">
    <vt:lpwstr>http://www.zotero.org/styles/dalton-transactions</vt:lpwstr>
  </property>
  <property fmtid="{D5CDD505-2E9C-101B-9397-08002B2CF9AE}" pid="17" name="Mendeley Recent Style Name 6_1">
    <vt:lpwstr>Dalton Transactions</vt:lpwstr>
  </property>
  <property fmtid="{D5CDD505-2E9C-101B-9397-08002B2CF9AE}" pid="18" name="Mendeley Recent Style Id 7_1">
    <vt:lpwstr>http://www.zotero.org/styles/ieee</vt:lpwstr>
  </property>
  <property fmtid="{D5CDD505-2E9C-101B-9397-08002B2CF9AE}" pid="19" name="Mendeley Recent Style Name 7_1">
    <vt:lpwstr>IEEE</vt:lpwstr>
  </property>
  <property fmtid="{D5CDD505-2E9C-101B-9397-08002B2CF9AE}" pid="20" name="Mendeley Recent Style Id 8_1">
    <vt:lpwstr>http://www.zotero.org/styles/inorganic-chemistry</vt:lpwstr>
  </property>
  <property fmtid="{D5CDD505-2E9C-101B-9397-08002B2CF9AE}" pid="21" name="Mendeley Recent Style Name 8_1">
    <vt:lpwstr>Inorganic Chemistry</vt:lpwstr>
  </property>
  <property fmtid="{D5CDD505-2E9C-101B-9397-08002B2CF9AE}" pid="22" name="Mendeley Recent Style Id 9_1">
    <vt:lpwstr>http://www.zotero.org/styles/modern-humanities-research-association</vt:lpwstr>
  </property>
  <property fmtid="{D5CDD505-2E9C-101B-9397-08002B2CF9AE}" pid="23" name="Mendeley Recent Style Name 9_1">
    <vt:lpwstr>Modern Humanities Research Association 3rd edition (note with bibliography)</vt:lpwstr>
  </property>
</Properties>
</file>