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A075" w14:textId="77777777" w:rsidR="00842E7A" w:rsidRDefault="00842E7A" w:rsidP="00F60C41">
      <w:pPr>
        <w:pStyle w:val="EFSAAuthor"/>
        <w:rPr>
          <w:sz w:val="32"/>
          <w:szCs w:val="32"/>
        </w:rPr>
      </w:pPr>
      <w:bookmarkStart w:id="0" w:name="_Toc399503949"/>
      <w:bookmarkStart w:id="1" w:name="_Toc399850636"/>
      <w:bookmarkStart w:id="2" w:name="_Toc405560699"/>
    </w:p>
    <w:p w14:paraId="73187CEE" w14:textId="77777777" w:rsidR="00842E7A" w:rsidRDefault="00842E7A" w:rsidP="00F60C41">
      <w:pPr>
        <w:pStyle w:val="EFSAAuthor"/>
        <w:rPr>
          <w:sz w:val="32"/>
          <w:szCs w:val="32"/>
        </w:rPr>
      </w:pPr>
    </w:p>
    <w:p w14:paraId="3E5AB036" w14:textId="5D22F67A" w:rsidR="00671F8F" w:rsidRDefault="004E613C" w:rsidP="00F60C41">
      <w:pPr>
        <w:pStyle w:val="EFSAAuthor"/>
        <w:rPr>
          <w:sz w:val="32"/>
          <w:szCs w:val="32"/>
          <w:highlight w:val="yellow"/>
        </w:rPr>
      </w:pPr>
      <w:r w:rsidRPr="00B738DF">
        <w:rPr>
          <w:color w:val="0070C0"/>
          <w:sz w:val="32"/>
          <w:szCs w:val="32"/>
        </w:rPr>
        <w:t xml:space="preserve">Revised </w:t>
      </w:r>
      <w:r w:rsidR="00FE64E9" w:rsidRPr="7ECD763C">
        <w:rPr>
          <w:sz w:val="32"/>
          <w:szCs w:val="32"/>
        </w:rPr>
        <w:t>p</w:t>
      </w:r>
      <w:r w:rsidR="008F670A" w:rsidRPr="7ECD763C">
        <w:rPr>
          <w:sz w:val="32"/>
          <w:szCs w:val="32"/>
        </w:rPr>
        <w:t>rotocol</w:t>
      </w:r>
      <w:r w:rsidR="00671F8F" w:rsidRPr="7ECD763C">
        <w:rPr>
          <w:sz w:val="32"/>
          <w:szCs w:val="32"/>
        </w:rPr>
        <w:t xml:space="preserve"> for </w:t>
      </w:r>
      <w:r w:rsidR="00A52ED0" w:rsidRPr="7ECD763C">
        <w:rPr>
          <w:sz w:val="32"/>
          <w:szCs w:val="32"/>
        </w:rPr>
        <w:t xml:space="preserve">assessing </w:t>
      </w:r>
      <w:r w:rsidR="00671F8F" w:rsidRPr="7ECD763C">
        <w:rPr>
          <w:sz w:val="32"/>
          <w:szCs w:val="32"/>
        </w:rPr>
        <w:t xml:space="preserve">exposure </w:t>
      </w:r>
      <w:r w:rsidR="00A52ED0" w:rsidRPr="7ECD763C">
        <w:rPr>
          <w:sz w:val="32"/>
          <w:szCs w:val="32"/>
        </w:rPr>
        <w:t xml:space="preserve">to sweeteners </w:t>
      </w:r>
      <w:r w:rsidR="00671F8F" w:rsidRPr="7ECD763C">
        <w:rPr>
          <w:sz w:val="32"/>
          <w:szCs w:val="32"/>
        </w:rPr>
        <w:t>as part of the</w:t>
      </w:r>
      <w:r w:rsidR="00A52ED0" w:rsidRPr="7ECD763C">
        <w:rPr>
          <w:sz w:val="32"/>
          <w:szCs w:val="32"/>
        </w:rPr>
        <w:t>ir</w:t>
      </w:r>
      <w:r w:rsidR="00671F8F" w:rsidRPr="7ECD763C">
        <w:rPr>
          <w:sz w:val="32"/>
          <w:szCs w:val="32"/>
        </w:rPr>
        <w:t xml:space="preserve"> safety assessment </w:t>
      </w:r>
      <w:r w:rsidR="00445F0D" w:rsidRPr="7ECD763C">
        <w:rPr>
          <w:sz w:val="32"/>
          <w:szCs w:val="32"/>
        </w:rPr>
        <w:t xml:space="preserve">under the </w:t>
      </w:r>
      <w:r w:rsidR="00671F8F" w:rsidRPr="7ECD763C">
        <w:rPr>
          <w:sz w:val="32"/>
          <w:szCs w:val="32"/>
        </w:rPr>
        <w:t xml:space="preserve">food additives re-evaluation </w:t>
      </w:r>
      <w:r w:rsidR="008976CF" w:rsidRPr="7ECD763C">
        <w:rPr>
          <w:sz w:val="32"/>
          <w:szCs w:val="32"/>
        </w:rPr>
        <w:t>program</w:t>
      </w:r>
      <w:r w:rsidR="006668FA" w:rsidRPr="7ECD763C">
        <w:rPr>
          <w:sz w:val="32"/>
          <w:szCs w:val="32"/>
        </w:rPr>
        <w:t>me</w:t>
      </w:r>
    </w:p>
    <w:p w14:paraId="74FDDA21" w14:textId="24DED526" w:rsidR="00FE64E9" w:rsidRDefault="00F60C41" w:rsidP="00F60C41">
      <w:pPr>
        <w:pStyle w:val="EFSAAuthor"/>
        <w:rPr>
          <w:rFonts w:cs="Tahoma"/>
          <w:bCs/>
          <w:iCs/>
        </w:rPr>
      </w:pPr>
      <w:r w:rsidRPr="00FE64E9">
        <w:rPr>
          <w:rFonts w:cs="Tahoma"/>
          <w:bCs/>
          <w:iCs/>
        </w:rPr>
        <w:t xml:space="preserve">EFSA </w:t>
      </w:r>
      <w:r w:rsidR="009868E2" w:rsidRPr="00FE64E9">
        <w:rPr>
          <w:rFonts w:cs="Tahoma"/>
          <w:bCs/>
          <w:iCs/>
        </w:rPr>
        <w:t>Panel on Food Additives and Flavourings (FAF)</w:t>
      </w:r>
    </w:p>
    <w:p w14:paraId="7A52D0EC" w14:textId="49A60A31" w:rsidR="00086CBA" w:rsidRPr="00D9214B" w:rsidRDefault="00086CBA" w:rsidP="00214C6C">
      <w:pPr>
        <w:pStyle w:val="EFSAHeading1nonumber"/>
        <w:rPr>
          <w:b w:val="0"/>
        </w:rPr>
      </w:pPr>
    </w:p>
    <w:bookmarkEnd w:id="0"/>
    <w:bookmarkEnd w:id="1"/>
    <w:bookmarkEnd w:id="2"/>
    <w:p w14:paraId="62C23ED4" w14:textId="77777777" w:rsidR="00214C6C" w:rsidRDefault="00214C6C" w:rsidP="00214C6C"/>
    <w:p w14:paraId="50F138A3" w14:textId="77777777" w:rsidR="00214C6C" w:rsidRDefault="00214C6C" w:rsidP="00214C6C">
      <w:pPr>
        <w:spacing w:after="0"/>
        <w:rPr>
          <w:b/>
        </w:rPr>
        <w:sectPr w:rsidR="00214C6C" w:rsidSect="00AA7A1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6" w:bottom="1418" w:left="1418" w:header="709" w:footer="709" w:gutter="0"/>
          <w:cols w:space="720"/>
          <w:titlePg/>
          <w:docGrid w:linePitch="360" w:charSpace="2047"/>
        </w:sectPr>
      </w:pPr>
    </w:p>
    <w:p w14:paraId="7CE99D9A" w14:textId="77777777" w:rsidR="00214C6C" w:rsidRPr="00347022" w:rsidRDefault="00214C6C" w:rsidP="00214C6C">
      <w:pPr>
        <w:spacing w:before="240"/>
        <w:rPr>
          <w:rFonts w:ascii="Tahoma" w:hAnsi="Tahoma" w:cs="Tahoma"/>
          <w:b/>
          <w:sz w:val="24"/>
          <w:szCs w:val="24"/>
        </w:rPr>
      </w:pPr>
      <w:bookmarkStart w:id="3" w:name="_Toc399503951"/>
      <w:bookmarkStart w:id="4" w:name="_Toc399850638"/>
      <w:bookmarkStart w:id="5" w:name="_Toc400616575"/>
      <w:r w:rsidRPr="00347022">
        <w:rPr>
          <w:rFonts w:ascii="Tahoma" w:hAnsi="Tahoma" w:cs="Tahoma"/>
          <w:b/>
          <w:sz w:val="24"/>
          <w:szCs w:val="24"/>
        </w:rPr>
        <w:lastRenderedPageBreak/>
        <w:t>Table of contents</w:t>
      </w:r>
      <w:bookmarkEnd w:id="3"/>
      <w:bookmarkEnd w:id="4"/>
      <w:bookmarkEnd w:id="5"/>
    </w:p>
    <w:sdt>
      <w:sdtPr>
        <w:rPr>
          <w:rFonts w:asciiTheme="minorHAnsi" w:eastAsiaTheme="minorEastAsia" w:hAnsiTheme="minorHAnsi" w:cstheme="minorBidi"/>
          <w:b w:val="0"/>
          <w:bCs w:val="0"/>
          <w:color w:val="auto"/>
          <w:sz w:val="22"/>
          <w:szCs w:val="22"/>
          <w:shd w:val="clear" w:color="auto" w:fill="E6E6E6"/>
          <w:lang w:val="en-GB" w:eastAsia="en-US"/>
        </w:rPr>
        <w:id w:val="806053902"/>
        <w:docPartObj>
          <w:docPartGallery w:val="Table of Contents"/>
          <w:docPartUnique/>
        </w:docPartObj>
      </w:sdtPr>
      <w:sdtEndPr/>
      <w:sdtContent>
        <w:p w14:paraId="29501462" w14:textId="77777777" w:rsidR="001219D4" w:rsidRPr="001219D4" w:rsidRDefault="001219D4">
          <w:pPr>
            <w:pStyle w:val="TOCHeading"/>
            <w:rPr>
              <w:rStyle w:val="EFSAHeading1nonumberChar"/>
              <w:color w:val="auto"/>
              <w:sz w:val="2"/>
              <w:szCs w:val="2"/>
            </w:rPr>
          </w:pPr>
        </w:p>
        <w:p w14:paraId="0C7C60BA" w14:textId="6C17B2BB" w:rsidR="007052FC" w:rsidRDefault="00D9214B">
          <w:pPr>
            <w:pStyle w:val="TOC1"/>
            <w:rPr>
              <w:rFonts w:asciiTheme="minorHAnsi" w:eastAsiaTheme="minorEastAsia" w:hAnsiTheme="minorHAnsi" w:cstheme="minorBidi"/>
              <w:noProof/>
              <w:kern w:val="2"/>
              <w:sz w:val="22"/>
              <w:szCs w:val="22"/>
              <w14:ligatures w14:val="standardContextual"/>
            </w:rPr>
          </w:pPr>
          <w:r>
            <w:rPr>
              <w:color w:val="2B579A"/>
              <w:shd w:val="clear" w:color="auto" w:fill="E6E6E6"/>
            </w:rPr>
            <w:fldChar w:fldCharType="begin"/>
          </w:r>
          <w:r>
            <w:instrText xml:space="preserve"> TOC \o "1-4" \h \z \u </w:instrText>
          </w:r>
          <w:r>
            <w:rPr>
              <w:color w:val="2B579A"/>
              <w:shd w:val="clear" w:color="auto" w:fill="E6E6E6"/>
            </w:rPr>
            <w:fldChar w:fldCharType="separate"/>
          </w:r>
          <w:hyperlink w:anchor="_Toc181606776" w:history="1">
            <w:r w:rsidR="007052FC" w:rsidRPr="00A40EDC">
              <w:rPr>
                <w:rStyle w:val="Hyperlink"/>
                <w:noProof/>
              </w:rPr>
              <w:t>1.</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Introduction and scope of the protocol</w:t>
            </w:r>
            <w:r w:rsidR="007052FC">
              <w:rPr>
                <w:noProof/>
                <w:webHidden/>
              </w:rPr>
              <w:tab/>
            </w:r>
            <w:r w:rsidR="007052FC">
              <w:rPr>
                <w:noProof/>
                <w:webHidden/>
              </w:rPr>
              <w:fldChar w:fldCharType="begin"/>
            </w:r>
            <w:r w:rsidR="007052FC">
              <w:rPr>
                <w:noProof/>
                <w:webHidden/>
              </w:rPr>
              <w:instrText xml:space="preserve"> PAGEREF _Toc181606776 \h </w:instrText>
            </w:r>
            <w:r w:rsidR="007052FC">
              <w:rPr>
                <w:noProof/>
                <w:webHidden/>
              </w:rPr>
            </w:r>
            <w:r w:rsidR="007052FC">
              <w:rPr>
                <w:noProof/>
                <w:webHidden/>
              </w:rPr>
              <w:fldChar w:fldCharType="separate"/>
            </w:r>
            <w:r w:rsidR="00172F42">
              <w:rPr>
                <w:noProof/>
                <w:webHidden/>
              </w:rPr>
              <w:t>4</w:t>
            </w:r>
            <w:r w:rsidR="007052FC">
              <w:rPr>
                <w:noProof/>
                <w:webHidden/>
              </w:rPr>
              <w:fldChar w:fldCharType="end"/>
            </w:r>
          </w:hyperlink>
        </w:p>
        <w:p w14:paraId="1A9782EF" w14:textId="5FC9C2F5"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77" w:history="1">
            <w:r w:rsidR="007052FC" w:rsidRPr="00A40EDC">
              <w:rPr>
                <w:rStyle w:val="Hyperlink"/>
                <w:noProof/>
              </w:rPr>
              <w:t>2.</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Background and rationale of the mandate</w:t>
            </w:r>
            <w:r w:rsidR="007052FC">
              <w:rPr>
                <w:noProof/>
                <w:webHidden/>
              </w:rPr>
              <w:tab/>
            </w:r>
            <w:r w:rsidR="007052FC">
              <w:rPr>
                <w:noProof/>
                <w:webHidden/>
              </w:rPr>
              <w:fldChar w:fldCharType="begin"/>
            </w:r>
            <w:r w:rsidR="007052FC">
              <w:rPr>
                <w:noProof/>
                <w:webHidden/>
              </w:rPr>
              <w:instrText xml:space="preserve"> PAGEREF _Toc181606777 \h </w:instrText>
            </w:r>
            <w:r w:rsidR="007052FC">
              <w:rPr>
                <w:noProof/>
                <w:webHidden/>
              </w:rPr>
            </w:r>
            <w:r w:rsidR="007052FC">
              <w:rPr>
                <w:noProof/>
                <w:webHidden/>
              </w:rPr>
              <w:fldChar w:fldCharType="separate"/>
            </w:r>
            <w:r w:rsidR="00172F42">
              <w:rPr>
                <w:noProof/>
                <w:webHidden/>
              </w:rPr>
              <w:t>4</w:t>
            </w:r>
            <w:r w:rsidR="007052FC">
              <w:rPr>
                <w:noProof/>
                <w:webHidden/>
              </w:rPr>
              <w:fldChar w:fldCharType="end"/>
            </w:r>
          </w:hyperlink>
        </w:p>
        <w:p w14:paraId="4186C99D" w14:textId="4353AE03"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78" w:history="1">
            <w:r w:rsidR="007052FC" w:rsidRPr="00A40EDC">
              <w:rPr>
                <w:rStyle w:val="Hyperlink"/>
                <w:noProof/>
              </w:rPr>
              <w:t>3.</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Terms of reference as provided by European Commission</w:t>
            </w:r>
            <w:r w:rsidR="007052FC">
              <w:rPr>
                <w:noProof/>
                <w:webHidden/>
              </w:rPr>
              <w:tab/>
            </w:r>
            <w:r w:rsidR="007052FC">
              <w:rPr>
                <w:noProof/>
                <w:webHidden/>
              </w:rPr>
              <w:fldChar w:fldCharType="begin"/>
            </w:r>
            <w:r w:rsidR="007052FC">
              <w:rPr>
                <w:noProof/>
                <w:webHidden/>
              </w:rPr>
              <w:instrText xml:space="preserve"> PAGEREF _Toc181606778 \h </w:instrText>
            </w:r>
            <w:r w:rsidR="007052FC">
              <w:rPr>
                <w:noProof/>
                <w:webHidden/>
              </w:rPr>
            </w:r>
            <w:r w:rsidR="007052FC">
              <w:rPr>
                <w:noProof/>
                <w:webHidden/>
              </w:rPr>
              <w:fldChar w:fldCharType="separate"/>
            </w:r>
            <w:r w:rsidR="00172F42">
              <w:rPr>
                <w:noProof/>
                <w:webHidden/>
              </w:rPr>
              <w:t>4</w:t>
            </w:r>
            <w:r w:rsidR="007052FC">
              <w:rPr>
                <w:noProof/>
                <w:webHidden/>
              </w:rPr>
              <w:fldChar w:fldCharType="end"/>
            </w:r>
          </w:hyperlink>
        </w:p>
        <w:p w14:paraId="6AF16E1D" w14:textId="5FE3C5B5"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79" w:history="1">
            <w:r w:rsidR="007052FC" w:rsidRPr="00A40EDC">
              <w:rPr>
                <w:rStyle w:val="Hyperlink"/>
                <w:noProof/>
              </w:rPr>
              <w:t>4.</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Interpretation of the Terms of Reference</w:t>
            </w:r>
            <w:r w:rsidR="007052FC">
              <w:rPr>
                <w:noProof/>
                <w:webHidden/>
              </w:rPr>
              <w:tab/>
            </w:r>
            <w:r w:rsidR="007052FC">
              <w:rPr>
                <w:noProof/>
                <w:webHidden/>
              </w:rPr>
              <w:fldChar w:fldCharType="begin"/>
            </w:r>
            <w:r w:rsidR="007052FC">
              <w:rPr>
                <w:noProof/>
                <w:webHidden/>
              </w:rPr>
              <w:instrText xml:space="preserve"> PAGEREF _Toc181606779 \h </w:instrText>
            </w:r>
            <w:r w:rsidR="007052FC">
              <w:rPr>
                <w:noProof/>
                <w:webHidden/>
              </w:rPr>
            </w:r>
            <w:r w:rsidR="007052FC">
              <w:rPr>
                <w:noProof/>
                <w:webHidden/>
              </w:rPr>
              <w:fldChar w:fldCharType="separate"/>
            </w:r>
            <w:r w:rsidR="00172F42">
              <w:rPr>
                <w:noProof/>
                <w:webHidden/>
              </w:rPr>
              <w:t>4</w:t>
            </w:r>
            <w:r w:rsidR="007052FC">
              <w:rPr>
                <w:noProof/>
                <w:webHidden/>
              </w:rPr>
              <w:fldChar w:fldCharType="end"/>
            </w:r>
          </w:hyperlink>
        </w:p>
        <w:p w14:paraId="4B1A45D2" w14:textId="56E563DF"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80" w:history="1">
            <w:r w:rsidR="007052FC" w:rsidRPr="00A40EDC">
              <w:rPr>
                <w:rStyle w:val="Hyperlink"/>
                <w:noProof/>
              </w:rPr>
              <w:t>5.</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Data and Methodologies</w:t>
            </w:r>
            <w:r w:rsidR="007052FC">
              <w:rPr>
                <w:noProof/>
                <w:webHidden/>
              </w:rPr>
              <w:tab/>
            </w:r>
            <w:r w:rsidR="007052FC">
              <w:rPr>
                <w:noProof/>
                <w:webHidden/>
              </w:rPr>
              <w:fldChar w:fldCharType="begin"/>
            </w:r>
            <w:r w:rsidR="007052FC">
              <w:rPr>
                <w:noProof/>
                <w:webHidden/>
              </w:rPr>
              <w:instrText xml:space="preserve"> PAGEREF _Toc181606780 \h </w:instrText>
            </w:r>
            <w:r w:rsidR="007052FC">
              <w:rPr>
                <w:noProof/>
                <w:webHidden/>
              </w:rPr>
            </w:r>
            <w:r w:rsidR="007052FC">
              <w:rPr>
                <w:noProof/>
                <w:webHidden/>
              </w:rPr>
              <w:fldChar w:fldCharType="separate"/>
            </w:r>
            <w:r w:rsidR="00172F42">
              <w:rPr>
                <w:noProof/>
                <w:webHidden/>
              </w:rPr>
              <w:t>5</w:t>
            </w:r>
            <w:r w:rsidR="007052FC">
              <w:rPr>
                <w:noProof/>
                <w:webHidden/>
              </w:rPr>
              <w:fldChar w:fldCharType="end"/>
            </w:r>
          </w:hyperlink>
        </w:p>
        <w:p w14:paraId="49F569B9" w14:textId="498274A9" w:rsidR="007052FC" w:rsidRDefault="0048673C">
          <w:pPr>
            <w:pStyle w:val="TOC2"/>
            <w:rPr>
              <w:rFonts w:asciiTheme="minorHAnsi" w:eastAsiaTheme="minorEastAsia" w:hAnsiTheme="minorHAnsi" w:cstheme="minorBidi"/>
              <w:noProof/>
              <w:kern w:val="2"/>
              <w:sz w:val="22"/>
              <w:szCs w:val="22"/>
              <w14:ligatures w14:val="standardContextual"/>
            </w:rPr>
          </w:pPr>
          <w:hyperlink w:anchor="_Toc181606781" w:history="1">
            <w:r w:rsidR="007052FC" w:rsidRPr="00A40EDC">
              <w:rPr>
                <w:rStyle w:val="Hyperlink"/>
                <w:noProof/>
              </w:rPr>
              <w:t>5.1.</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Data</w:t>
            </w:r>
            <w:r w:rsidR="007052FC">
              <w:rPr>
                <w:noProof/>
                <w:webHidden/>
              </w:rPr>
              <w:tab/>
            </w:r>
            <w:r w:rsidR="007052FC">
              <w:rPr>
                <w:noProof/>
                <w:webHidden/>
              </w:rPr>
              <w:fldChar w:fldCharType="begin"/>
            </w:r>
            <w:r w:rsidR="007052FC">
              <w:rPr>
                <w:noProof/>
                <w:webHidden/>
              </w:rPr>
              <w:instrText xml:space="preserve"> PAGEREF _Toc181606781 \h </w:instrText>
            </w:r>
            <w:r w:rsidR="007052FC">
              <w:rPr>
                <w:noProof/>
                <w:webHidden/>
              </w:rPr>
            </w:r>
            <w:r w:rsidR="007052FC">
              <w:rPr>
                <w:noProof/>
                <w:webHidden/>
              </w:rPr>
              <w:fldChar w:fldCharType="separate"/>
            </w:r>
            <w:r w:rsidR="00172F42">
              <w:rPr>
                <w:noProof/>
                <w:webHidden/>
              </w:rPr>
              <w:t>5</w:t>
            </w:r>
            <w:r w:rsidR="007052FC">
              <w:rPr>
                <w:noProof/>
                <w:webHidden/>
              </w:rPr>
              <w:fldChar w:fldCharType="end"/>
            </w:r>
          </w:hyperlink>
        </w:p>
        <w:p w14:paraId="66E5AF47" w14:textId="37626912"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82" w:history="1">
            <w:r w:rsidR="007052FC" w:rsidRPr="00A40EDC">
              <w:rPr>
                <w:rStyle w:val="Hyperlink"/>
                <w:noProof/>
              </w:rPr>
              <w:t>5.1.1.</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additive occurrence data availability</w:t>
            </w:r>
            <w:r w:rsidR="007052FC">
              <w:rPr>
                <w:noProof/>
                <w:webHidden/>
              </w:rPr>
              <w:tab/>
            </w:r>
            <w:r w:rsidR="007052FC">
              <w:rPr>
                <w:noProof/>
                <w:webHidden/>
              </w:rPr>
              <w:fldChar w:fldCharType="begin"/>
            </w:r>
            <w:r w:rsidR="007052FC">
              <w:rPr>
                <w:noProof/>
                <w:webHidden/>
              </w:rPr>
              <w:instrText xml:space="preserve"> PAGEREF _Toc181606782 \h </w:instrText>
            </w:r>
            <w:r w:rsidR="007052FC">
              <w:rPr>
                <w:noProof/>
                <w:webHidden/>
              </w:rPr>
            </w:r>
            <w:r w:rsidR="007052FC">
              <w:rPr>
                <w:noProof/>
                <w:webHidden/>
              </w:rPr>
              <w:fldChar w:fldCharType="separate"/>
            </w:r>
            <w:r w:rsidR="00172F42">
              <w:rPr>
                <w:noProof/>
                <w:webHidden/>
              </w:rPr>
              <w:t>5</w:t>
            </w:r>
            <w:r w:rsidR="007052FC">
              <w:rPr>
                <w:noProof/>
                <w:webHidden/>
              </w:rPr>
              <w:fldChar w:fldCharType="end"/>
            </w:r>
          </w:hyperlink>
        </w:p>
        <w:p w14:paraId="1482252A" w14:textId="389AB030" w:rsidR="007052FC" w:rsidRDefault="0048673C">
          <w:pPr>
            <w:pStyle w:val="TOC4"/>
            <w:rPr>
              <w:rFonts w:asciiTheme="minorHAnsi" w:eastAsiaTheme="minorEastAsia" w:hAnsiTheme="minorHAnsi"/>
              <w:noProof/>
              <w:kern w:val="2"/>
              <w:sz w:val="22"/>
              <w:lang w:eastAsia="en-GB"/>
              <w14:ligatures w14:val="standardContextual"/>
            </w:rPr>
          </w:pPr>
          <w:hyperlink w:anchor="_Toc181606783" w:history="1">
            <w:r w:rsidR="007052FC" w:rsidRPr="00A40EDC">
              <w:rPr>
                <w:rStyle w:val="Hyperlink"/>
                <w:noProof/>
              </w:rPr>
              <w:t>5.1.1.1.</w:t>
            </w:r>
            <w:r w:rsidR="007052FC">
              <w:rPr>
                <w:rFonts w:asciiTheme="minorHAnsi" w:eastAsiaTheme="minorEastAsia" w:hAnsiTheme="minorHAnsi"/>
                <w:noProof/>
                <w:kern w:val="2"/>
                <w:sz w:val="22"/>
                <w:lang w:eastAsia="en-GB"/>
                <w14:ligatures w14:val="standardContextual"/>
              </w:rPr>
              <w:tab/>
            </w:r>
            <w:r w:rsidR="007052FC" w:rsidRPr="00A40EDC">
              <w:rPr>
                <w:rStyle w:val="Hyperlink"/>
                <w:noProof/>
              </w:rPr>
              <w:t>Information on use levels submitted</w:t>
            </w:r>
            <w:r w:rsidR="007052FC">
              <w:rPr>
                <w:noProof/>
                <w:webHidden/>
              </w:rPr>
              <w:tab/>
            </w:r>
            <w:r w:rsidR="007052FC">
              <w:rPr>
                <w:noProof/>
                <w:webHidden/>
              </w:rPr>
              <w:fldChar w:fldCharType="begin"/>
            </w:r>
            <w:r w:rsidR="007052FC">
              <w:rPr>
                <w:noProof/>
                <w:webHidden/>
              </w:rPr>
              <w:instrText xml:space="preserve"> PAGEREF _Toc181606783 \h </w:instrText>
            </w:r>
            <w:r w:rsidR="007052FC">
              <w:rPr>
                <w:noProof/>
                <w:webHidden/>
              </w:rPr>
            </w:r>
            <w:r w:rsidR="007052FC">
              <w:rPr>
                <w:noProof/>
                <w:webHidden/>
              </w:rPr>
              <w:fldChar w:fldCharType="separate"/>
            </w:r>
            <w:r w:rsidR="00172F42">
              <w:rPr>
                <w:noProof/>
                <w:webHidden/>
              </w:rPr>
              <w:t>6</w:t>
            </w:r>
            <w:r w:rsidR="007052FC">
              <w:rPr>
                <w:noProof/>
                <w:webHidden/>
              </w:rPr>
              <w:fldChar w:fldCharType="end"/>
            </w:r>
          </w:hyperlink>
        </w:p>
        <w:p w14:paraId="5FD88516" w14:textId="5F9C6D84" w:rsidR="007052FC" w:rsidRDefault="0048673C">
          <w:pPr>
            <w:pStyle w:val="TOC4"/>
            <w:rPr>
              <w:rFonts w:asciiTheme="minorHAnsi" w:eastAsiaTheme="minorEastAsia" w:hAnsiTheme="minorHAnsi"/>
              <w:noProof/>
              <w:kern w:val="2"/>
              <w:sz w:val="22"/>
              <w:lang w:eastAsia="en-GB"/>
              <w14:ligatures w14:val="standardContextual"/>
            </w:rPr>
          </w:pPr>
          <w:hyperlink w:anchor="_Toc181606784" w:history="1">
            <w:r w:rsidR="007052FC" w:rsidRPr="00A40EDC">
              <w:rPr>
                <w:rStyle w:val="Hyperlink"/>
                <w:noProof/>
              </w:rPr>
              <w:t>5.1.1.2.</w:t>
            </w:r>
            <w:r w:rsidR="007052FC">
              <w:rPr>
                <w:rFonts w:asciiTheme="minorHAnsi" w:eastAsiaTheme="minorEastAsia" w:hAnsiTheme="minorHAnsi"/>
                <w:noProof/>
                <w:kern w:val="2"/>
                <w:sz w:val="22"/>
                <w:lang w:eastAsia="en-GB"/>
                <w14:ligatures w14:val="standardContextual"/>
              </w:rPr>
              <w:tab/>
            </w:r>
            <w:r w:rsidR="007052FC" w:rsidRPr="00A40EDC">
              <w:rPr>
                <w:rStyle w:val="Hyperlink"/>
                <w:noProof/>
              </w:rPr>
              <w:t>Information on analytical data submitted</w:t>
            </w:r>
            <w:r w:rsidR="007052FC">
              <w:rPr>
                <w:noProof/>
                <w:webHidden/>
              </w:rPr>
              <w:tab/>
            </w:r>
            <w:r w:rsidR="007052FC">
              <w:rPr>
                <w:noProof/>
                <w:webHidden/>
              </w:rPr>
              <w:fldChar w:fldCharType="begin"/>
            </w:r>
            <w:r w:rsidR="007052FC">
              <w:rPr>
                <w:noProof/>
                <w:webHidden/>
              </w:rPr>
              <w:instrText xml:space="preserve"> PAGEREF _Toc181606784 \h </w:instrText>
            </w:r>
            <w:r w:rsidR="007052FC">
              <w:rPr>
                <w:noProof/>
                <w:webHidden/>
              </w:rPr>
            </w:r>
            <w:r w:rsidR="007052FC">
              <w:rPr>
                <w:noProof/>
                <w:webHidden/>
              </w:rPr>
              <w:fldChar w:fldCharType="separate"/>
            </w:r>
            <w:r w:rsidR="00172F42">
              <w:rPr>
                <w:noProof/>
                <w:webHidden/>
              </w:rPr>
              <w:t>6</w:t>
            </w:r>
            <w:r w:rsidR="007052FC">
              <w:rPr>
                <w:noProof/>
                <w:webHidden/>
              </w:rPr>
              <w:fldChar w:fldCharType="end"/>
            </w:r>
          </w:hyperlink>
        </w:p>
        <w:p w14:paraId="10768C1D" w14:textId="3221ADCB"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85" w:history="1">
            <w:r w:rsidR="007052FC" w:rsidRPr="00A40EDC">
              <w:rPr>
                <w:rStyle w:val="Hyperlink"/>
                <w:noProof/>
              </w:rPr>
              <w:t>5.1.2.</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consumption database</w:t>
            </w:r>
            <w:r w:rsidR="007052FC">
              <w:rPr>
                <w:noProof/>
                <w:webHidden/>
              </w:rPr>
              <w:tab/>
            </w:r>
            <w:r w:rsidR="007052FC">
              <w:rPr>
                <w:noProof/>
                <w:webHidden/>
              </w:rPr>
              <w:fldChar w:fldCharType="begin"/>
            </w:r>
            <w:r w:rsidR="007052FC">
              <w:rPr>
                <w:noProof/>
                <w:webHidden/>
              </w:rPr>
              <w:instrText xml:space="preserve"> PAGEREF _Toc181606785 \h </w:instrText>
            </w:r>
            <w:r w:rsidR="007052FC">
              <w:rPr>
                <w:noProof/>
                <w:webHidden/>
              </w:rPr>
            </w:r>
            <w:r w:rsidR="007052FC">
              <w:rPr>
                <w:noProof/>
                <w:webHidden/>
              </w:rPr>
              <w:fldChar w:fldCharType="separate"/>
            </w:r>
            <w:r w:rsidR="00172F42">
              <w:rPr>
                <w:noProof/>
                <w:webHidden/>
              </w:rPr>
              <w:t>7</w:t>
            </w:r>
            <w:r w:rsidR="007052FC">
              <w:rPr>
                <w:noProof/>
                <w:webHidden/>
              </w:rPr>
              <w:fldChar w:fldCharType="end"/>
            </w:r>
          </w:hyperlink>
        </w:p>
        <w:p w14:paraId="2EE9F653" w14:textId="32996E49"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86" w:history="1">
            <w:r w:rsidR="007052FC" w:rsidRPr="00A40EDC">
              <w:rPr>
                <w:rStyle w:val="Hyperlink"/>
                <w:noProof/>
              </w:rPr>
              <w:t>5.1.3.</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labelling data</w:t>
            </w:r>
            <w:r w:rsidR="007052FC">
              <w:rPr>
                <w:noProof/>
                <w:webHidden/>
              </w:rPr>
              <w:tab/>
            </w:r>
            <w:r w:rsidR="007052FC">
              <w:rPr>
                <w:noProof/>
                <w:webHidden/>
              </w:rPr>
              <w:fldChar w:fldCharType="begin"/>
            </w:r>
            <w:r w:rsidR="007052FC">
              <w:rPr>
                <w:noProof/>
                <w:webHidden/>
              </w:rPr>
              <w:instrText xml:space="preserve"> PAGEREF _Toc181606786 \h </w:instrText>
            </w:r>
            <w:r w:rsidR="007052FC">
              <w:rPr>
                <w:noProof/>
                <w:webHidden/>
              </w:rPr>
            </w:r>
            <w:r w:rsidR="007052FC">
              <w:rPr>
                <w:noProof/>
                <w:webHidden/>
              </w:rPr>
              <w:fldChar w:fldCharType="separate"/>
            </w:r>
            <w:r w:rsidR="00172F42">
              <w:rPr>
                <w:noProof/>
                <w:webHidden/>
              </w:rPr>
              <w:t>8</w:t>
            </w:r>
            <w:r w:rsidR="007052FC">
              <w:rPr>
                <w:noProof/>
                <w:webHidden/>
              </w:rPr>
              <w:fldChar w:fldCharType="end"/>
            </w:r>
          </w:hyperlink>
        </w:p>
        <w:p w14:paraId="609B940F" w14:textId="0C0F6A9E" w:rsidR="007052FC" w:rsidRDefault="0048673C">
          <w:pPr>
            <w:pStyle w:val="TOC2"/>
            <w:rPr>
              <w:rFonts w:asciiTheme="minorHAnsi" w:eastAsiaTheme="minorEastAsia" w:hAnsiTheme="minorHAnsi" w:cstheme="minorBidi"/>
              <w:noProof/>
              <w:kern w:val="2"/>
              <w:sz w:val="22"/>
              <w:szCs w:val="22"/>
              <w14:ligatures w14:val="standardContextual"/>
            </w:rPr>
          </w:pPr>
          <w:hyperlink w:anchor="_Toc181606787" w:history="1">
            <w:r w:rsidR="007052FC" w:rsidRPr="00A40EDC">
              <w:rPr>
                <w:rStyle w:val="Hyperlink"/>
                <w:noProof/>
              </w:rPr>
              <w:t>5.2.</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Methodologies</w:t>
            </w:r>
            <w:r w:rsidR="007052FC">
              <w:rPr>
                <w:noProof/>
                <w:webHidden/>
              </w:rPr>
              <w:tab/>
            </w:r>
            <w:r w:rsidR="007052FC">
              <w:rPr>
                <w:noProof/>
                <w:webHidden/>
              </w:rPr>
              <w:fldChar w:fldCharType="begin"/>
            </w:r>
            <w:r w:rsidR="007052FC">
              <w:rPr>
                <w:noProof/>
                <w:webHidden/>
              </w:rPr>
              <w:instrText xml:space="preserve"> PAGEREF _Toc181606787 \h </w:instrText>
            </w:r>
            <w:r w:rsidR="007052FC">
              <w:rPr>
                <w:noProof/>
                <w:webHidden/>
              </w:rPr>
            </w:r>
            <w:r w:rsidR="007052FC">
              <w:rPr>
                <w:noProof/>
                <w:webHidden/>
              </w:rPr>
              <w:fldChar w:fldCharType="separate"/>
            </w:r>
            <w:r w:rsidR="00172F42">
              <w:rPr>
                <w:noProof/>
                <w:webHidden/>
              </w:rPr>
              <w:t>8</w:t>
            </w:r>
            <w:r w:rsidR="007052FC">
              <w:rPr>
                <w:noProof/>
                <w:webHidden/>
              </w:rPr>
              <w:fldChar w:fldCharType="end"/>
            </w:r>
          </w:hyperlink>
        </w:p>
        <w:p w14:paraId="4B8BEF58" w14:textId="4C4F4511"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88" w:history="1">
            <w:r w:rsidR="007052FC" w:rsidRPr="00A40EDC">
              <w:rPr>
                <w:rStyle w:val="Hyperlink"/>
                <w:noProof/>
              </w:rPr>
              <w:t>5.2.1.</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classification systems</w:t>
            </w:r>
            <w:r w:rsidR="007052FC">
              <w:rPr>
                <w:noProof/>
                <w:webHidden/>
              </w:rPr>
              <w:tab/>
            </w:r>
            <w:r w:rsidR="007052FC">
              <w:rPr>
                <w:noProof/>
                <w:webHidden/>
              </w:rPr>
              <w:fldChar w:fldCharType="begin"/>
            </w:r>
            <w:r w:rsidR="007052FC">
              <w:rPr>
                <w:noProof/>
                <w:webHidden/>
              </w:rPr>
              <w:instrText xml:space="preserve"> PAGEREF _Toc181606788 \h </w:instrText>
            </w:r>
            <w:r w:rsidR="007052FC">
              <w:rPr>
                <w:noProof/>
                <w:webHidden/>
              </w:rPr>
            </w:r>
            <w:r w:rsidR="007052FC">
              <w:rPr>
                <w:noProof/>
                <w:webHidden/>
              </w:rPr>
              <w:fldChar w:fldCharType="separate"/>
            </w:r>
            <w:r w:rsidR="00172F42">
              <w:rPr>
                <w:noProof/>
                <w:webHidden/>
              </w:rPr>
              <w:t>8</w:t>
            </w:r>
            <w:r w:rsidR="007052FC">
              <w:rPr>
                <w:noProof/>
                <w:webHidden/>
              </w:rPr>
              <w:fldChar w:fldCharType="end"/>
            </w:r>
          </w:hyperlink>
        </w:p>
        <w:p w14:paraId="5269F263" w14:textId="21F23D68"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89" w:history="1">
            <w:r w:rsidR="007052FC" w:rsidRPr="00A40EDC">
              <w:rPr>
                <w:rStyle w:val="Hyperlink"/>
                <w:noProof/>
              </w:rPr>
              <w:t>5.2.2.</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categories used for the assessment of exposure</w:t>
            </w:r>
            <w:r w:rsidR="007052FC">
              <w:rPr>
                <w:noProof/>
                <w:webHidden/>
              </w:rPr>
              <w:tab/>
            </w:r>
            <w:r w:rsidR="007052FC">
              <w:rPr>
                <w:noProof/>
                <w:webHidden/>
              </w:rPr>
              <w:fldChar w:fldCharType="begin"/>
            </w:r>
            <w:r w:rsidR="007052FC">
              <w:rPr>
                <w:noProof/>
                <w:webHidden/>
              </w:rPr>
              <w:instrText xml:space="preserve"> PAGEREF _Toc181606789 \h </w:instrText>
            </w:r>
            <w:r w:rsidR="007052FC">
              <w:rPr>
                <w:noProof/>
                <w:webHidden/>
              </w:rPr>
            </w:r>
            <w:r w:rsidR="007052FC">
              <w:rPr>
                <w:noProof/>
                <w:webHidden/>
              </w:rPr>
              <w:fldChar w:fldCharType="separate"/>
            </w:r>
            <w:r w:rsidR="00172F42">
              <w:rPr>
                <w:noProof/>
                <w:webHidden/>
              </w:rPr>
              <w:t>9</w:t>
            </w:r>
            <w:r w:rsidR="007052FC">
              <w:rPr>
                <w:noProof/>
                <w:webHidden/>
              </w:rPr>
              <w:fldChar w:fldCharType="end"/>
            </w:r>
          </w:hyperlink>
        </w:p>
        <w:p w14:paraId="45849DA0" w14:textId="2A4B4A2F"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90" w:history="1">
            <w:r w:rsidR="007052FC" w:rsidRPr="00A40EDC">
              <w:rPr>
                <w:rStyle w:val="Hyperlink"/>
                <w:noProof/>
              </w:rPr>
              <w:t>5.2.3.</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Chronic exposure assessment of sweeteners under re-evaluation</w:t>
            </w:r>
            <w:r w:rsidR="007052FC">
              <w:rPr>
                <w:noProof/>
                <w:webHidden/>
              </w:rPr>
              <w:tab/>
            </w:r>
            <w:r w:rsidR="007052FC">
              <w:rPr>
                <w:noProof/>
                <w:webHidden/>
              </w:rPr>
              <w:fldChar w:fldCharType="begin"/>
            </w:r>
            <w:r w:rsidR="007052FC">
              <w:rPr>
                <w:noProof/>
                <w:webHidden/>
              </w:rPr>
              <w:instrText xml:space="preserve"> PAGEREF _Toc181606790 \h </w:instrText>
            </w:r>
            <w:r w:rsidR="007052FC">
              <w:rPr>
                <w:noProof/>
                <w:webHidden/>
              </w:rPr>
            </w:r>
            <w:r w:rsidR="007052FC">
              <w:rPr>
                <w:noProof/>
                <w:webHidden/>
              </w:rPr>
              <w:fldChar w:fldCharType="separate"/>
            </w:r>
            <w:r w:rsidR="00172F42">
              <w:rPr>
                <w:noProof/>
                <w:webHidden/>
              </w:rPr>
              <w:t>11</w:t>
            </w:r>
            <w:r w:rsidR="007052FC">
              <w:rPr>
                <w:noProof/>
                <w:webHidden/>
              </w:rPr>
              <w:fldChar w:fldCharType="end"/>
            </w:r>
          </w:hyperlink>
        </w:p>
        <w:p w14:paraId="0B9FDEEA" w14:textId="6127088C" w:rsidR="007052FC" w:rsidRDefault="0048673C">
          <w:pPr>
            <w:pStyle w:val="TOC4"/>
            <w:rPr>
              <w:rFonts w:asciiTheme="minorHAnsi" w:eastAsiaTheme="minorEastAsia" w:hAnsiTheme="minorHAnsi"/>
              <w:noProof/>
              <w:kern w:val="2"/>
              <w:sz w:val="22"/>
              <w:lang w:eastAsia="en-GB"/>
              <w14:ligatures w14:val="standardContextual"/>
            </w:rPr>
          </w:pPr>
          <w:hyperlink w:anchor="_Toc181606791" w:history="1">
            <w:r w:rsidR="007052FC" w:rsidRPr="00A40EDC">
              <w:rPr>
                <w:rStyle w:val="Hyperlink"/>
                <w:noProof/>
              </w:rPr>
              <w:t>5.2.3.1.</w:t>
            </w:r>
            <w:r w:rsidR="007052FC">
              <w:rPr>
                <w:rFonts w:asciiTheme="minorHAnsi" w:eastAsiaTheme="minorEastAsia" w:hAnsiTheme="minorHAnsi"/>
                <w:noProof/>
                <w:kern w:val="2"/>
                <w:sz w:val="22"/>
                <w:lang w:eastAsia="en-GB"/>
                <w14:ligatures w14:val="standardContextual"/>
              </w:rPr>
              <w:tab/>
            </w:r>
            <w:r w:rsidR="007052FC" w:rsidRPr="00A40EDC">
              <w:rPr>
                <w:rStyle w:val="Hyperlink"/>
                <w:noProof/>
              </w:rPr>
              <w:t>Regulatory maximum level exposure assessment scenario</w:t>
            </w:r>
            <w:r w:rsidR="007052FC">
              <w:rPr>
                <w:noProof/>
                <w:webHidden/>
              </w:rPr>
              <w:tab/>
            </w:r>
            <w:r w:rsidR="007052FC">
              <w:rPr>
                <w:noProof/>
                <w:webHidden/>
              </w:rPr>
              <w:fldChar w:fldCharType="begin"/>
            </w:r>
            <w:r w:rsidR="007052FC">
              <w:rPr>
                <w:noProof/>
                <w:webHidden/>
              </w:rPr>
              <w:instrText xml:space="preserve"> PAGEREF _Toc181606791 \h </w:instrText>
            </w:r>
            <w:r w:rsidR="007052FC">
              <w:rPr>
                <w:noProof/>
                <w:webHidden/>
              </w:rPr>
            </w:r>
            <w:r w:rsidR="007052FC">
              <w:rPr>
                <w:noProof/>
                <w:webHidden/>
              </w:rPr>
              <w:fldChar w:fldCharType="separate"/>
            </w:r>
            <w:r w:rsidR="00172F42">
              <w:rPr>
                <w:noProof/>
                <w:webHidden/>
              </w:rPr>
              <w:t>12</w:t>
            </w:r>
            <w:r w:rsidR="007052FC">
              <w:rPr>
                <w:noProof/>
                <w:webHidden/>
              </w:rPr>
              <w:fldChar w:fldCharType="end"/>
            </w:r>
          </w:hyperlink>
        </w:p>
        <w:p w14:paraId="0F377E0B" w14:textId="0EBB9694" w:rsidR="007052FC" w:rsidRDefault="0048673C">
          <w:pPr>
            <w:pStyle w:val="TOC4"/>
            <w:rPr>
              <w:rFonts w:asciiTheme="minorHAnsi" w:eastAsiaTheme="minorEastAsia" w:hAnsiTheme="minorHAnsi"/>
              <w:noProof/>
              <w:kern w:val="2"/>
              <w:sz w:val="22"/>
              <w:lang w:eastAsia="en-GB"/>
              <w14:ligatures w14:val="standardContextual"/>
            </w:rPr>
          </w:pPr>
          <w:hyperlink w:anchor="_Toc181606792" w:history="1">
            <w:r w:rsidR="007052FC" w:rsidRPr="00A40EDC">
              <w:rPr>
                <w:rStyle w:val="Hyperlink"/>
                <w:noProof/>
              </w:rPr>
              <w:t>5.2.3.2.</w:t>
            </w:r>
            <w:r w:rsidR="007052FC">
              <w:rPr>
                <w:rFonts w:asciiTheme="minorHAnsi" w:eastAsiaTheme="minorEastAsia" w:hAnsiTheme="minorHAnsi"/>
                <w:noProof/>
                <w:kern w:val="2"/>
                <w:sz w:val="22"/>
                <w:lang w:eastAsia="en-GB"/>
                <w14:ligatures w14:val="standardContextual"/>
              </w:rPr>
              <w:tab/>
            </w:r>
            <w:r w:rsidR="007052FC" w:rsidRPr="00A40EDC">
              <w:rPr>
                <w:rStyle w:val="Hyperlink"/>
                <w:noProof/>
              </w:rPr>
              <w:t>Refined exposure assessment scenario</w:t>
            </w:r>
            <w:r w:rsidR="007052FC">
              <w:rPr>
                <w:noProof/>
                <w:webHidden/>
              </w:rPr>
              <w:tab/>
            </w:r>
            <w:r w:rsidR="007052FC">
              <w:rPr>
                <w:noProof/>
                <w:webHidden/>
              </w:rPr>
              <w:fldChar w:fldCharType="begin"/>
            </w:r>
            <w:r w:rsidR="007052FC">
              <w:rPr>
                <w:noProof/>
                <w:webHidden/>
              </w:rPr>
              <w:instrText xml:space="preserve"> PAGEREF _Toc181606792 \h </w:instrText>
            </w:r>
            <w:r w:rsidR="007052FC">
              <w:rPr>
                <w:noProof/>
                <w:webHidden/>
              </w:rPr>
            </w:r>
            <w:r w:rsidR="007052FC">
              <w:rPr>
                <w:noProof/>
                <w:webHidden/>
              </w:rPr>
              <w:fldChar w:fldCharType="separate"/>
            </w:r>
            <w:r w:rsidR="00172F42">
              <w:rPr>
                <w:noProof/>
                <w:webHidden/>
              </w:rPr>
              <w:t>12</w:t>
            </w:r>
            <w:r w:rsidR="007052FC">
              <w:rPr>
                <w:noProof/>
                <w:webHidden/>
              </w:rPr>
              <w:fldChar w:fldCharType="end"/>
            </w:r>
          </w:hyperlink>
        </w:p>
        <w:p w14:paraId="5EEB26F7" w14:textId="1ED80C0F" w:rsidR="007052FC" w:rsidRDefault="0048673C">
          <w:pPr>
            <w:pStyle w:val="TOC4"/>
            <w:rPr>
              <w:rFonts w:asciiTheme="minorHAnsi" w:eastAsiaTheme="minorEastAsia" w:hAnsiTheme="minorHAnsi"/>
              <w:noProof/>
              <w:kern w:val="2"/>
              <w:sz w:val="22"/>
              <w:lang w:eastAsia="en-GB"/>
              <w14:ligatures w14:val="standardContextual"/>
            </w:rPr>
          </w:pPr>
          <w:hyperlink w:anchor="_Toc181606793" w:history="1">
            <w:r w:rsidR="007052FC" w:rsidRPr="00A40EDC">
              <w:rPr>
                <w:rStyle w:val="Hyperlink"/>
                <w:noProof/>
              </w:rPr>
              <w:t>5.2.3.3.</w:t>
            </w:r>
            <w:r w:rsidR="007052FC">
              <w:rPr>
                <w:rFonts w:asciiTheme="minorHAnsi" w:eastAsiaTheme="minorEastAsia" w:hAnsiTheme="minorHAnsi"/>
                <w:noProof/>
                <w:kern w:val="2"/>
                <w:sz w:val="22"/>
                <w:lang w:eastAsia="en-GB"/>
                <w14:ligatures w14:val="standardContextual"/>
              </w:rPr>
              <w:tab/>
            </w:r>
            <w:r w:rsidR="007052FC" w:rsidRPr="00A40EDC">
              <w:rPr>
                <w:rStyle w:val="Hyperlink"/>
                <w:noProof/>
              </w:rPr>
              <w:t>Other exposure assessment scenarios</w:t>
            </w:r>
            <w:r w:rsidR="007052FC">
              <w:rPr>
                <w:noProof/>
                <w:webHidden/>
              </w:rPr>
              <w:tab/>
            </w:r>
            <w:r w:rsidR="007052FC">
              <w:rPr>
                <w:noProof/>
                <w:webHidden/>
              </w:rPr>
              <w:fldChar w:fldCharType="begin"/>
            </w:r>
            <w:r w:rsidR="007052FC">
              <w:rPr>
                <w:noProof/>
                <w:webHidden/>
              </w:rPr>
              <w:instrText xml:space="preserve"> PAGEREF _Toc181606793 \h </w:instrText>
            </w:r>
            <w:r w:rsidR="007052FC">
              <w:rPr>
                <w:noProof/>
                <w:webHidden/>
              </w:rPr>
            </w:r>
            <w:r w:rsidR="007052FC">
              <w:rPr>
                <w:noProof/>
                <w:webHidden/>
              </w:rPr>
              <w:fldChar w:fldCharType="separate"/>
            </w:r>
            <w:r w:rsidR="00172F42">
              <w:rPr>
                <w:noProof/>
                <w:webHidden/>
              </w:rPr>
              <w:t>14</w:t>
            </w:r>
            <w:r w:rsidR="007052FC">
              <w:rPr>
                <w:noProof/>
                <w:webHidden/>
              </w:rPr>
              <w:fldChar w:fldCharType="end"/>
            </w:r>
          </w:hyperlink>
        </w:p>
        <w:p w14:paraId="7E42A9B1" w14:textId="548BE5D2"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94" w:history="1">
            <w:r w:rsidR="007052FC" w:rsidRPr="00A40EDC">
              <w:rPr>
                <w:rStyle w:val="Hyperlink"/>
                <w:noProof/>
              </w:rPr>
              <w:t>5.2.4.</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Acute exposure assessment of sweeteners under re-evaluation</w:t>
            </w:r>
            <w:r w:rsidR="007052FC">
              <w:rPr>
                <w:noProof/>
                <w:webHidden/>
              </w:rPr>
              <w:tab/>
            </w:r>
            <w:r w:rsidR="007052FC">
              <w:rPr>
                <w:noProof/>
                <w:webHidden/>
              </w:rPr>
              <w:fldChar w:fldCharType="begin"/>
            </w:r>
            <w:r w:rsidR="007052FC">
              <w:rPr>
                <w:noProof/>
                <w:webHidden/>
              </w:rPr>
              <w:instrText xml:space="preserve"> PAGEREF _Toc181606794 \h </w:instrText>
            </w:r>
            <w:r w:rsidR="007052FC">
              <w:rPr>
                <w:noProof/>
                <w:webHidden/>
              </w:rPr>
            </w:r>
            <w:r w:rsidR="007052FC">
              <w:rPr>
                <w:noProof/>
                <w:webHidden/>
              </w:rPr>
              <w:fldChar w:fldCharType="separate"/>
            </w:r>
            <w:r w:rsidR="00172F42">
              <w:rPr>
                <w:noProof/>
                <w:webHidden/>
              </w:rPr>
              <w:t>14</w:t>
            </w:r>
            <w:r w:rsidR="007052FC">
              <w:rPr>
                <w:noProof/>
                <w:webHidden/>
              </w:rPr>
              <w:fldChar w:fldCharType="end"/>
            </w:r>
          </w:hyperlink>
        </w:p>
        <w:p w14:paraId="5E74F4F1" w14:textId="1384578F" w:rsidR="007052FC" w:rsidRDefault="0048673C">
          <w:pPr>
            <w:pStyle w:val="TOC3"/>
            <w:rPr>
              <w:rFonts w:asciiTheme="minorHAnsi" w:eastAsiaTheme="minorEastAsia" w:hAnsiTheme="minorHAnsi" w:cstheme="minorBidi"/>
              <w:noProof/>
              <w:kern w:val="2"/>
              <w:sz w:val="22"/>
              <w:szCs w:val="22"/>
              <w14:ligatures w14:val="standardContextual"/>
            </w:rPr>
          </w:pPr>
          <w:hyperlink w:anchor="_Toc181606795" w:history="1">
            <w:r w:rsidR="007052FC" w:rsidRPr="00A40EDC">
              <w:rPr>
                <w:rStyle w:val="Hyperlink"/>
                <w:noProof/>
              </w:rPr>
              <w:t>5.2.5.</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Uncertainty analysis</w:t>
            </w:r>
            <w:r w:rsidR="007052FC">
              <w:rPr>
                <w:noProof/>
                <w:webHidden/>
              </w:rPr>
              <w:tab/>
            </w:r>
            <w:r w:rsidR="007052FC">
              <w:rPr>
                <w:noProof/>
                <w:webHidden/>
              </w:rPr>
              <w:fldChar w:fldCharType="begin"/>
            </w:r>
            <w:r w:rsidR="007052FC">
              <w:rPr>
                <w:noProof/>
                <w:webHidden/>
              </w:rPr>
              <w:instrText xml:space="preserve"> PAGEREF _Toc181606795 \h </w:instrText>
            </w:r>
            <w:r w:rsidR="007052FC">
              <w:rPr>
                <w:noProof/>
                <w:webHidden/>
              </w:rPr>
            </w:r>
            <w:r w:rsidR="007052FC">
              <w:rPr>
                <w:noProof/>
                <w:webHidden/>
              </w:rPr>
              <w:fldChar w:fldCharType="separate"/>
            </w:r>
            <w:r w:rsidR="00172F42">
              <w:rPr>
                <w:noProof/>
                <w:webHidden/>
              </w:rPr>
              <w:t>15</w:t>
            </w:r>
            <w:r w:rsidR="007052FC">
              <w:rPr>
                <w:noProof/>
                <w:webHidden/>
              </w:rPr>
              <w:fldChar w:fldCharType="end"/>
            </w:r>
          </w:hyperlink>
        </w:p>
        <w:p w14:paraId="47E5B551" w14:textId="79E8181C" w:rsidR="007052FC" w:rsidRDefault="0048673C">
          <w:pPr>
            <w:pStyle w:val="TOC2"/>
            <w:rPr>
              <w:rFonts w:asciiTheme="minorHAnsi" w:eastAsiaTheme="minorEastAsia" w:hAnsiTheme="minorHAnsi" w:cstheme="minorBidi"/>
              <w:noProof/>
              <w:kern w:val="2"/>
              <w:sz w:val="22"/>
              <w:szCs w:val="22"/>
              <w14:ligatures w14:val="standardContextual"/>
            </w:rPr>
          </w:pPr>
          <w:hyperlink w:anchor="_Toc181606796" w:history="1">
            <w:r w:rsidR="007052FC" w:rsidRPr="00A40EDC">
              <w:rPr>
                <w:rStyle w:val="Hyperlink"/>
                <w:noProof/>
              </w:rPr>
              <w:t>5.3.</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Comparison with human urinary biomonitoring studies</w:t>
            </w:r>
            <w:r w:rsidR="007052FC">
              <w:rPr>
                <w:noProof/>
                <w:webHidden/>
              </w:rPr>
              <w:tab/>
            </w:r>
            <w:r w:rsidR="007052FC">
              <w:rPr>
                <w:noProof/>
                <w:webHidden/>
              </w:rPr>
              <w:fldChar w:fldCharType="begin"/>
            </w:r>
            <w:r w:rsidR="007052FC">
              <w:rPr>
                <w:noProof/>
                <w:webHidden/>
              </w:rPr>
              <w:instrText xml:space="preserve"> PAGEREF _Toc181606796 \h </w:instrText>
            </w:r>
            <w:r w:rsidR="007052FC">
              <w:rPr>
                <w:noProof/>
                <w:webHidden/>
              </w:rPr>
            </w:r>
            <w:r w:rsidR="007052FC">
              <w:rPr>
                <w:noProof/>
                <w:webHidden/>
              </w:rPr>
              <w:fldChar w:fldCharType="separate"/>
            </w:r>
            <w:r w:rsidR="00172F42">
              <w:rPr>
                <w:noProof/>
                <w:webHidden/>
              </w:rPr>
              <w:t>16</w:t>
            </w:r>
            <w:r w:rsidR="007052FC">
              <w:rPr>
                <w:noProof/>
                <w:webHidden/>
              </w:rPr>
              <w:fldChar w:fldCharType="end"/>
            </w:r>
          </w:hyperlink>
        </w:p>
        <w:p w14:paraId="5269B041" w14:textId="7371DC62"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97" w:history="1">
            <w:r w:rsidR="007052FC" w:rsidRPr="00A40EDC">
              <w:rPr>
                <w:rStyle w:val="Hyperlink"/>
                <w:noProof/>
              </w:rPr>
              <w:t>References</w:t>
            </w:r>
            <w:r w:rsidR="007052FC">
              <w:rPr>
                <w:noProof/>
                <w:webHidden/>
              </w:rPr>
              <w:tab/>
            </w:r>
            <w:r w:rsidR="007052FC">
              <w:rPr>
                <w:noProof/>
                <w:webHidden/>
              </w:rPr>
              <w:fldChar w:fldCharType="begin"/>
            </w:r>
            <w:r w:rsidR="007052FC">
              <w:rPr>
                <w:noProof/>
                <w:webHidden/>
              </w:rPr>
              <w:instrText xml:space="preserve"> PAGEREF _Toc181606797 \h </w:instrText>
            </w:r>
            <w:r w:rsidR="007052FC">
              <w:rPr>
                <w:noProof/>
                <w:webHidden/>
              </w:rPr>
            </w:r>
            <w:r w:rsidR="007052FC">
              <w:rPr>
                <w:noProof/>
                <w:webHidden/>
              </w:rPr>
              <w:fldChar w:fldCharType="separate"/>
            </w:r>
            <w:r w:rsidR="00172F42">
              <w:rPr>
                <w:noProof/>
                <w:webHidden/>
              </w:rPr>
              <w:t>16</w:t>
            </w:r>
            <w:r w:rsidR="007052FC">
              <w:rPr>
                <w:noProof/>
                <w:webHidden/>
              </w:rPr>
              <w:fldChar w:fldCharType="end"/>
            </w:r>
          </w:hyperlink>
        </w:p>
        <w:p w14:paraId="3B9B808F" w14:textId="655CBE4E" w:rsidR="007052FC" w:rsidRDefault="0048673C">
          <w:pPr>
            <w:pStyle w:val="TOC1"/>
            <w:rPr>
              <w:rFonts w:asciiTheme="minorHAnsi" w:eastAsiaTheme="minorEastAsia" w:hAnsiTheme="minorHAnsi" w:cstheme="minorBidi"/>
              <w:noProof/>
              <w:kern w:val="2"/>
              <w:sz w:val="22"/>
              <w:szCs w:val="22"/>
              <w14:ligatures w14:val="standardContextual"/>
            </w:rPr>
          </w:pPr>
          <w:hyperlink w:anchor="_Toc181606798" w:history="1">
            <w:r w:rsidR="007052FC" w:rsidRPr="00A40EDC">
              <w:rPr>
                <w:rStyle w:val="Hyperlink"/>
                <w:noProof/>
              </w:rPr>
              <w:t>Abbreviations</w:t>
            </w:r>
            <w:r w:rsidR="007052FC">
              <w:rPr>
                <w:noProof/>
                <w:webHidden/>
              </w:rPr>
              <w:tab/>
            </w:r>
            <w:r w:rsidR="007052FC">
              <w:rPr>
                <w:noProof/>
                <w:webHidden/>
              </w:rPr>
              <w:fldChar w:fldCharType="begin"/>
            </w:r>
            <w:r w:rsidR="007052FC">
              <w:rPr>
                <w:noProof/>
                <w:webHidden/>
              </w:rPr>
              <w:instrText xml:space="preserve"> PAGEREF _Toc181606798 \h </w:instrText>
            </w:r>
            <w:r w:rsidR="007052FC">
              <w:rPr>
                <w:noProof/>
                <w:webHidden/>
              </w:rPr>
            </w:r>
            <w:r w:rsidR="007052FC">
              <w:rPr>
                <w:noProof/>
                <w:webHidden/>
              </w:rPr>
              <w:fldChar w:fldCharType="separate"/>
            </w:r>
            <w:r w:rsidR="00172F42">
              <w:rPr>
                <w:noProof/>
                <w:webHidden/>
              </w:rPr>
              <w:t>18</w:t>
            </w:r>
            <w:r w:rsidR="007052FC">
              <w:rPr>
                <w:noProof/>
                <w:webHidden/>
              </w:rPr>
              <w:fldChar w:fldCharType="end"/>
            </w:r>
          </w:hyperlink>
        </w:p>
        <w:p w14:paraId="579FCAB6" w14:textId="6C3CAA38" w:rsidR="007052FC" w:rsidRDefault="0048673C">
          <w:pPr>
            <w:pStyle w:val="TOC1"/>
            <w:tabs>
              <w:tab w:val="left" w:pos="1540"/>
            </w:tabs>
            <w:rPr>
              <w:rFonts w:asciiTheme="minorHAnsi" w:eastAsiaTheme="minorEastAsia" w:hAnsiTheme="minorHAnsi" w:cstheme="minorBidi"/>
              <w:noProof/>
              <w:kern w:val="2"/>
              <w:sz w:val="22"/>
              <w:szCs w:val="22"/>
              <w14:ligatures w14:val="standardContextual"/>
            </w:rPr>
          </w:pPr>
          <w:hyperlink w:anchor="_Toc181606799" w:history="1">
            <w:r w:rsidR="007052FC" w:rsidRPr="00A40EDC">
              <w:rPr>
                <w:rStyle w:val="Hyperlink"/>
                <w:noProof/>
              </w:rPr>
              <w:t>Appendix A –</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Link between the FoodEx2 classification system and the food sub-categories used in Mintel GNPD</w:t>
            </w:r>
            <w:r w:rsidR="007052FC">
              <w:rPr>
                <w:noProof/>
                <w:webHidden/>
              </w:rPr>
              <w:tab/>
            </w:r>
            <w:r w:rsidR="007052FC">
              <w:rPr>
                <w:noProof/>
                <w:webHidden/>
              </w:rPr>
              <w:fldChar w:fldCharType="begin"/>
            </w:r>
            <w:r w:rsidR="007052FC">
              <w:rPr>
                <w:noProof/>
                <w:webHidden/>
              </w:rPr>
              <w:instrText xml:space="preserve"> PAGEREF _Toc181606799 \h </w:instrText>
            </w:r>
            <w:r w:rsidR="007052FC">
              <w:rPr>
                <w:noProof/>
                <w:webHidden/>
              </w:rPr>
            </w:r>
            <w:r w:rsidR="007052FC">
              <w:rPr>
                <w:noProof/>
                <w:webHidden/>
              </w:rPr>
              <w:fldChar w:fldCharType="separate"/>
            </w:r>
            <w:r w:rsidR="00172F42">
              <w:rPr>
                <w:noProof/>
                <w:webHidden/>
              </w:rPr>
              <w:t>19</w:t>
            </w:r>
            <w:r w:rsidR="007052FC">
              <w:rPr>
                <w:noProof/>
                <w:webHidden/>
              </w:rPr>
              <w:fldChar w:fldCharType="end"/>
            </w:r>
          </w:hyperlink>
        </w:p>
        <w:p w14:paraId="28307D03" w14:textId="35DD88E8" w:rsidR="007052FC" w:rsidRDefault="0048673C">
          <w:pPr>
            <w:pStyle w:val="TOC1"/>
            <w:tabs>
              <w:tab w:val="left" w:pos="1540"/>
            </w:tabs>
            <w:rPr>
              <w:rFonts w:asciiTheme="minorHAnsi" w:eastAsiaTheme="minorEastAsia" w:hAnsiTheme="minorHAnsi" w:cstheme="minorBidi"/>
              <w:noProof/>
              <w:kern w:val="2"/>
              <w:sz w:val="22"/>
              <w:szCs w:val="22"/>
              <w14:ligatures w14:val="standardContextual"/>
            </w:rPr>
          </w:pPr>
          <w:hyperlink w:anchor="_Toc181606800" w:history="1">
            <w:r w:rsidR="007052FC" w:rsidRPr="00A40EDC">
              <w:rPr>
                <w:rStyle w:val="Hyperlink"/>
                <w:noProof/>
              </w:rPr>
              <w:t>Appendix B –</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Percentage of products within the food sub-categories used in Mintel GNPD labelled to contain at least one sweetener</w:t>
            </w:r>
            <w:r w:rsidR="007052FC">
              <w:rPr>
                <w:noProof/>
                <w:webHidden/>
              </w:rPr>
              <w:tab/>
            </w:r>
            <w:r w:rsidR="007052FC">
              <w:rPr>
                <w:noProof/>
                <w:webHidden/>
              </w:rPr>
              <w:fldChar w:fldCharType="begin"/>
            </w:r>
            <w:r w:rsidR="007052FC">
              <w:rPr>
                <w:noProof/>
                <w:webHidden/>
              </w:rPr>
              <w:instrText xml:space="preserve"> PAGEREF _Toc181606800 \h </w:instrText>
            </w:r>
            <w:r w:rsidR="007052FC">
              <w:rPr>
                <w:noProof/>
                <w:webHidden/>
              </w:rPr>
            </w:r>
            <w:r w:rsidR="007052FC">
              <w:rPr>
                <w:noProof/>
                <w:webHidden/>
              </w:rPr>
              <w:fldChar w:fldCharType="separate"/>
            </w:r>
            <w:r w:rsidR="00172F42">
              <w:rPr>
                <w:noProof/>
                <w:webHidden/>
              </w:rPr>
              <w:t>19</w:t>
            </w:r>
            <w:r w:rsidR="007052FC">
              <w:rPr>
                <w:noProof/>
                <w:webHidden/>
              </w:rPr>
              <w:fldChar w:fldCharType="end"/>
            </w:r>
          </w:hyperlink>
        </w:p>
        <w:p w14:paraId="6738AE36" w14:textId="5B077D81" w:rsidR="007052FC" w:rsidRDefault="0048673C">
          <w:pPr>
            <w:pStyle w:val="TOC1"/>
            <w:tabs>
              <w:tab w:val="left" w:pos="1540"/>
            </w:tabs>
            <w:rPr>
              <w:rFonts w:asciiTheme="minorHAnsi" w:eastAsiaTheme="minorEastAsia" w:hAnsiTheme="minorHAnsi" w:cstheme="minorBidi"/>
              <w:noProof/>
              <w:kern w:val="2"/>
              <w:sz w:val="22"/>
              <w:szCs w:val="22"/>
              <w14:ligatures w14:val="standardContextual"/>
            </w:rPr>
          </w:pPr>
          <w:hyperlink w:anchor="_Toc181606801" w:history="1">
            <w:r w:rsidR="007052FC" w:rsidRPr="00A40EDC">
              <w:rPr>
                <w:rStyle w:val="Hyperlink"/>
                <w:noProof/>
              </w:rPr>
              <w:t>Appendix C –</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Food consumption statistics (consumers only) per country and age class (in g/day)</w:t>
            </w:r>
            <w:r w:rsidR="007052FC">
              <w:rPr>
                <w:noProof/>
                <w:webHidden/>
              </w:rPr>
              <w:tab/>
            </w:r>
            <w:r w:rsidR="007052FC">
              <w:rPr>
                <w:noProof/>
                <w:webHidden/>
              </w:rPr>
              <w:fldChar w:fldCharType="begin"/>
            </w:r>
            <w:r w:rsidR="007052FC">
              <w:rPr>
                <w:noProof/>
                <w:webHidden/>
              </w:rPr>
              <w:instrText xml:space="preserve"> PAGEREF _Toc181606801 \h </w:instrText>
            </w:r>
            <w:r w:rsidR="007052FC">
              <w:rPr>
                <w:noProof/>
                <w:webHidden/>
              </w:rPr>
            </w:r>
            <w:r w:rsidR="007052FC">
              <w:rPr>
                <w:noProof/>
                <w:webHidden/>
              </w:rPr>
              <w:fldChar w:fldCharType="separate"/>
            </w:r>
            <w:r w:rsidR="00172F42">
              <w:rPr>
                <w:noProof/>
                <w:webHidden/>
              </w:rPr>
              <w:t>19</w:t>
            </w:r>
            <w:r w:rsidR="007052FC">
              <w:rPr>
                <w:noProof/>
                <w:webHidden/>
              </w:rPr>
              <w:fldChar w:fldCharType="end"/>
            </w:r>
          </w:hyperlink>
        </w:p>
        <w:p w14:paraId="04802A75" w14:textId="02210BAF" w:rsidR="007052FC" w:rsidRDefault="0048673C">
          <w:pPr>
            <w:pStyle w:val="TOC1"/>
            <w:tabs>
              <w:tab w:val="left" w:pos="1540"/>
            </w:tabs>
            <w:rPr>
              <w:rFonts w:asciiTheme="minorHAnsi" w:eastAsiaTheme="minorEastAsia" w:hAnsiTheme="minorHAnsi" w:cstheme="minorBidi"/>
              <w:noProof/>
              <w:kern w:val="2"/>
              <w:sz w:val="22"/>
              <w:szCs w:val="22"/>
              <w14:ligatures w14:val="standardContextual"/>
            </w:rPr>
          </w:pPr>
          <w:hyperlink w:anchor="_Toc181606802" w:history="1">
            <w:r w:rsidR="007052FC" w:rsidRPr="00A40EDC">
              <w:rPr>
                <w:rStyle w:val="Hyperlink"/>
                <w:noProof/>
              </w:rPr>
              <w:t>Appendix D –</w:t>
            </w:r>
            <w:r w:rsidR="007052FC">
              <w:rPr>
                <w:rFonts w:asciiTheme="minorHAnsi" w:eastAsiaTheme="minorEastAsia" w:hAnsiTheme="minorHAnsi" w:cstheme="minorBidi"/>
                <w:noProof/>
                <w:kern w:val="2"/>
                <w:sz w:val="22"/>
                <w:szCs w:val="22"/>
                <w14:ligatures w14:val="standardContextual"/>
              </w:rPr>
              <w:tab/>
            </w:r>
            <w:r w:rsidR="007052FC" w:rsidRPr="00A40EDC">
              <w:rPr>
                <w:rStyle w:val="Hyperlink"/>
                <w:noProof/>
              </w:rPr>
              <w:t>Percentage of eating occasions and in quantity for which at least one relevant facet was reported</w:t>
            </w:r>
            <w:r w:rsidR="007052FC">
              <w:rPr>
                <w:noProof/>
                <w:webHidden/>
              </w:rPr>
              <w:tab/>
            </w:r>
            <w:r w:rsidR="007052FC">
              <w:rPr>
                <w:noProof/>
                <w:webHidden/>
              </w:rPr>
              <w:fldChar w:fldCharType="begin"/>
            </w:r>
            <w:r w:rsidR="007052FC">
              <w:rPr>
                <w:noProof/>
                <w:webHidden/>
              </w:rPr>
              <w:instrText xml:space="preserve"> PAGEREF _Toc181606802 \h </w:instrText>
            </w:r>
            <w:r w:rsidR="007052FC">
              <w:rPr>
                <w:noProof/>
                <w:webHidden/>
              </w:rPr>
            </w:r>
            <w:r w:rsidR="007052FC">
              <w:rPr>
                <w:noProof/>
                <w:webHidden/>
              </w:rPr>
              <w:fldChar w:fldCharType="separate"/>
            </w:r>
            <w:r w:rsidR="00172F42">
              <w:rPr>
                <w:noProof/>
                <w:webHidden/>
              </w:rPr>
              <w:t>19</w:t>
            </w:r>
            <w:r w:rsidR="007052FC">
              <w:rPr>
                <w:noProof/>
                <w:webHidden/>
              </w:rPr>
              <w:fldChar w:fldCharType="end"/>
            </w:r>
          </w:hyperlink>
        </w:p>
        <w:p w14:paraId="53E4DC5E" w14:textId="7B8F974F" w:rsidR="001219D4" w:rsidRDefault="00D9214B" w:rsidP="00D9214B">
          <w:r>
            <w:rPr>
              <w:rFonts w:ascii="Tahoma" w:eastAsia="Times New Roman" w:hAnsi="Tahoma" w:cs="Times New Roman"/>
              <w:color w:val="2B579A"/>
              <w:sz w:val="20"/>
              <w:szCs w:val="20"/>
              <w:shd w:val="clear" w:color="auto" w:fill="E6E6E6"/>
              <w:lang w:eastAsia="en-GB"/>
            </w:rPr>
            <w:fldChar w:fldCharType="end"/>
          </w:r>
        </w:p>
      </w:sdtContent>
    </w:sdt>
    <w:p w14:paraId="0DE6D579" w14:textId="77777777" w:rsidR="00214C6C" w:rsidRDefault="00214C6C" w:rsidP="00214C6C">
      <w:pPr>
        <w:spacing w:after="0"/>
      </w:pPr>
      <w:r>
        <w:br w:type="page"/>
      </w:r>
    </w:p>
    <w:p w14:paraId="103CBB34" w14:textId="567886AF" w:rsidR="004518E3" w:rsidRDefault="004518E3" w:rsidP="00A6652C">
      <w:pPr>
        <w:spacing w:after="0"/>
        <w:jc w:val="both"/>
        <w:rPr>
          <w:rFonts w:ascii="Tahoma" w:hAnsi="Tahoma"/>
          <w:sz w:val="20"/>
          <w:szCs w:val="20"/>
        </w:rPr>
      </w:pPr>
      <w:r w:rsidRPr="00B738DF">
        <w:rPr>
          <w:rFonts w:ascii="Tahoma" w:hAnsi="Tahoma"/>
          <w:sz w:val="20"/>
          <w:szCs w:val="20"/>
        </w:rPr>
        <w:lastRenderedPageBreak/>
        <w:t xml:space="preserve">Please note that the blue font text corresponds to text revised compared with the published EFSA </w:t>
      </w:r>
      <w:r w:rsidR="00DB3D0A">
        <w:rPr>
          <w:rFonts w:ascii="Tahoma" w:hAnsi="Tahoma"/>
          <w:sz w:val="20"/>
          <w:szCs w:val="20"/>
        </w:rPr>
        <w:t xml:space="preserve">draft </w:t>
      </w:r>
      <w:r w:rsidRPr="00B738DF">
        <w:rPr>
          <w:rFonts w:ascii="Tahoma" w:hAnsi="Tahoma"/>
          <w:sz w:val="20"/>
          <w:szCs w:val="20"/>
        </w:rPr>
        <w:t xml:space="preserve">protocol </w:t>
      </w:r>
      <w:r w:rsidR="00D11EE4" w:rsidRPr="002753B1">
        <w:rPr>
          <w:rFonts w:ascii="Tahoma" w:hAnsi="Tahoma"/>
          <w:sz w:val="20"/>
          <w:szCs w:val="20"/>
        </w:rPr>
        <w:t xml:space="preserve">for assessing exposure to sweeteners as part of their safety assessment under the food </w:t>
      </w:r>
      <w:r w:rsidR="00D11EE4" w:rsidRPr="009D0021">
        <w:rPr>
          <w:rFonts w:ascii="Tahoma" w:hAnsi="Tahoma"/>
          <w:sz w:val="20"/>
          <w:szCs w:val="20"/>
        </w:rPr>
        <w:t xml:space="preserve">additives re-evaluation programme </w:t>
      </w:r>
      <w:r w:rsidRPr="009D0021">
        <w:rPr>
          <w:rFonts w:ascii="Tahoma" w:hAnsi="Tahoma"/>
          <w:sz w:val="20"/>
          <w:szCs w:val="20"/>
        </w:rPr>
        <w:t>(EFSA, 2020).</w:t>
      </w:r>
      <w:r w:rsidR="002365FB">
        <w:rPr>
          <w:rFonts w:ascii="Tahoma" w:hAnsi="Tahoma"/>
          <w:sz w:val="20"/>
          <w:szCs w:val="20"/>
        </w:rPr>
        <w:t xml:space="preserve"> </w:t>
      </w:r>
    </w:p>
    <w:p w14:paraId="0FCD3166" w14:textId="60861F0D" w:rsidR="002365FB" w:rsidRDefault="00AB3099" w:rsidP="00A6652C">
      <w:pPr>
        <w:spacing w:after="0"/>
        <w:jc w:val="both"/>
        <w:rPr>
          <w:rFonts w:ascii="Tahoma" w:hAnsi="Tahoma"/>
          <w:sz w:val="20"/>
          <w:szCs w:val="20"/>
        </w:rPr>
      </w:pPr>
      <w:r>
        <w:rPr>
          <w:rFonts w:ascii="Tahoma" w:hAnsi="Tahoma"/>
          <w:sz w:val="20"/>
          <w:szCs w:val="20"/>
        </w:rPr>
        <w:t>Editorial c</w:t>
      </w:r>
      <w:r w:rsidR="002365FB">
        <w:rPr>
          <w:rFonts w:ascii="Tahoma" w:hAnsi="Tahoma"/>
          <w:sz w:val="20"/>
          <w:szCs w:val="20"/>
        </w:rPr>
        <w:t>hanges</w:t>
      </w:r>
      <w:r w:rsidR="00DF3122">
        <w:rPr>
          <w:rFonts w:ascii="Tahoma" w:hAnsi="Tahoma"/>
          <w:sz w:val="20"/>
          <w:szCs w:val="20"/>
        </w:rPr>
        <w:t xml:space="preserve">, </w:t>
      </w:r>
      <w:r w:rsidR="00D3586F">
        <w:rPr>
          <w:rFonts w:ascii="Tahoma" w:hAnsi="Tahoma"/>
          <w:sz w:val="20"/>
          <w:szCs w:val="20"/>
        </w:rPr>
        <w:t>rewording</w:t>
      </w:r>
      <w:r w:rsidR="00DF3122">
        <w:rPr>
          <w:rFonts w:ascii="Tahoma" w:hAnsi="Tahoma"/>
          <w:sz w:val="20"/>
          <w:szCs w:val="20"/>
        </w:rPr>
        <w:t xml:space="preserve"> and updated figures/link</w:t>
      </w:r>
      <w:r w:rsidR="00D3586F">
        <w:rPr>
          <w:rFonts w:ascii="Tahoma" w:hAnsi="Tahoma"/>
          <w:sz w:val="20"/>
          <w:szCs w:val="20"/>
        </w:rPr>
        <w:t xml:space="preserve"> are not traced </w:t>
      </w:r>
      <w:r w:rsidR="003E1842">
        <w:rPr>
          <w:rFonts w:ascii="Tahoma" w:hAnsi="Tahoma"/>
          <w:sz w:val="20"/>
          <w:szCs w:val="20"/>
        </w:rPr>
        <w:t xml:space="preserve">in </w:t>
      </w:r>
      <w:r w:rsidR="00180141">
        <w:rPr>
          <w:rFonts w:ascii="Tahoma" w:hAnsi="Tahoma"/>
          <w:sz w:val="20"/>
          <w:szCs w:val="20"/>
        </w:rPr>
        <w:t>blue</w:t>
      </w:r>
      <w:r w:rsidR="00625207">
        <w:rPr>
          <w:rFonts w:ascii="Tahoma" w:hAnsi="Tahoma"/>
          <w:sz w:val="20"/>
          <w:szCs w:val="20"/>
        </w:rPr>
        <w:t>.</w:t>
      </w:r>
    </w:p>
    <w:p w14:paraId="2FBE6B42" w14:textId="77777777" w:rsidR="00D11EE4" w:rsidRPr="00B738DF" w:rsidRDefault="00D11EE4" w:rsidP="00A6652C">
      <w:pPr>
        <w:spacing w:after="0"/>
        <w:jc w:val="both"/>
        <w:rPr>
          <w:rFonts w:ascii="Tahoma" w:hAnsi="Tahoma"/>
          <w:sz w:val="20"/>
          <w:szCs w:val="20"/>
        </w:rPr>
      </w:pPr>
    </w:p>
    <w:p w14:paraId="04E663C8" w14:textId="77777777" w:rsidR="004518E3" w:rsidRPr="00AD2B39" w:rsidRDefault="004518E3" w:rsidP="004518E3">
      <w:pPr>
        <w:pStyle w:val="EFSABodytext"/>
      </w:pPr>
      <w:r w:rsidRPr="007D2512">
        <w:rPr>
          <w:b/>
          <w:bCs/>
        </w:rPr>
        <w:t>Annex to</w:t>
      </w:r>
      <w:r w:rsidRPr="00AD2B39">
        <w:t>:</w:t>
      </w:r>
    </w:p>
    <w:p w14:paraId="158E9160" w14:textId="73450379" w:rsidR="004518E3" w:rsidRPr="000C5756" w:rsidRDefault="004518E3" w:rsidP="00664E73">
      <w:pPr>
        <w:autoSpaceDE w:val="0"/>
        <w:autoSpaceDN w:val="0"/>
        <w:adjustRightInd w:val="0"/>
        <w:snapToGrid w:val="0"/>
        <w:spacing w:after="0" w:line="240" w:lineRule="auto"/>
        <w:jc w:val="both"/>
        <w:rPr>
          <w:rFonts w:ascii="Tahoma" w:hAnsi="Tahoma"/>
          <w:sz w:val="20"/>
          <w:szCs w:val="20"/>
        </w:rPr>
      </w:pPr>
      <w:r w:rsidRPr="00664E73">
        <w:rPr>
          <w:rFonts w:ascii="Tahoma" w:hAnsi="Tahoma"/>
          <w:sz w:val="20"/>
          <w:szCs w:val="20"/>
        </w:rPr>
        <w:t xml:space="preserve">EFSA (European Food Safety Authority), 2020. Technical report. Outcome of the public consultation on a draft protocol for </w:t>
      </w:r>
      <w:r w:rsidR="00664E73" w:rsidRPr="00664E73">
        <w:rPr>
          <w:rFonts w:ascii="Tahoma" w:hAnsi="Tahoma"/>
          <w:sz w:val="20"/>
          <w:szCs w:val="20"/>
        </w:rPr>
        <w:t>assessing exposure to sweeteners as part of their safety assessment under the food additives re-evaluation programme</w:t>
      </w:r>
      <w:r w:rsidRPr="00664E73">
        <w:rPr>
          <w:rFonts w:ascii="Tahoma" w:hAnsi="Tahoma"/>
          <w:sz w:val="20"/>
          <w:szCs w:val="20"/>
        </w:rPr>
        <w:t xml:space="preserve">. </w:t>
      </w:r>
      <w:r w:rsidRPr="000C5756">
        <w:rPr>
          <w:rFonts w:ascii="Tahoma" w:hAnsi="Tahoma"/>
          <w:sz w:val="20"/>
          <w:szCs w:val="20"/>
        </w:rPr>
        <w:t>EFSA supporting publication 2020: EN-1</w:t>
      </w:r>
      <w:r w:rsidR="00720F90" w:rsidRPr="000C5756">
        <w:rPr>
          <w:rFonts w:ascii="Tahoma" w:hAnsi="Tahoma"/>
          <w:sz w:val="20"/>
          <w:szCs w:val="20"/>
        </w:rPr>
        <w:t>1913</w:t>
      </w:r>
      <w:r w:rsidRPr="000C5756">
        <w:rPr>
          <w:rFonts w:ascii="Tahoma" w:hAnsi="Tahoma"/>
          <w:sz w:val="20"/>
          <w:szCs w:val="20"/>
        </w:rPr>
        <w:t xml:space="preserve">. </w:t>
      </w:r>
      <w:r w:rsidR="00720F90" w:rsidRPr="000C5756">
        <w:rPr>
          <w:rFonts w:ascii="Tahoma" w:hAnsi="Tahoma"/>
          <w:sz w:val="20"/>
          <w:szCs w:val="20"/>
        </w:rPr>
        <w:t>52</w:t>
      </w:r>
      <w:r w:rsidRPr="000C5756">
        <w:rPr>
          <w:rFonts w:ascii="Tahoma" w:hAnsi="Tahoma"/>
          <w:sz w:val="20"/>
          <w:szCs w:val="20"/>
        </w:rPr>
        <w:t xml:space="preserve"> pp. doi:10.2903/sp.efsa.2020. EN-1</w:t>
      </w:r>
      <w:r w:rsidR="00944ED9" w:rsidRPr="000C5756">
        <w:rPr>
          <w:rFonts w:ascii="Tahoma" w:hAnsi="Tahoma"/>
          <w:sz w:val="20"/>
          <w:szCs w:val="20"/>
        </w:rPr>
        <w:t>913</w:t>
      </w:r>
    </w:p>
    <w:p w14:paraId="196BDFAD" w14:textId="77777777" w:rsidR="004518E3" w:rsidRPr="000C5756" w:rsidRDefault="004518E3" w:rsidP="00664E73">
      <w:pPr>
        <w:pStyle w:val="EFSABodytext"/>
      </w:pPr>
      <w:r w:rsidRPr="000C5756">
        <w:t>ISSN: 2397-8325</w:t>
      </w:r>
    </w:p>
    <w:p w14:paraId="5A70B47B" w14:textId="1F44B400" w:rsidR="004518E3" w:rsidRDefault="004518E3" w:rsidP="004518E3">
      <w:pPr>
        <w:pStyle w:val="EFSABodytext"/>
      </w:pPr>
      <w:r>
        <w:t xml:space="preserve">© </w:t>
      </w:r>
      <w:r w:rsidRPr="00357734">
        <w:t>European Food Safety Authority</w:t>
      </w:r>
      <w:r>
        <w:t>, 2020</w:t>
      </w:r>
    </w:p>
    <w:p w14:paraId="30C8BB36" w14:textId="77777777" w:rsidR="004518E3" w:rsidRDefault="004518E3" w:rsidP="004518E3">
      <w:pPr>
        <w:pStyle w:val="EFSABodytext"/>
      </w:pPr>
      <w:r w:rsidRPr="003F6373">
        <w:t>Reproduction is authorised provided the source is acknowledged.</w:t>
      </w:r>
    </w:p>
    <w:p w14:paraId="5932EA02" w14:textId="77777777" w:rsidR="004E613C" w:rsidRDefault="004E613C" w:rsidP="00214C6C">
      <w:pPr>
        <w:spacing w:after="0"/>
      </w:pPr>
    </w:p>
    <w:p w14:paraId="01CEDE6E" w14:textId="77777777" w:rsidR="00581D38" w:rsidRPr="007F1D1F" w:rsidRDefault="00581D38" w:rsidP="00581D38">
      <w:pPr>
        <w:pStyle w:val="EFSAHeading1"/>
        <w:numPr>
          <w:ilvl w:val="0"/>
          <w:numId w:val="0"/>
        </w:numPr>
        <w:ind w:left="1021" w:hanging="1021"/>
        <w:rPr>
          <w:color w:val="4F81BD" w:themeColor="accent1"/>
        </w:rPr>
      </w:pPr>
      <w:bookmarkStart w:id="6" w:name="_Toc63859951"/>
      <w:bookmarkStart w:id="7" w:name="_Toc82100024"/>
      <w:bookmarkStart w:id="8" w:name="_Toc131164086"/>
      <w:r w:rsidRPr="007F1D1F">
        <w:rPr>
          <w:color w:val="4F81BD" w:themeColor="accent1"/>
        </w:rPr>
        <w:t>Amendments to the protocol</w:t>
      </w:r>
      <w:bookmarkEnd w:id="6"/>
      <w:bookmarkEnd w:id="7"/>
      <w:bookmarkEnd w:id="8"/>
      <w:r w:rsidRPr="007F1D1F">
        <w:rPr>
          <w:color w:val="4F81BD" w:themeColor="accent1"/>
        </w:rPr>
        <w:t xml:space="preserve"> </w:t>
      </w:r>
    </w:p>
    <w:p w14:paraId="1D54EA1E" w14:textId="33205D3A" w:rsidR="00C908F5" w:rsidRPr="004B0171" w:rsidRDefault="00C908F5" w:rsidP="00C908F5">
      <w:pPr>
        <w:pStyle w:val="EFSABodytext"/>
        <w:rPr>
          <w:color w:val="4F81BD" w:themeColor="accent1"/>
        </w:rPr>
      </w:pPr>
      <w:r w:rsidRPr="004B0171">
        <w:rPr>
          <w:color w:val="4F81BD" w:themeColor="accent1"/>
        </w:rPr>
        <w:t xml:space="preserve">The original </w:t>
      </w:r>
      <w:r w:rsidR="00126494">
        <w:rPr>
          <w:color w:val="4F81BD" w:themeColor="accent1"/>
        </w:rPr>
        <w:t xml:space="preserve">draft </w:t>
      </w:r>
      <w:r w:rsidRPr="004B0171">
        <w:rPr>
          <w:color w:val="4F81BD" w:themeColor="accent1"/>
        </w:rPr>
        <w:t xml:space="preserve">protocol was approved by the FAF Panel on </w:t>
      </w:r>
      <w:r w:rsidR="004E44F6">
        <w:rPr>
          <w:color w:val="4F81BD" w:themeColor="accent1"/>
        </w:rPr>
        <w:t>23</w:t>
      </w:r>
      <w:r w:rsidR="004E44F6" w:rsidRPr="004B0171">
        <w:rPr>
          <w:color w:val="4F81BD" w:themeColor="accent1"/>
        </w:rPr>
        <w:t xml:space="preserve"> </w:t>
      </w:r>
      <w:r w:rsidR="004E44F6">
        <w:rPr>
          <w:color w:val="4F81BD" w:themeColor="accent1"/>
        </w:rPr>
        <w:t>July</w:t>
      </w:r>
      <w:r w:rsidRPr="004B0171">
        <w:rPr>
          <w:color w:val="4F81BD" w:themeColor="accent1"/>
        </w:rPr>
        <w:t xml:space="preserve"> 2020 and published as an EFSA supporting publication on 1</w:t>
      </w:r>
      <w:r w:rsidR="00506808">
        <w:rPr>
          <w:color w:val="4F81BD" w:themeColor="accent1"/>
        </w:rPr>
        <w:t>1</w:t>
      </w:r>
      <w:r w:rsidRPr="004B0171">
        <w:rPr>
          <w:color w:val="4F81BD" w:themeColor="accent1"/>
        </w:rPr>
        <w:t xml:space="preserve"> </w:t>
      </w:r>
      <w:r w:rsidR="00506808">
        <w:rPr>
          <w:color w:val="4F81BD" w:themeColor="accent1"/>
        </w:rPr>
        <w:t>August</w:t>
      </w:r>
      <w:r w:rsidRPr="004B0171">
        <w:rPr>
          <w:color w:val="4F81BD" w:themeColor="accent1"/>
        </w:rPr>
        <w:t xml:space="preserve"> 2020. </w:t>
      </w:r>
    </w:p>
    <w:p w14:paraId="5DA63C3D" w14:textId="03347F9A" w:rsidR="00C908F5" w:rsidRPr="004B0171" w:rsidRDefault="00C908F5" w:rsidP="00C908F5">
      <w:pPr>
        <w:pStyle w:val="EFSABodytext"/>
        <w:rPr>
          <w:color w:val="4F81BD" w:themeColor="accent1"/>
        </w:rPr>
      </w:pPr>
      <w:r w:rsidRPr="004B0171">
        <w:rPr>
          <w:color w:val="4F81BD" w:themeColor="accent1"/>
        </w:rPr>
        <w:t xml:space="preserve">During the </w:t>
      </w:r>
      <w:r w:rsidR="36800333" w:rsidRPr="268F7498">
        <w:rPr>
          <w:color w:val="4F81BD" w:themeColor="accent1"/>
        </w:rPr>
        <w:t>revision</w:t>
      </w:r>
      <w:r w:rsidRPr="004B0171">
        <w:rPr>
          <w:color w:val="4F81BD" w:themeColor="accent1"/>
        </w:rPr>
        <w:t xml:space="preserve"> of th</w:t>
      </w:r>
      <w:r w:rsidR="00284F90">
        <w:rPr>
          <w:color w:val="4F81BD" w:themeColor="accent1"/>
        </w:rPr>
        <w:t>e current</w:t>
      </w:r>
      <w:r w:rsidRPr="004B0171">
        <w:rPr>
          <w:color w:val="4F81BD" w:themeColor="accent1"/>
        </w:rPr>
        <w:t xml:space="preserve"> protocol, the following </w:t>
      </w:r>
      <w:r w:rsidR="06A5D506" w:rsidRPr="268F7498">
        <w:rPr>
          <w:color w:val="4F81BD" w:themeColor="accent1"/>
        </w:rPr>
        <w:t>amendments</w:t>
      </w:r>
      <w:r w:rsidRPr="004B0171">
        <w:rPr>
          <w:color w:val="4F81BD" w:themeColor="accent1"/>
        </w:rPr>
        <w:t xml:space="preserve"> and further elaborations were </w:t>
      </w:r>
      <w:r w:rsidR="39DBE344" w:rsidRPr="268F7498">
        <w:rPr>
          <w:color w:val="4F81BD" w:themeColor="accent1"/>
        </w:rPr>
        <w:t>added</w:t>
      </w:r>
      <w:r w:rsidRPr="004B0171">
        <w:rPr>
          <w:color w:val="4F81BD" w:themeColor="accent1"/>
        </w:rPr>
        <w:t xml:space="preserve">: </w:t>
      </w:r>
    </w:p>
    <w:p w14:paraId="6E5435B3" w14:textId="018458D6" w:rsidR="00D11EE4" w:rsidRDefault="002734C3" w:rsidP="002734C3">
      <w:pPr>
        <w:pStyle w:val="ListParagraph"/>
        <w:numPr>
          <w:ilvl w:val="0"/>
          <w:numId w:val="50"/>
        </w:numPr>
        <w:spacing w:after="0"/>
        <w:rPr>
          <w:rFonts w:ascii="Tahoma" w:hAnsi="Tahoma" w:cs="Tahoma"/>
          <w:color w:val="0070C0"/>
          <w:sz w:val="20"/>
          <w:szCs w:val="20"/>
        </w:rPr>
      </w:pPr>
      <w:r w:rsidRPr="268F7498">
        <w:rPr>
          <w:rFonts w:ascii="Tahoma" w:hAnsi="Tahoma" w:cs="Tahoma"/>
          <w:b/>
          <w:bCs/>
          <w:color w:val="0070C0"/>
          <w:sz w:val="20"/>
          <w:szCs w:val="20"/>
        </w:rPr>
        <w:t xml:space="preserve">Section </w:t>
      </w:r>
      <w:r w:rsidR="00C032CE" w:rsidRPr="268F7498">
        <w:rPr>
          <w:rFonts w:ascii="Tahoma" w:hAnsi="Tahoma" w:cs="Tahoma"/>
          <w:b/>
          <w:bCs/>
          <w:color w:val="0070C0"/>
          <w:sz w:val="20"/>
          <w:szCs w:val="20"/>
        </w:rPr>
        <w:t>4</w:t>
      </w:r>
      <w:r w:rsidRPr="268F7498">
        <w:rPr>
          <w:rFonts w:ascii="Tahoma" w:hAnsi="Tahoma" w:cs="Tahoma"/>
          <w:b/>
          <w:bCs/>
          <w:color w:val="0070C0"/>
          <w:sz w:val="20"/>
          <w:szCs w:val="20"/>
        </w:rPr>
        <w:t>:</w:t>
      </w:r>
      <w:r w:rsidRPr="268F7498">
        <w:rPr>
          <w:rFonts w:ascii="Tahoma" w:hAnsi="Tahoma" w:cs="Tahoma"/>
          <w:color w:val="0070C0"/>
          <w:sz w:val="20"/>
          <w:szCs w:val="20"/>
        </w:rPr>
        <w:t xml:space="preserve"> </w:t>
      </w:r>
      <w:r w:rsidR="74F7F82B" w:rsidRPr="268F7498">
        <w:rPr>
          <w:rFonts w:ascii="Tahoma" w:hAnsi="Tahoma" w:cs="Tahoma"/>
          <w:color w:val="0070C0"/>
          <w:sz w:val="20"/>
          <w:szCs w:val="20"/>
        </w:rPr>
        <w:t xml:space="preserve">a </w:t>
      </w:r>
      <w:r w:rsidR="3E9B9B4E" w:rsidRPr="268F7498">
        <w:rPr>
          <w:rFonts w:ascii="Tahoma" w:hAnsi="Tahoma" w:cs="Tahoma"/>
          <w:color w:val="0070C0"/>
          <w:sz w:val="20"/>
          <w:szCs w:val="20"/>
        </w:rPr>
        <w:t xml:space="preserve">description of the </w:t>
      </w:r>
      <w:r w:rsidR="00F90A6C" w:rsidRPr="268F7498">
        <w:rPr>
          <w:rFonts w:ascii="Tahoma" w:hAnsi="Tahoma" w:cs="Tahoma"/>
          <w:color w:val="0070C0"/>
          <w:sz w:val="20"/>
          <w:szCs w:val="20"/>
        </w:rPr>
        <w:t>two types of sweeteners</w:t>
      </w:r>
      <w:r w:rsidR="18F7C4A1" w:rsidRPr="268F7498">
        <w:rPr>
          <w:rFonts w:ascii="Tahoma" w:hAnsi="Tahoma" w:cs="Tahoma"/>
          <w:color w:val="0070C0"/>
          <w:sz w:val="20"/>
          <w:szCs w:val="20"/>
        </w:rPr>
        <w:t xml:space="preserve"> considered </w:t>
      </w:r>
      <w:r w:rsidR="00E13955">
        <w:rPr>
          <w:rFonts w:ascii="Tahoma" w:hAnsi="Tahoma" w:cs="Tahoma"/>
          <w:color w:val="0070C0"/>
          <w:sz w:val="20"/>
          <w:szCs w:val="20"/>
        </w:rPr>
        <w:t xml:space="preserve">in the </w:t>
      </w:r>
      <w:r w:rsidR="0092429B">
        <w:rPr>
          <w:rFonts w:ascii="Tahoma" w:hAnsi="Tahoma" w:cs="Tahoma"/>
          <w:color w:val="0070C0"/>
          <w:sz w:val="20"/>
          <w:szCs w:val="20"/>
        </w:rPr>
        <w:t xml:space="preserve">sweeteners </w:t>
      </w:r>
      <w:r w:rsidR="00E13955">
        <w:rPr>
          <w:rFonts w:ascii="Tahoma" w:hAnsi="Tahoma" w:cs="Tahoma"/>
          <w:color w:val="0070C0"/>
          <w:sz w:val="20"/>
          <w:szCs w:val="20"/>
        </w:rPr>
        <w:t xml:space="preserve">re-evaluation programme </w:t>
      </w:r>
      <w:r w:rsidR="18F7C4A1" w:rsidRPr="268F7498">
        <w:rPr>
          <w:rFonts w:ascii="Tahoma" w:hAnsi="Tahoma" w:cs="Tahoma"/>
          <w:color w:val="0070C0"/>
          <w:sz w:val="20"/>
          <w:szCs w:val="20"/>
        </w:rPr>
        <w:t>(intense sweeteners and polyols)</w:t>
      </w:r>
      <w:r w:rsidR="00BE3B1E" w:rsidRPr="268F7498">
        <w:rPr>
          <w:rFonts w:ascii="Tahoma" w:hAnsi="Tahoma" w:cs="Tahoma"/>
          <w:color w:val="0070C0"/>
          <w:sz w:val="20"/>
          <w:szCs w:val="20"/>
        </w:rPr>
        <w:t>.</w:t>
      </w:r>
    </w:p>
    <w:p w14:paraId="6F683662" w14:textId="0DDA131F" w:rsidR="001951D2" w:rsidRDefault="00882AC4" w:rsidP="002734C3">
      <w:pPr>
        <w:pStyle w:val="ListParagraph"/>
        <w:numPr>
          <w:ilvl w:val="0"/>
          <w:numId w:val="50"/>
        </w:numPr>
        <w:spacing w:after="0"/>
        <w:rPr>
          <w:rFonts w:ascii="Tahoma" w:hAnsi="Tahoma" w:cs="Tahoma"/>
          <w:color w:val="0070C0"/>
          <w:sz w:val="20"/>
          <w:szCs w:val="20"/>
        </w:rPr>
      </w:pPr>
      <w:r w:rsidRPr="00445CA4">
        <w:rPr>
          <w:rFonts w:ascii="Tahoma" w:hAnsi="Tahoma" w:cs="Tahoma"/>
          <w:b/>
          <w:bCs/>
          <w:color w:val="0070C0"/>
          <w:sz w:val="20"/>
          <w:szCs w:val="20"/>
        </w:rPr>
        <w:t>Section 5.2.3:</w:t>
      </w:r>
      <w:r w:rsidRPr="00445CA4">
        <w:rPr>
          <w:rFonts w:ascii="Tahoma" w:hAnsi="Tahoma" w:cs="Tahoma"/>
          <w:color w:val="0070C0"/>
          <w:sz w:val="20"/>
          <w:szCs w:val="20"/>
        </w:rPr>
        <w:t xml:space="preserve"> </w:t>
      </w:r>
      <w:r w:rsidR="00F614CD">
        <w:rPr>
          <w:rFonts w:ascii="Tahoma" w:hAnsi="Tahoma" w:cs="Tahoma"/>
          <w:color w:val="0070C0"/>
          <w:sz w:val="20"/>
          <w:szCs w:val="20"/>
        </w:rPr>
        <w:t xml:space="preserve">a </w:t>
      </w:r>
      <w:r w:rsidR="00437BA7">
        <w:rPr>
          <w:rFonts w:ascii="Tahoma" w:hAnsi="Tahoma" w:cs="Tahoma"/>
          <w:color w:val="0070C0"/>
          <w:sz w:val="20"/>
          <w:szCs w:val="20"/>
        </w:rPr>
        <w:t>clarif</w:t>
      </w:r>
      <w:r w:rsidR="00F614CD">
        <w:rPr>
          <w:rFonts w:ascii="Tahoma" w:hAnsi="Tahoma" w:cs="Tahoma"/>
          <w:color w:val="0070C0"/>
          <w:sz w:val="20"/>
          <w:szCs w:val="20"/>
        </w:rPr>
        <w:t>ication on</w:t>
      </w:r>
      <w:r w:rsidR="00E66105">
        <w:rPr>
          <w:rFonts w:ascii="Tahoma" w:hAnsi="Tahoma" w:cs="Tahoma"/>
          <w:color w:val="0070C0"/>
          <w:sz w:val="20"/>
          <w:szCs w:val="20"/>
        </w:rPr>
        <w:t xml:space="preserve"> the </w:t>
      </w:r>
      <w:r w:rsidR="0092429B">
        <w:rPr>
          <w:rFonts w:ascii="Tahoma" w:hAnsi="Tahoma" w:cs="Tahoma"/>
          <w:color w:val="0070C0"/>
          <w:sz w:val="20"/>
          <w:szCs w:val="20"/>
        </w:rPr>
        <w:t xml:space="preserve">exposure </w:t>
      </w:r>
      <w:r w:rsidR="00E66105">
        <w:rPr>
          <w:rFonts w:ascii="Tahoma" w:hAnsi="Tahoma" w:cs="Tahoma"/>
          <w:color w:val="0070C0"/>
          <w:sz w:val="20"/>
          <w:szCs w:val="20"/>
        </w:rPr>
        <w:t xml:space="preserve">approach developed </w:t>
      </w:r>
      <w:r w:rsidR="00287AC5">
        <w:rPr>
          <w:rFonts w:ascii="Tahoma" w:hAnsi="Tahoma" w:cs="Tahoma"/>
          <w:color w:val="0070C0"/>
          <w:sz w:val="20"/>
          <w:szCs w:val="20"/>
        </w:rPr>
        <w:t>for sweeteners</w:t>
      </w:r>
      <w:r w:rsidR="0020784E">
        <w:rPr>
          <w:rFonts w:ascii="Tahoma" w:hAnsi="Tahoma" w:cs="Tahoma"/>
          <w:color w:val="0070C0"/>
          <w:sz w:val="20"/>
          <w:szCs w:val="20"/>
        </w:rPr>
        <w:t>.</w:t>
      </w:r>
    </w:p>
    <w:p w14:paraId="02038131" w14:textId="7D2511ED" w:rsidR="009B003B" w:rsidRDefault="009B003B" w:rsidP="009B003B">
      <w:pPr>
        <w:pStyle w:val="ListParagraph"/>
        <w:numPr>
          <w:ilvl w:val="0"/>
          <w:numId w:val="50"/>
        </w:numPr>
        <w:spacing w:after="0"/>
        <w:rPr>
          <w:rFonts w:ascii="Tahoma" w:hAnsi="Tahoma" w:cs="Tahoma"/>
          <w:color w:val="0070C0"/>
          <w:sz w:val="20"/>
          <w:szCs w:val="20"/>
        </w:rPr>
      </w:pPr>
      <w:r>
        <w:rPr>
          <w:rFonts w:ascii="Tahoma" w:hAnsi="Tahoma" w:cs="Tahoma"/>
          <w:b/>
          <w:bCs/>
          <w:color w:val="0070C0"/>
          <w:sz w:val="20"/>
          <w:szCs w:val="20"/>
        </w:rPr>
        <w:t>Section 5.</w:t>
      </w:r>
      <w:r w:rsidRPr="00035872">
        <w:rPr>
          <w:rFonts w:ascii="Tahoma" w:hAnsi="Tahoma" w:cs="Tahoma"/>
          <w:b/>
          <w:bCs/>
          <w:color w:val="0070C0"/>
          <w:sz w:val="20"/>
          <w:szCs w:val="20"/>
        </w:rPr>
        <w:t>2.3.</w:t>
      </w:r>
      <w:r>
        <w:rPr>
          <w:rFonts w:ascii="Tahoma" w:hAnsi="Tahoma" w:cs="Tahoma"/>
          <w:b/>
          <w:bCs/>
          <w:color w:val="0070C0"/>
          <w:sz w:val="20"/>
          <w:szCs w:val="20"/>
        </w:rPr>
        <w:t>2</w:t>
      </w:r>
      <w:r w:rsidRPr="00035872">
        <w:rPr>
          <w:rFonts w:ascii="Tahoma" w:hAnsi="Tahoma" w:cs="Tahoma"/>
          <w:b/>
          <w:bCs/>
          <w:color w:val="0070C0"/>
          <w:sz w:val="20"/>
          <w:szCs w:val="20"/>
        </w:rPr>
        <w:t>:</w:t>
      </w:r>
      <w:r>
        <w:rPr>
          <w:rFonts w:ascii="Tahoma" w:hAnsi="Tahoma" w:cs="Tahoma"/>
          <w:color w:val="0070C0"/>
          <w:sz w:val="20"/>
          <w:szCs w:val="20"/>
        </w:rPr>
        <w:t xml:space="preserve"> </w:t>
      </w:r>
      <w:r w:rsidR="221B7072" w:rsidRPr="268F7498">
        <w:rPr>
          <w:rFonts w:ascii="Tahoma" w:hAnsi="Tahoma" w:cs="Tahoma"/>
          <w:color w:val="0070C0"/>
          <w:sz w:val="20"/>
          <w:szCs w:val="20"/>
        </w:rPr>
        <w:t>a</w:t>
      </w:r>
      <w:r w:rsidR="00F876EF" w:rsidRPr="268F7498">
        <w:rPr>
          <w:rFonts w:ascii="Tahoma" w:hAnsi="Tahoma" w:cs="Tahoma"/>
          <w:color w:val="0070C0"/>
          <w:sz w:val="20"/>
          <w:szCs w:val="20"/>
        </w:rPr>
        <w:t xml:space="preserve"> </w:t>
      </w:r>
      <w:r w:rsidR="00021E9F">
        <w:rPr>
          <w:rFonts w:ascii="Tahoma" w:hAnsi="Tahoma" w:cs="Tahoma"/>
          <w:color w:val="0070C0"/>
          <w:sz w:val="20"/>
          <w:szCs w:val="20"/>
        </w:rPr>
        <w:t xml:space="preserve">clarification </w:t>
      </w:r>
      <w:r w:rsidR="62A508C6" w:rsidRPr="268F7498">
        <w:rPr>
          <w:rFonts w:ascii="Tahoma" w:hAnsi="Tahoma" w:cs="Tahoma"/>
          <w:color w:val="0070C0"/>
          <w:sz w:val="20"/>
          <w:szCs w:val="20"/>
        </w:rPr>
        <w:t>o</w:t>
      </w:r>
      <w:r w:rsidR="00653739">
        <w:rPr>
          <w:rFonts w:ascii="Tahoma" w:hAnsi="Tahoma" w:cs="Tahoma"/>
          <w:color w:val="0070C0"/>
          <w:sz w:val="20"/>
          <w:szCs w:val="20"/>
        </w:rPr>
        <w:t xml:space="preserve">n how </w:t>
      </w:r>
      <w:r w:rsidR="00E55CCB">
        <w:rPr>
          <w:rFonts w:ascii="Tahoma" w:hAnsi="Tahoma" w:cs="Tahoma"/>
          <w:color w:val="0070C0"/>
          <w:sz w:val="20"/>
          <w:szCs w:val="20"/>
        </w:rPr>
        <w:t xml:space="preserve">facets </w:t>
      </w:r>
      <w:r w:rsidR="00653739">
        <w:rPr>
          <w:rFonts w:ascii="Tahoma" w:hAnsi="Tahoma" w:cs="Tahoma"/>
          <w:color w:val="0070C0"/>
          <w:sz w:val="20"/>
          <w:szCs w:val="20"/>
        </w:rPr>
        <w:t xml:space="preserve">are considered </w:t>
      </w:r>
      <w:r w:rsidR="00BA634F">
        <w:rPr>
          <w:rFonts w:ascii="Tahoma" w:hAnsi="Tahoma" w:cs="Tahoma"/>
          <w:color w:val="0070C0"/>
          <w:sz w:val="20"/>
          <w:szCs w:val="20"/>
        </w:rPr>
        <w:t xml:space="preserve">in the different </w:t>
      </w:r>
      <w:r w:rsidR="60FE725B" w:rsidRPr="268F7498">
        <w:rPr>
          <w:rFonts w:ascii="Tahoma" w:hAnsi="Tahoma" w:cs="Tahoma"/>
          <w:color w:val="0070C0"/>
          <w:sz w:val="20"/>
          <w:szCs w:val="20"/>
        </w:rPr>
        <w:t xml:space="preserve">exposure </w:t>
      </w:r>
      <w:r w:rsidR="00BA634F">
        <w:rPr>
          <w:rFonts w:ascii="Tahoma" w:hAnsi="Tahoma" w:cs="Tahoma"/>
          <w:color w:val="0070C0"/>
          <w:sz w:val="20"/>
          <w:szCs w:val="20"/>
        </w:rPr>
        <w:t>scenarios</w:t>
      </w:r>
      <w:r w:rsidR="00653739">
        <w:rPr>
          <w:rFonts w:ascii="Tahoma" w:hAnsi="Tahoma" w:cs="Tahoma"/>
          <w:color w:val="0070C0"/>
          <w:sz w:val="20"/>
          <w:szCs w:val="20"/>
        </w:rPr>
        <w:t>,</w:t>
      </w:r>
      <w:r w:rsidR="00324CBB" w:rsidRPr="268F7498">
        <w:rPr>
          <w:rFonts w:ascii="Tahoma" w:hAnsi="Tahoma" w:cs="Tahoma"/>
          <w:color w:val="0070C0"/>
          <w:sz w:val="20"/>
          <w:szCs w:val="20"/>
        </w:rPr>
        <w:t xml:space="preserve"> </w:t>
      </w:r>
      <w:r w:rsidR="5CC2A484" w:rsidRPr="268F7498">
        <w:rPr>
          <w:rFonts w:ascii="Tahoma" w:hAnsi="Tahoma" w:cs="Tahoma"/>
          <w:color w:val="0070C0"/>
          <w:sz w:val="20"/>
          <w:szCs w:val="20"/>
        </w:rPr>
        <w:t xml:space="preserve">including </w:t>
      </w:r>
      <w:r w:rsidR="00AE291A">
        <w:rPr>
          <w:rFonts w:ascii="Tahoma" w:hAnsi="Tahoma" w:cs="Tahoma"/>
          <w:color w:val="0070C0"/>
          <w:sz w:val="20"/>
          <w:szCs w:val="20"/>
        </w:rPr>
        <w:t xml:space="preserve">a description </w:t>
      </w:r>
      <w:r w:rsidR="00021E9F">
        <w:rPr>
          <w:rFonts w:ascii="Tahoma" w:hAnsi="Tahoma" w:cs="Tahoma"/>
          <w:color w:val="0070C0"/>
          <w:sz w:val="20"/>
          <w:szCs w:val="20"/>
        </w:rPr>
        <w:t xml:space="preserve">of </w:t>
      </w:r>
      <w:r w:rsidR="3664B7A1" w:rsidRPr="268F7498">
        <w:rPr>
          <w:rFonts w:ascii="Tahoma" w:hAnsi="Tahoma" w:cs="Tahoma"/>
          <w:color w:val="0070C0"/>
          <w:sz w:val="20"/>
          <w:szCs w:val="20"/>
        </w:rPr>
        <w:t>an</w:t>
      </w:r>
      <w:r w:rsidR="00324CBB">
        <w:rPr>
          <w:rFonts w:ascii="Tahoma" w:hAnsi="Tahoma" w:cs="Tahoma"/>
          <w:color w:val="0070C0"/>
          <w:sz w:val="20"/>
          <w:szCs w:val="20"/>
        </w:rPr>
        <w:t xml:space="preserve"> </w:t>
      </w:r>
      <w:r w:rsidR="00BD2497">
        <w:rPr>
          <w:rFonts w:ascii="Tahoma" w:hAnsi="Tahoma" w:cs="Tahoma"/>
          <w:color w:val="0070C0"/>
          <w:sz w:val="20"/>
          <w:szCs w:val="20"/>
        </w:rPr>
        <w:t xml:space="preserve">additional </w:t>
      </w:r>
      <w:r w:rsidR="004A4CDE">
        <w:rPr>
          <w:rFonts w:ascii="Tahoma" w:hAnsi="Tahoma" w:cs="Tahoma"/>
          <w:color w:val="0070C0"/>
          <w:sz w:val="20"/>
          <w:szCs w:val="20"/>
        </w:rPr>
        <w:t xml:space="preserve">refined exposure </w:t>
      </w:r>
      <w:r w:rsidR="00E158CA">
        <w:rPr>
          <w:rFonts w:ascii="Tahoma" w:hAnsi="Tahoma" w:cs="Tahoma"/>
          <w:color w:val="0070C0"/>
          <w:sz w:val="20"/>
          <w:szCs w:val="20"/>
        </w:rPr>
        <w:t>scenario</w:t>
      </w:r>
      <w:r w:rsidR="001813A9">
        <w:rPr>
          <w:rFonts w:ascii="Tahoma" w:hAnsi="Tahoma" w:cs="Tahoma"/>
          <w:color w:val="0070C0"/>
          <w:sz w:val="20"/>
          <w:szCs w:val="20"/>
        </w:rPr>
        <w:t>.</w:t>
      </w:r>
    </w:p>
    <w:p w14:paraId="035733EC" w14:textId="7946A2E6" w:rsidR="00822589" w:rsidRDefault="00822589" w:rsidP="009B003B">
      <w:pPr>
        <w:pStyle w:val="ListParagraph"/>
        <w:numPr>
          <w:ilvl w:val="0"/>
          <w:numId w:val="50"/>
        </w:numPr>
        <w:spacing w:after="0"/>
        <w:rPr>
          <w:rFonts w:ascii="Tahoma" w:hAnsi="Tahoma" w:cs="Tahoma"/>
          <w:color w:val="0070C0"/>
          <w:sz w:val="20"/>
          <w:szCs w:val="20"/>
        </w:rPr>
      </w:pPr>
      <w:r>
        <w:rPr>
          <w:rFonts w:ascii="Tahoma" w:hAnsi="Tahoma" w:cs="Tahoma"/>
          <w:b/>
          <w:bCs/>
          <w:color w:val="0070C0"/>
          <w:sz w:val="20"/>
          <w:szCs w:val="20"/>
        </w:rPr>
        <w:t>Section 5</w:t>
      </w:r>
      <w:r w:rsidRPr="00B04EA1">
        <w:rPr>
          <w:rFonts w:ascii="Tahoma" w:hAnsi="Tahoma" w:cs="Tahoma"/>
          <w:b/>
          <w:bCs/>
          <w:color w:val="0070C0"/>
          <w:sz w:val="20"/>
          <w:szCs w:val="20"/>
        </w:rPr>
        <w:t>.2.4:</w:t>
      </w:r>
      <w:r>
        <w:rPr>
          <w:rFonts w:ascii="Tahoma" w:hAnsi="Tahoma" w:cs="Tahoma"/>
          <w:color w:val="0070C0"/>
          <w:sz w:val="20"/>
          <w:szCs w:val="20"/>
        </w:rPr>
        <w:t xml:space="preserve"> </w:t>
      </w:r>
      <w:r w:rsidR="00653739">
        <w:rPr>
          <w:rFonts w:ascii="Tahoma" w:hAnsi="Tahoma" w:cs="Tahoma"/>
          <w:color w:val="0070C0"/>
          <w:sz w:val="20"/>
          <w:szCs w:val="20"/>
        </w:rPr>
        <w:t xml:space="preserve">description of </w:t>
      </w:r>
      <w:r w:rsidR="00B04EA1">
        <w:rPr>
          <w:rFonts w:ascii="Tahoma" w:hAnsi="Tahoma" w:cs="Tahoma"/>
          <w:color w:val="0070C0"/>
          <w:sz w:val="20"/>
          <w:szCs w:val="20"/>
        </w:rPr>
        <w:t>the acute exposure assessment method</w:t>
      </w:r>
      <w:r w:rsidR="00617CD1">
        <w:rPr>
          <w:rFonts w:ascii="Tahoma" w:hAnsi="Tahoma" w:cs="Tahoma"/>
          <w:color w:val="0070C0"/>
          <w:sz w:val="20"/>
          <w:szCs w:val="20"/>
        </w:rPr>
        <w:t>.</w:t>
      </w:r>
    </w:p>
    <w:p w14:paraId="7A68EC90" w14:textId="77777777" w:rsidR="00A3403F" w:rsidRDefault="00A3403F" w:rsidP="00A3403F">
      <w:pPr>
        <w:spacing w:after="0"/>
        <w:rPr>
          <w:rFonts w:ascii="Tahoma" w:hAnsi="Tahoma" w:cs="Tahoma"/>
          <w:color w:val="0070C0"/>
          <w:sz w:val="20"/>
          <w:szCs w:val="20"/>
        </w:rPr>
      </w:pPr>
    </w:p>
    <w:p w14:paraId="461D3454" w14:textId="1AE91A72" w:rsidR="00A3403F" w:rsidRDefault="00952E72" w:rsidP="006B0003">
      <w:pPr>
        <w:spacing w:after="0"/>
        <w:jc w:val="both"/>
        <w:rPr>
          <w:rFonts w:ascii="Tahoma" w:hAnsi="Tahoma" w:cs="Tahoma"/>
          <w:color w:val="0070C0"/>
          <w:sz w:val="20"/>
          <w:szCs w:val="20"/>
        </w:rPr>
      </w:pPr>
      <w:r>
        <w:rPr>
          <w:rFonts w:ascii="Tahoma" w:hAnsi="Tahoma" w:cs="Tahoma"/>
          <w:color w:val="0070C0"/>
          <w:sz w:val="20"/>
          <w:szCs w:val="20"/>
        </w:rPr>
        <w:t>T</w:t>
      </w:r>
      <w:r w:rsidR="00A33734">
        <w:rPr>
          <w:rFonts w:ascii="Tahoma" w:hAnsi="Tahoma" w:cs="Tahoma"/>
          <w:color w:val="0070C0"/>
          <w:sz w:val="20"/>
          <w:szCs w:val="20"/>
        </w:rPr>
        <w:t xml:space="preserve">hese </w:t>
      </w:r>
      <w:r w:rsidR="00441CA8">
        <w:rPr>
          <w:rFonts w:ascii="Tahoma" w:hAnsi="Tahoma" w:cs="Tahoma"/>
          <w:color w:val="0070C0"/>
          <w:sz w:val="20"/>
          <w:szCs w:val="20"/>
        </w:rPr>
        <w:t>updates</w:t>
      </w:r>
      <w:r w:rsidR="00A33734">
        <w:rPr>
          <w:rFonts w:ascii="Tahoma" w:hAnsi="Tahoma" w:cs="Tahoma"/>
          <w:color w:val="0070C0"/>
          <w:sz w:val="20"/>
          <w:szCs w:val="20"/>
        </w:rPr>
        <w:t xml:space="preserve"> </w:t>
      </w:r>
      <w:r w:rsidR="00360E64">
        <w:rPr>
          <w:rFonts w:ascii="Tahoma" w:hAnsi="Tahoma" w:cs="Tahoma"/>
          <w:color w:val="0070C0"/>
          <w:sz w:val="20"/>
          <w:szCs w:val="20"/>
        </w:rPr>
        <w:t xml:space="preserve">have </w:t>
      </w:r>
      <w:r w:rsidR="00A33734">
        <w:rPr>
          <w:rFonts w:ascii="Tahoma" w:hAnsi="Tahoma" w:cs="Tahoma"/>
          <w:color w:val="0070C0"/>
          <w:sz w:val="20"/>
          <w:szCs w:val="20"/>
        </w:rPr>
        <w:t xml:space="preserve">already </w:t>
      </w:r>
      <w:r w:rsidR="00360E64">
        <w:rPr>
          <w:rFonts w:ascii="Tahoma" w:hAnsi="Tahoma" w:cs="Tahoma"/>
          <w:color w:val="0070C0"/>
          <w:sz w:val="20"/>
          <w:szCs w:val="20"/>
        </w:rPr>
        <w:t xml:space="preserve">been </w:t>
      </w:r>
      <w:r w:rsidR="00A33734">
        <w:rPr>
          <w:rFonts w:ascii="Tahoma" w:hAnsi="Tahoma" w:cs="Tahoma"/>
          <w:color w:val="0070C0"/>
          <w:sz w:val="20"/>
          <w:szCs w:val="20"/>
        </w:rPr>
        <w:t xml:space="preserve">applied in </w:t>
      </w:r>
      <w:r w:rsidR="003A3DA2">
        <w:rPr>
          <w:rFonts w:ascii="Tahoma" w:hAnsi="Tahoma" w:cs="Tahoma"/>
          <w:color w:val="0070C0"/>
          <w:sz w:val="20"/>
          <w:szCs w:val="20"/>
        </w:rPr>
        <w:t>previously</w:t>
      </w:r>
      <w:r>
        <w:rPr>
          <w:rFonts w:ascii="Tahoma" w:hAnsi="Tahoma" w:cs="Tahoma"/>
          <w:color w:val="0070C0"/>
          <w:sz w:val="20"/>
          <w:szCs w:val="20"/>
        </w:rPr>
        <w:t xml:space="preserve"> </w:t>
      </w:r>
      <w:r w:rsidR="00A33734">
        <w:rPr>
          <w:rFonts w:ascii="Tahoma" w:hAnsi="Tahoma" w:cs="Tahoma"/>
          <w:color w:val="0070C0"/>
          <w:sz w:val="20"/>
          <w:szCs w:val="20"/>
        </w:rPr>
        <w:t>published opinions</w:t>
      </w:r>
      <w:r>
        <w:rPr>
          <w:rFonts w:ascii="Tahoma" w:hAnsi="Tahoma" w:cs="Tahoma"/>
          <w:color w:val="0070C0"/>
          <w:sz w:val="20"/>
          <w:szCs w:val="20"/>
        </w:rPr>
        <w:t xml:space="preserve"> on the sweeteners re-evaluation</w:t>
      </w:r>
      <w:r w:rsidR="68DBEDBE" w:rsidRPr="268F7498">
        <w:rPr>
          <w:rFonts w:ascii="Tahoma" w:hAnsi="Tahoma" w:cs="Tahoma"/>
          <w:color w:val="0070C0"/>
          <w:sz w:val="20"/>
          <w:szCs w:val="20"/>
        </w:rPr>
        <w:t xml:space="preserve"> programme</w:t>
      </w:r>
      <w:r>
        <w:rPr>
          <w:rFonts w:ascii="Tahoma" w:hAnsi="Tahoma" w:cs="Tahoma"/>
          <w:color w:val="0070C0"/>
          <w:sz w:val="20"/>
          <w:szCs w:val="20"/>
        </w:rPr>
        <w:t>.</w:t>
      </w:r>
      <w:r w:rsidR="00A33734">
        <w:rPr>
          <w:rFonts w:ascii="Tahoma" w:hAnsi="Tahoma" w:cs="Tahoma"/>
          <w:color w:val="0070C0"/>
          <w:sz w:val="20"/>
          <w:szCs w:val="20"/>
        </w:rPr>
        <w:t xml:space="preserve"> </w:t>
      </w:r>
    </w:p>
    <w:p w14:paraId="29B45F24" w14:textId="77777777" w:rsidR="00A3403F" w:rsidRDefault="00A3403F" w:rsidP="00A3403F">
      <w:pPr>
        <w:spacing w:after="0"/>
        <w:rPr>
          <w:rFonts w:ascii="Tahoma" w:hAnsi="Tahoma" w:cs="Tahoma"/>
          <w:color w:val="0070C0"/>
          <w:sz w:val="20"/>
          <w:szCs w:val="20"/>
        </w:rPr>
      </w:pPr>
    </w:p>
    <w:p w14:paraId="12B89DD2" w14:textId="77777777" w:rsidR="00A3403F" w:rsidRDefault="00A3403F" w:rsidP="00A3403F">
      <w:pPr>
        <w:spacing w:after="0"/>
        <w:rPr>
          <w:rFonts w:ascii="Tahoma" w:hAnsi="Tahoma" w:cs="Tahoma"/>
          <w:color w:val="0070C0"/>
          <w:sz w:val="20"/>
          <w:szCs w:val="20"/>
        </w:rPr>
      </w:pPr>
    </w:p>
    <w:p w14:paraId="35526DA3" w14:textId="77777777" w:rsidR="00A3403F" w:rsidRDefault="00A3403F" w:rsidP="00A3403F">
      <w:pPr>
        <w:spacing w:after="0"/>
        <w:rPr>
          <w:rFonts w:ascii="Tahoma" w:hAnsi="Tahoma" w:cs="Tahoma"/>
          <w:color w:val="0070C0"/>
          <w:sz w:val="20"/>
          <w:szCs w:val="20"/>
        </w:rPr>
      </w:pPr>
    </w:p>
    <w:p w14:paraId="167C7C16" w14:textId="77777777" w:rsidR="00A3403F" w:rsidRDefault="00A3403F" w:rsidP="00A3403F">
      <w:pPr>
        <w:spacing w:after="0"/>
        <w:rPr>
          <w:rFonts w:ascii="Tahoma" w:hAnsi="Tahoma" w:cs="Tahoma"/>
          <w:color w:val="0070C0"/>
          <w:sz w:val="20"/>
          <w:szCs w:val="20"/>
        </w:rPr>
      </w:pPr>
    </w:p>
    <w:p w14:paraId="78A899C8" w14:textId="77777777" w:rsidR="00A3403F" w:rsidRPr="00A3403F" w:rsidRDefault="00A3403F" w:rsidP="00A3403F">
      <w:pPr>
        <w:spacing w:after="0"/>
        <w:rPr>
          <w:rFonts w:ascii="Tahoma" w:hAnsi="Tahoma" w:cs="Tahoma"/>
          <w:color w:val="0070C0"/>
          <w:sz w:val="20"/>
          <w:szCs w:val="20"/>
        </w:rPr>
      </w:pPr>
    </w:p>
    <w:p w14:paraId="23B45C77" w14:textId="77777777" w:rsidR="004E613C" w:rsidRDefault="004E613C">
      <w:pPr>
        <w:rPr>
          <w:rFonts w:ascii="Tahoma" w:eastAsiaTheme="majorEastAsia" w:hAnsi="Tahoma" w:cstheme="majorBidi"/>
          <w:b/>
          <w:bCs/>
          <w:sz w:val="24"/>
          <w:szCs w:val="28"/>
        </w:rPr>
      </w:pPr>
      <w:bookmarkStart w:id="9" w:name="_Toc399503952"/>
      <w:bookmarkStart w:id="10" w:name="_Toc399850639"/>
      <w:bookmarkStart w:id="11" w:name="_Toc405560701"/>
      <w:r>
        <w:br w:type="page"/>
      </w:r>
    </w:p>
    <w:p w14:paraId="6B9835D5" w14:textId="363B8043" w:rsidR="00FB384F" w:rsidRDefault="00214C6C" w:rsidP="00C00AB9">
      <w:pPr>
        <w:pStyle w:val="EFSAHeading1"/>
        <w:outlineLvl w:val="0"/>
      </w:pPr>
      <w:bookmarkStart w:id="12" w:name="_Toc181606776"/>
      <w:r w:rsidRPr="0053143B">
        <w:lastRenderedPageBreak/>
        <w:t>Introduction</w:t>
      </w:r>
      <w:bookmarkEnd w:id="9"/>
      <w:bookmarkEnd w:id="10"/>
      <w:bookmarkEnd w:id="11"/>
      <w:r w:rsidRPr="0053143B">
        <w:t xml:space="preserve"> </w:t>
      </w:r>
      <w:r w:rsidR="00752FE7">
        <w:t>and scope of the protocol</w:t>
      </w:r>
      <w:bookmarkEnd w:id="12"/>
    </w:p>
    <w:p w14:paraId="686D4CCA" w14:textId="781C025C" w:rsidR="00752FE7" w:rsidRDefault="00752FE7" w:rsidP="00752FE7">
      <w:pPr>
        <w:pStyle w:val="EFSABodytext"/>
      </w:pPr>
      <w:r>
        <w:t xml:space="preserve">This document outlines the protocol for the </w:t>
      </w:r>
      <w:r w:rsidR="00921377" w:rsidRPr="00496163">
        <w:t xml:space="preserve">exposure assessment </w:t>
      </w:r>
      <w:r w:rsidR="00844F5C">
        <w:t>of sweeteners</w:t>
      </w:r>
      <w:r w:rsidR="00844F5C" w:rsidRPr="00752FE7">
        <w:rPr>
          <w:rStyle w:val="FootnoteReference"/>
          <w:lang w:eastAsia="en-GB"/>
        </w:rPr>
        <w:footnoteReference w:id="2"/>
      </w:r>
      <w:r w:rsidR="00844F5C">
        <w:t xml:space="preserve"> </w:t>
      </w:r>
      <w:r w:rsidR="00D26848">
        <w:t xml:space="preserve">for their safety </w:t>
      </w:r>
      <w:r>
        <w:t>re-evaluation in the context of Regulation (EC) No 257/2010</w:t>
      </w:r>
      <w:bookmarkStart w:id="13" w:name="_Ref11759466"/>
      <w:r w:rsidRPr="00752FE7">
        <w:rPr>
          <w:rStyle w:val="FootnoteReference"/>
          <w:lang w:eastAsia="en-GB"/>
        </w:rPr>
        <w:footnoteReference w:id="3"/>
      </w:r>
      <w:bookmarkEnd w:id="13"/>
      <w:r>
        <w:t xml:space="preserve"> by the </w:t>
      </w:r>
      <w:r w:rsidR="00E02931">
        <w:t>European Food Safety Authority (</w:t>
      </w:r>
      <w:r>
        <w:t>EFSA</w:t>
      </w:r>
      <w:r w:rsidR="00E02931">
        <w:t>)</w:t>
      </w:r>
      <w:r>
        <w:t xml:space="preserve"> Panel on Food Additives and Flavourings (FAF Panel)</w:t>
      </w:r>
      <w:r w:rsidR="00DE6CB1">
        <w:t>. It is</w:t>
      </w:r>
      <w:r>
        <w:t xml:space="preserve"> supported by the </w:t>
      </w:r>
      <w:r w:rsidR="00D12AA4">
        <w:t xml:space="preserve">FAF </w:t>
      </w:r>
      <w:r>
        <w:t xml:space="preserve">Working Group on the re-evaluation of sweeteners. This draft protocol has been developed with the aim of defining as much as possible the strategy applied for </w:t>
      </w:r>
      <w:r w:rsidR="00B52E9C">
        <w:t>cleaning</w:t>
      </w:r>
      <w:r w:rsidR="00E60112">
        <w:t xml:space="preserve"> </w:t>
      </w:r>
      <w:r>
        <w:t xml:space="preserve">and selecting data, appraising the relevant evidence, and analysing and integrating the evidence in order to </w:t>
      </w:r>
      <w:r w:rsidR="00A01D14" w:rsidRPr="00496163">
        <w:t>perform exposure assessment</w:t>
      </w:r>
      <w:r w:rsidR="008F670A">
        <w:t>s</w:t>
      </w:r>
      <w:r w:rsidR="00A01D14" w:rsidRPr="00496163">
        <w:t xml:space="preserve"> </w:t>
      </w:r>
      <w:r>
        <w:t xml:space="preserve">that will </w:t>
      </w:r>
      <w:r w:rsidR="00E410BE">
        <w:t xml:space="preserve">be used for the </w:t>
      </w:r>
      <w:r w:rsidR="00FA2323">
        <w:t>safety assessment</w:t>
      </w:r>
      <w:r w:rsidR="00F50528">
        <w:t xml:space="preserve"> </w:t>
      </w:r>
      <w:r w:rsidR="00CE4CE0">
        <w:t xml:space="preserve">of </w:t>
      </w:r>
      <w:r w:rsidR="00F50528">
        <w:t>each</w:t>
      </w:r>
      <w:r w:rsidR="00333D03">
        <w:t xml:space="preserve"> </w:t>
      </w:r>
      <w:r w:rsidR="008A3178">
        <w:t>sweetener</w:t>
      </w:r>
      <w:r>
        <w:t xml:space="preserve">. </w:t>
      </w:r>
    </w:p>
    <w:p w14:paraId="7002F3E7" w14:textId="16C7954A" w:rsidR="00F27C67" w:rsidRPr="00476771" w:rsidRDefault="00752FE7" w:rsidP="00752FE7">
      <w:pPr>
        <w:pStyle w:val="EFSABodytext"/>
      </w:pPr>
      <w:r w:rsidRPr="00476771">
        <w:t xml:space="preserve">This protocol is </w:t>
      </w:r>
      <w:r w:rsidR="00C21BDD" w:rsidRPr="00476771">
        <w:t xml:space="preserve">a current best practices document and </w:t>
      </w:r>
      <w:r w:rsidR="005319DB" w:rsidRPr="00476771">
        <w:t>may</w:t>
      </w:r>
      <w:r w:rsidR="00C21BDD" w:rsidRPr="00476771">
        <w:t xml:space="preserve"> be </w:t>
      </w:r>
      <w:r w:rsidRPr="00476771">
        <w:t>amend</w:t>
      </w:r>
      <w:r w:rsidR="009B662E" w:rsidRPr="00476771">
        <w:t>ed</w:t>
      </w:r>
      <w:r w:rsidRPr="00476771">
        <w:t xml:space="preserve"> as the assessment</w:t>
      </w:r>
      <w:r w:rsidR="00A861C1" w:rsidRPr="00476771">
        <w:t>s</w:t>
      </w:r>
      <w:r w:rsidRPr="00476771">
        <w:t xml:space="preserve"> proceed, </w:t>
      </w:r>
      <w:r w:rsidR="00F36F04" w:rsidRPr="00476771">
        <w:t xml:space="preserve">and </w:t>
      </w:r>
      <w:r w:rsidRPr="00476771">
        <w:t>such amendments will be clearly documented and justified.</w:t>
      </w:r>
      <w:r w:rsidR="00F27C67" w:rsidRPr="00476771">
        <w:t xml:space="preserve"> </w:t>
      </w:r>
    </w:p>
    <w:p w14:paraId="0E6CCCFE" w14:textId="0DC297A1" w:rsidR="00A94F95" w:rsidRDefault="00A94F95" w:rsidP="006313A8">
      <w:pPr>
        <w:pStyle w:val="EFSAHeading1"/>
        <w:outlineLvl w:val="0"/>
      </w:pPr>
      <w:bookmarkStart w:id="14" w:name="_Toc12359815"/>
      <w:bookmarkStart w:id="15" w:name="_Toc12363334"/>
      <w:bookmarkStart w:id="16" w:name="_Toc181606777"/>
      <w:r>
        <w:t>Background and rationale of the mandate</w:t>
      </w:r>
      <w:bookmarkEnd w:id="14"/>
      <w:bookmarkEnd w:id="15"/>
      <w:bookmarkEnd w:id="16"/>
    </w:p>
    <w:p w14:paraId="7F00DC13" w14:textId="6B60985F" w:rsidR="00A94F95" w:rsidRPr="006020D7" w:rsidRDefault="00A94F95" w:rsidP="00A94F95">
      <w:pPr>
        <w:pStyle w:val="EFSABodytext"/>
        <w:rPr>
          <w:lang w:eastAsia="en-GB"/>
        </w:rPr>
      </w:pPr>
      <w:r w:rsidRPr="006020D7">
        <w:rPr>
          <w:lang w:eastAsia="en-GB"/>
        </w:rPr>
        <w:t>Regulation (EC) No 1333/2008</w:t>
      </w:r>
      <w:r>
        <w:rPr>
          <w:rStyle w:val="FootnoteReference"/>
          <w:lang w:eastAsia="en-GB"/>
        </w:rPr>
        <w:footnoteReference w:id="4"/>
      </w:r>
      <w:r w:rsidRPr="006020D7">
        <w:rPr>
          <w:lang w:eastAsia="en-GB"/>
        </w:rPr>
        <w:t xml:space="preserve"> of the European Parliament and of the Council on food additives requires that food additives are subject to a safety evaluation by EFSA before they are permitted for use in the European Union. In addition, it is foreseen that food additives must be kept under continuous observation and must be re-evaluated by EFSA. </w:t>
      </w:r>
    </w:p>
    <w:p w14:paraId="5F07C0C2" w14:textId="0F9CE04A" w:rsidR="00A94F95" w:rsidRPr="006020D7" w:rsidRDefault="00A94F95" w:rsidP="00A94F95">
      <w:pPr>
        <w:pStyle w:val="EFSABodytext"/>
        <w:rPr>
          <w:lang w:eastAsia="en-GB"/>
        </w:rPr>
      </w:pPr>
      <w:r w:rsidRPr="006020D7">
        <w:rPr>
          <w:lang w:eastAsia="en-GB"/>
        </w:rPr>
        <w:t>For this purpose, a programme for the re-evaluation of food additives that were already permitted in the European Union before 20 January 2009 has been set up under the Regulation (EU) No 257/2010</w:t>
      </w:r>
      <w:r>
        <w:rPr>
          <w:rStyle w:val="FootnoteReference"/>
          <w:lang w:eastAsia="en-GB"/>
        </w:rPr>
        <w:t>2</w:t>
      </w:r>
      <w:r w:rsidRPr="006020D7">
        <w:rPr>
          <w:lang w:eastAsia="en-GB"/>
        </w:rPr>
        <w:t xml:space="preserve">. This Regulation also foresees that food additives are re-evaluated whenever necessary in light of changing conditions of use and new scientific information. For efficiency and practical purposes, the re-evaluation should, as far as possible, be conducted </w:t>
      </w:r>
      <w:r w:rsidR="00B95C61">
        <w:rPr>
          <w:lang w:eastAsia="en-GB"/>
        </w:rPr>
        <w:t>for</w:t>
      </w:r>
      <w:r w:rsidR="00B95C61" w:rsidRPr="006020D7">
        <w:rPr>
          <w:lang w:eastAsia="en-GB"/>
        </w:rPr>
        <w:t xml:space="preserve"> </w:t>
      </w:r>
      <w:r w:rsidRPr="006020D7">
        <w:rPr>
          <w:lang w:eastAsia="en-GB"/>
        </w:rPr>
        <w:t>group</w:t>
      </w:r>
      <w:r w:rsidR="00743CCD">
        <w:rPr>
          <w:lang w:eastAsia="en-GB"/>
        </w:rPr>
        <w:t>s</w:t>
      </w:r>
      <w:r w:rsidRPr="006020D7">
        <w:rPr>
          <w:lang w:eastAsia="en-GB"/>
        </w:rPr>
        <w:t xml:space="preserve"> of food additives according to the main functional class to which they belong. </w:t>
      </w:r>
    </w:p>
    <w:p w14:paraId="477AB60E" w14:textId="064C878D" w:rsidR="00A94F95" w:rsidRPr="00693E3C" w:rsidRDefault="00A94F95" w:rsidP="006313A8">
      <w:pPr>
        <w:pStyle w:val="EFSAHeading1"/>
        <w:outlineLvl w:val="0"/>
      </w:pPr>
      <w:bookmarkStart w:id="17" w:name="_Toc12359816"/>
      <w:bookmarkStart w:id="18" w:name="_Toc12363335"/>
      <w:bookmarkStart w:id="19" w:name="_Toc181606778"/>
      <w:r w:rsidRPr="00693E3C">
        <w:t>Terms of reference as provided by European Commission</w:t>
      </w:r>
      <w:bookmarkEnd w:id="17"/>
      <w:bookmarkEnd w:id="18"/>
      <w:bookmarkEnd w:id="19"/>
    </w:p>
    <w:p w14:paraId="49A72049" w14:textId="04C8984C" w:rsidR="00A94F95" w:rsidRPr="009B61C0" w:rsidRDefault="00A94F95" w:rsidP="00A94F95">
      <w:pPr>
        <w:pStyle w:val="EFSABodytext"/>
      </w:pPr>
      <w:r w:rsidRPr="006020D7">
        <w:t xml:space="preserve">The Commission asks </w:t>
      </w:r>
      <w:r w:rsidR="00372B82">
        <w:t>EFSA</w:t>
      </w:r>
      <w:r w:rsidRPr="006020D7">
        <w:t xml:space="preserve"> to re-evaluate the safety of food additives already permitted in the </w:t>
      </w:r>
      <w:r w:rsidR="00372B82">
        <w:t xml:space="preserve">European </w:t>
      </w:r>
      <w:r w:rsidRPr="006020D7">
        <w:t>Union before 2009 and to issue scientific opinions on these additives, taking especially into account the priorities, procedures and deadlines that are enshrined in the Regulation (EU) No 257/2010</w:t>
      </w:r>
      <w:r>
        <w:rPr>
          <w:rStyle w:val="FootnoteReference"/>
        </w:rPr>
        <w:t>2</w:t>
      </w:r>
      <w:r w:rsidRPr="006020D7">
        <w:t xml:space="preserve"> of 25 March 2010 setting up a programme for the re-evaluation of approved food additives in accordance with the Regulation (EC) No 1333/2008 of the European Parliament and of the Council on food additives.</w:t>
      </w:r>
    </w:p>
    <w:p w14:paraId="2B8E6B42" w14:textId="4C99BCD1" w:rsidR="00A94F95" w:rsidRPr="00B81614" w:rsidRDefault="00A94F95" w:rsidP="00C00AB9">
      <w:pPr>
        <w:pStyle w:val="EFSAHeading1"/>
        <w:outlineLvl w:val="0"/>
      </w:pPr>
      <w:bookmarkStart w:id="20" w:name="_Toc12359817"/>
      <w:bookmarkStart w:id="21" w:name="_Toc12363336"/>
      <w:bookmarkStart w:id="22" w:name="_Toc181606779"/>
      <w:r w:rsidRPr="00B81614">
        <w:t>Interpretation of the Terms of Reference</w:t>
      </w:r>
      <w:bookmarkEnd w:id="20"/>
      <w:bookmarkEnd w:id="21"/>
      <w:bookmarkEnd w:id="22"/>
    </w:p>
    <w:p w14:paraId="68643C98" w14:textId="1D2DE020" w:rsidR="009721AF" w:rsidRDefault="00A94F95" w:rsidP="00A94F95">
      <w:pPr>
        <w:pStyle w:val="EFSABodytext"/>
      </w:pPr>
      <w:r>
        <w:t xml:space="preserve">Under the current mandate which covers </w:t>
      </w:r>
      <w:r w:rsidR="00742C48">
        <w:t xml:space="preserve">the re-evaluation of </w:t>
      </w:r>
      <w:r>
        <w:t>all food additives</w:t>
      </w:r>
      <w:r w:rsidR="003778C1">
        <w:t xml:space="preserve"> under Commission Regulation (EU) No 257/2010</w:t>
      </w:r>
      <w:r>
        <w:t xml:space="preserve">, this </w:t>
      </w:r>
      <w:r w:rsidR="003F69D1">
        <w:t xml:space="preserve">exposure </w:t>
      </w:r>
      <w:r>
        <w:t xml:space="preserve">protocol will be applied for the </w:t>
      </w:r>
      <w:r w:rsidR="003778C1">
        <w:t xml:space="preserve">re-evaluation </w:t>
      </w:r>
      <w:r>
        <w:t xml:space="preserve">of sweeteners listed in Table 1. </w:t>
      </w:r>
    </w:p>
    <w:p w14:paraId="11B59B8C" w14:textId="5EACE91E" w:rsidR="00A94F95" w:rsidRDefault="00A94F95" w:rsidP="00A94F95">
      <w:pPr>
        <w:pStyle w:val="EFSABodytext"/>
      </w:pPr>
      <w:r w:rsidRPr="00957C9A">
        <w:t>Scientific evaluation will be conducted for individual sweeteners. Should evidence</w:t>
      </w:r>
      <w:r>
        <w:t xml:space="preserve"> emerge that two or more substances lead to </w:t>
      </w:r>
      <w:r w:rsidR="00A26B17">
        <w:t xml:space="preserve">the </w:t>
      </w:r>
      <w:r>
        <w:t>same adverse effects</w:t>
      </w:r>
      <w:r w:rsidR="00BA5A4A">
        <w:t>, in particular</w:t>
      </w:r>
      <w:r>
        <w:t xml:space="preserve"> through the same </w:t>
      </w:r>
      <w:r w:rsidR="00372B82">
        <w:t>Mode of Action (</w:t>
      </w:r>
      <w:proofErr w:type="spellStart"/>
      <w:r>
        <w:t>MoA</w:t>
      </w:r>
      <w:proofErr w:type="spellEnd"/>
      <w:r w:rsidR="00372B82">
        <w:t>)</w:t>
      </w:r>
      <w:r>
        <w:t xml:space="preserve">, a </w:t>
      </w:r>
      <w:r w:rsidR="00FE5482">
        <w:t xml:space="preserve">group </w:t>
      </w:r>
      <w:r w:rsidR="00F230E6">
        <w:t xml:space="preserve">risk </w:t>
      </w:r>
      <w:r>
        <w:t>assessment will be considered.</w:t>
      </w:r>
    </w:p>
    <w:p w14:paraId="5D812B49" w14:textId="2A77FD24" w:rsidR="00A47825" w:rsidRDefault="00A47825" w:rsidP="00A47825">
      <w:pPr>
        <w:pStyle w:val="EFSABodytext"/>
      </w:pPr>
      <w:r>
        <w:t>It is out</w:t>
      </w:r>
      <w:r w:rsidR="00B30525">
        <w:t>side</w:t>
      </w:r>
      <w:r>
        <w:t xml:space="preserve"> the scope of th</w:t>
      </w:r>
      <w:r w:rsidR="002A6933">
        <w:t>e</w:t>
      </w:r>
      <w:r>
        <w:t xml:space="preserve"> scientific </w:t>
      </w:r>
      <w:r w:rsidR="00E356E9">
        <w:t xml:space="preserve">re-evaluations of the sweeteners </w:t>
      </w:r>
      <w:r>
        <w:t xml:space="preserve">to address </w:t>
      </w:r>
      <w:r w:rsidR="00E356E9">
        <w:t xml:space="preserve">their </w:t>
      </w:r>
      <w:r>
        <w:t>possible beneficial health effects.</w:t>
      </w:r>
    </w:p>
    <w:p w14:paraId="7F1CF1CB" w14:textId="7E98B697" w:rsidR="00A94F95" w:rsidRDefault="00A94F95" w:rsidP="00A94F95">
      <w:pPr>
        <w:pStyle w:val="EFSABodytext"/>
      </w:pPr>
      <w:r>
        <w:t xml:space="preserve">This protocol </w:t>
      </w:r>
      <w:r w:rsidR="002723D7">
        <w:t>d</w:t>
      </w:r>
      <w:r w:rsidR="00A42901">
        <w:t xml:space="preserve">eals with </w:t>
      </w:r>
      <w:r w:rsidR="003778C1">
        <w:t xml:space="preserve">the </w:t>
      </w:r>
      <w:r w:rsidR="00C57298">
        <w:t>e</w:t>
      </w:r>
      <w:r w:rsidR="0084389A">
        <w:t>xposure assessment</w:t>
      </w:r>
      <w:r w:rsidR="003778C1">
        <w:t xml:space="preserve"> step of </w:t>
      </w:r>
      <w:r w:rsidR="00974D2B">
        <w:t xml:space="preserve">the </w:t>
      </w:r>
      <w:r w:rsidR="00D97777">
        <w:t xml:space="preserve">safety </w:t>
      </w:r>
      <w:r w:rsidR="003778C1">
        <w:t>assessment</w:t>
      </w:r>
      <w:r>
        <w:t xml:space="preserve">. </w:t>
      </w:r>
      <w:r w:rsidR="0028074D">
        <w:t xml:space="preserve">Hazard identification and hazard characterisation </w:t>
      </w:r>
      <w:r>
        <w:t xml:space="preserve">will be assessed following a separate protocol. </w:t>
      </w:r>
      <w:r w:rsidR="008B3979">
        <w:t>The safety assessment</w:t>
      </w:r>
      <w:r>
        <w:t xml:space="preserve"> will be performed based on the outcome of hazard characterisation and exposure assessment.</w:t>
      </w:r>
    </w:p>
    <w:p w14:paraId="3201A805" w14:textId="77777777" w:rsidR="009E1C5A" w:rsidRDefault="009E1C5A" w:rsidP="009E1C5A">
      <w:pPr>
        <w:pStyle w:val="EFSATabletitle"/>
        <w:ind w:left="786"/>
      </w:pPr>
      <w:r w:rsidRPr="011405C0">
        <w:rPr>
          <w:rStyle w:val="EFSATabletitleChar"/>
        </w:rPr>
        <w:t>List of food additives, classified as sweeteners, to be re-evaluated under Regulation (EC) No 257/2010</w:t>
      </w:r>
    </w:p>
    <w:tbl>
      <w:tblPr>
        <w:tblStyle w:val="LightList-Accent6"/>
        <w:tblW w:w="0" w:type="auto"/>
        <w:tblLook w:val="04A0" w:firstRow="1" w:lastRow="0" w:firstColumn="1" w:lastColumn="0" w:noHBand="0" w:noVBand="1"/>
      </w:tblPr>
      <w:tblGrid>
        <w:gridCol w:w="1275"/>
        <w:gridCol w:w="2982"/>
        <w:gridCol w:w="1376"/>
        <w:gridCol w:w="3373"/>
        <w:gridCol w:w="46"/>
      </w:tblGrid>
      <w:tr w:rsidR="009E1C5A" w14:paraId="3C0B349E" w14:textId="77777777" w:rsidTr="001C598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274" w:type="dxa"/>
          </w:tcPr>
          <w:p w14:paraId="47F16D46" w14:textId="77777777" w:rsidR="009E1C5A" w:rsidRDefault="009E1C5A" w:rsidP="009E1C5A">
            <w:pPr>
              <w:pStyle w:val="EFSATabledata"/>
            </w:pPr>
            <w:r>
              <w:lastRenderedPageBreak/>
              <w:t>E Number</w:t>
            </w:r>
          </w:p>
        </w:tc>
        <w:tc>
          <w:tcPr>
            <w:tcW w:w="2982" w:type="dxa"/>
          </w:tcPr>
          <w:p w14:paraId="13F9F01F" w14:textId="77777777" w:rsidR="009E1C5A" w:rsidRDefault="009E1C5A" w:rsidP="009E1C5A">
            <w:pPr>
              <w:pStyle w:val="EFSATabledata"/>
              <w:cnfStyle w:val="100000000000" w:firstRow="1" w:lastRow="0" w:firstColumn="0" w:lastColumn="0" w:oddVBand="0" w:evenVBand="0" w:oddHBand="0" w:evenHBand="0" w:firstRowFirstColumn="0" w:firstRowLastColumn="0" w:lastRowFirstColumn="0" w:lastRowLastColumn="0"/>
            </w:pPr>
            <w:r>
              <w:t>Food additive(s)</w:t>
            </w:r>
          </w:p>
        </w:tc>
        <w:tc>
          <w:tcPr>
            <w:tcW w:w="1376" w:type="dxa"/>
          </w:tcPr>
          <w:p w14:paraId="767D98FE" w14:textId="77777777" w:rsidR="009E1C5A" w:rsidRDefault="009E1C5A" w:rsidP="009E1C5A">
            <w:pPr>
              <w:pStyle w:val="EFSATabledata"/>
              <w:cnfStyle w:val="100000000000" w:firstRow="1" w:lastRow="0" w:firstColumn="0" w:lastColumn="0" w:oddVBand="0" w:evenVBand="0" w:oddHBand="0" w:evenHBand="0" w:firstRowFirstColumn="0" w:firstRowLastColumn="0" w:lastRowFirstColumn="0" w:lastRowLastColumn="0"/>
            </w:pPr>
          </w:p>
        </w:tc>
        <w:tc>
          <w:tcPr>
            <w:tcW w:w="3420" w:type="dxa"/>
            <w:gridSpan w:val="2"/>
          </w:tcPr>
          <w:p w14:paraId="4B635045" w14:textId="77777777" w:rsidR="009E1C5A" w:rsidRDefault="009E1C5A" w:rsidP="009E1C5A">
            <w:pPr>
              <w:pStyle w:val="EFSATabledata"/>
              <w:cnfStyle w:val="100000000000" w:firstRow="1" w:lastRow="0" w:firstColumn="0" w:lastColumn="0" w:oddVBand="0" w:evenVBand="0" w:oddHBand="0" w:evenHBand="0" w:firstRowFirstColumn="0" w:firstRowLastColumn="0" w:lastRowFirstColumn="0" w:lastRowLastColumn="0"/>
            </w:pPr>
            <w:r>
              <w:t>Substance</w:t>
            </w:r>
          </w:p>
        </w:tc>
      </w:tr>
      <w:tr w:rsidR="004C296D" w:rsidRPr="004C296D" w14:paraId="78E9668D" w14:textId="77777777" w:rsidTr="001C5989">
        <w:trPr>
          <w:gridAfter w:val="1"/>
          <w:cnfStyle w:val="100000000000" w:firstRow="1" w:lastRow="0" w:firstColumn="0" w:lastColumn="0" w:oddVBand="0" w:evenVBand="0" w:oddHBand="0" w:evenHBand="0" w:firstRowFirstColumn="0" w:firstRowLastColumn="0" w:lastRowFirstColumn="0" w:lastRowLastColumn="0"/>
          <w:wAfter w:w="46" w:type="dxa"/>
          <w:trHeight w:val="20"/>
          <w:tblHeader/>
        </w:trPr>
        <w:tc>
          <w:tcPr>
            <w:cnfStyle w:val="001000000000" w:firstRow="0" w:lastRow="0" w:firstColumn="1" w:lastColumn="0" w:oddVBand="0" w:evenVBand="0" w:oddHBand="0" w:evenHBand="0" w:firstRowFirstColumn="0" w:firstRowLastColumn="0" w:lastRowFirstColumn="0" w:lastRowLastColumn="0"/>
            <w:tcW w:w="9006" w:type="dxa"/>
            <w:gridSpan w:val="4"/>
            <w:shd w:val="clear" w:color="auto" w:fill="FABF8F" w:themeFill="accent6" w:themeFillTint="99"/>
          </w:tcPr>
          <w:p w14:paraId="0E5F4BBE" w14:textId="70D376F5" w:rsidR="00476771" w:rsidRPr="004C296D" w:rsidRDefault="00476771" w:rsidP="009E1C5A">
            <w:pPr>
              <w:pStyle w:val="EFSATabledata"/>
              <w:rPr>
                <w:color w:val="auto"/>
              </w:rPr>
            </w:pPr>
            <w:r w:rsidRPr="004C296D">
              <w:rPr>
                <w:color w:val="auto"/>
              </w:rPr>
              <w:t xml:space="preserve">Polyols </w:t>
            </w:r>
          </w:p>
        </w:tc>
      </w:tr>
      <w:tr w:rsidR="009E1C5A" w14:paraId="45D9510C"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14EE6B2A" w14:textId="77777777" w:rsidR="009E1C5A" w:rsidRDefault="009E1C5A" w:rsidP="009E1C5A">
            <w:pPr>
              <w:pStyle w:val="EFSATabledata"/>
            </w:pPr>
            <w:r>
              <w:t>E 420</w:t>
            </w:r>
          </w:p>
        </w:tc>
        <w:tc>
          <w:tcPr>
            <w:tcW w:w="2982" w:type="dxa"/>
          </w:tcPr>
          <w:p w14:paraId="1991F4F7"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roofErr w:type="spellStart"/>
            <w:r>
              <w:t>Sorbitols</w:t>
            </w:r>
            <w:proofErr w:type="spellEnd"/>
          </w:p>
        </w:tc>
        <w:tc>
          <w:tcPr>
            <w:tcW w:w="1376" w:type="dxa"/>
          </w:tcPr>
          <w:p w14:paraId="0F6F5EE2"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r>
              <w:t>E 420 (</w:t>
            </w:r>
            <w:proofErr w:type="spellStart"/>
            <w:r>
              <w:t>i</w:t>
            </w:r>
            <w:proofErr w:type="spellEnd"/>
            <w:r>
              <w:t>)</w:t>
            </w:r>
          </w:p>
          <w:p w14:paraId="3E97AB97"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E 420(ii)</w:t>
            </w:r>
          </w:p>
        </w:tc>
        <w:tc>
          <w:tcPr>
            <w:tcW w:w="3420" w:type="dxa"/>
            <w:gridSpan w:val="2"/>
          </w:tcPr>
          <w:p w14:paraId="5B9E8F21"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r>
              <w:t>Sorbitol</w:t>
            </w:r>
          </w:p>
          <w:p w14:paraId="6CE5C592"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Sorbitol syrup</w:t>
            </w:r>
          </w:p>
        </w:tc>
      </w:tr>
      <w:tr w:rsidR="009E1C5A" w14:paraId="57E7718E" w14:textId="77777777" w:rsidTr="001C5989">
        <w:trPr>
          <w:trHeight w:val="20"/>
        </w:trPr>
        <w:tc>
          <w:tcPr>
            <w:cnfStyle w:val="001000000000" w:firstRow="0" w:lastRow="0" w:firstColumn="1" w:lastColumn="0" w:oddVBand="0" w:evenVBand="0" w:oddHBand="0" w:evenHBand="0" w:firstRowFirstColumn="0" w:firstRowLastColumn="0" w:lastRowFirstColumn="0" w:lastRowLastColumn="0"/>
            <w:tcW w:w="1274" w:type="dxa"/>
          </w:tcPr>
          <w:p w14:paraId="3D071F7D" w14:textId="77777777" w:rsidR="009E1C5A" w:rsidRDefault="009E1C5A" w:rsidP="009E1C5A">
            <w:pPr>
              <w:pStyle w:val="EFSATabledata"/>
            </w:pPr>
            <w:r>
              <w:t>E 421</w:t>
            </w:r>
          </w:p>
        </w:tc>
        <w:tc>
          <w:tcPr>
            <w:tcW w:w="2982" w:type="dxa"/>
          </w:tcPr>
          <w:p w14:paraId="554FC7FD"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roofErr w:type="spellStart"/>
            <w:r>
              <w:t>Mannitols</w:t>
            </w:r>
            <w:proofErr w:type="spellEnd"/>
          </w:p>
        </w:tc>
        <w:tc>
          <w:tcPr>
            <w:tcW w:w="1376" w:type="dxa"/>
          </w:tcPr>
          <w:p w14:paraId="70B81CFC"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E 421(</w:t>
            </w:r>
            <w:proofErr w:type="spellStart"/>
            <w:r>
              <w:t>i</w:t>
            </w:r>
            <w:proofErr w:type="spellEnd"/>
            <w:r>
              <w:t>)</w:t>
            </w:r>
          </w:p>
          <w:p w14:paraId="623CD4D9"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E 421(ii)</w:t>
            </w:r>
          </w:p>
        </w:tc>
        <w:tc>
          <w:tcPr>
            <w:tcW w:w="3420" w:type="dxa"/>
            <w:gridSpan w:val="2"/>
          </w:tcPr>
          <w:p w14:paraId="52BE78D9"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Mannitol by hydrogenation</w:t>
            </w:r>
          </w:p>
          <w:p w14:paraId="702F0BE0"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Mannitol manufactured by fermentation</w:t>
            </w:r>
          </w:p>
        </w:tc>
      </w:tr>
      <w:tr w:rsidR="001C5989" w14:paraId="6E50CBD9" w14:textId="77777777" w:rsidTr="00F163B6">
        <w:trPr>
          <w:gridAfter w:val="1"/>
          <w:cnfStyle w:val="000000100000" w:firstRow="0" w:lastRow="0" w:firstColumn="0" w:lastColumn="0" w:oddVBand="0" w:evenVBand="0" w:oddHBand="1" w:evenHBand="0" w:firstRowFirstColumn="0" w:firstRowLastColumn="0" w:lastRowFirstColumn="0" w:lastRowLastColumn="0"/>
          <w:wAfter w:w="46" w:type="dxa"/>
          <w:trHeight w:val="20"/>
        </w:trPr>
        <w:tc>
          <w:tcPr>
            <w:cnfStyle w:val="001000000000" w:firstRow="0" w:lastRow="0" w:firstColumn="1" w:lastColumn="0" w:oddVBand="0" w:evenVBand="0" w:oddHBand="0" w:evenHBand="0" w:firstRowFirstColumn="0" w:firstRowLastColumn="0" w:lastRowFirstColumn="0" w:lastRowLastColumn="0"/>
            <w:tcW w:w="1278" w:type="dxa"/>
          </w:tcPr>
          <w:p w14:paraId="72458295" w14:textId="77777777" w:rsidR="00F163B6" w:rsidRDefault="00F163B6">
            <w:pPr>
              <w:pStyle w:val="EFSATabledata"/>
            </w:pPr>
            <w:r>
              <w:t>E 953</w:t>
            </w:r>
          </w:p>
        </w:tc>
        <w:tc>
          <w:tcPr>
            <w:tcW w:w="2998" w:type="dxa"/>
          </w:tcPr>
          <w:p w14:paraId="6FAF7108" w14:textId="77777777" w:rsidR="00F163B6" w:rsidRDefault="00F163B6">
            <w:pPr>
              <w:pStyle w:val="EFSATabledata"/>
              <w:cnfStyle w:val="000000100000" w:firstRow="0" w:lastRow="0" w:firstColumn="0" w:lastColumn="0" w:oddVBand="0" w:evenVBand="0" w:oddHBand="1" w:evenHBand="0" w:firstRowFirstColumn="0" w:firstRowLastColumn="0" w:lastRowFirstColumn="0" w:lastRowLastColumn="0"/>
            </w:pPr>
            <w:r>
              <w:t>Isomalt</w:t>
            </w:r>
          </w:p>
        </w:tc>
        <w:tc>
          <w:tcPr>
            <w:tcW w:w="1381" w:type="dxa"/>
          </w:tcPr>
          <w:p w14:paraId="3890371E" w14:textId="77777777" w:rsidR="00F163B6" w:rsidRDefault="00F163B6">
            <w:pPr>
              <w:pStyle w:val="EFSATabledata"/>
              <w:cnfStyle w:val="000000100000" w:firstRow="0" w:lastRow="0" w:firstColumn="0" w:lastColumn="0" w:oddVBand="0" w:evenVBand="0" w:oddHBand="1" w:evenHBand="0" w:firstRowFirstColumn="0" w:firstRowLastColumn="0" w:lastRowFirstColumn="0" w:lastRowLastColumn="0"/>
            </w:pPr>
          </w:p>
        </w:tc>
        <w:tc>
          <w:tcPr>
            <w:tcW w:w="3395" w:type="dxa"/>
          </w:tcPr>
          <w:p w14:paraId="0F9F5371" w14:textId="77777777" w:rsidR="00F163B6" w:rsidRDefault="00F163B6">
            <w:pPr>
              <w:pStyle w:val="EFSATabledata"/>
              <w:cnfStyle w:val="000000100000" w:firstRow="0" w:lastRow="0" w:firstColumn="0" w:lastColumn="0" w:oddVBand="0" w:evenVBand="0" w:oddHBand="1" w:evenHBand="0" w:firstRowFirstColumn="0" w:firstRowLastColumn="0" w:lastRowFirstColumn="0" w:lastRowLastColumn="0"/>
            </w:pPr>
          </w:p>
        </w:tc>
      </w:tr>
      <w:tr w:rsidR="00F163B6" w14:paraId="110B1BC6" w14:textId="77777777" w:rsidTr="00F163B6">
        <w:trPr>
          <w:gridAfter w:val="1"/>
          <w:wAfter w:w="46" w:type="dxa"/>
          <w:trHeight w:val="20"/>
        </w:trPr>
        <w:tc>
          <w:tcPr>
            <w:cnfStyle w:val="001000000000" w:firstRow="0" w:lastRow="0" w:firstColumn="1" w:lastColumn="0" w:oddVBand="0" w:evenVBand="0" w:oddHBand="0" w:evenHBand="0" w:firstRowFirstColumn="0" w:firstRowLastColumn="0" w:lastRowFirstColumn="0" w:lastRowLastColumn="0"/>
            <w:tcW w:w="1274" w:type="dxa"/>
          </w:tcPr>
          <w:p w14:paraId="0D4399EB" w14:textId="77777777" w:rsidR="00476771" w:rsidRDefault="00476771">
            <w:pPr>
              <w:pStyle w:val="EFSATabledata"/>
            </w:pPr>
            <w:r>
              <w:t>E 965</w:t>
            </w:r>
          </w:p>
        </w:tc>
        <w:tc>
          <w:tcPr>
            <w:tcW w:w="2982" w:type="dxa"/>
          </w:tcPr>
          <w:p w14:paraId="757478CD"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r>
              <w:t>Maltitols</w:t>
            </w:r>
          </w:p>
        </w:tc>
        <w:tc>
          <w:tcPr>
            <w:tcW w:w="1376" w:type="dxa"/>
          </w:tcPr>
          <w:p w14:paraId="104B45AA"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E 965(</w:t>
            </w:r>
            <w:proofErr w:type="spellStart"/>
            <w:r>
              <w:t>i</w:t>
            </w:r>
            <w:proofErr w:type="spellEnd"/>
            <w:r>
              <w:t>)</w:t>
            </w:r>
          </w:p>
          <w:p w14:paraId="32BC4188"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r>
              <w:t>E 965(ii)</w:t>
            </w:r>
          </w:p>
        </w:tc>
        <w:tc>
          <w:tcPr>
            <w:tcW w:w="3374" w:type="dxa"/>
          </w:tcPr>
          <w:p w14:paraId="7B2ACFC6"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Maltitol</w:t>
            </w:r>
          </w:p>
          <w:p w14:paraId="3471E92C"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r>
              <w:t>Maltitol syrup</w:t>
            </w:r>
          </w:p>
        </w:tc>
      </w:tr>
      <w:tr w:rsidR="00F163B6" w14:paraId="787393EE" w14:textId="77777777" w:rsidTr="00F163B6">
        <w:trPr>
          <w:gridAfter w:val="1"/>
          <w:cnfStyle w:val="000000100000" w:firstRow="0" w:lastRow="0" w:firstColumn="0" w:lastColumn="0" w:oddVBand="0" w:evenVBand="0" w:oddHBand="1" w:evenHBand="0" w:firstRowFirstColumn="0" w:firstRowLastColumn="0" w:lastRowFirstColumn="0" w:lastRowLastColumn="0"/>
          <w:wAfter w:w="46" w:type="dxa"/>
          <w:trHeight w:val="20"/>
        </w:trPr>
        <w:tc>
          <w:tcPr>
            <w:cnfStyle w:val="001000000000" w:firstRow="0" w:lastRow="0" w:firstColumn="1" w:lastColumn="0" w:oddVBand="0" w:evenVBand="0" w:oddHBand="0" w:evenHBand="0" w:firstRowFirstColumn="0" w:firstRowLastColumn="0" w:lastRowFirstColumn="0" w:lastRowLastColumn="0"/>
            <w:tcW w:w="1274" w:type="dxa"/>
          </w:tcPr>
          <w:p w14:paraId="723525C9" w14:textId="77777777" w:rsidR="00476771" w:rsidRDefault="00476771">
            <w:pPr>
              <w:pStyle w:val="EFSATabledata"/>
            </w:pPr>
            <w:r>
              <w:t>E 966</w:t>
            </w:r>
          </w:p>
        </w:tc>
        <w:tc>
          <w:tcPr>
            <w:tcW w:w="2982" w:type="dxa"/>
          </w:tcPr>
          <w:p w14:paraId="7BF78C52"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r>
              <w:t>Lactitol</w:t>
            </w:r>
          </w:p>
        </w:tc>
        <w:tc>
          <w:tcPr>
            <w:tcW w:w="1376" w:type="dxa"/>
          </w:tcPr>
          <w:p w14:paraId="62CF332D"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p>
        </w:tc>
        <w:tc>
          <w:tcPr>
            <w:tcW w:w="3374" w:type="dxa"/>
          </w:tcPr>
          <w:p w14:paraId="41EB3C42"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p>
        </w:tc>
      </w:tr>
      <w:tr w:rsidR="00F163B6" w14:paraId="27CFA011" w14:textId="77777777" w:rsidTr="00F163B6">
        <w:trPr>
          <w:gridAfter w:val="1"/>
          <w:wAfter w:w="46" w:type="dxa"/>
          <w:trHeight w:val="20"/>
        </w:trPr>
        <w:tc>
          <w:tcPr>
            <w:cnfStyle w:val="001000000000" w:firstRow="0" w:lastRow="0" w:firstColumn="1" w:lastColumn="0" w:oddVBand="0" w:evenVBand="0" w:oddHBand="0" w:evenHBand="0" w:firstRowFirstColumn="0" w:firstRowLastColumn="0" w:lastRowFirstColumn="0" w:lastRowLastColumn="0"/>
            <w:tcW w:w="1274" w:type="dxa"/>
          </w:tcPr>
          <w:p w14:paraId="04FEF724" w14:textId="77777777" w:rsidR="00476771" w:rsidRDefault="00476771">
            <w:pPr>
              <w:pStyle w:val="EFSATabledata"/>
            </w:pPr>
            <w:r>
              <w:t>E 967</w:t>
            </w:r>
          </w:p>
        </w:tc>
        <w:tc>
          <w:tcPr>
            <w:tcW w:w="2982" w:type="dxa"/>
          </w:tcPr>
          <w:p w14:paraId="445BE649"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r>
              <w:t>Xylitol</w:t>
            </w:r>
          </w:p>
        </w:tc>
        <w:tc>
          <w:tcPr>
            <w:tcW w:w="1376" w:type="dxa"/>
          </w:tcPr>
          <w:p w14:paraId="149E5FEE"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p>
        </w:tc>
        <w:tc>
          <w:tcPr>
            <w:tcW w:w="3374" w:type="dxa"/>
          </w:tcPr>
          <w:p w14:paraId="1AD2E609" w14:textId="77777777" w:rsidR="00476771" w:rsidRDefault="00476771">
            <w:pPr>
              <w:pStyle w:val="EFSATabledata"/>
              <w:cnfStyle w:val="000000000000" w:firstRow="0" w:lastRow="0" w:firstColumn="0" w:lastColumn="0" w:oddVBand="0" w:evenVBand="0" w:oddHBand="0" w:evenHBand="0" w:firstRowFirstColumn="0" w:firstRowLastColumn="0" w:lastRowFirstColumn="0" w:lastRowLastColumn="0"/>
            </w:pPr>
          </w:p>
        </w:tc>
      </w:tr>
      <w:tr w:rsidR="00F163B6" w14:paraId="6F610A2F" w14:textId="77777777" w:rsidTr="00F163B6">
        <w:trPr>
          <w:gridAfter w:val="1"/>
          <w:cnfStyle w:val="000000100000" w:firstRow="0" w:lastRow="0" w:firstColumn="0" w:lastColumn="0" w:oddVBand="0" w:evenVBand="0" w:oddHBand="1" w:evenHBand="0" w:firstRowFirstColumn="0" w:firstRowLastColumn="0" w:lastRowFirstColumn="0" w:lastRowLastColumn="0"/>
          <w:wAfter w:w="46" w:type="dxa"/>
          <w:trHeight w:val="20"/>
        </w:trPr>
        <w:tc>
          <w:tcPr>
            <w:cnfStyle w:val="001000000000" w:firstRow="0" w:lastRow="0" w:firstColumn="1" w:lastColumn="0" w:oddVBand="0" w:evenVBand="0" w:oddHBand="0" w:evenHBand="0" w:firstRowFirstColumn="0" w:firstRowLastColumn="0" w:lastRowFirstColumn="0" w:lastRowLastColumn="0"/>
            <w:tcW w:w="1274" w:type="dxa"/>
          </w:tcPr>
          <w:p w14:paraId="633C79E0" w14:textId="77777777" w:rsidR="00476771" w:rsidRDefault="00476771">
            <w:pPr>
              <w:pStyle w:val="EFSATabledata"/>
            </w:pPr>
            <w:r>
              <w:t>E 968</w:t>
            </w:r>
          </w:p>
        </w:tc>
        <w:tc>
          <w:tcPr>
            <w:tcW w:w="2982" w:type="dxa"/>
          </w:tcPr>
          <w:p w14:paraId="221C6E14"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r>
              <w:t>Erythritol</w:t>
            </w:r>
          </w:p>
        </w:tc>
        <w:tc>
          <w:tcPr>
            <w:tcW w:w="1376" w:type="dxa"/>
          </w:tcPr>
          <w:p w14:paraId="37B7B7BA"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p>
        </w:tc>
        <w:tc>
          <w:tcPr>
            <w:tcW w:w="3374" w:type="dxa"/>
          </w:tcPr>
          <w:p w14:paraId="1E1038D5" w14:textId="77777777" w:rsidR="00476771" w:rsidRDefault="00476771">
            <w:pPr>
              <w:pStyle w:val="EFSATabledata"/>
              <w:cnfStyle w:val="000000100000" w:firstRow="0" w:lastRow="0" w:firstColumn="0" w:lastColumn="0" w:oddVBand="0" w:evenVBand="0" w:oddHBand="1" w:evenHBand="0" w:firstRowFirstColumn="0" w:firstRowLastColumn="0" w:lastRowFirstColumn="0" w:lastRowLastColumn="0"/>
            </w:pPr>
          </w:p>
        </w:tc>
      </w:tr>
      <w:tr w:rsidR="004C296D" w:rsidRPr="004C296D" w14:paraId="4FB78331" w14:textId="77777777" w:rsidTr="004C296D">
        <w:trPr>
          <w:gridAfter w:val="1"/>
          <w:wAfter w:w="46" w:type="dxa"/>
          <w:trHeight w:val="20"/>
        </w:trPr>
        <w:tc>
          <w:tcPr>
            <w:cnfStyle w:val="001000000000" w:firstRow="0" w:lastRow="0" w:firstColumn="1" w:lastColumn="0" w:oddVBand="0" w:evenVBand="0" w:oddHBand="0" w:evenHBand="0" w:firstRowFirstColumn="0" w:firstRowLastColumn="0" w:lastRowFirstColumn="0" w:lastRowLastColumn="0"/>
            <w:tcW w:w="9006" w:type="dxa"/>
            <w:gridSpan w:val="4"/>
            <w:shd w:val="clear" w:color="auto" w:fill="FABF8F" w:themeFill="accent6" w:themeFillTint="99"/>
          </w:tcPr>
          <w:p w14:paraId="7C9087D2" w14:textId="5D2977FC" w:rsidR="00476771" w:rsidRPr="004C296D" w:rsidRDefault="00476771">
            <w:pPr>
              <w:pStyle w:val="EFSATabledata"/>
            </w:pPr>
            <w:r w:rsidRPr="004C296D">
              <w:t xml:space="preserve">Intense </w:t>
            </w:r>
            <w:r w:rsidR="00AD6009">
              <w:t>s</w:t>
            </w:r>
            <w:r w:rsidR="00AD6009" w:rsidRPr="004C296D">
              <w:t>weeteners</w:t>
            </w:r>
          </w:p>
        </w:tc>
      </w:tr>
      <w:tr w:rsidR="009E1C5A" w14:paraId="16C22220"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64FC450D" w14:textId="77777777" w:rsidR="009E1C5A" w:rsidRDefault="009E1C5A" w:rsidP="009E1C5A">
            <w:pPr>
              <w:pStyle w:val="EFSATabledata"/>
            </w:pPr>
            <w:r>
              <w:t>E 950</w:t>
            </w:r>
          </w:p>
        </w:tc>
        <w:tc>
          <w:tcPr>
            <w:tcW w:w="2982" w:type="dxa"/>
          </w:tcPr>
          <w:p w14:paraId="3CF1F637"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Acesulfame K</w:t>
            </w:r>
          </w:p>
        </w:tc>
        <w:tc>
          <w:tcPr>
            <w:tcW w:w="1376" w:type="dxa"/>
          </w:tcPr>
          <w:p w14:paraId="297F6470"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c>
          <w:tcPr>
            <w:tcW w:w="3420" w:type="dxa"/>
            <w:gridSpan w:val="2"/>
          </w:tcPr>
          <w:p w14:paraId="173CE8F8"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r>
      <w:tr w:rsidR="009E1C5A" w14:paraId="1B8BEF7A" w14:textId="77777777" w:rsidTr="001C5989">
        <w:trPr>
          <w:trHeight w:val="20"/>
        </w:trPr>
        <w:tc>
          <w:tcPr>
            <w:cnfStyle w:val="001000000000" w:firstRow="0" w:lastRow="0" w:firstColumn="1" w:lastColumn="0" w:oddVBand="0" w:evenVBand="0" w:oddHBand="0" w:evenHBand="0" w:firstRowFirstColumn="0" w:firstRowLastColumn="0" w:lastRowFirstColumn="0" w:lastRowLastColumn="0"/>
            <w:tcW w:w="1274" w:type="dxa"/>
          </w:tcPr>
          <w:p w14:paraId="30A3E9A9" w14:textId="77777777" w:rsidR="009E1C5A" w:rsidRDefault="009E1C5A" w:rsidP="009E1C5A">
            <w:pPr>
              <w:pStyle w:val="EFSATabledata"/>
            </w:pPr>
            <w:r>
              <w:t>E 951</w:t>
            </w:r>
            <w:r w:rsidRPr="00415769">
              <w:rPr>
                <w:vertAlign w:val="superscript"/>
              </w:rPr>
              <w:t>(a)</w:t>
            </w:r>
          </w:p>
        </w:tc>
        <w:tc>
          <w:tcPr>
            <w:tcW w:w="2982" w:type="dxa"/>
          </w:tcPr>
          <w:p w14:paraId="1B47CF8A"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Aspartame</w:t>
            </w:r>
            <w:r w:rsidRPr="00415769">
              <w:rPr>
                <w:vertAlign w:val="superscript"/>
              </w:rPr>
              <w:t>(a)</w:t>
            </w:r>
          </w:p>
        </w:tc>
        <w:tc>
          <w:tcPr>
            <w:tcW w:w="1376" w:type="dxa"/>
          </w:tcPr>
          <w:p w14:paraId="2CF19E20"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c>
          <w:tcPr>
            <w:tcW w:w="3420" w:type="dxa"/>
            <w:gridSpan w:val="2"/>
          </w:tcPr>
          <w:p w14:paraId="4C4C05EB"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r>
      <w:tr w:rsidR="009E1C5A" w14:paraId="64D28977"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626ECC66" w14:textId="77777777" w:rsidR="009E1C5A" w:rsidRDefault="009E1C5A" w:rsidP="009E1C5A">
            <w:pPr>
              <w:pStyle w:val="EFSATabledata"/>
            </w:pPr>
            <w:r>
              <w:t>E 952</w:t>
            </w:r>
          </w:p>
        </w:tc>
        <w:tc>
          <w:tcPr>
            <w:tcW w:w="2982" w:type="dxa"/>
          </w:tcPr>
          <w:p w14:paraId="4FA43DEB"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Cyclamates</w:t>
            </w:r>
          </w:p>
        </w:tc>
        <w:tc>
          <w:tcPr>
            <w:tcW w:w="1376" w:type="dxa"/>
          </w:tcPr>
          <w:p w14:paraId="6AE84A8B"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r>
              <w:t>E 952(</w:t>
            </w:r>
            <w:proofErr w:type="spellStart"/>
            <w:r>
              <w:t>i</w:t>
            </w:r>
            <w:proofErr w:type="spellEnd"/>
            <w:r>
              <w:t>)</w:t>
            </w:r>
          </w:p>
          <w:p w14:paraId="6C809F18"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lang w:eastAsia="en-GB"/>
              </w:rPr>
            </w:pPr>
            <w:r>
              <w:t>E 952(ii)</w:t>
            </w:r>
          </w:p>
          <w:p w14:paraId="1D644B70"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E 952(iii)</w:t>
            </w:r>
          </w:p>
        </w:tc>
        <w:tc>
          <w:tcPr>
            <w:tcW w:w="3420" w:type="dxa"/>
            <w:gridSpan w:val="2"/>
          </w:tcPr>
          <w:p w14:paraId="2BAEDAEF"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roofErr w:type="spellStart"/>
            <w:r>
              <w:t>Cyclamic</w:t>
            </w:r>
            <w:proofErr w:type="spellEnd"/>
            <w:r>
              <w:t xml:space="preserve"> acid</w:t>
            </w:r>
          </w:p>
          <w:p w14:paraId="6E11D518"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lang w:eastAsia="en-GB"/>
              </w:rPr>
            </w:pPr>
            <w:r>
              <w:t>Sodium cyclamate</w:t>
            </w:r>
          </w:p>
          <w:p w14:paraId="3D28E47E"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Calcium cyclamate</w:t>
            </w:r>
          </w:p>
        </w:tc>
      </w:tr>
      <w:tr w:rsidR="009E1C5A" w14:paraId="6CCFEBBE" w14:textId="77777777" w:rsidTr="001C5989">
        <w:trPr>
          <w:trHeight w:val="20"/>
        </w:trPr>
        <w:tc>
          <w:tcPr>
            <w:cnfStyle w:val="001000000000" w:firstRow="0" w:lastRow="0" w:firstColumn="1" w:lastColumn="0" w:oddVBand="0" w:evenVBand="0" w:oddHBand="0" w:evenHBand="0" w:firstRowFirstColumn="0" w:firstRowLastColumn="0" w:lastRowFirstColumn="0" w:lastRowLastColumn="0"/>
            <w:tcW w:w="1274" w:type="dxa"/>
          </w:tcPr>
          <w:p w14:paraId="685021DB" w14:textId="77777777" w:rsidR="009E1C5A" w:rsidRDefault="009E1C5A" w:rsidP="009E1C5A">
            <w:pPr>
              <w:pStyle w:val="EFSATabledata"/>
            </w:pPr>
            <w:r>
              <w:t>E 954</w:t>
            </w:r>
          </w:p>
        </w:tc>
        <w:tc>
          <w:tcPr>
            <w:tcW w:w="2982" w:type="dxa"/>
          </w:tcPr>
          <w:p w14:paraId="652FC6BB"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Saccharin and its Na, K and Ca salts</w:t>
            </w:r>
          </w:p>
        </w:tc>
        <w:tc>
          <w:tcPr>
            <w:tcW w:w="1376" w:type="dxa"/>
          </w:tcPr>
          <w:p w14:paraId="74E7F256"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lang w:val="it-IT"/>
              </w:rPr>
            </w:pPr>
            <w:r w:rsidRPr="1A41B8B7">
              <w:rPr>
                <w:lang w:val="it-IT"/>
              </w:rPr>
              <w:t>E 954(i)</w:t>
            </w:r>
          </w:p>
          <w:p w14:paraId="0148B77F"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lang w:val="it-IT" w:eastAsia="en-GB"/>
              </w:rPr>
            </w:pPr>
            <w:r w:rsidRPr="1A41B8B7">
              <w:rPr>
                <w:lang w:val="it-IT"/>
              </w:rPr>
              <w:t>E 954(ii)</w:t>
            </w:r>
          </w:p>
          <w:p w14:paraId="5DB42620"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lang w:val="it-IT"/>
              </w:rPr>
            </w:pPr>
            <w:r w:rsidRPr="1A41B8B7">
              <w:rPr>
                <w:lang w:val="it-IT"/>
              </w:rPr>
              <w:t>E 954(iii)</w:t>
            </w:r>
          </w:p>
          <w:p w14:paraId="63279328"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lang w:val="it-IT"/>
              </w:rPr>
            </w:pPr>
            <w:r w:rsidRPr="1A41B8B7">
              <w:rPr>
                <w:lang w:val="it-IT"/>
              </w:rPr>
              <w:t>E 954(iv)</w:t>
            </w:r>
          </w:p>
        </w:tc>
        <w:tc>
          <w:tcPr>
            <w:tcW w:w="3420" w:type="dxa"/>
            <w:gridSpan w:val="2"/>
          </w:tcPr>
          <w:p w14:paraId="004562AA"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Saccharin</w:t>
            </w:r>
          </w:p>
          <w:p w14:paraId="00E6D446"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lang w:eastAsia="en-GB"/>
              </w:rPr>
            </w:pPr>
            <w:r>
              <w:t>Sodium saccharin</w:t>
            </w:r>
          </w:p>
          <w:p w14:paraId="326A43F8"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Calcium saccharin</w:t>
            </w:r>
          </w:p>
          <w:p w14:paraId="31BE4E55"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Potassium saccharin</w:t>
            </w:r>
          </w:p>
        </w:tc>
      </w:tr>
      <w:tr w:rsidR="009E1C5A" w14:paraId="2D228FA9"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7F93C231" w14:textId="77777777" w:rsidR="009E1C5A" w:rsidRDefault="009E1C5A" w:rsidP="009E1C5A">
            <w:pPr>
              <w:pStyle w:val="EFSATabledata"/>
            </w:pPr>
            <w:r>
              <w:t>E 955</w:t>
            </w:r>
          </w:p>
        </w:tc>
        <w:tc>
          <w:tcPr>
            <w:tcW w:w="2982" w:type="dxa"/>
          </w:tcPr>
          <w:p w14:paraId="628DE0D6"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Sucralose</w:t>
            </w:r>
          </w:p>
        </w:tc>
        <w:tc>
          <w:tcPr>
            <w:tcW w:w="1376" w:type="dxa"/>
          </w:tcPr>
          <w:p w14:paraId="77F76880"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c>
          <w:tcPr>
            <w:tcW w:w="3420" w:type="dxa"/>
            <w:gridSpan w:val="2"/>
          </w:tcPr>
          <w:p w14:paraId="6970F2E1"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r>
      <w:tr w:rsidR="009E1C5A" w14:paraId="56AF17F2" w14:textId="77777777" w:rsidTr="001C5989">
        <w:trPr>
          <w:trHeight w:val="20"/>
        </w:trPr>
        <w:tc>
          <w:tcPr>
            <w:cnfStyle w:val="001000000000" w:firstRow="0" w:lastRow="0" w:firstColumn="1" w:lastColumn="0" w:oddVBand="0" w:evenVBand="0" w:oddHBand="0" w:evenHBand="0" w:firstRowFirstColumn="0" w:firstRowLastColumn="0" w:lastRowFirstColumn="0" w:lastRowLastColumn="0"/>
            <w:tcW w:w="1274" w:type="dxa"/>
          </w:tcPr>
          <w:p w14:paraId="21EE0BC8" w14:textId="77777777" w:rsidR="009E1C5A" w:rsidRDefault="009E1C5A" w:rsidP="009E1C5A">
            <w:pPr>
              <w:pStyle w:val="EFSATabledata"/>
            </w:pPr>
            <w:r>
              <w:t>E 957</w:t>
            </w:r>
          </w:p>
        </w:tc>
        <w:tc>
          <w:tcPr>
            <w:tcW w:w="2982" w:type="dxa"/>
          </w:tcPr>
          <w:p w14:paraId="4446B2C6"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Thaumatin</w:t>
            </w:r>
          </w:p>
        </w:tc>
        <w:tc>
          <w:tcPr>
            <w:tcW w:w="1376" w:type="dxa"/>
          </w:tcPr>
          <w:p w14:paraId="67453BD5"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c>
          <w:tcPr>
            <w:tcW w:w="3420" w:type="dxa"/>
            <w:gridSpan w:val="2"/>
          </w:tcPr>
          <w:p w14:paraId="6615356A"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r>
      <w:tr w:rsidR="009E1C5A" w14:paraId="50B6A42F"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16368319" w14:textId="77777777" w:rsidR="009E1C5A" w:rsidRDefault="009E1C5A" w:rsidP="009E1C5A">
            <w:pPr>
              <w:pStyle w:val="EFSATabledata"/>
            </w:pPr>
            <w:r>
              <w:t>E 959</w:t>
            </w:r>
          </w:p>
        </w:tc>
        <w:tc>
          <w:tcPr>
            <w:tcW w:w="2982" w:type="dxa"/>
          </w:tcPr>
          <w:p w14:paraId="445003F0"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Neohesperidine dihydrochalcone</w:t>
            </w:r>
          </w:p>
        </w:tc>
        <w:tc>
          <w:tcPr>
            <w:tcW w:w="1376" w:type="dxa"/>
          </w:tcPr>
          <w:p w14:paraId="4CB3EE52"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c>
          <w:tcPr>
            <w:tcW w:w="3420" w:type="dxa"/>
            <w:gridSpan w:val="2"/>
          </w:tcPr>
          <w:p w14:paraId="2DCA9B5A"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r>
      <w:tr w:rsidR="009E1C5A" w14:paraId="6CF6DC42" w14:textId="77777777" w:rsidTr="001C5989">
        <w:trPr>
          <w:trHeight w:val="20"/>
        </w:trPr>
        <w:tc>
          <w:tcPr>
            <w:cnfStyle w:val="001000000000" w:firstRow="0" w:lastRow="0" w:firstColumn="1" w:lastColumn="0" w:oddVBand="0" w:evenVBand="0" w:oddHBand="0" w:evenHBand="0" w:firstRowFirstColumn="0" w:firstRowLastColumn="0" w:lastRowFirstColumn="0" w:lastRowLastColumn="0"/>
            <w:tcW w:w="1274" w:type="dxa"/>
          </w:tcPr>
          <w:p w14:paraId="09C58CC6" w14:textId="77777777" w:rsidR="009E1C5A" w:rsidRDefault="009E1C5A" w:rsidP="009E1C5A">
            <w:pPr>
              <w:pStyle w:val="EFSATabledata"/>
            </w:pPr>
            <w:r>
              <w:t>E 961</w:t>
            </w:r>
          </w:p>
        </w:tc>
        <w:tc>
          <w:tcPr>
            <w:tcW w:w="2982" w:type="dxa"/>
          </w:tcPr>
          <w:p w14:paraId="7AB63868"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r>
              <w:t>Neotame</w:t>
            </w:r>
          </w:p>
        </w:tc>
        <w:tc>
          <w:tcPr>
            <w:tcW w:w="1376" w:type="dxa"/>
          </w:tcPr>
          <w:p w14:paraId="3B9EDBA0"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c>
          <w:tcPr>
            <w:tcW w:w="3420" w:type="dxa"/>
            <w:gridSpan w:val="2"/>
          </w:tcPr>
          <w:p w14:paraId="585C6E0D" w14:textId="77777777" w:rsidR="009E1C5A" w:rsidRDefault="009E1C5A" w:rsidP="009E1C5A">
            <w:pPr>
              <w:pStyle w:val="EFSATabledata"/>
              <w:cnfStyle w:val="000000000000" w:firstRow="0" w:lastRow="0" w:firstColumn="0" w:lastColumn="0" w:oddVBand="0" w:evenVBand="0" w:oddHBand="0" w:evenHBand="0" w:firstRowFirstColumn="0" w:firstRowLastColumn="0" w:lastRowFirstColumn="0" w:lastRowLastColumn="0"/>
            </w:pPr>
          </w:p>
        </w:tc>
      </w:tr>
      <w:tr w:rsidR="009E1C5A" w14:paraId="46DFC96E" w14:textId="77777777" w:rsidTr="001C598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74" w:type="dxa"/>
          </w:tcPr>
          <w:p w14:paraId="556CD3A0" w14:textId="77777777" w:rsidR="009E1C5A" w:rsidRDefault="009E1C5A" w:rsidP="009E1C5A">
            <w:pPr>
              <w:pStyle w:val="EFSATabledata"/>
            </w:pPr>
            <w:r>
              <w:t>E 962</w:t>
            </w:r>
          </w:p>
        </w:tc>
        <w:tc>
          <w:tcPr>
            <w:tcW w:w="2982" w:type="dxa"/>
          </w:tcPr>
          <w:p w14:paraId="4AFF8082"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r>
              <w:t>Salt of aspartame-acesulfame</w:t>
            </w:r>
          </w:p>
        </w:tc>
        <w:tc>
          <w:tcPr>
            <w:tcW w:w="1376" w:type="dxa"/>
          </w:tcPr>
          <w:p w14:paraId="46F1DDD5"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c>
          <w:tcPr>
            <w:tcW w:w="3420" w:type="dxa"/>
            <w:gridSpan w:val="2"/>
          </w:tcPr>
          <w:p w14:paraId="47D80FB7" w14:textId="77777777" w:rsidR="009E1C5A" w:rsidRDefault="009E1C5A" w:rsidP="009E1C5A">
            <w:pPr>
              <w:pStyle w:val="EFSATabledata"/>
              <w:cnfStyle w:val="000000100000" w:firstRow="0" w:lastRow="0" w:firstColumn="0" w:lastColumn="0" w:oddVBand="0" w:evenVBand="0" w:oddHBand="1" w:evenHBand="0" w:firstRowFirstColumn="0" w:firstRowLastColumn="0" w:lastRowFirstColumn="0" w:lastRowLastColumn="0"/>
            </w:pPr>
          </w:p>
        </w:tc>
      </w:tr>
    </w:tbl>
    <w:p w14:paraId="4026044E" w14:textId="52047FB1" w:rsidR="009E1C5A" w:rsidRDefault="009E1C5A" w:rsidP="00C00AB9">
      <w:pPr>
        <w:pStyle w:val="EFSATablelegend"/>
        <w:numPr>
          <w:ilvl w:val="0"/>
          <w:numId w:val="43"/>
        </w:numPr>
        <w:spacing w:line="240" w:lineRule="auto"/>
        <w:ind w:left="714" w:hanging="357"/>
      </w:pPr>
      <w:r w:rsidRPr="009D77CA">
        <w:t xml:space="preserve">In May 2011, EFSA was asked by the European Commission to bring forward the full re-evaluation of the safety of aspartame (E 951). </w:t>
      </w:r>
      <w:r>
        <w:t xml:space="preserve">Re-evaluation already completed by EFSA in 2013 (EFSA ANS Panel, 2013; </w:t>
      </w:r>
      <w:hyperlink r:id="rId17" w:history="1">
        <w:r w:rsidRPr="002A492E">
          <w:rPr>
            <w:rStyle w:val="Hyperlink"/>
          </w:rPr>
          <w:t>https://www.efsa.europa.eu/it/efsajournal/pub/3496</w:t>
        </w:r>
      </w:hyperlink>
      <w:r>
        <w:t>)</w:t>
      </w:r>
    </w:p>
    <w:p w14:paraId="0D7FEF31" w14:textId="77777777" w:rsidR="009E1C5A" w:rsidRPr="00D92572" w:rsidRDefault="009E1C5A" w:rsidP="009E1C5A">
      <w:pPr>
        <w:pStyle w:val="EFSATablelegend"/>
        <w:ind w:left="720"/>
      </w:pPr>
    </w:p>
    <w:p w14:paraId="0CDCF36B" w14:textId="32A63B2B" w:rsidR="00B773C9" w:rsidRDefault="002B288D" w:rsidP="000F265F">
      <w:pPr>
        <w:pStyle w:val="CommentText"/>
        <w:jc w:val="both"/>
        <w:rPr>
          <w:rFonts w:ascii="Tahoma" w:hAnsi="Tahoma"/>
          <w:color w:val="0070C0"/>
        </w:rPr>
      </w:pPr>
      <w:r w:rsidRPr="00EF4BE1">
        <w:rPr>
          <w:rFonts w:ascii="Tahoma" w:hAnsi="Tahoma"/>
          <w:color w:val="0070C0"/>
        </w:rPr>
        <w:t xml:space="preserve">Sweeteners </w:t>
      </w:r>
      <w:r w:rsidR="00CE14E5" w:rsidRPr="00EF4BE1">
        <w:rPr>
          <w:rFonts w:ascii="Tahoma" w:hAnsi="Tahoma"/>
          <w:color w:val="0070C0"/>
        </w:rPr>
        <w:t xml:space="preserve">for re-evaluation </w:t>
      </w:r>
      <w:r w:rsidR="00D73777" w:rsidRPr="00EF4BE1">
        <w:rPr>
          <w:rFonts w:ascii="Tahoma" w:hAnsi="Tahoma"/>
          <w:color w:val="0070C0"/>
        </w:rPr>
        <w:t>include</w:t>
      </w:r>
      <w:r w:rsidRPr="00EF4BE1">
        <w:rPr>
          <w:rFonts w:ascii="Tahoma" w:hAnsi="Tahoma"/>
          <w:color w:val="0070C0"/>
        </w:rPr>
        <w:t xml:space="preserve"> </w:t>
      </w:r>
      <w:r w:rsidR="00B50884" w:rsidRPr="00EF4BE1">
        <w:rPr>
          <w:rFonts w:ascii="Tahoma" w:hAnsi="Tahoma"/>
          <w:color w:val="0070C0"/>
        </w:rPr>
        <w:t>polyols</w:t>
      </w:r>
      <w:r w:rsidR="00B50884">
        <w:rPr>
          <w:rFonts w:ascii="Tahoma" w:hAnsi="Tahoma"/>
          <w:color w:val="0070C0"/>
        </w:rPr>
        <w:t xml:space="preserve"> and</w:t>
      </w:r>
      <w:r w:rsidRPr="00EF4BE1">
        <w:rPr>
          <w:rFonts w:ascii="Tahoma" w:hAnsi="Tahoma"/>
          <w:color w:val="0070C0"/>
        </w:rPr>
        <w:t xml:space="preserve"> intense sweeteners </w:t>
      </w:r>
      <w:r w:rsidR="00396379" w:rsidRPr="00EF4BE1">
        <w:rPr>
          <w:rFonts w:ascii="Tahoma" w:hAnsi="Tahoma"/>
          <w:color w:val="0070C0"/>
        </w:rPr>
        <w:t>(see Table 1)</w:t>
      </w:r>
      <w:r w:rsidRPr="00EF4BE1">
        <w:rPr>
          <w:rFonts w:ascii="Tahoma" w:hAnsi="Tahoma"/>
          <w:color w:val="0070C0"/>
        </w:rPr>
        <w:t xml:space="preserve">. Intense sweeteners are usually added </w:t>
      </w:r>
      <w:r w:rsidR="00734639">
        <w:rPr>
          <w:rFonts w:ascii="Tahoma" w:hAnsi="Tahoma"/>
          <w:color w:val="0070C0"/>
        </w:rPr>
        <w:t xml:space="preserve">to food </w:t>
      </w:r>
      <w:r w:rsidRPr="00EF4BE1">
        <w:rPr>
          <w:rFonts w:ascii="Tahoma" w:hAnsi="Tahoma"/>
          <w:color w:val="0070C0"/>
        </w:rPr>
        <w:t xml:space="preserve">for their high sweet potency in order to replace sugar. </w:t>
      </w:r>
      <w:r w:rsidR="00CE14E5" w:rsidRPr="00EF4BE1">
        <w:rPr>
          <w:rFonts w:ascii="Tahoma" w:hAnsi="Tahoma"/>
          <w:color w:val="0070C0"/>
        </w:rPr>
        <w:t>Poly</w:t>
      </w:r>
      <w:r w:rsidR="00F76827" w:rsidRPr="00EF4BE1">
        <w:rPr>
          <w:rFonts w:ascii="Tahoma" w:hAnsi="Tahoma"/>
          <w:color w:val="0070C0"/>
        </w:rPr>
        <w:t>ols</w:t>
      </w:r>
      <w:r w:rsidR="00734639">
        <w:rPr>
          <w:rFonts w:ascii="Tahoma" w:hAnsi="Tahoma"/>
          <w:color w:val="0070C0"/>
        </w:rPr>
        <w:t>, on the other hand,</w:t>
      </w:r>
      <w:r w:rsidR="00FA27E5" w:rsidRPr="00EF4BE1">
        <w:rPr>
          <w:rFonts w:ascii="Tahoma" w:hAnsi="Tahoma"/>
          <w:color w:val="0070C0"/>
        </w:rPr>
        <w:t xml:space="preserve"> are bulk sweet</w:t>
      </w:r>
      <w:r w:rsidR="00310F9F" w:rsidRPr="00EF4BE1">
        <w:rPr>
          <w:rFonts w:ascii="Tahoma" w:hAnsi="Tahoma"/>
          <w:color w:val="0070C0"/>
        </w:rPr>
        <w:t>e</w:t>
      </w:r>
      <w:r w:rsidR="00FA27E5" w:rsidRPr="00EF4BE1">
        <w:rPr>
          <w:rFonts w:ascii="Tahoma" w:hAnsi="Tahoma"/>
          <w:color w:val="0070C0"/>
        </w:rPr>
        <w:t>ners</w:t>
      </w:r>
      <w:r w:rsidR="00734639">
        <w:rPr>
          <w:rFonts w:ascii="Tahoma" w:hAnsi="Tahoma"/>
          <w:color w:val="0070C0"/>
        </w:rPr>
        <w:t>. They</w:t>
      </w:r>
      <w:r w:rsidR="00310F9F" w:rsidRPr="00EF4BE1" w:rsidDel="00734639">
        <w:rPr>
          <w:rFonts w:ascii="Tahoma" w:hAnsi="Tahoma"/>
          <w:color w:val="0070C0"/>
        </w:rPr>
        <w:t xml:space="preserve"> </w:t>
      </w:r>
      <w:r w:rsidRPr="00EF4BE1">
        <w:rPr>
          <w:rFonts w:ascii="Tahoma" w:hAnsi="Tahoma"/>
          <w:color w:val="0070C0"/>
        </w:rPr>
        <w:t xml:space="preserve">have a lower sweet potency (equivalent to the one of sucrose) and can also be used </w:t>
      </w:r>
      <w:r w:rsidR="00FF23CA" w:rsidRPr="00EF4BE1">
        <w:rPr>
          <w:rFonts w:ascii="Tahoma" w:hAnsi="Tahoma"/>
          <w:color w:val="0070C0"/>
        </w:rPr>
        <w:t>in</w:t>
      </w:r>
      <w:r w:rsidRPr="00EF4BE1">
        <w:rPr>
          <w:rFonts w:ascii="Tahoma" w:hAnsi="Tahoma"/>
          <w:color w:val="0070C0"/>
        </w:rPr>
        <w:t xml:space="preserve"> foods for purpose</w:t>
      </w:r>
      <w:r w:rsidR="006E4E52" w:rsidRPr="00EF4BE1">
        <w:rPr>
          <w:rFonts w:ascii="Tahoma" w:hAnsi="Tahoma"/>
          <w:color w:val="0070C0"/>
        </w:rPr>
        <w:t>s</w:t>
      </w:r>
      <w:r w:rsidRPr="00EF4BE1">
        <w:rPr>
          <w:rFonts w:ascii="Tahoma" w:hAnsi="Tahoma"/>
          <w:color w:val="0070C0"/>
        </w:rPr>
        <w:t xml:space="preserve"> other than sweetening </w:t>
      </w:r>
      <w:r w:rsidR="00684AFB" w:rsidRPr="00EF4BE1">
        <w:rPr>
          <w:rFonts w:ascii="Tahoma" w:hAnsi="Tahoma"/>
          <w:color w:val="0070C0"/>
        </w:rPr>
        <w:t>e.g. flavour enhancer</w:t>
      </w:r>
      <w:r w:rsidR="006A7F8E" w:rsidRPr="00EF4BE1">
        <w:rPr>
          <w:rFonts w:ascii="Tahoma" w:hAnsi="Tahoma"/>
          <w:color w:val="0070C0"/>
        </w:rPr>
        <w:t xml:space="preserve"> </w:t>
      </w:r>
      <w:r w:rsidR="007C58F3" w:rsidRPr="00EF4BE1">
        <w:rPr>
          <w:rFonts w:ascii="Tahoma" w:hAnsi="Tahoma"/>
          <w:color w:val="0070C0"/>
        </w:rPr>
        <w:t>(</w:t>
      </w:r>
      <w:r w:rsidRPr="00EF4BE1">
        <w:rPr>
          <w:rFonts w:ascii="Tahoma" w:hAnsi="Tahoma"/>
          <w:color w:val="0070C0"/>
        </w:rPr>
        <w:t>as mentioned in the Regulation No 1333/2008).</w:t>
      </w:r>
      <w:r w:rsidR="00B773C9">
        <w:rPr>
          <w:rFonts w:ascii="Tahoma" w:hAnsi="Tahoma"/>
          <w:color w:val="0070C0"/>
        </w:rPr>
        <w:t xml:space="preserve"> </w:t>
      </w:r>
    </w:p>
    <w:p w14:paraId="6969D3D1" w14:textId="489E71B5" w:rsidR="009E1C5A" w:rsidRPr="00B773C9" w:rsidRDefault="00C2561B" w:rsidP="00B773C9">
      <w:pPr>
        <w:pStyle w:val="CommentText"/>
        <w:jc w:val="both"/>
        <w:rPr>
          <w:rFonts w:ascii="Tahoma" w:hAnsi="Tahoma"/>
        </w:rPr>
      </w:pPr>
      <w:r w:rsidRPr="00B773C9">
        <w:rPr>
          <w:rFonts w:ascii="Tahoma" w:hAnsi="Tahoma"/>
        </w:rPr>
        <w:t>Although</w:t>
      </w:r>
      <w:r w:rsidR="003F69D1" w:rsidRPr="00B773C9">
        <w:rPr>
          <w:rFonts w:ascii="Tahoma" w:hAnsi="Tahoma"/>
        </w:rPr>
        <w:t xml:space="preserve"> the </w:t>
      </w:r>
      <w:r w:rsidR="009B1EFB" w:rsidRPr="00B773C9">
        <w:rPr>
          <w:rFonts w:ascii="Tahoma" w:hAnsi="Tahoma"/>
        </w:rPr>
        <w:t xml:space="preserve">re-evaluation </w:t>
      </w:r>
      <w:r w:rsidR="003F69D1" w:rsidRPr="00B773C9">
        <w:rPr>
          <w:rFonts w:ascii="Tahoma" w:hAnsi="Tahoma"/>
        </w:rPr>
        <w:t xml:space="preserve">of aspartame (E 951) </w:t>
      </w:r>
      <w:r w:rsidR="008C18E5" w:rsidRPr="00B773C9">
        <w:rPr>
          <w:rFonts w:ascii="Tahoma" w:hAnsi="Tahoma"/>
        </w:rPr>
        <w:t>was</w:t>
      </w:r>
      <w:r w:rsidR="009B1EFB" w:rsidRPr="00B773C9">
        <w:rPr>
          <w:rFonts w:ascii="Tahoma" w:hAnsi="Tahoma"/>
        </w:rPr>
        <w:t xml:space="preserve"> completed</w:t>
      </w:r>
      <w:r w:rsidR="00012C72" w:rsidRPr="00B773C9">
        <w:rPr>
          <w:rFonts w:ascii="Tahoma" w:hAnsi="Tahoma"/>
        </w:rPr>
        <w:t xml:space="preserve"> </w:t>
      </w:r>
      <w:r w:rsidR="006648D5">
        <w:rPr>
          <w:rFonts w:ascii="Tahoma" w:hAnsi="Tahoma"/>
        </w:rPr>
        <w:t xml:space="preserve">in 2013 </w:t>
      </w:r>
      <w:r w:rsidR="00012C72" w:rsidRPr="00B773C9">
        <w:rPr>
          <w:rFonts w:ascii="Tahoma" w:hAnsi="Tahoma"/>
        </w:rPr>
        <w:t>(EFSA ANS Panel, 2013)</w:t>
      </w:r>
      <w:r w:rsidR="009B1EFB" w:rsidRPr="00B773C9">
        <w:rPr>
          <w:rFonts w:ascii="Tahoma" w:hAnsi="Tahoma"/>
        </w:rPr>
        <w:t xml:space="preserve">, </w:t>
      </w:r>
      <w:r w:rsidR="00E678E8" w:rsidRPr="00B773C9">
        <w:rPr>
          <w:rFonts w:ascii="Tahoma" w:hAnsi="Tahoma"/>
        </w:rPr>
        <w:t xml:space="preserve">an update of the dietary exposure to aspartame (E 951) </w:t>
      </w:r>
      <w:r w:rsidR="006C7EC3" w:rsidRPr="00B773C9">
        <w:rPr>
          <w:rFonts w:ascii="Tahoma" w:hAnsi="Tahoma"/>
        </w:rPr>
        <w:t>will be performed</w:t>
      </w:r>
      <w:r w:rsidR="00793760" w:rsidRPr="00B773C9">
        <w:rPr>
          <w:rFonts w:ascii="Tahoma" w:hAnsi="Tahoma"/>
        </w:rPr>
        <w:t xml:space="preserve">. </w:t>
      </w:r>
      <w:r w:rsidR="00DE3DED" w:rsidRPr="00B773C9">
        <w:rPr>
          <w:rFonts w:ascii="Tahoma" w:hAnsi="Tahoma"/>
        </w:rPr>
        <w:t xml:space="preserve">A </w:t>
      </w:r>
      <w:r w:rsidR="0043641A" w:rsidRPr="00B773C9">
        <w:rPr>
          <w:rFonts w:ascii="Tahoma" w:hAnsi="Tahoma"/>
        </w:rPr>
        <w:t>dietary</w:t>
      </w:r>
      <w:r w:rsidR="00673807" w:rsidRPr="00B773C9">
        <w:rPr>
          <w:rFonts w:ascii="Tahoma" w:hAnsi="Tahoma"/>
        </w:rPr>
        <w:t xml:space="preserve"> exposure assessment </w:t>
      </w:r>
      <w:r w:rsidR="00E214FB" w:rsidRPr="00B773C9">
        <w:rPr>
          <w:rFonts w:ascii="Tahoma" w:hAnsi="Tahoma"/>
        </w:rPr>
        <w:t>of</w:t>
      </w:r>
      <w:r w:rsidR="00C3589D" w:rsidRPr="00B773C9">
        <w:rPr>
          <w:rFonts w:ascii="Tahoma" w:hAnsi="Tahoma"/>
        </w:rPr>
        <w:t xml:space="preserve"> </w:t>
      </w:r>
      <w:r w:rsidR="009B1EFB" w:rsidRPr="00B773C9">
        <w:rPr>
          <w:rFonts w:ascii="Tahoma" w:hAnsi="Tahoma"/>
        </w:rPr>
        <w:t xml:space="preserve">total aspartame from the use of </w:t>
      </w:r>
      <w:r w:rsidR="003F69D1" w:rsidRPr="00B773C9">
        <w:rPr>
          <w:rFonts w:ascii="Tahoma" w:hAnsi="Tahoma"/>
        </w:rPr>
        <w:t>the</w:t>
      </w:r>
      <w:r w:rsidR="009B1EFB" w:rsidRPr="00B773C9">
        <w:rPr>
          <w:rFonts w:ascii="Tahoma" w:hAnsi="Tahoma"/>
        </w:rPr>
        <w:t xml:space="preserve"> salt of aspartame-acesulfame (E</w:t>
      </w:r>
      <w:r w:rsidR="00000867" w:rsidRPr="00B773C9">
        <w:rPr>
          <w:rFonts w:ascii="Tahoma" w:hAnsi="Tahoma"/>
        </w:rPr>
        <w:t> </w:t>
      </w:r>
      <w:r w:rsidR="009B1EFB" w:rsidRPr="00B773C9">
        <w:rPr>
          <w:rFonts w:ascii="Tahoma" w:hAnsi="Tahoma"/>
        </w:rPr>
        <w:t>962) and aspartame (E</w:t>
      </w:r>
      <w:r w:rsidR="005E51F8" w:rsidRPr="00B773C9">
        <w:rPr>
          <w:rFonts w:ascii="Tahoma" w:hAnsi="Tahoma"/>
        </w:rPr>
        <w:t> </w:t>
      </w:r>
      <w:r w:rsidR="009B1EFB" w:rsidRPr="00B773C9">
        <w:rPr>
          <w:rFonts w:ascii="Tahoma" w:hAnsi="Tahoma"/>
        </w:rPr>
        <w:t>951)</w:t>
      </w:r>
      <w:r w:rsidR="00DE3DED" w:rsidRPr="00B773C9">
        <w:rPr>
          <w:rFonts w:ascii="Tahoma" w:hAnsi="Tahoma"/>
        </w:rPr>
        <w:t xml:space="preserve"> will</w:t>
      </w:r>
      <w:r w:rsidR="00AF68B0" w:rsidRPr="00B773C9">
        <w:rPr>
          <w:rFonts w:ascii="Tahoma" w:hAnsi="Tahoma"/>
        </w:rPr>
        <w:t xml:space="preserve"> also</w:t>
      </w:r>
      <w:r w:rsidR="00DE3DED" w:rsidRPr="00B773C9">
        <w:rPr>
          <w:rFonts w:ascii="Tahoma" w:hAnsi="Tahoma"/>
        </w:rPr>
        <w:t xml:space="preserve"> be performed</w:t>
      </w:r>
      <w:r w:rsidR="00000867" w:rsidRPr="00B773C9">
        <w:rPr>
          <w:rFonts w:ascii="Tahoma" w:hAnsi="Tahoma"/>
        </w:rPr>
        <w:t>.</w:t>
      </w:r>
      <w:r w:rsidR="00037A58" w:rsidRPr="00B773C9">
        <w:rPr>
          <w:rFonts w:ascii="Tahoma" w:hAnsi="Tahoma"/>
        </w:rPr>
        <w:t xml:space="preserve"> </w:t>
      </w:r>
    </w:p>
    <w:p w14:paraId="1851217A" w14:textId="5940390B" w:rsidR="00A47825" w:rsidRDefault="00CA6D8D" w:rsidP="00A006D5">
      <w:pPr>
        <w:pStyle w:val="EFSABodytext"/>
      </w:pPr>
      <w:r>
        <w:t>In</w:t>
      </w:r>
      <w:r w:rsidR="00A47825">
        <w:t xml:space="preserve"> general, </w:t>
      </w:r>
      <w:r w:rsidRPr="00597549">
        <w:t>concurrent</w:t>
      </w:r>
      <w:r>
        <w:t xml:space="preserve"> </w:t>
      </w:r>
      <w:r w:rsidR="00A47825">
        <w:t xml:space="preserve">exposure to impurities and by-products, e.g. </w:t>
      </w:r>
      <w:r w:rsidR="00D61606">
        <w:t xml:space="preserve">toxic elements </w:t>
      </w:r>
      <w:r w:rsidR="00A47825">
        <w:t>and process contaminants, will not be estimated by default.</w:t>
      </w:r>
      <w:r w:rsidR="00A52ED0">
        <w:t xml:space="preserve"> </w:t>
      </w:r>
    </w:p>
    <w:p w14:paraId="42FA90BC" w14:textId="10147E2E" w:rsidR="00214C6C" w:rsidRPr="0053143B" w:rsidRDefault="00214C6C" w:rsidP="00366CCD">
      <w:pPr>
        <w:pStyle w:val="EFSAHeading1"/>
        <w:outlineLvl w:val="0"/>
      </w:pPr>
      <w:bookmarkStart w:id="23" w:name="_Toc399503956"/>
      <w:bookmarkStart w:id="24" w:name="_Toc399850643"/>
      <w:bookmarkStart w:id="25" w:name="_Toc405560705"/>
      <w:bookmarkStart w:id="26" w:name="_Toc181606780"/>
      <w:r w:rsidRPr="0053143B">
        <w:t>Data and Methodologies</w:t>
      </w:r>
      <w:bookmarkEnd w:id="23"/>
      <w:bookmarkEnd w:id="24"/>
      <w:bookmarkEnd w:id="25"/>
      <w:bookmarkEnd w:id="26"/>
      <w:r w:rsidRPr="0053143B">
        <w:t xml:space="preserve"> </w:t>
      </w:r>
    </w:p>
    <w:p w14:paraId="218F5683" w14:textId="159D792A" w:rsidR="00B55F19" w:rsidRDefault="00B55F19" w:rsidP="00752B9F">
      <w:pPr>
        <w:pStyle w:val="EFSAHeading2"/>
      </w:pPr>
      <w:bookmarkStart w:id="27" w:name="_Toc181606781"/>
      <w:r>
        <w:t>Data</w:t>
      </w:r>
      <w:bookmarkEnd w:id="27"/>
    </w:p>
    <w:p w14:paraId="12F6ADBE" w14:textId="4FDE2E84" w:rsidR="00214C6C" w:rsidRDefault="00592C67" w:rsidP="00B55F19">
      <w:pPr>
        <w:pStyle w:val="EFSAHeading3"/>
      </w:pPr>
      <w:bookmarkStart w:id="28" w:name="_Toc181606782"/>
      <w:r>
        <w:t xml:space="preserve">Food additive </w:t>
      </w:r>
      <w:r w:rsidR="00551589">
        <w:t xml:space="preserve">occurrence </w:t>
      </w:r>
      <w:r>
        <w:t>data availability</w:t>
      </w:r>
      <w:bookmarkEnd w:id="28"/>
    </w:p>
    <w:p w14:paraId="6400F870" w14:textId="613D5FB0" w:rsidR="002B6404" w:rsidRDefault="00592C67" w:rsidP="002B6404">
      <w:pPr>
        <w:pStyle w:val="EFSABodytext"/>
      </w:pPr>
      <w:r>
        <w:t>In the framework of the re-evaluation programme</w:t>
      </w:r>
      <w:r w:rsidR="003C01F3" w:rsidRPr="003C01F3">
        <w:t xml:space="preserve"> of food additives that were already permitted in the European Union before 20 January 2009 set up under Regulation (EU) No 257/2010</w:t>
      </w:r>
      <w:r>
        <w:t>, EFSA has issued several public calls for</w:t>
      </w:r>
      <w:r w:rsidR="00E625B7" w:rsidRPr="00E625B7">
        <w:t xml:space="preserve"> </w:t>
      </w:r>
      <w:r>
        <w:t>use</w:t>
      </w:r>
      <w:r w:rsidR="007F7476">
        <w:t xml:space="preserve"> levels</w:t>
      </w:r>
      <w:r>
        <w:t xml:space="preserve"> and/or </w:t>
      </w:r>
      <w:r w:rsidR="53C041C1">
        <w:t xml:space="preserve">analytical </w:t>
      </w:r>
      <w:r>
        <w:t>data (</w:t>
      </w:r>
      <w:r w:rsidR="242929AA">
        <w:t xml:space="preserve">concentration </w:t>
      </w:r>
      <w:r>
        <w:t xml:space="preserve">data) </w:t>
      </w:r>
      <w:r w:rsidR="00B15311">
        <w:t>o</w:t>
      </w:r>
      <w:r>
        <w:t xml:space="preserve">n </w:t>
      </w:r>
      <w:r w:rsidR="00B15311" w:rsidRPr="00E625B7">
        <w:t xml:space="preserve">food additives </w:t>
      </w:r>
      <w:r>
        <w:t>to be re-evaluated since 2013.</w:t>
      </w:r>
      <w:r>
        <w:rPr>
          <w:rStyle w:val="FootnoteReference"/>
        </w:rPr>
        <w:footnoteReference w:id="5"/>
      </w:r>
      <w:r>
        <w:t xml:space="preserve"> </w:t>
      </w:r>
      <w:r w:rsidR="00F15F4E">
        <w:t xml:space="preserve">In particular, batch 7 </w:t>
      </w:r>
      <w:r w:rsidR="001202D7">
        <w:t xml:space="preserve">was launched </w:t>
      </w:r>
      <w:r w:rsidR="00546F64">
        <w:t xml:space="preserve">in January 2018 </w:t>
      </w:r>
      <w:r w:rsidR="001202D7">
        <w:t xml:space="preserve">to collect </w:t>
      </w:r>
      <w:r w:rsidR="00A47EFC">
        <w:t>concentration data</w:t>
      </w:r>
      <w:r w:rsidR="002A2157">
        <w:t xml:space="preserve"> </w:t>
      </w:r>
      <w:r w:rsidR="001202D7">
        <w:t xml:space="preserve">on </w:t>
      </w:r>
      <w:r w:rsidR="00D926FC">
        <w:t xml:space="preserve">food </w:t>
      </w:r>
      <w:r w:rsidR="001202D7">
        <w:t>sweeteners</w:t>
      </w:r>
      <w:r w:rsidR="00235AAE">
        <w:t xml:space="preserve"> by October 2018</w:t>
      </w:r>
      <w:r w:rsidR="00235AAE">
        <w:rPr>
          <w:rStyle w:val="FootnoteReference"/>
        </w:rPr>
        <w:footnoteReference w:id="6"/>
      </w:r>
      <w:r w:rsidR="001202D7">
        <w:t xml:space="preserve">. </w:t>
      </w:r>
    </w:p>
    <w:p w14:paraId="23190B25" w14:textId="123A10BA" w:rsidR="00E224E8" w:rsidRDefault="0070634B" w:rsidP="002B6404">
      <w:pPr>
        <w:pStyle w:val="EFSABodytext"/>
      </w:pPr>
      <w:r>
        <w:lastRenderedPageBreak/>
        <w:t>As part of batch 7, n</w:t>
      </w:r>
      <w:r w:rsidR="00E224E8">
        <w:t xml:space="preserve">ational authorities/organisations of the Member States and any interested business operators and other interested parties (e.g. individual food manufacturers, food manufacturer associations, research institutions, academia, food business operators and other stakeholders) were invited to submit </w:t>
      </w:r>
      <w:r w:rsidR="00C71E36">
        <w:t>concentration</w:t>
      </w:r>
      <w:r w:rsidR="1BD6DCEB">
        <w:t xml:space="preserve"> </w:t>
      </w:r>
      <w:r w:rsidR="00E224E8">
        <w:t xml:space="preserve">data of sweeteners in food and beverages intended for human consumption. </w:t>
      </w:r>
    </w:p>
    <w:p w14:paraId="41C5BE20" w14:textId="334630FA" w:rsidR="00F067E6" w:rsidRPr="000E1D7E" w:rsidRDefault="00F962B8" w:rsidP="002B6404">
      <w:pPr>
        <w:pStyle w:val="EFSABodytext"/>
      </w:pPr>
      <w:r w:rsidRPr="000E1D7E">
        <w:t xml:space="preserve">Analytical data </w:t>
      </w:r>
      <w:r w:rsidR="00B43B95" w:rsidRPr="000E1D7E">
        <w:t xml:space="preserve">of sweeteners </w:t>
      </w:r>
      <w:r w:rsidRPr="000E1D7E">
        <w:t xml:space="preserve">are </w:t>
      </w:r>
      <w:r w:rsidR="007727EA" w:rsidRPr="000E1D7E">
        <w:t xml:space="preserve">also collected annually </w:t>
      </w:r>
      <w:r w:rsidR="001A0229">
        <w:t>via</w:t>
      </w:r>
      <w:r w:rsidR="001A0229" w:rsidRPr="000E1D7E">
        <w:t xml:space="preserve"> </w:t>
      </w:r>
      <w:r w:rsidR="00C20CB1" w:rsidRPr="000E1D7E">
        <w:t xml:space="preserve">the </w:t>
      </w:r>
      <w:r w:rsidR="005A479E" w:rsidRPr="000E1D7E">
        <w:t xml:space="preserve">open call </w:t>
      </w:r>
      <w:r w:rsidR="00F21A91" w:rsidRPr="000E1D7E">
        <w:t xml:space="preserve">for food additive occurrence data in food and beverages intended for human consumption. </w:t>
      </w:r>
    </w:p>
    <w:p w14:paraId="1C7416CF" w14:textId="1C778FDC" w:rsidR="00592C67" w:rsidRDefault="00A47825" w:rsidP="00592C67">
      <w:pPr>
        <w:pStyle w:val="EFSABodytext"/>
      </w:pPr>
      <w:r>
        <w:t>A</w:t>
      </w:r>
      <w:r w:rsidR="009D73B8">
        <w:t>n</w:t>
      </w:r>
      <w:r>
        <w:t xml:space="preserve"> additional call on </w:t>
      </w:r>
      <w:r w:rsidR="3295EEB1">
        <w:t xml:space="preserve">concentration </w:t>
      </w:r>
      <w:r>
        <w:t xml:space="preserve">data </w:t>
      </w:r>
      <w:r w:rsidR="00D75054">
        <w:t xml:space="preserve">on </w:t>
      </w:r>
      <w:r>
        <w:t xml:space="preserve">aspartame (E 951) </w:t>
      </w:r>
      <w:r w:rsidR="00231073">
        <w:t>was</w:t>
      </w:r>
      <w:r>
        <w:t xml:space="preserve"> launched to collect new data that will be used to update the</w:t>
      </w:r>
      <w:r w:rsidR="00BD45A2">
        <w:t xml:space="preserve"> exposure</w:t>
      </w:r>
      <w:r>
        <w:t xml:space="preserve"> assessment of aspartame </w:t>
      </w:r>
      <w:r w:rsidR="003A5BCB">
        <w:t>(E 951)</w:t>
      </w:r>
      <w:r w:rsidR="00734CCD">
        <w:rPr>
          <w:rStyle w:val="FootnoteReference"/>
        </w:rPr>
        <w:footnoteReference w:id="7"/>
      </w:r>
      <w:r>
        <w:t>,</w:t>
      </w:r>
      <w:r w:rsidR="003A5BCB">
        <w:t xml:space="preserve"> as well as to assess the total aspartame exposure</w:t>
      </w:r>
      <w:r>
        <w:t xml:space="preserve"> from the use of </w:t>
      </w:r>
      <w:r w:rsidR="009D73B8">
        <w:t xml:space="preserve">the </w:t>
      </w:r>
      <w:r w:rsidR="00D75054">
        <w:t xml:space="preserve">salt of aspartame-acesulfame </w:t>
      </w:r>
      <w:r w:rsidR="009D73B8">
        <w:t xml:space="preserve">(E 962) </w:t>
      </w:r>
      <w:r>
        <w:t>and</w:t>
      </w:r>
      <w:r w:rsidR="003A5BCB">
        <w:t xml:space="preserve"> aspartame</w:t>
      </w:r>
      <w:r>
        <w:t xml:space="preserve"> </w:t>
      </w:r>
      <w:r w:rsidR="003A5BCB">
        <w:t>(</w:t>
      </w:r>
      <w:r>
        <w:t>E 951</w:t>
      </w:r>
      <w:r w:rsidR="003A5BCB">
        <w:t>)</w:t>
      </w:r>
      <w:r>
        <w:t>.</w:t>
      </w:r>
      <w:r w:rsidR="00A91331">
        <w:t xml:space="preserve"> </w:t>
      </w:r>
    </w:p>
    <w:p w14:paraId="496A4E49" w14:textId="53AAFE6A" w:rsidR="00194F17" w:rsidRPr="000E1D7E" w:rsidRDefault="00194F17" w:rsidP="00592C67">
      <w:pPr>
        <w:pStyle w:val="EFSABodytext"/>
      </w:pPr>
      <w:r w:rsidRPr="000E1D7E">
        <w:t xml:space="preserve">In the sections 5.1.1.1 and 5.1.1.2, </w:t>
      </w:r>
      <w:r w:rsidR="00383CAA" w:rsidRPr="000E1D7E">
        <w:t xml:space="preserve">the data that were submitted through batch 7 </w:t>
      </w:r>
      <w:r w:rsidRPr="000E1D7E">
        <w:t>will be discussed</w:t>
      </w:r>
      <w:r w:rsidR="009251F1" w:rsidRPr="000E1D7E">
        <w:t>.</w:t>
      </w:r>
    </w:p>
    <w:p w14:paraId="7105EB1D" w14:textId="2089C73A" w:rsidR="00592C67" w:rsidRPr="00592C67" w:rsidRDefault="00592C67" w:rsidP="007B23D1">
      <w:pPr>
        <w:pStyle w:val="EFSAHeading4"/>
      </w:pPr>
      <w:bookmarkStart w:id="29" w:name="_Toc181606783"/>
      <w:r>
        <w:t>Information on use levels</w:t>
      </w:r>
      <w:r w:rsidR="000F5ED1" w:rsidRPr="000F5ED1">
        <w:t xml:space="preserve"> </w:t>
      </w:r>
      <w:r w:rsidR="000F5ED1">
        <w:t>submitted</w:t>
      </w:r>
      <w:bookmarkEnd w:id="29"/>
    </w:p>
    <w:p w14:paraId="0B19B5F1" w14:textId="6FBCAB20" w:rsidR="00592C67" w:rsidRDefault="00592C67" w:rsidP="00592C67">
      <w:pPr>
        <w:pStyle w:val="EFSABodytext"/>
      </w:pPr>
      <w:r>
        <w:t xml:space="preserve">The amount of information received for </w:t>
      </w:r>
      <w:r w:rsidR="00B70740">
        <w:t xml:space="preserve">each </w:t>
      </w:r>
      <w:r w:rsidR="000109E5">
        <w:t>sweetener</w:t>
      </w:r>
      <w:r>
        <w:t xml:space="preserve"> </w:t>
      </w:r>
      <w:r w:rsidR="001051A3">
        <w:t xml:space="preserve">through batch 7 </w:t>
      </w:r>
      <w:r>
        <w:t>varie</w:t>
      </w:r>
      <w:r w:rsidR="00963C18">
        <w:t>d</w:t>
      </w:r>
      <w:r>
        <w:t xml:space="preserve"> considerably, ranging from </w:t>
      </w:r>
      <w:r w:rsidR="000B56AF">
        <w:t xml:space="preserve">few </w:t>
      </w:r>
      <w:r>
        <w:t>data</w:t>
      </w:r>
      <w:r w:rsidR="0013292B">
        <w:t xml:space="preserve"> (e.g. </w:t>
      </w:r>
      <w:r w:rsidR="000B56AF">
        <w:t xml:space="preserve">lactitol, </w:t>
      </w:r>
      <w:r w:rsidR="00D75054">
        <w:t xml:space="preserve">salt of </w:t>
      </w:r>
      <w:r w:rsidR="000B56AF">
        <w:t>aspartame</w:t>
      </w:r>
      <w:r w:rsidR="00D75054">
        <w:t>-</w:t>
      </w:r>
      <w:r w:rsidR="000B56AF">
        <w:t>acesulfame</w:t>
      </w:r>
      <w:r w:rsidR="0013292B">
        <w:t>)</w:t>
      </w:r>
      <w:r>
        <w:t xml:space="preserve"> to data covering nearly all authorised uses</w:t>
      </w:r>
      <w:r w:rsidR="006B410A">
        <w:t xml:space="preserve"> </w:t>
      </w:r>
      <w:r w:rsidR="0013292B">
        <w:t>(</w:t>
      </w:r>
      <w:r w:rsidR="000B56AF">
        <w:t>e.g. acesulfame K, sucralose</w:t>
      </w:r>
      <w:r w:rsidR="0013292B">
        <w:t>)</w:t>
      </w:r>
      <w:r w:rsidR="00176B87">
        <w:t xml:space="preserve"> laid down in Annex II to Regulation (EC) No 1333/2008 on food additives</w:t>
      </w:r>
      <w:r>
        <w:t xml:space="preserve">. </w:t>
      </w:r>
    </w:p>
    <w:p w14:paraId="4BA5613D" w14:textId="6243665A" w:rsidR="008D7988" w:rsidRPr="000E1D7E" w:rsidRDefault="00592C67" w:rsidP="00592C67">
      <w:pPr>
        <w:pStyle w:val="EFSABodytext"/>
      </w:pPr>
      <w:r w:rsidRPr="000E1D7E">
        <w:t xml:space="preserve">The majority of the information provided </w:t>
      </w:r>
      <w:r w:rsidR="005A195E" w:rsidRPr="000E1D7E">
        <w:t>was</w:t>
      </w:r>
      <w:r w:rsidRPr="000E1D7E">
        <w:t xml:space="preserve"> made available by food industry associations that collect </w:t>
      </w:r>
      <w:r w:rsidR="00D13D52">
        <w:t>use levels</w:t>
      </w:r>
      <w:r w:rsidR="00D13D52" w:rsidRPr="000E1D7E">
        <w:t xml:space="preserve"> </w:t>
      </w:r>
      <w:r w:rsidRPr="000E1D7E">
        <w:t>from their members.</w:t>
      </w:r>
      <w:r w:rsidR="00790795" w:rsidRPr="000E1D7E">
        <w:t xml:space="preserve"> </w:t>
      </w:r>
    </w:p>
    <w:p w14:paraId="7465A282" w14:textId="77BE3E87" w:rsidR="00592C67" w:rsidRPr="000E1D7E" w:rsidRDefault="0011334B" w:rsidP="00592C67">
      <w:pPr>
        <w:pStyle w:val="EFSABodytext"/>
      </w:pPr>
      <w:r w:rsidRPr="000E1D7E">
        <w:t xml:space="preserve">Use levels </w:t>
      </w:r>
      <w:r w:rsidR="009D7C30" w:rsidRPr="000E1D7E">
        <w:t>are</w:t>
      </w:r>
      <w:r w:rsidRPr="000E1D7E">
        <w:t xml:space="preserve"> </w:t>
      </w:r>
      <w:r w:rsidR="55B48097">
        <w:t>validated</w:t>
      </w:r>
      <w:r w:rsidRPr="000E1D7E">
        <w:t>; this include</w:t>
      </w:r>
      <w:r w:rsidR="00471718" w:rsidRPr="000E1D7E">
        <w:t>s</w:t>
      </w:r>
      <w:r w:rsidRPr="000E1D7E">
        <w:t xml:space="preserve"> cleaning steps</w:t>
      </w:r>
      <w:r w:rsidR="00D7337E" w:rsidRPr="000E1D7E">
        <w:t xml:space="preserve"> and going back to data provider </w:t>
      </w:r>
      <w:r w:rsidR="00DE149B" w:rsidRPr="000E1D7E">
        <w:t>if clarification is needed</w:t>
      </w:r>
      <w:r w:rsidRPr="000E1D7E">
        <w:t xml:space="preserve">. </w:t>
      </w:r>
    </w:p>
    <w:p w14:paraId="0D24344E" w14:textId="12EDFDD7" w:rsidR="00BF1CA5" w:rsidRDefault="00592C67" w:rsidP="000B658B">
      <w:pPr>
        <w:pStyle w:val="EFSABodytext"/>
      </w:pPr>
      <w:r w:rsidRPr="000E1D7E">
        <w:t xml:space="preserve">Typically, very limited information is provided about the representativeness of the use levels submitted </w:t>
      </w:r>
      <w:r>
        <w:t>with respect to the</w:t>
      </w:r>
      <w:r w:rsidR="009F30CB">
        <w:t>ir</w:t>
      </w:r>
      <w:r>
        <w:t xml:space="preserve"> market share. </w:t>
      </w:r>
      <w:r w:rsidR="51C90669">
        <w:t xml:space="preserve">The only information that </w:t>
      </w:r>
      <w:r w:rsidR="7A0EE194">
        <w:t xml:space="preserve">may be </w:t>
      </w:r>
      <w:r w:rsidR="51C90669">
        <w:t>provided</w:t>
      </w:r>
      <w:r w:rsidR="7EBF8E76">
        <w:t xml:space="preserve"> by </w:t>
      </w:r>
      <w:r>
        <w:t xml:space="preserve">data providers </w:t>
      </w:r>
      <w:r w:rsidR="5FC702C6">
        <w:t xml:space="preserve">from the industry </w:t>
      </w:r>
      <w:r w:rsidR="21D4A9A5">
        <w:t>is that</w:t>
      </w:r>
      <w:r>
        <w:t xml:space="preserve"> a level refers to a niche product</w:t>
      </w:r>
      <w:r w:rsidR="00E224E8">
        <w:t>. A</w:t>
      </w:r>
      <w:r>
        <w:t xml:space="preserve"> niche product </w:t>
      </w:r>
      <w:r w:rsidR="00794F90">
        <w:t>is commonly</w:t>
      </w:r>
      <w:r>
        <w:t xml:space="preserve"> identified as </w:t>
      </w:r>
      <w:r w:rsidR="00AC0C0E">
        <w:t>a specific</w:t>
      </w:r>
      <w:r w:rsidR="006A7C7E">
        <w:t xml:space="preserve"> or unique</w:t>
      </w:r>
      <w:r w:rsidR="00AC0C0E">
        <w:t xml:space="preserve"> product </w:t>
      </w:r>
      <w:r w:rsidR="00DB4456">
        <w:t>or</w:t>
      </w:r>
      <w:r w:rsidR="00AC0C0E">
        <w:t xml:space="preserve"> </w:t>
      </w:r>
      <w:r w:rsidR="33D1AE9F">
        <w:t xml:space="preserve">as a product </w:t>
      </w:r>
      <w:r w:rsidR="004449DC">
        <w:t xml:space="preserve">for </w:t>
      </w:r>
      <w:r w:rsidR="0021722F">
        <w:t xml:space="preserve">a </w:t>
      </w:r>
      <w:r w:rsidR="73B6844A">
        <w:t xml:space="preserve">certain </w:t>
      </w:r>
      <w:r w:rsidR="00794F90">
        <w:t>target</w:t>
      </w:r>
      <w:r w:rsidR="0021722F">
        <w:t xml:space="preserve"> subset</w:t>
      </w:r>
      <w:r w:rsidR="00AC0C0E">
        <w:t xml:space="preserve"> </w:t>
      </w:r>
      <w:r w:rsidR="004449DC">
        <w:t xml:space="preserve">of the </w:t>
      </w:r>
      <w:r w:rsidR="00DB4456">
        <w:t>population</w:t>
      </w:r>
      <w:r>
        <w:t xml:space="preserve">. </w:t>
      </w:r>
      <w:r w:rsidR="00245849">
        <w:t xml:space="preserve">The aim of this information is to </w:t>
      </w:r>
      <w:r w:rsidR="006715B6">
        <w:t>obtain</w:t>
      </w:r>
      <w:r w:rsidR="00245849">
        <w:t xml:space="preserve"> an indication </w:t>
      </w:r>
      <w:r w:rsidR="006715B6">
        <w:t xml:space="preserve">about </w:t>
      </w:r>
      <w:r w:rsidR="00245849">
        <w:t xml:space="preserve">whether a </w:t>
      </w:r>
      <w:r w:rsidR="00794F90">
        <w:t xml:space="preserve">reported </w:t>
      </w:r>
      <w:r w:rsidR="00245849">
        <w:t xml:space="preserve">use level is </w:t>
      </w:r>
      <w:r w:rsidR="4409C6A0">
        <w:t>representative for the whole food category to which the niche product belongs</w:t>
      </w:r>
      <w:r w:rsidR="7E9DD744">
        <w:t>.</w:t>
      </w:r>
      <w:r w:rsidR="00E86063">
        <w:t xml:space="preserve"> </w:t>
      </w:r>
      <w:r w:rsidR="006D4870">
        <w:t xml:space="preserve">When </w:t>
      </w:r>
      <w:r w:rsidR="799A53F2">
        <w:t xml:space="preserve">the use level for </w:t>
      </w:r>
      <w:r w:rsidR="006D4870">
        <w:t>a</w:t>
      </w:r>
      <w:r w:rsidR="00E67FAF">
        <w:t xml:space="preserve"> </w:t>
      </w:r>
      <w:r w:rsidR="00DA0E7E">
        <w:t>niche produc</w:t>
      </w:r>
      <w:r w:rsidR="00E67FAF">
        <w:t>t</w:t>
      </w:r>
      <w:r w:rsidR="00850BDC">
        <w:t xml:space="preserve"> </w:t>
      </w:r>
      <w:r w:rsidR="004E439C">
        <w:t xml:space="preserve">clearly </w:t>
      </w:r>
      <w:r w:rsidR="6EDD0205">
        <w:t>differs</w:t>
      </w:r>
      <w:r w:rsidR="000C48D0">
        <w:t xml:space="preserve"> </w:t>
      </w:r>
      <w:r w:rsidR="00CC7383">
        <w:t xml:space="preserve">from </w:t>
      </w:r>
      <w:r w:rsidR="00691325">
        <w:t>those</w:t>
      </w:r>
      <w:r w:rsidR="00964347">
        <w:t xml:space="preserve"> </w:t>
      </w:r>
      <w:r w:rsidR="24340EB3">
        <w:t xml:space="preserve">for other foods belonging to </w:t>
      </w:r>
      <w:r w:rsidR="00CC7383">
        <w:t xml:space="preserve">the </w:t>
      </w:r>
      <w:r w:rsidR="003F7F21">
        <w:t xml:space="preserve">food </w:t>
      </w:r>
      <w:r w:rsidR="00CC7383">
        <w:t>category</w:t>
      </w:r>
      <w:r w:rsidR="008B01AE">
        <w:t xml:space="preserve"> </w:t>
      </w:r>
      <w:r w:rsidR="6A99B849">
        <w:t xml:space="preserve">and the niche product presents unique characteristics compared to </w:t>
      </w:r>
      <w:r w:rsidR="7BD21C65">
        <w:t xml:space="preserve">those </w:t>
      </w:r>
      <w:r w:rsidR="6A99B849">
        <w:t>foods</w:t>
      </w:r>
      <w:r w:rsidR="000768DE">
        <w:t xml:space="preserve">, </w:t>
      </w:r>
      <w:r w:rsidR="000A087E">
        <w:t>th</w:t>
      </w:r>
      <w:r w:rsidR="008B01AE">
        <w:t>e use</w:t>
      </w:r>
      <w:r w:rsidR="000A087E">
        <w:t xml:space="preserve"> level</w:t>
      </w:r>
      <w:r w:rsidR="008B01AE">
        <w:t xml:space="preserve"> of the niche product</w:t>
      </w:r>
      <w:r w:rsidR="000A087E">
        <w:t xml:space="preserve"> </w:t>
      </w:r>
      <w:r w:rsidR="0BEC4B3F">
        <w:t xml:space="preserve">will </w:t>
      </w:r>
      <w:r w:rsidR="000A087E">
        <w:t xml:space="preserve">be </w:t>
      </w:r>
      <w:r w:rsidR="00794F90">
        <w:t xml:space="preserve">exclusively </w:t>
      </w:r>
      <w:r w:rsidR="000A087E">
        <w:t xml:space="preserve">assigned to </w:t>
      </w:r>
      <w:r w:rsidR="00794F90">
        <w:t>a</w:t>
      </w:r>
      <w:r w:rsidR="000A087E">
        <w:t xml:space="preserve"> specific</w:t>
      </w:r>
      <w:r w:rsidR="00D34941">
        <w:t xml:space="preserve"> corresponding</w:t>
      </w:r>
      <w:r w:rsidR="000A087E">
        <w:t xml:space="preserve"> </w:t>
      </w:r>
      <w:r w:rsidR="008B01AE">
        <w:t>FoodEx2</w:t>
      </w:r>
      <w:r w:rsidR="000A087E">
        <w:t xml:space="preserve"> code</w:t>
      </w:r>
      <w:r w:rsidR="0098082F">
        <w:t>. W</w:t>
      </w:r>
      <w:r w:rsidR="000A087E">
        <w:t xml:space="preserve">hen </w:t>
      </w:r>
      <w:r w:rsidR="00463C54">
        <w:t>this</w:t>
      </w:r>
      <w:r w:rsidR="000A087E">
        <w:t xml:space="preserve"> is not possible, </w:t>
      </w:r>
      <w:r w:rsidR="00794F90">
        <w:t xml:space="preserve">use levels related to </w:t>
      </w:r>
      <w:r w:rsidR="009A53BC">
        <w:t xml:space="preserve">niche products </w:t>
      </w:r>
      <w:r w:rsidR="00F41FAB">
        <w:t xml:space="preserve">are not </w:t>
      </w:r>
      <w:r w:rsidR="000A087E">
        <w:t>considered</w:t>
      </w:r>
      <w:r w:rsidR="00544ED0">
        <w:t xml:space="preserve"> in the exposure assessment</w:t>
      </w:r>
      <w:r w:rsidR="00162198">
        <w:t xml:space="preserve">, </w:t>
      </w:r>
      <w:r w:rsidR="00183513">
        <w:t xml:space="preserve">unless no </w:t>
      </w:r>
      <w:r w:rsidR="302235A3">
        <w:t>m</w:t>
      </w:r>
      <w:r w:rsidR="302235A3" w:rsidRPr="000D6908">
        <w:t>ore representative levels are available for the overall food category</w:t>
      </w:r>
      <w:r w:rsidR="007E63B9">
        <w:t xml:space="preserve">. </w:t>
      </w:r>
      <w:r w:rsidR="00986A58">
        <w:t>Whether data are</w:t>
      </w:r>
      <w:r w:rsidR="34398E8F">
        <w:t xml:space="preserve"> </w:t>
      </w:r>
      <w:r w:rsidR="08EEF766">
        <w:t>to be considered</w:t>
      </w:r>
      <w:r w:rsidR="00986A58">
        <w:t xml:space="preserve"> </w:t>
      </w:r>
      <w:r w:rsidR="005A2DDE">
        <w:t xml:space="preserve">more </w:t>
      </w:r>
      <w:r w:rsidR="00986A58">
        <w:t xml:space="preserve">representative </w:t>
      </w:r>
      <w:r w:rsidR="00F549A8">
        <w:t xml:space="preserve">or not </w:t>
      </w:r>
      <w:r w:rsidR="007E63B9">
        <w:t>will be decided</w:t>
      </w:r>
      <w:r w:rsidR="00183513">
        <w:t xml:space="preserve"> on a </w:t>
      </w:r>
      <w:r w:rsidR="00E318F7">
        <w:t>case-by-case</w:t>
      </w:r>
      <w:r w:rsidR="00183513">
        <w:t xml:space="preserve"> basis</w:t>
      </w:r>
      <w:r w:rsidR="000B658B">
        <w:t xml:space="preserve"> </w:t>
      </w:r>
      <w:r w:rsidR="00BF1CA5">
        <w:t xml:space="preserve">(see section </w:t>
      </w:r>
      <w:r w:rsidR="009F0B63">
        <w:t>5.2.3</w:t>
      </w:r>
      <w:r w:rsidR="00BF1CA5">
        <w:t>).</w:t>
      </w:r>
    </w:p>
    <w:p w14:paraId="002A203F" w14:textId="7BF795C4" w:rsidR="00592C67" w:rsidRDefault="00592C67" w:rsidP="001630B5">
      <w:pPr>
        <w:pStyle w:val="EFSAHeading4"/>
      </w:pPr>
      <w:bookmarkStart w:id="30" w:name="_Toc181606784"/>
      <w:r>
        <w:t>Information on analytical data</w:t>
      </w:r>
      <w:r w:rsidR="000F5ED1" w:rsidRPr="000F5ED1">
        <w:t xml:space="preserve"> </w:t>
      </w:r>
      <w:r w:rsidR="000F5ED1">
        <w:t>submitted</w:t>
      </w:r>
      <w:bookmarkEnd w:id="30"/>
    </w:p>
    <w:p w14:paraId="2B20C3E6" w14:textId="1BFF0D77" w:rsidR="00395FA2" w:rsidRDefault="009041F8" w:rsidP="002D6004">
      <w:pPr>
        <w:pStyle w:val="EFSABodytext"/>
      </w:pPr>
      <w:r w:rsidRPr="009041F8">
        <w:t xml:space="preserve">The </w:t>
      </w:r>
      <w:r w:rsidR="000F5ED1">
        <w:t xml:space="preserve">collection </w:t>
      </w:r>
      <w:r w:rsidR="00695523">
        <w:t>of analytical data</w:t>
      </w:r>
      <w:r w:rsidR="00695523" w:rsidRPr="009041F8">
        <w:t xml:space="preserve"> </w:t>
      </w:r>
      <w:r w:rsidR="000F5ED1">
        <w:t>was undertaken according to</w:t>
      </w:r>
      <w:r w:rsidRPr="009041F8">
        <w:t xml:space="preserve"> the requirements of the EFSA Guidance on Standard Sample Description for Food and Feed (EFSA, 2010) using the data model ‘Standard sample description’ (SSD1 or SSD2) (EFSA, 2010; EFSA, 2013).</w:t>
      </w:r>
      <w:r w:rsidR="00561EF0">
        <w:t xml:space="preserve"> </w:t>
      </w:r>
      <w:r w:rsidR="002D6004">
        <w:t xml:space="preserve">Analytical data </w:t>
      </w:r>
      <w:r w:rsidR="00BF1CA5">
        <w:t>on sweeteners</w:t>
      </w:r>
      <w:r w:rsidR="002D6004">
        <w:t xml:space="preserve"> </w:t>
      </w:r>
      <w:r w:rsidR="000F5ED1">
        <w:t xml:space="preserve">were </w:t>
      </w:r>
      <w:r w:rsidR="002D6004">
        <w:t>mainly submitted by</w:t>
      </w:r>
      <w:r w:rsidR="00DB76D4">
        <w:t xml:space="preserve"> </w:t>
      </w:r>
      <w:r w:rsidR="00804197" w:rsidRPr="00804197">
        <w:t>European national authorities</w:t>
      </w:r>
      <w:r w:rsidR="009754F8">
        <w:t>/organisations</w:t>
      </w:r>
      <w:r w:rsidR="002D6004">
        <w:t xml:space="preserve">. </w:t>
      </w:r>
    </w:p>
    <w:p w14:paraId="0BA1C511" w14:textId="4100B882" w:rsidR="009041F8" w:rsidRDefault="002D6004" w:rsidP="00592C67">
      <w:pPr>
        <w:pStyle w:val="EFSABodytext"/>
      </w:pPr>
      <w:r>
        <w:t xml:space="preserve">The number of </w:t>
      </w:r>
      <w:r w:rsidR="00DE26A0">
        <w:t xml:space="preserve">analytical </w:t>
      </w:r>
      <w:r>
        <w:t xml:space="preserve">data provided per </w:t>
      </w:r>
      <w:r w:rsidR="00A677F6">
        <w:t>sweetener</w:t>
      </w:r>
      <w:r>
        <w:t xml:space="preserve"> </w:t>
      </w:r>
      <w:r w:rsidR="000F5ED1">
        <w:t>varied</w:t>
      </w:r>
      <w:r w:rsidR="00BF1CA5">
        <w:t xml:space="preserve"> </w:t>
      </w:r>
      <w:r>
        <w:t xml:space="preserve">from no data </w:t>
      </w:r>
      <w:r w:rsidR="00BF1CA5">
        <w:t>(e.g</w:t>
      </w:r>
      <w:r w:rsidR="005273F2">
        <w:t>.</w:t>
      </w:r>
      <w:r w:rsidR="00BF1CA5">
        <w:t xml:space="preserve"> </w:t>
      </w:r>
      <w:r w:rsidR="00DB74C5">
        <w:t>t</w:t>
      </w:r>
      <w:r w:rsidR="00DB74C5" w:rsidRPr="00DB74C5">
        <w:t>haumatin</w:t>
      </w:r>
      <w:r w:rsidR="00DB74C5">
        <w:t xml:space="preserve">, </w:t>
      </w:r>
      <w:r w:rsidR="00D75054" w:rsidRPr="000B56AF">
        <w:t>salt</w:t>
      </w:r>
      <w:r w:rsidR="00D75054">
        <w:t xml:space="preserve"> of a</w:t>
      </w:r>
      <w:r w:rsidR="00D75054" w:rsidRPr="000B56AF">
        <w:t>spartame</w:t>
      </w:r>
      <w:r w:rsidR="00D75054">
        <w:t>-</w:t>
      </w:r>
      <w:r w:rsidR="00D75054" w:rsidRPr="000B56AF">
        <w:t>acesulfame</w:t>
      </w:r>
      <w:r w:rsidR="00E35593" w:rsidRPr="00DB74C5">
        <w:t>)</w:t>
      </w:r>
      <w:r w:rsidR="00BF1CA5">
        <w:t xml:space="preserve"> </w:t>
      </w:r>
      <w:r>
        <w:t>up to several thousands</w:t>
      </w:r>
      <w:r w:rsidR="008B70CD">
        <w:t xml:space="preserve"> of </w:t>
      </w:r>
      <w:r w:rsidR="00F1304D">
        <w:t>analytical data</w:t>
      </w:r>
      <w:r w:rsidR="00BF1CA5">
        <w:t xml:space="preserve"> (</w:t>
      </w:r>
      <w:r w:rsidR="009754F8">
        <w:t>e.g</w:t>
      </w:r>
      <w:r w:rsidR="005273F2">
        <w:t>.</w:t>
      </w:r>
      <w:r w:rsidR="009754F8">
        <w:t xml:space="preserve"> </w:t>
      </w:r>
      <w:r w:rsidR="00DB74C5">
        <w:t>a</w:t>
      </w:r>
      <w:r w:rsidR="00DB74C5" w:rsidRPr="00DB74C5">
        <w:t>cesulfame K</w:t>
      </w:r>
      <w:r w:rsidR="00DB74C5">
        <w:t>, s</w:t>
      </w:r>
      <w:r w:rsidR="00DB74C5" w:rsidRPr="00DB74C5">
        <w:t>accharin</w:t>
      </w:r>
      <w:r w:rsidR="009754F8">
        <w:t>)</w:t>
      </w:r>
      <w:r>
        <w:t>.</w:t>
      </w:r>
      <w:r w:rsidR="00C74D1C">
        <w:t xml:space="preserve"> </w:t>
      </w:r>
      <w:r w:rsidR="00CC24B7">
        <w:t>Analytical results</w:t>
      </w:r>
      <w:r w:rsidR="009041F8" w:rsidRPr="000428D1">
        <w:t xml:space="preserve"> </w:t>
      </w:r>
      <w:r w:rsidR="6753472E" w:rsidRPr="000428D1">
        <w:t xml:space="preserve">are </w:t>
      </w:r>
      <w:r w:rsidR="009041F8" w:rsidRPr="000428D1">
        <w:t xml:space="preserve">thoroughly </w:t>
      </w:r>
      <w:r w:rsidR="5F3C51EB" w:rsidRPr="000428D1">
        <w:t>validated</w:t>
      </w:r>
      <w:r w:rsidR="009041F8" w:rsidRPr="000428D1">
        <w:t xml:space="preserve">; </w:t>
      </w:r>
      <w:r w:rsidR="2845F07E">
        <w:t>this includes cleaning steps and going back to data provider if clarification is needed</w:t>
      </w:r>
      <w:r w:rsidR="0C8C98F1" w:rsidRPr="000428D1">
        <w:t>.</w:t>
      </w:r>
      <w:r w:rsidR="009041F8" w:rsidRPr="000428D1">
        <w:t xml:space="preserve"> Following the EFSA Standard Operating Procedure (SOP)</w:t>
      </w:r>
      <w:r w:rsidR="00EE0BC3">
        <w:rPr>
          <w:rStyle w:val="FootnoteReference"/>
        </w:rPr>
        <w:footnoteReference w:id="8"/>
      </w:r>
      <w:r w:rsidR="00544ED0">
        <w:t xml:space="preserve"> on data collection and validation</w:t>
      </w:r>
      <w:r w:rsidR="00FD285A">
        <w:t>,</w:t>
      </w:r>
      <w:r w:rsidR="009041F8" w:rsidRPr="000428D1">
        <w:t xml:space="preserve"> the initial data set was carefully evaluated applying several steps to guarantee an appropriate quality of the data used in </w:t>
      </w:r>
      <w:r w:rsidR="00604693">
        <w:t xml:space="preserve">the </w:t>
      </w:r>
      <w:r w:rsidR="009041F8" w:rsidRPr="000428D1">
        <w:t xml:space="preserve">exposure assessment. Special attention </w:t>
      </w:r>
      <w:r w:rsidR="18C13C74" w:rsidRPr="000428D1">
        <w:t>is</w:t>
      </w:r>
      <w:r w:rsidR="009041F8" w:rsidRPr="000428D1">
        <w:t xml:space="preserve"> </w:t>
      </w:r>
      <w:r w:rsidR="00412E5D">
        <w:t>paid</w:t>
      </w:r>
      <w:r w:rsidR="009041F8" w:rsidRPr="000428D1">
        <w:t xml:space="preserve"> to the identification of duplicates and to the accuracy of different parameters such as ‘Sampling strategy’, ‘Sampling method’, ‘Sampling year’, ‘Sampling country’, ‘Analytical methods’, ‘Reporting unit’, ‘</w:t>
      </w:r>
      <w:r w:rsidR="00E02931" w:rsidRPr="00E02931">
        <w:t xml:space="preserve">limit of detection </w:t>
      </w:r>
      <w:r w:rsidR="00E02931">
        <w:t>(</w:t>
      </w:r>
      <w:r w:rsidR="009041F8" w:rsidRPr="000428D1">
        <w:t>LOD</w:t>
      </w:r>
      <w:r w:rsidR="00E02931">
        <w:t>)</w:t>
      </w:r>
      <w:r w:rsidR="009041F8" w:rsidRPr="000428D1">
        <w:t>/</w:t>
      </w:r>
      <w:r w:rsidR="00E02931" w:rsidRPr="00E02931">
        <w:t xml:space="preserve">limit of quantification </w:t>
      </w:r>
      <w:r w:rsidR="00834DE4">
        <w:t>(</w:t>
      </w:r>
      <w:r w:rsidR="009041F8" w:rsidRPr="000428D1">
        <w:t>LOQ</w:t>
      </w:r>
      <w:r w:rsidR="00834DE4">
        <w:t>)</w:t>
      </w:r>
      <w:r w:rsidR="009041F8" w:rsidRPr="000428D1">
        <w:t>’</w:t>
      </w:r>
      <w:r w:rsidR="007F1BC0">
        <w:t>. Also</w:t>
      </w:r>
      <w:r w:rsidR="0AC13052">
        <w:t>,</w:t>
      </w:r>
      <w:r w:rsidR="007F1BC0">
        <w:t xml:space="preserve"> </w:t>
      </w:r>
      <w:r w:rsidR="009041F8" w:rsidRPr="000428D1">
        <w:t xml:space="preserve">the codification of the different samples under </w:t>
      </w:r>
      <w:r w:rsidR="00E224E8">
        <w:t xml:space="preserve">the </w:t>
      </w:r>
      <w:r w:rsidR="009041F8" w:rsidRPr="000428D1">
        <w:t>FoodEx2 classification system</w:t>
      </w:r>
      <w:r w:rsidR="005D7081">
        <w:t xml:space="preserve"> and the </w:t>
      </w:r>
      <w:r w:rsidR="005D7081" w:rsidRPr="00D44585">
        <w:t>food categorisation of Annex II, Part D (Reg (EC) No 1333/2008)</w:t>
      </w:r>
      <w:r w:rsidR="00791DDC" w:rsidRPr="00791DDC">
        <w:t xml:space="preserve"> </w:t>
      </w:r>
      <w:r w:rsidR="76BFC15F">
        <w:t xml:space="preserve">is </w:t>
      </w:r>
      <w:r w:rsidR="00791DDC">
        <w:t>evaluated and corrected, if needed</w:t>
      </w:r>
      <w:r w:rsidR="009041F8" w:rsidRPr="000428D1">
        <w:t>.</w:t>
      </w:r>
    </w:p>
    <w:p w14:paraId="1F48697C" w14:textId="4B4D53E7" w:rsidR="00E224E8" w:rsidRDefault="00DB59E7" w:rsidP="00592C67">
      <w:pPr>
        <w:pStyle w:val="EFSABodytext"/>
      </w:pPr>
      <w:r>
        <w:lastRenderedPageBreak/>
        <w:t>A</w:t>
      </w:r>
      <w:r w:rsidR="00537B95">
        <w:t xml:space="preserve"> number of a</w:t>
      </w:r>
      <w:r w:rsidR="00B543B4">
        <w:t xml:space="preserve">nalytical </w:t>
      </w:r>
      <w:r w:rsidR="009528AE">
        <w:t xml:space="preserve">results </w:t>
      </w:r>
      <w:r w:rsidR="00F36B19">
        <w:t xml:space="preserve">submitted to EFSA </w:t>
      </w:r>
      <w:r w:rsidR="00B543B4">
        <w:t xml:space="preserve">may </w:t>
      </w:r>
      <w:r w:rsidR="003A5BCB">
        <w:t>report occurrence of sweeteners in</w:t>
      </w:r>
      <w:r w:rsidR="00537B95">
        <w:t xml:space="preserve"> </w:t>
      </w:r>
      <w:r w:rsidR="00B543B4">
        <w:t>food</w:t>
      </w:r>
      <w:r w:rsidR="00E91EA0">
        <w:t xml:space="preserve"> and beverage</w:t>
      </w:r>
      <w:r w:rsidR="00573F5D">
        <w:t>s</w:t>
      </w:r>
      <w:r w:rsidR="00B543B4">
        <w:t xml:space="preserve"> </w:t>
      </w:r>
      <w:r w:rsidR="003A5BCB">
        <w:t xml:space="preserve">for which their use </w:t>
      </w:r>
      <w:r w:rsidR="00E224E8">
        <w:t xml:space="preserve">is </w:t>
      </w:r>
      <w:r w:rsidR="00B543B4">
        <w:t xml:space="preserve">not authorised according to Annex II to Regulation (EC) No 1333/2008. </w:t>
      </w:r>
      <w:r w:rsidR="00632DEC">
        <w:t>In th</w:t>
      </w:r>
      <w:r w:rsidR="0000496D">
        <w:t>is</w:t>
      </w:r>
      <w:r w:rsidR="00632DEC">
        <w:t xml:space="preserve"> </w:t>
      </w:r>
      <w:r w:rsidR="007A7B63">
        <w:t>case,</w:t>
      </w:r>
      <w:r w:rsidR="00632DEC">
        <w:t xml:space="preserve"> t</w:t>
      </w:r>
      <w:r w:rsidR="00B543B4">
        <w:t xml:space="preserve">he presence of the sweetener in those foods </w:t>
      </w:r>
      <w:r w:rsidR="00855236">
        <w:t xml:space="preserve">(positive results i.e. greater than LOD or LOQ) </w:t>
      </w:r>
      <w:r w:rsidR="00B543B4">
        <w:t>could</w:t>
      </w:r>
      <w:r w:rsidR="00FD6B6B">
        <w:t>,</w:t>
      </w:r>
      <w:r w:rsidR="00B543B4">
        <w:t xml:space="preserve"> for instance</w:t>
      </w:r>
      <w:r w:rsidR="00FD6B6B">
        <w:t>,</w:t>
      </w:r>
      <w:r w:rsidR="00B543B4">
        <w:t xml:space="preserve"> </w:t>
      </w:r>
      <w:r w:rsidR="7E8CE5CD">
        <w:t xml:space="preserve">be </w:t>
      </w:r>
      <w:r w:rsidR="00B543B4">
        <w:t>due to carry-over</w:t>
      </w:r>
      <w:r w:rsidR="00C843CC" w:rsidRPr="7ECD763C">
        <w:rPr>
          <w:rStyle w:val="CommentReference"/>
          <w:rFonts w:asciiTheme="minorHAnsi" w:hAnsiTheme="minorHAnsi"/>
        </w:rPr>
        <w:t xml:space="preserve">, </w:t>
      </w:r>
      <w:r w:rsidR="00C843CC">
        <w:t xml:space="preserve">or </w:t>
      </w:r>
      <w:r w:rsidR="00B543B4">
        <w:t>to natural occurrence</w:t>
      </w:r>
      <w:r w:rsidR="00C843CC">
        <w:t xml:space="preserve"> (for the polyols only)</w:t>
      </w:r>
      <w:r w:rsidR="00B543B4">
        <w:t>.</w:t>
      </w:r>
      <w:r w:rsidR="003E03B0">
        <w:t xml:space="preserve"> </w:t>
      </w:r>
    </w:p>
    <w:p w14:paraId="1F62FE94" w14:textId="6157B04C" w:rsidR="00B76C6C" w:rsidRDefault="0084389A" w:rsidP="00592C67">
      <w:pPr>
        <w:pStyle w:val="EFSABodytext"/>
      </w:pPr>
      <w:r>
        <w:t>Furthermore</w:t>
      </w:r>
      <w:r w:rsidR="005C3A55">
        <w:t xml:space="preserve">, </w:t>
      </w:r>
      <w:r w:rsidR="00A43DC1">
        <w:t xml:space="preserve">products </w:t>
      </w:r>
      <w:r w:rsidR="00D15740">
        <w:t xml:space="preserve">in which </w:t>
      </w:r>
      <w:r w:rsidR="006C475B">
        <w:t xml:space="preserve">sweeteners </w:t>
      </w:r>
      <w:r>
        <w:t>have not been added</w:t>
      </w:r>
      <w:r w:rsidR="00B76C6C">
        <w:t>, despite being authorised</w:t>
      </w:r>
      <w:r w:rsidR="00B37815">
        <w:t>, might have been analysed within the monitoring programmes</w:t>
      </w:r>
      <w:r w:rsidR="00DA7CD5">
        <w:t>.</w:t>
      </w:r>
      <w:r w:rsidR="005A24E3">
        <w:t xml:space="preserve"> A number of monitoring programmes conducted by the data providers used multi-analyte methods in which </w:t>
      </w:r>
      <w:r w:rsidR="005716C6">
        <w:t>two</w:t>
      </w:r>
      <w:r w:rsidR="005A24E3">
        <w:t xml:space="preserve"> or more (and often several) sweeteners are </w:t>
      </w:r>
      <w:r w:rsidR="00846EFA">
        <w:t>analysed together</w:t>
      </w:r>
      <w:r w:rsidR="005A24E3">
        <w:t>. A</w:t>
      </w:r>
      <w:r w:rsidR="000139CA">
        <w:t>s a</w:t>
      </w:r>
      <w:r w:rsidR="005A24E3">
        <w:t xml:space="preserve"> consequence</w:t>
      </w:r>
      <w:r w:rsidR="000139CA">
        <w:t>,</w:t>
      </w:r>
      <w:r w:rsidR="005A24E3">
        <w:t xml:space="preserve"> a large number of </w:t>
      </w:r>
      <w:r w:rsidR="00176B87">
        <w:t>left-censored data (i.e. either below the LOD or LOQ</w:t>
      </w:r>
      <w:r w:rsidR="007D6FEB">
        <w:t>)</w:t>
      </w:r>
      <w:r w:rsidR="00176B87">
        <w:t xml:space="preserve"> </w:t>
      </w:r>
      <w:r w:rsidR="005A24E3">
        <w:t xml:space="preserve">submitted </w:t>
      </w:r>
      <w:r w:rsidR="00B353E2">
        <w:t xml:space="preserve">relate </w:t>
      </w:r>
      <w:r w:rsidR="005A24E3">
        <w:t xml:space="preserve">to food categories </w:t>
      </w:r>
      <w:r w:rsidR="00D15740">
        <w:t xml:space="preserve">in </w:t>
      </w:r>
      <w:r w:rsidR="005A24E3">
        <w:t xml:space="preserve">which </w:t>
      </w:r>
      <w:r w:rsidR="00D15740">
        <w:t>the</w:t>
      </w:r>
      <w:r w:rsidR="005A24E3">
        <w:t xml:space="preserve"> sweetener is not permitted. Similarly, some </w:t>
      </w:r>
      <w:r w:rsidR="005716C6">
        <w:t xml:space="preserve">left-censored data </w:t>
      </w:r>
      <w:r w:rsidR="005A24E3">
        <w:t xml:space="preserve">submitted will be for food categories </w:t>
      </w:r>
      <w:r w:rsidR="00D15740">
        <w:t xml:space="preserve">in </w:t>
      </w:r>
      <w:r w:rsidR="005A24E3">
        <w:t xml:space="preserve">which the sweetener is permitted but </w:t>
      </w:r>
      <w:r w:rsidR="00D15740">
        <w:t>was not added to</w:t>
      </w:r>
      <w:r w:rsidR="005A24E3">
        <w:t xml:space="preserve"> the particular product tested. It is therefore expected that a significant part of the analytical results submitted to EFSA is left censored. As described in section </w:t>
      </w:r>
      <w:r w:rsidR="003D06BA">
        <w:t>5</w:t>
      </w:r>
      <w:r w:rsidR="005A24E3">
        <w:t xml:space="preserve">.2, the methodology used for the </w:t>
      </w:r>
      <w:r w:rsidR="00D15740">
        <w:t xml:space="preserve">exposure </w:t>
      </w:r>
      <w:r w:rsidR="005A24E3">
        <w:t>assessment of sweeteners is based on the identification of the food categories which are assumed to contain sweeteners</w:t>
      </w:r>
      <w:r w:rsidR="192C6833">
        <w:t xml:space="preserve"> (from the dataset)</w:t>
      </w:r>
      <w:r w:rsidR="005A24E3">
        <w:t xml:space="preserve">. In this context, </w:t>
      </w:r>
      <w:r w:rsidR="00BD0965">
        <w:t xml:space="preserve">the concentration of the sweetener present in the product </w:t>
      </w:r>
      <w:r w:rsidR="005A24E3">
        <w:t>is derived from the quantified analytical results only</w:t>
      </w:r>
      <w:r w:rsidR="75E7CC01">
        <w:t xml:space="preserve"> and the left-censored data will be excluded in order not to bias the results</w:t>
      </w:r>
      <w:r w:rsidR="005A24E3">
        <w:t xml:space="preserve">. </w:t>
      </w:r>
    </w:p>
    <w:p w14:paraId="29B64924" w14:textId="02376E15" w:rsidR="00592C67" w:rsidRDefault="0084389A" w:rsidP="00592C67">
      <w:pPr>
        <w:pStyle w:val="EFSABodytext"/>
      </w:pPr>
      <w:r>
        <w:t>O</w:t>
      </w:r>
      <w:r w:rsidR="00592C67">
        <w:t xml:space="preserve">nly authorised uses with </w:t>
      </w:r>
      <w:r w:rsidR="003B435C">
        <w:t xml:space="preserve">quantified </w:t>
      </w:r>
      <w:r w:rsidR="00592C67">
        <w:t xml:space="preserve">analytical </w:t>
      </w:r>
      <w:r w:rsidR="000328CD">
        <w:t xml:space="preserve">results </w:t>
      </w:r>
      <w:r w:rsidR="00592C67">
        <w:t xml:space="preserve">at or below the </w:t>
      </w:r>
      <w:r w:rsidR="00CE26C9">
        <w:t>Maximum Permitted Level (</w:t>
      </w:r>
      <w:r w:rsidR="00592C67">
        <w:t>MPL</w:t>
      </w:r>
      <w:r w:rsidR="00CE26C9">
        <w:t>)</w:t>
      </w:r>
      <w:r w:rsidR="00592C67">
        <w:t xml:space="preserve"> are considered because results above </w:t>
      </w:r>
      <w:r w:rsidR="00F12CD9">
        <w:t xml:space="preserve">the </w:t>
      </w:r>
      <w:r w:rsidR="00592C67">
        <w:t xml:space="preserve">MPL are </w:t>
      </w:r>
      <w:r w:rsidR="21B3C151">
        <w:t>out</w:t>
      </w:r>
      <w:r w:rsidR="00F12CD9">
        <w:t>side</w:t>
      </w:r>
      <w:r w:rsidR="21B3C151">
        <w:t xml:space="preserve"> the scope</w:t>
      </w:r>
      <w:r w:rsidR="00592C67">
        <w:t xml:space="preserve"> of risk </w:t>
      </w:r>
      <w:r w:rsidR="21B3C151">
        <w:t xml:space="preserve">assessment </w:t>
      </w:r>
      <w:r w:rsidR="4C1D421F">
        <w:t>and subject</w:t>
      </w:r>
      <w:r w:rsidR="00592C67">
        <w:t xml:space="preserve"> of risk management measures, e.g. non-compliance purpose. </w:t>
      </w:r>
      <w:r w:rsidR="716A8A5F">
        <w:t>These</w:t>
      </w:r>
      <w:r w:rsidR="00592C67">
        <w:t xml:space="preserve"> results </w:t>
      </w:r>
      <w:r w:rsidR="6DBADB65">
        <w:t>will only be considered</w:t>
      </w:r>
      <w:r w:rsidR="00592C67">
        <w:t xml:space="preserve"> in specific cases as appropriate (e.g. in case of natural occurrence</w:t>
      </w:r>
      <w:r>
        <w:t xml:space="preserve"> </w:t>
      </w:r>
      <w:r w:rsidR="00D15740">
        <w:t xml:space="preserve">for </w:t>
      </w:r>
      <w:r>
        <w:t>polyols</w:t>
      </w:r>
      <w:r w:rsidR="00592C67">
        <w:t>).</w:t>
      </w:r>
      <w:r w:rsidR="00C53ED1">
        <w:t xml:space="preserve"> </w:t>
      </w:r>
      <w:r>
        <w:t xml:space="preserve">This </w:t>
      </w:r>
      <w:r w:rsidR="00E224E8">
        <w:t xml:space="preserve">is </w:t>
      </w:r>
      <w:r>
        <w:t>in line with the dietary exposure assessments of food additives</w:t>
      </w:r>
      <w:r w:rsidR="00846EFA">
        <w:rPr>
          <w:rStyle w:val="FootnoteReference"/>
        </w:rPr>
        <w:footnoteReference w:id="9"/>
      </w:r>
      <w:r>
        <w:t xml:space="preserve">. </w:t>
      </w:r>
      <w:r w:rsidR="00D17EC7">
        <w:t xml:space="preserve">However, </w:t>
      </w:r>
      <w:r w:rsidR="00E224E8" w:rsidRPr="00597549">
        <w:t>any</w:t>
      </w:r>
      <w:r w:rsidR="00E224E8">
        <w:t xml:space="preserve"> </w:t>
      </w:r>
      <w:r w:rsidR="00945765">
        <w:t xml:space="preserve">non-compliant case </w:t>
      </w:r>
      <w:r w:rsidR="00E224E8">
        <w:t xml:space="preserve">will be </w:t>
      </w:r>
      <w:r w:rsidR="008469B5">
        <w:t xml:space="preserve">reported in </w:t>
      </w:r>
      <w:r w:rsidR="002039CD">
        <w:t xml:space="preserve">the </w:t>
      </w:r>
      <w:r w:rsidR="00212316">
        <w:t>opinion</w:t>
      </w:r>
      <w:r w:rsidR="002039CD">
        <w:t>s, if relevant</w:t>
      </w:r>
      <w:r w:rsidR="00212316">
        <w:t xml:space="preserve">. </w:t>
      </w:r>
      <w:r>
        <w:t xml:space="preserve">In case </w:t>
      </w:r>
      <w:r w:rsidR="009F35EB">
        <w:t xml:space="preserve">of </w:t>
      </w:r>
      <w:r>
        <w:t xml:space="preserve">a significant </w:t>
      </w:r>
      <w:r w:rsidR="00A778E7">
        <w:t>(based on expert judgement) number/frequency of</w:t>
      </w:r>
      <w:r w:rsidR="00D967AE">
        <w:t xml:space="preserve"> </w:t>
      </w:r>
      <w:r w:rsidR="00A778E7">
        <w:t>analytical data</w:t>
      </w:r>
      <w:r w:rsidR="00D967AE">
        <w:t xml:space="preserve"> </w:t>
      </w:r>
      <w:r>
        <w:t>exceed</w:t>
      </w:r>
      <w:r w:rsidR="00B028AE">
        <w:t>ing</w:t>
      </w:r>
      <w:r>
        <w:t xml:space="preserve"> the MPLs and/or</w:t>
      </w:r>
      <w:r w:rsidR="00A778E7">
        <w:t xml:space="preserve"> </w:t>
      </w:r>
      <w:r w:rsidR="006D60E6">
        <w:t xml:space="preserve">a significant </w:t>
      </w:r>
      <w:r w:rsidR="00A778E7">
        <w:t xml:space="preserve">presence </w:t>
      </w:r>
      <w:r w:rsidR="006D60E6">
        <w:t xml:space="preserve">of a sweetener </w:t>
      </w:r>
      <w:r w:rsidR="00A778E7">
        <w:t xml:space="preserve">in </w:t>
      </w:r>
      <w:r>
        <w:t xml:space="preserve">foods in which </w:t>
      </w:r>
      <w:r w:rsidR="00D90A75">
        <w:t xml:space="preserve">it </w:t>
      </w:r>
      <w:r>
        <w:t xml:space="preserve">is not authorised, the Panel </w:t>
      </w:r>
      <w:r w:rsidRPr="00597549">
        <w:t>might</w:t>
      </w:r>
      <w:r>
        <w:t xml:space="preserve"> </w:t>
      </w:r>
      <w:r w:rsidR="00EC2680">
        <w:t xml:space="preserve">perform an additional exposure assessment scenario including </w:t>
      </w:r>
      <w:r>
        <w:t>these data.</w:t>
      </w:r>
    </w:p>
    <w:p w14:paraId="0A64BFBE" w14:textId="2291D8FE" w:rsidR="00A10575" w:rsidRDefault="00A10575" w:rsidP="00A10575">
      <w:pPr>
        <w:pStyle w:val="EFSAHeading3"/>
      </w:pPr>
      <w:bookmarkStart w:id="31" w:name="_Toc181606785"/>
      <w:r w:rsidRPr="00B55F19">
        <w:t>Food consumption database</w:t>
      </w:r>
      <w:bookmarkEnd w:id="31"/>
    </w:p>
    <w:p w14:paraId="1A83E95B" w14:textId="5ECE3A6E" w:rsidR="00EE7B1B" w:rsidRDefault="74A4F21E" w:rsidP="00A10575">
      <w:pPr>
        <w:pStyle w:val="EFSABodytext"/>
      </w:pPr>
      <w:r>
        <w:t xml:space="preserve">The </w:t>
      </w:r>
      <w:r w:rsidR="7A875660">
        <w:t xml:space="preserve">dietary </w:t>
      </w:r>
      <w:r>
        <w:t xml:space="preserve">exposure to sweeteners will be calculated using food consumption data </w:t>
      </w:r>
      <w:r w:rsidR="0EAB3484">
        <w:t xml:space="preserve">from </w:t>
      </w:r>
      <w:r>
        <w:t>t</w:t>
      </w:r>
      <w:r w:rsidR="00A10575">
        <w:t>he EFSA Comprehensive European Food Consumption Database (Comprehensive Database)</w:t>
      </w:r>
      <w:r w:rsidR="76BF76C9">
        <w:t>. This database</w:t>
      </w:r>
      <w:r w:rsidR="00A10575">
        <w:t xml:space="preserve"> provides a compilation of existing national information on food consumption at individual level. Details on how the Comprehensive Database is used </w:t>
      </w:r>
      <w:r w:rsidR="000950E3">
        <w:t>in exposure assessment</w:t>
      </w:r>
      <w:r w:rsidR="0EEBE922">
        <w:t>s</w:t>
      </w:r>
      <w:r w:rsidR="000950E3">
        <w:t xml:space="preserve"> </w:t>
      </w:r>
      <w:r w:rsidR="00A10575">
        <w:t>are published in the Guidance of EFSA (</w:t>
      </w:r>
      <w:r w:rsidR="00391923">
        <w:t xml:space="preserve">EFSA, </w:t>
      </w:r>
      <w:r w:rsidR="00A10575">
        <w:t xml:space="preserve">2011). The food consumption data in the Comprehensive Database are the most complete and detailed data currently available in the </w:t>
      </w:r>
      <w:r w:rsidR="00D23204">
        <w:t>European Union (</w:t>
      </w:r>
      <w:r w:rsidR="00A10575">
        <w:t>EU</w:t>
      </w:r>
      <w:r w:rsidR="00D23204">
        <w:t>)</w:t>
      </w:r>
      <w:r w:rsidR="00A10575">
        <w:t xml:space="preserve">. The latest version of the Comprehensive Database </w:t>
      </w:r>
      <w:r w:rsidR="71C18C8F">
        <w:t>is</w:t>
      </w:r>
      <w:r w:rsidR="006F7DCE">
        <w:t xml:space="preserve"> </w:t>
      </w:r>
      <w:r w:rsidR="001812DC">
        <w:t>use</w:t>
      </w:r>
      <w:r w:rsidR="00555336">
        <w:t>d</w:t>
      </w:r>
      <w:r w:rsidR="006F7DCE">
        <w:t xml:space="preserve"> </w:t>
      </w:r>
      <w:r w:rsidR="00CD2FB4">
        <w:t>in the re-evaluation of the sweeteners</w:t>
      </w:r>
      <w:r w:rsidR="00BB33A5">
        <w:rPr>
          <w:rStyle w:val="FootnoteReference"/>
        </w:rPr>
        <w:footnoteReference w:id="10"/>
      </w:r>
      <w:r w:rsidR="003D736C">
        <w:t>.</w:t>
      </w:r>
      <w:r w:rsidR="001812DC">
        <w:t xml:space="preserve"> </w:t>
      </w:r>
    </w:p>
    <w:p w14:paraId="561CA334" w14:textId="2EE8D346" w:rsidR="00A10575" w:rsidRDefault="00A10575" w:rsidP="00A10575">
      <w:pPr>
        <w:pStyle w:val="EFSABodytext"/>
      </w:pPr>
      <w:r>
        <w:t xml:space="preserve">The age classes considered </w:t>
      </w:r>
      <w:r w:rsidR="2117480A">
        <w:t xml:space="preserve">in the exposure assessment </w:t>
      </w:r>
      <w:r>
        <w:t>are the following:</w:t>
      </w:r>
    </w:p>
    <w:p w14:paraId="23ADF129" w14:textId="5ED73F71" w:rsidR="00A10575" w:rsidRDefault="00A10575" w:rsidP="00A10575">
      <w:pPr>
        <w:pStyle w:val="EFSABodytext"/>
        <w:numPr>
          <w:ilvl w:val="0"/>
          <w:numId w:val="36"/>
        </w:numPr>
        <w:spacing w:after="0"/>
      </w:pPr>
      <w:r>
        <w:t xml:space="preserve">Infants: </w:t>
      </w:r>
      <w:r w:rsidR="0084389A">
        <w:t xml:space="preserve">from 16 weeks to </w:t>
      </w:r>
      <w:r>
        <w:t>&lt;12 months old</w:t>
      </w:r>
    </w:p>
    <w:p w14:paraId="6309819E" w14:textId="77777777" w:rsidR="00A10575" w:rsidRDefault="00A10575" w:rsidP="00A10575">
      <w:pPr>
        <w:pStyle w:val="EFSABodytext"/>
        <w:numPr>
          <w:ilvl w:val="0"/>
          <w:numId w:val="36"/>
        </w:numPr>
        <w:spacing w:after="0"/>
      </w:pPr>
      <w:r>
        <w:t>Toddlers: ≥12 months to &lt;36 months old</w:t>
      </w:r>
    </w:p>
    <w:p w14:paraId="7EBE6E6D" w14:textId="4BC03990" w:rsidR="00A10575" w:rsidRDefault="0074056F" w:rsidP="00A10575">
      <w:pPr>
        <w:pStyle w:val="EFSABodytext"/>
        <w:numPr>
          <w:ilvl w:val="0"/>
          <w:numId w:val="36"/>
        </w:numPr>
        <w:spacing w:after="0"/>
      </w:pPr>
      <w:r>
        <w:t>C</w:t>
      </w:r>
      <w:r w:rsidR="00A10575">
        <w:t>hildren: ≥36 months to &lt;10 years old</w:t>
      </w:r>
    </w:p>
    <w:p w14:paraId="6A9F383E" w14:textId="77777777" w:rsidR="00A10575" w:rsidRDefault="00A10575" w:rsidP="00A10575">
      <w:pPr>
        <w:pStyle w:val="EFSABodytext"/>
        <w:numPr>
          <w:ilvl w:val="0"/>
          <w:numId w:val="36"/>
        </w:numPr>
        <w:spacing w:after="0"/>
      </w:pPr>
      <w:r>
        <w:t>Adolescents: ≥10 years to &lt;18 years old</w:t>
      </w:r>
    </w:p>
    <w:p w14:paraId="793D8B0C" w14:textId="77777777" w:rsidR="00A10575" w:rsidRDefault="00A10575" w:rsidP="00A10575">
      <w:pPr>
        <w:pStyle w:val="EFSABodytext"/>
        <w:numPr>
          <w:ilvl w:val="0"/>
          <w:numId w:val="36"/>
        </w:numPr>
        <w:spacing w:after="0"/>
      </w:pPr>
      <w:r>
        <w:t>Adults: ≥18 years to &lt;65 years old</w:t>
      </w:r>
    </w:p>
    <w:p w14:paraId="7437ED9C" w14:textId="286D2673" w:rsidR="00A10575" w:rsidRDefault="0074056F" w:rsidP="00C149C9">
      <w:pPr>
        <w:pStyle w:val="EFSABodytext"/>
        <w:numPr>
          <w:ilvl w:val="0"/>
          <w:numId w:val="36"/>
        </w:numPr>
        <w:spacing w:after="0"/>
      </w:pPr>
      <w:r>
        <w:t>The e</w:t>
      </w:r>
      <w:r w:rsidR="00A10575">
        <w:t>lderly: ≥65 years.</w:t>
      </w:r>
    </w:p>
    <w:p w14:paraId="5C94EAF9" w14:textId="77777777" w:rsidR="003D06BA" w:rsidRDefault="003D06BA" w:rsidP="003D06BA">
      <w:pPr>
        <w:pStyle w:val="EFSABodytext"/>
      </w:pPr>
    </w:p>
    <w:p w14:paraId="20A378E7" w14:textId="41C00E43" w:rsidR="00A10575" w:rsidRDefault="003D06BA" w:rsidP="003D06BA">
      <w:pPr>
        <w:pStyle w:val="EFSABodytext"/>
      </w:pPr>
      <w:r>
        <w:t>Mannitol (E 421) is the only sweetener permitted in foods for infants and young children</w:t>
      </w:r>
      <w:r w:rsidR="00B457DF">
        <w:t xml:space="preserve"> (food category 13.1 which covers foods for infants during the first months of life)</w:t>
      </w:r>
      <w:r w:rsidR="008931F9">
        <w:t>.</w:t>
      </w:r>
      <w:r>
        <w:t xml:space="preserve"> </w:t>
      </w:r>
      <w:r w:rsidR="008931F9">
        <w:t>H</w:t>
      </w:r>
      <w:r>
        <w:t>owever</w:t>
      </w:r>
      <w:r w:rsidR="00D3680F">
        <w:t>,</w:t>
      </w:r>
      <w:r>
        <w:t xml:space="preserve"> its authorised use is limited as carrier for vitamin B12</w:t>
      </w:r>
      <w:r w:rsidR="00B90197">
        <w:t xml:space="preserve"> (according to Annex III, Part 5, section B, to Regulation No 1333/2008)</w:t>
      </w:r>
      <w:r>
        <w:t xml:space="preserve">. The </w:t>
      </w:r>
      <w:r w:rsidR="00846EFA">
        <w:t xml:space="preserve">FAF </w:t>
      </w:r>
      <w:r>
        <w:t>Working Group on the re-evaluation of sweeteners, jointly with the</w:t>
      </w:r>
      <w:r w:rsidR="00846EFA">
        <w:t xml:space="preserve"> FAF</w:t>
      </w:r>
      <w:r>
        <w:t xml:space="preserve"> Working Group on the re-evaluation of food additives permitted for use in foods for infants below 16 weeks of age</w:t>
      </w:r>
      <w:r w:rsidR="00A778E7">
        <w:t xml:space="preserve">, will evaluate </w:t>
      </w:r>
      <w:r w:rsidR="00081EFA">
        <w:t>in the course of its</w:t>
      </w:r>
      <w:r w:rsidR="009B135B">
        <w:t xml:space="preserve"> assessment, </w:t>
      </w:r>
      <w:r w:rsidR="00A778E7">
        <w:t>this special application of mannitol</w:t>
      </w:r>
      <w:r w:rsidR="00846EFA">
        <w:t xml:space="preserve"> (E 421)</w:t>
      </w:r>
      <w:r w:rsidR="00A778E7">
        <w:t xml:space="preserve"> according to the guidance </w:t>
      </w:r>
      <w:r w:rsidR="00D207EC">
        <w:t>on the risk assessment of substances present in food intended for</w:t>
      </w:r>
      <w:r w:rsidR="00A778E7">
        <w:t xml:space="preserve"> </w:t>
      </w:r>
      <w:r w:rsidR="00D207EC">
        <w:t>i</w:t>
      </w:r>
      <w:r w:rsidR="00A778E7">
        <w:t>nfant below 16 weeks of age</w:t>
      </w:r>
      <w:r w:rsidR="00D207EC">
        <w:t xml:space="preserve"> (EFSA</w:t>
      </w:r>
      <w:r w:rsidR="000C43E4">
        <w:t xml:space="preserve"> Scientific Committee, 2017)</w:t>
      </w:r>
      <w:r>
        <w:t>.</w:t>
      </w:r>
    </w:p>
    <w:p w14:paraId="3A61F9E1" w14:textId="26FD9E6F" w:rsidR="00A10575" w:rsidRPr="004A46B3" w:rsidRDefault="00DA5D7F" w:rsidP="00555184">
      <w:pPr>
        <w:pStyle w:val="EFSABodytext"/>
      </w:pPr>
      <w:r>
        <w:lastRenderedPageBreak/>
        <w:t>The Comprehensive Database</w:t>
      </w:r>
      <w:r w:rsidRPr="009E1C5A">
        <w:t xml:space="preserve"> </w:t>
      </w:r>
      <w:r>
        <w:t xml:space="preserve">is regularly updated. </w:t>
      </w:r>
      <w:r w:rsidR="005A0CEE" w:rsidRPr="009E1C5A">
        <w:t xml:space="preserve">When for one country and age class, two different dietary surveys </w:t>
      </w:r>
      <w:r w:rsidR="00BB3A82">
        <w:t>are</w:t>
      </w:r>
      <w:r w:rsidRPr="009E1C5A">
        <w:t xml:space="preserve"> </w:t>
      </w:r>
      <w:r w:rsidR="005A0CEE" w:rsidRPr="009E1C5A">
        <w:t xml:space="preserve">available, only the most recent one </w:t>
      </w:r>
      <w:r>
        <w:t>will be</w:t>
      </w:r>
      <w:r w:rsidRPr="009E1C5A">
        <w:t xml:space="preserve"> </w:t>
      </w:r>
      <w:r w:rsidR="005A0CEE" w:rsidRPr="009E1C5A">
        <w:t xml:space="preserve">used. </w:t>
      </w:r>
    </w:p>
    <w:p w14:paraId="0C6F477C" w14:textId="6CD7ED8A" w:rsidR="00D44585" w:rsidRDefault="00A10575" w:rsidP="00592C67">
      <w:pPr>
        <w:pStyle w:val="EFSABodytext"/>
      </w:pPr>
      <w:r>
        <w:t xml:space="preserve">Consumption data </w:t>
      </w:r>
      <w:r w:rsidR="00034A28">
        <w:t>in the Comprehensive database</w:t>
      </w:r>
      <w:r w:rsidR="00BE1BE8">
        <w:t xml:space="preserve"> </w:t>
      </w:r>
      <w:r>
        <w:t xml:space="preserve">were collected using single or repeated 24-h or 48-h dietary recalls or dietary records covering from 3 to 7 days per subject. </w:t>
      </w:r>
      <w:r w:rsidR="00CB3071">
        <w:t>Due to</w:t>
      </w:r>
      <w:r>
        <w:t xml:space="preserve"> differences in the methods used for data collection, direct country-to-country comparisons </w:t>
      </w:r>
      <w:r w:rsidR="00D15740">
        <w:t>may not be appropriate</w:t>
      </w:r>
      <w:r>
        <w:t>. Detailed information on the different dietary surveys available in the Comprehensive Database can be found on the dedicated EFSA website</w:t>
      </w:r>
      <w:r w:rsidR="00876629">
        <w:t xml:space="preserve"> page </w:t>
      </w:r>
      <w:r w:rsidR="00C149C9">
        <w:rPr>
          <w:rStyle w:val="FootnoteReference"/>
        </w:rPr>
        <w:footnoteReference w:id="11"/>
      </w:r>
      <w:r>
        <w:t>.</w:t>
      </w:r>
    </w:p>
    <w:p w14:paraId="5120B66E" w14:textId="20855109" w:rsidR="00B55F19" w:rsidRDefault="00470012" w:rsidP="00B55F19">
      <w:pPr>
        <w:pStyle w:val="EFSAHeading3"/>
      </w:pPr>
      <w:bookmarkStart w:id="32" w:name="_Toc181606786"/>
      <w:r>
        <w:t>F</w:t>
      </w:r>
      <w:r w:rsidR="009E3936" w:rsidRPr="009E3936">
        <w:t>ood label</w:t>
      </w:r>
      <w:r w:rsidR="003666AD">
        <w:t>ling</w:t>
      </w:r>
      <w:r w:rsidR="009E3936" w:rsidRPr="009E3936">
        <w:t xml:space="preserve"> data</w:t>
      </w:r>
      <w:bookmarkEnd w:id="32"/>
    </w:p>
    <w:p w14:paraId="6F037752" w14:textId="5BADFF9D" w:rsidR="00B55F19" w:rsidRPr="00DE535E" w:rsidRDefault="00B55F19" w:rsidP="7ECD763C">
      <w:pPr>
        <w:pStyle w:val="EFSABodytext"/>
        <w:rPr>
          <w:rFonts w:asciiTheme="minorHAnsi" w:eastAsiaTheme="minorEastAsia" w:hAnsiTheme="minorHAnsi"/>
        </w:rPr>
      </w:pPr>
      <w:r w:rsidRPr="00DE535E">
        <w:t>EFSA has access to the food label database developed by Mintel, the Global New Products Database (GNPD).</w:t>
      </w:r>
      <w:r w:rsidRPr="00DE535E">
        <w:rPr>
          <w:rStyle w:val="FootnoteReference"/>
        </w:rPr>
        <w:footnoteReference w:id="12"/>
      </w:r>
      <w:r w:rsidRPr="00DE535E">
        <w:t xml:space="preserve"> This database is an online database, which observes product introductions in </w:t>
      </w:r>
      <w:r w:rsidR="001D2803" w:rsidRPr="00DE535E">
        <w:t>consumer-packaged</w:t>
      </w:r>
      <w:r w:rsidRPr="00DE535E">
        <w:t xml:space="preserve"> goods market</w:t>
      </w:r>
      <w:r w:rsidR="00CB3071" w:rsidRPr="00DE535E">
        <w:t>ed</w:t>
      </w:r>
      <w:r w:rsidRPr="00DE535E">
        <w:t xml:space="preserve"> worldwide. The GNPD contains data of EU food markets since 1996 and currently </w:t>
      </w:r>
      <w:r w:rsidR="00C5001F" w:rsidRPr="00DE535E">
        <w:t>2</w:t>
      </w:r>
      <w:r w:rsidR="000B658B" w:rsidRPr="00DE535E">
        <w:t>4</w:t>
      </w:r>
      <w:r w:rsidR="00C5001F" w:rsidRPr="00DE535E">
        <w:t xml:space="preserve"> </w:t>
      </w:r>
      <w:r w:rsidRPr="00DE535E">
        <w:t>of its 2</w:t>
      </w:r>
      <w:r w:rsidR="000B658B" w:rsidRPr="00DE535E">
        <w:t>7</w:t>
      </w:r>
      <w:r w:rsidRPr="00DE535E">
        <w:t xml:space="preserve"> member countries</w:t>
      </w:r>
      <w:r w:rsidR="000B658B" w:rsidRPr="00DE535E">
        <w:t>,</w:t>
      </w:r>
      <w:r w:rsidRPr="00DE535E">
        <w:t xml:space="preserve"> Norway </w:t>
      </w:r>
      <w:r w:rsidR="000B658B" w:rsidRPr="00DE535E">
        <w:t xml:space="preserve">and UK </w:t>
      </w:r>
      <w:r w:rsidRPr="00DE535E">
        <w:t xml:space="preserve">are </w:t>
      </w:r>
      <w:r w:rsidR="005A7F3F" w:rsidRPr="00DE535E">
        <w:t>re</w:t>
      </w:r>
      <w:r w:rsidRPr="00DE535E">
        <w:t>presented in the GNPD.</w:t>
      </w:r>
      <w:r w:rsidRPr="00DE535E">
        <w:rPr>
          <w:rStyle w:val="FootnoteReference"/>
        </w:rPr>
        <w:footnoteReference w:id="13"/>
      </w:r>
      <w:r w:rsidRPr="00DE535E">
        <w:t xml:space="preserve"> New foods are regularly added to the database</w:t>
      </w:r>
      <w:r w:rsidR="7E7D4E02" w:rsidRPr="00DE535E">
        <w:t>. F</w:t>
      </w:r>
      <w:r w:rsidR="00943D93" w:rsidRPr="00DE535E">
        <w:t xml:space="preserve">oods </w:t>
      </w:r>
      <w:r w:rsidR="00597549" w:rsidRPr="00DE535E">
        <w:t xml:space="preserve">that are </w:t>
      </w:r>
      <w:r w:rsidR="00943D93" w:rsidRPr="00DE535E">
        <w:t xml:space="preserve">no longer on the market </w:t>
      </w:r>
      <w:r w:rsidR="00597549" w:rsidRPr="00DE535E">
        <w:t>are not removed from the database</w:t>
      </w:r>
      <w:r w:rsidRPr="00DE535E">
        <w:t>.</w:t>
      </w:r>
    </w:p>
    <w:p w14:paraId="73056B10" w14:textId="1DF984DC" w:rsidR="00B55F19" w:rsidRDefault="00B55F19" w:rsidP="00B55F19">
      <w:pPr>
        <w:pStyle w:val="EFSABodytext"/>
      </w:pPr>
      <w:r>
        <w:t xml:space="preserve">For the purpose of </w:t>
      </w:r>
      <w:r w:rsidR="00AD2692">
        <w:t xml:space="preserve">the </w:t>
      </w:r>
      <w:r>
        <w:t xml:space="preserve">exposure assessments </w:t>
      </w:r>
      <w:r w:rsidR="00AB76E6">
        <w:t>of the sweeteners</w:t>
      </w:r>
      <w:r>
        <w:t xml:space="preserve">, the GNPD </w:t>
      </w:r>
      <w:r w:rsidR="1474901A">
        <w:t>is</w:t>
      </w:r>
      <w:r w:rsidR="00FB6E87">
        <w:t xml:space="preserve"> </w:t>
      </w:r>
      <w:r>
        <w:t xml:space="preserve">used to check food product labels for </w:t>
      </w:r>
      <w:r w:rsidR="00E2012A">
        <w:t xml:space="preserve">sweeteners </w:t>
      </w:r>
      <w:r>
        <w:t xml:space="preserve">as GNPD shows the compulsory ingredient information on product labels. Only food additives authorised </w:t>
      </w:r>
      <w:r w:rsidR="008D7BDA">
        <w:t xml:space="preserve">according to </w:t>
      </w:r>
      <w:r>
        <w:t>Annex II</w:t>
      </w:r>
      <w:r w:rsidR="005A7F3F">
        <w:t xml:space="preserve"> </w:t>
      </w:r>
      <w:r w:rsidR="00AB60A7">
        <w:t xml:space="preserve">to </w:t>
      </w:r>
      <w:r w:rsidR="005A7F3F">
        <w:t>Regulation</w:t>
      </w:r>
      <w:r w:rsidR="00AB60A7">
        <w:t xml:space="preserve"> (EC)</w:t>
      </w:r>
      <w:r w:rsidR="005A7F3F">
        <w:t xml:space="preserve"> N</w:t>
      </w:r>
      <w:r w:rsidR="00AB60A7">
        <w:t xml:space="preserve">o </w:t>
      </w:r>
      <w:r w:rsidR="005A7F3F">
        <w:t>1</w:t>
      </w:r>
      <w:r w:rsidR="00AB60A7">
        <w:t>3</w:t>
      </w:r>
      <w:r w:rsidR="005A7F3F">
        <w:t>33/2008</w:t>
      </w:r>
      <w:r>
        <w:t xml:space="preserve"> are mandatory to be labelled. When information on a </w:t>
      </w:r>
      <w:r w:rsidR="00C3544E">
        <w:t xml:space="preserve">sweetener </w:t>
      </w:r>
      <w:r>
        <w:t xml:space="preserve">is available in the GNPD, the number (and percentage) of foods labelled with the </w:t>
      </w:r>
      <w:r w:rsidR="00057CDE">
        <w:t>sweetener</w:t>
      </w:r>
      <w:r>
        <w:t xml:space="preserve"> per food </w:t>
      </w:r>
      <w:r w:rsidR="00DF6EBF">
        <w:t>sub-</w:t>
      </w:r>
      <w:r>
        <w:t xml:space="preserve">category </w:t>
      </w:r>
      <w:r w:rsidR="00DF6EBF">
        <w:t xml:space="preserve">of GNPD </w:t>
      </w:r>
      <w:r w:rsidR="00B142E3">
        <w:t xml:space="preserve">during </w:t>
      </w:r>
      <w:r w:rsidR="00121F5A">
        <w:t xml:space="preserve">the last </w:t>
      </w:r>
      <w:r w:rsidR="00934DDE">
        <w:t>five</w:t>
      </w:r>
      <w:r w:rsidR="00121F5A">
        <w:t xml:space="preserve"> years </w:t>
      </w:r>
      <w:r w:rsidR="00D311F9">
        <w:t xml:space="preserve">will be </w:t>
      </w:r>
      <w:r>
        <w:t xml:space="preserve">reported. </w:t>
      </w:r>
    </w:p>
    <w:p w14:paraId="0E56BD1C" w14:textId="1FBD0B93" w:rsidR="009041F8" w:rsidRDefault="00672EE3" w:rsidP="00B55F19">
      <w:pPr>
        <w:pStyle w:val="EFSABodytext"/>
      </w:pPr>
      <w:r>
        <w:t xml:space="preserve">The </w:t>
      </w:r>
      <w:r w:rsidR="70782147">
        <w:t xml:space="preserve">information in the </w:t>
      </w:r>
      <w:r>
        <w:t>GNPD is</w:t>
      </w:r>
      <w:r w:rsidR="00B55F19">
        <w:t xml:space="preserve"> </w:t>
      </w:r>
      <w:r w:rsidR="002A7EE5">
        <w:t xml:space="preserve">used </w:t>
      </w:r>
      <w:r w:rsidR="00B55F19">
        <w:t xml:space="preserve">to compare the food categories for which use </w:t>
      </w:r>
      <w:r w:rsidR="2AEFA3EE">
        <w:t xml:space="preserve">levels </w:t>
      </w:r>
      <w:r w:rsidR="00B55F19">
        <w:t>and</w:t>
      </w:r>
      <w:r w:rsidR="00240700">
        <w:t>/or</w:t>
      </w:r>
      <w:r w:rsidR="00B55F19">
        <w:t xml:space="preserve"> analytical data were reported to EFSA with the foods labelled to contain the </w:t>
      </w:r>
      <w:r w:rsidR="00392B98">
        <w:t>sweetener</w:t>
      </w:r>
      <w:r w:rsidR="00B55F19">
        <w:t>, together with the authorised uses</w:t>
      </w:r>
      <w:r w:rsidR="00297D3D">
        <w:t xml:space="preserve"> by the EU legislation</w:t>
      </w:r>
      <w:r w:rsidR="00B55F19">
        <w:t>.</w:t>
      </w:r>
      <w:r w:rsidR="00BA1880">
        <w:t xml:space="preserve"> </w:t>
      </w:r>
      <w:r w:rsidR="006962FC">
        <w:t xml:space="preserve">GNPD </w:t>
      </w:r>
      <w:r w:rsidR="008B01AE">
        <w:t>can provide</w:t>
      </w:r>
      <w:r w:rsidR="006962FC">
        <w:t xml:space="preserve"> qualitative information on the use or </w:t>
      </w:r>
      <w:r w:rsidR="00544ED0">
        <w:t>on the absence of use</w:t>
      </w:r>
      <w:r w:rsidR="006962FC">
        <w:t xml:space="preserve"> of a food additive in a food category</w:t>
      </w:r>
      <w:r w:rsidR="5DC8903D">
        <w:t>,</w:t>
      </w:r>
      <w:r w:rsidR="006962FC">
        <w:t xml:space="preserve"> but the percentage of foods labelled with a food additive within a food category </w:t>
      </w:r>
      <w:r w:rsidR="008B01AE">
        <w:t xml:space="preserve">does </w:t>
      </w:r>
      <w:r w:rsidR="006962FC">
        <w:t xml:space="preserve">not represent </w:t>
      </w:r>
      <w:r w:rsidR="006A5ED0">
        <w:t xml:space="preserve">the </w:t>
      </w:r>
      <w:r w:rsidR="00725F65">
        <w:t xml:space="preserve">percentage of </w:t>
      </w:r>
      <w:r w:rsidR="00ED5D30">
        <w:t>food</w:t>
      </w:r>
      <w:r w:rsidR="00461F84">
        <w:t>s</w:t>
      </w:r>
      <w:r w:rsidR="00ED5D30">
        <w:t xml:space="preserve"> </w:t>
      </w:r>
      <w:r w:rsidR="008B01AE">
        <w:t>consum</w:t>
      </w:r>
      <w:r w:rsidR="00ED5D30">
        <w:t>ed</w:t>
      </w:r>
      <w:r w:rsidR="008B01AE">
        <w:t xml:space="preserve"> containing a food additive</w:t>
      </w:r>
      <w:r w:rsidR="00DB272A">
        <w:t xml:space="preserve"> within a food category</w:t>
      </w:r>
      <w:r w:rsidR="006962FC">
        <w:t xml:space="preserve">. </w:t>
      </w:r>
      <w:r>
        <w:t xml:space="preserve">The main aim of using the GNPD is to </w:t>
      </w:r>
      <w:r w:rsidR="003D736C">
        <w:t xml:space="preserve">support the identification of the food categories </w:t>
      </w:r>
      <w:r w:rsidR="79E0500D">
        <w:t xml:space="preserve">in which </w:t>
      </w:r>
      <w:r w:rsidR="003D736C">
        <w:t>the sweetener</w:t>
      </w:r>
      <w:r w:rsidR="00C03138">
        <w:t xml:space="preserve"> is</w:t>
      </w:r>
      <w:r w:rsidR="64F809F5">
        <w:t xml:space="preserve"> used </w:t>
      </w:r>
      <w:r w:rsidR="003D736C">
        <w:t xml:space="preserve">and to </w:t>
      </w:r>
      <w:r>
        <w:t xml:space="preserve">evaluate a possible under/overestimation of the </w:t>
      </w:r>
      <w:r w:rsidR="00AF4E9A">
        <w:t xml:space="preserve">calculated exposure. </w:t>
      </w:r>
    </w:p>
    <w:p w14:paraId="2AAB9B4A" w14:textId="1A4F3D86" w:rsidR="00752B9F" w:rsidRPr="00752B9F" w:rsidRDefault="00214C6C" w:rsidP="00752B9F">
      <w:pPr>
        <w:pStyle w:val="EFSAHeading2"/>
      </w:pPr>
      <w:bookmarkStart w:id="33" w:name="_Toc399503958"/>
      <w:bookmarkStart w:id="34" w:name="_Toc399850645"/>
      <w:bookmarkStart w:id="35" w:name="_Toc405560707"/>
      <w:bookmarkStart w:id="36" w:name="_Toc181606787"/>
      <w:r w:rsidRPr="0053143B">
        <w:t>Methodologies</w:t>
      </w:r>
      <w:bookmarkEnd w:id="33"/>
      <w:bookmarkEnd w:id="34"/>
      <w:bookmarkEnd w:id="35"/>
      <w:bookmarkEnd w:id="36"/>
    </w:p>
    <w:p w14:paraId="39303D17" w14:textId="2484A198" w:rsidR="00821C74" w:rsidRDefault="00821C74" w:rsidP="00821C74">
      <w:pPr>
        <w:pStyle w:val="EFSAHeading3"/>
      </w:pPr>
      <w:bookmarkStart w:id="37" w:name="_Toc181606788"/>
      <w:r>
        <w:t>Food classification systems</w:t>
      </w:r>
      <w:bookmarkEnd w:id="37"/>
    </w:p>
    <w:p w14:paraId="7639A61F" w14:textId="13841FBB" w:rsidR="002C036B" w:rsidRDefault="00821C74" w:rsidP="00821C74">
      <w:pPr>
        <w:pStyle w:val="EFSABodytext"/>
      </w:pPr>
      <w:r>
        <w:t>D</w:t>
      </w:r>
      <w:r w:rsidRPr="00D44585">
        <w:t xml:space="preserve">ata </w:t>
      </w:r>
      <w:r>
        <w:t>on use levels</w:t>
      </w:r>
      <w:r w:rsidRPr="00D44585">
        <w:t xml:space="preserve"> </w:t>
      </w:r>
      <w:r>
        <w:t>are reported</w:t>
      </w:r>
      <w:r w:rsidRPr="00D44585">
        <w:t xml:space="preserve"> </w:t>
      </w:r>
      <w:r>
        <w:t xml:space="preserve">by the data provider </w:t>
      </w:r>
      <w:r w:rsidRPr="00D44585">
        <w:t xml:space="preserve">according to the </w:t>
      </w:r>
      <w:r>
        <w:t xml:space="preserve">food categories (FCs) </w:t>
      </w:r>
      <w:r w:rsidRPr="00D44585">
        <w:t xml:space="preserve">of Annex II, Part D </w:t>
      </w:r>
      <w:r>
        <w:t xml:space="preserve">to </w:t>
      </w:r>
      <w:r w:rsidRPr="00D44585">
        <w:t>Reg</w:t>
      </w:r>
      <w:r>
        <w:t>ulation</w:t>
      </w:r>
      <w:r w:rsidRPr="00D44585">
        <w:t xml:space="preserve"> (EC) No 1333/2008, including the original name of each product.</w:t>
      </w:r>
      <w:r>
        <w:t xml:space="preserve"> </w:t>
      </w:r>
    </w:p>
    <w:p w14:paraId="13FA4F42" w14:textId="50AF732A" w:rsidR="002C036B" w:rsidRDefault="00DF0D06" w:rsidP="00821C74">
      <w:pPr>
        <w:pStyle w:val="EFSABodytext"/>
      </w:pPr>
      <w:r>
        <w:t>A</w:t>
      </w:r>
      <w:r w:rsidR="00821C74">
        <w:t xml:space="preserve">nalytical data on sweeteners are reported according to the FoodEx2 food classification system, as prescribed in the </w:t>
      </w:r>
      <w:r w:rsidR="009551A7">
        <w:t>standard sample description (</w:t>
      </w:r>
      <w:r w:rsidR="00821C74">
        <w:t>SSD</w:t>
      </w:r>
      <w:r w:rsidR="009551A7">
        <w:t>)</w:t>
      </w:r>
      <w:r w:rsidR="58DFDB8E">
        <w:t xml:space="preserve"> data model</w:t>
      </w:r>
      <w:r w:rsidR="1B65085D">
        <w:t>.</w:t>
      </w:r>
      <w:r>
        <w:t xml:space="preserve"> In addition, </w:t>
      </w:r>
      <w:r w:rsidR="7EEA2E61">
        <w:t xml:space="preserve">for </w:t>
      </w:r>
      <w:r>
        <w:t xml:space="preserve">a part of </w:t>
      </w:r>
      <w:r w:rsidR="00F07E78">
        <w:t xml:space="preserve">the </w:t>
      </w:r>
      <w:r>
        <w:t xml:space="preserve">analytical </w:t>
      </w:r>
      <w:r w:rsidR="0346A6CD">
        <w:t>results</w:t>
      </w:r>
      <w:r w:rsidR="002B6DCE">
        <w:t xml:space="preserve">, </w:t>
      </w:r>
      <w:r w:rsidR="5CAD150A">
        <w:t>the relevant</w:t>
      </w:r>
      <w:r w:rsidRPr="00D44585">
        <w:t xml:space="preserve"> </w:t>
      </w:r>
      <w:r>
        <w:t xml:space="preserve">FCs </w:t>
      </w:r>
      <w:r w:rsidRPr="00D44585">
        <w:t xml:space="preserve">of Annex II, Part D </w:t>
      </w:r>
      <w:r>
        <w:t xml:space="preserve">to </w:t>
      </w:r>
      <w:r w:rsidRPr="00727512">
        <w:t>Regulation (EC) No 1333/2008</w:t>
      </w:r>
      <w:r w:rsidR="0500FC93">
        <w:t xml:space="preserve"> </w:t>
      </w:r>
      <w:r w:rsidR="00CA042E">
        <w:t xml:space="preserve">are </w:t>
      </w:r>
      <w:r w:rsidR="0500FC93">
        <w:t>also reported</w:t>
      </w:r>
      <w:r w:rsidR="002C036B">
        <w:t xml:space="preserve">. When the classification according to </w:t>
      </w:r>
      <w:r w:rsidR="002C036B" w:rsidRPr="00D44585">
        <w:t xml:space="preserve">the </w:t>
      </w:r>
      <w:r w:rsidR="002C036B">
        <w:t xml:space="preserve">FCs </w:t>
      </w:r>
      <w:r w:rsidR="002C036B" w:rsidRPr="00D44585">
        <w:t xml:space="preserve">of Annex II, Part D </w:t>
      </w:r>
      <w:r w:rsidR="002C036B">
        <w:t xml:space="preserve">to </w:t>
      </w:r>
      <w:r w:rsidR="002C036B" w:rsidRPr="00727512">
        <w:t>Regulation (EC) No 1333/2008</w:t>
      </w:r>
      <w:r w:rsidR="002C036B">
        <w:t xml:space="preserve"> </w:t>
      </w:r>
      <w:r w:rsidR="0061318F">
        <w:t xml:space="preserve">is </w:t>
      </w:r>
      <w:r w:rsidR="002C036B">
        <w:t>not provided, EFSA will</w:t>
      </w:r>
      <w:r w:rsidR="00D15740">
        <w:t xml:space="preserve"> </w:t>
      </w:r>
      <w:r w:rsidR="00821C74">
        <w:t>classif</w:t>
      </w:r>
      <w:r w:rsidR="002C036B">
        <w:t>y the foods</w:t>
      </w:r>
      <w:r w:rsidR="00821C74">
        <w:t xml:space="preserve"> </w:t>
      </w:r>
      <w:r w:rsidR="00821C74" w:rsidRPr="00D44585">
        <w:t>according</w:t>
      </w:r>
      <w:r w:rsidR="002C036B">
        <w:t>ly</w:t>
      </w:r>
      <w:r w:rsidR="00821C74" w:rsidRPr="00727512">
        <w:t xml:space="preserve">. </w:t>
      </w:r>
    </w:p>
    <w:p w14:paraId="3B69C2E3" w14:textId="421AAA30" w:rsidR="002C036B" w:rsidRDefault="002C036B" w:rsidP="00821C74">
      <w:pPr>
        <w:pStyle w:val="EFSABodytext"/>
      </w:pPr>
    </w:p>
    <w:p w14:paraId="327DA5DB" w14:textId="597F04DD" w:rsidR="003E6537" w:rsidRDefault="15023AC2" w:rsidP="00821C74">
      <w:pPr>
        <w:pStyle w:val="EFSABodytext"/>
      </w:pPr>
      <w:r>
        <w:t>C</w:t>
      </w:r>
      <w:r w:rsidR="00821C74">
        <w:t>onsumption records in the Comprehensive Database are codified according to the FoodEx2 classification system.</w:t>
      </w:r>
      <w:r w:rsidR="007326D9">
        <w:t xml:space="preserve"> </w:t>
      </w:r>
      <w:r w:rsidR="000373EA">
        <w:t>To assess the dietary exposure to sweeteners, the nomenclature from the FoodEx2 classification system was linked to the FCs of Annex II, part D, to Regulation (EC) 1333/2008 using the lowest FoodEx2 level.</w:t>
      </w:r>
      <w:r w:rsidR="00821C74">
        <w:t xml:space="preserve"> </w:t>
      </w:r>
      <w:r w:rsidR="00CA1D98">
        <w:t xml:space="preserve">To link all consumption events </w:t>
      </w:r>
      <w:r w:rsidR="003E6537">
        <w:t xml:space="preserve">coded with </w:t>
      </w:r>
      <w:r w:rsidR="00706F33">
        <w:t>FoodEx2</w:t>
      </w:r>
      <w:r w:rsidR="003E6537">
        <w:t xml:space="preserve"> </w:t>
      </w:r>
      <w:r w:rsidR="00CA1D98">
        <w:t xml:space="preserve">to the FCs of Annex II, Part D to Regulation (EC) No 1333/2008, the original food descriptor was occasionally used, especially for the dietary survey data provided to EFSA before 2018. </w:t>
      </w:r>
    </w:p>
    <w:p w14:paraId="0AA47785" w14:textId="0450C473" w:rsidR="00821C74" w:rsidRDefault="00821C74" w:rsidP="00821C74">
      <w:pPr>
        <w:pStyle w:val="EFSABodytext"/>
      </w:pPr>
      <w:r>
        <w:t xml:space="preserve">The link between the FoodEx2 classification system and the food sub-categories used in GNPD is reported in </w:t>
      </w:r>
      <w:r w:rsidR="00477FD9">
        <w:t xml:space="preserve">Appendix </w:t>
      </w:r>
      <w:r>
        <w:t xml:space="preserve">A. </w:t>
      </w:r>
      <w:bookmarkStart w:id="38" w:name="_Hlk47515725"/>
      <w:r w:rsidR="00597549">
        <w:t xml:space="preserve">The link between the FoodEx2 classification system and the food categories from Regulation (EC) 1333/2008 </w:t>
      </w:r>
      <w:r w:rsidR="007C5CA2">
        <w:t xml:space="preserve">is </w:t>
      </w:r>
      <w:r w:rsidR="00F803BB">
        <w:t>available</w:t>
      </w:r>
      <w:r w:rsidR="0088592C">
        <w:t xml:space="preserve"> in </w:t>
      </w:r>
      <w:proofErr w:type="spellStart"/>
      <w:r w:rsidR="0088592C">
        <w:t>Zenodo</w:t>
      </w:r>
      <w:proofErr w:type="spellEnd"/>
      <w:r w:rsidR="007C5CA2">
        <w:t xml:space="preserve"> (</w:t>
      </w:r>
      <w:hyperlink r:id="rId18" w:history="1">
        <w:r w:rsidRPr="5D36625F" w:rsidDel="00821C74">
          <w:rPr>
            <w:rStyle w:val="Hyperlink"/>
          </w:rPr>
          <w:t>https://zenodo.org/records/4461577</w:t>
        </w:r>
      </w:hyperlink>
      <w:r w:rsidR="007C5CA2">
        <w:rPr>
          <w:rStyle w:val="Hyperlink"/>
        </w:rPr>
        <w:t>)</w:t>
      </w:r>
      <w:r w:rsidR="00597549">
        <w:t>.</w:t>
      </w:r>
    </w:p>
    <w:bookmarkEnd w:id="38"/>
    <w:p w14:paraId="6289ECD3" w14:textId="7D8EFE18" w:rsidR="00821C74" w:rsidRDefault="00821C74" w:rsidP="00821C74">
      <w:pPr>
        <w:pStyle w:val="EFSABodytext"/>
      </w:pPr>
      <w:r>
        <w:t xml:space="preserve">In FoodEx2, facets are used to add further </w:t>
      </w:r>
      <w:r w:rsidR="003F3EA1">
        <w:t>description</w:t>
      </w:r>
      <w:r w:rsidR="006815F5">
        <w:t>s of the foods consumed</w:t>
      </w:r>
      <w:r>
        <w:t xml:space="preserve">, in relation to different properties and aspects of </w:t>
      </w:r>
      <w:r w:rsidR="000A19A9">
        <w:t xml:space="preserve">the </w:t>
      </w:r>
      <w:r>
        <w:t xml:space="preserve">foods. The following facets can be used to identify products that could contain sweeteners: “Without added sugar”, “Sugar free”, “Low / Reduced sugar” and “Light”. These FoodEx2 facets are </w:t>
      </w:r>
      <w:r w:rsidR="00124D35">
        <w:t xml:space="preserve">however </w:t>
      </w:r>
      <w:r>
        <w:t>not always related to the reduction of sugar/addition of sweetener(s), and a case</w:t>
      </w:r>
      <w:r w:rsidR="00DA50DB">
        <w:t>-</w:t>
      </w:r>
      <w:r>
        <w:t>by</w:t>
      </w:r>
      <w:r w:rsidR="00DA50DB">
        <w:t>-</w:t>
      </w:r>
      <w:r>
        <w:t xml:space="preserve">case decision </w:t>
      </w:r>
      <w:r w:rsidR="09F27A0E">
        <w:t xml:space="preserve">is </w:t>
      </w:r>
      <w:r>
        <w:t>needed</w:t>
      </w:r>
      <w:r w:rsidR="00DA50DB">
        <w:t xml:space="preserve"> to select the </w:t>
      </w:r>
      <w:r w:rsidR="00FC638F">
        <w:t>sweetener related</w:t>
      </w:r>
      <w:r w:rsidR="00146693">
        <w:t xml:space="preserve"> facets</w:t>
      </w:r>
      <w:r>
        <w:t xml:space="preserve">. For example, “Light” for certain foods, is related to the reduction of fats rather than sugar. </w:t>
      </w:r>
      <w:r w:rsidR="00124D35">
        <w:t>In addition, the presence of artificial sweetener(s) among the ingredients of a given food can be reported by means of an ad-hoc facet.</w:t>
      </w:r>
      <w:r w:rsidR="5DE879A7">
        <w:t xml:space="preserve"> </w:t>
      </w:r>
      <w:r w:rsidR="00324B5F">
        <w:t>F</w:t>
      </w:r>
      <w:r w:rsidR="5DE879A7">
        <w:t xml:space="preserve">acets </w:t>
      </w:r>
      <w:r w:rsidR="00944D72">
        <w:t>are</w:t>
      </w:r>
      <w:r w:rsidR="5DE879A7">
        <w:t xml:space="preserve"> used to identify eating occasions of foods containing sweeteners in the Comprehensive Database (see section 5.2.2).</w:t>
      </w:r>
    </w:p>
    <w:p w14:paraId="604F4DBE" w14:textId="27A08D56" w:rsidR="00821C74" w:rsidRDefault="00821C74" w:rsidP="00821C74">
      <w:pPr>
        <w:pStyle w:val="EFSAHeading3"/>
      </w:pPr>
      <w:bookmarkStart w:id="39" w:name="_Toc181606789"/>
      <w:r>
        <w:t>Food cat</w:t>
      </w:r>
      <w:r w:rsidDel="00014858">
        <w:t>e</w:t>
      </w:r>
      <w:r>
        <w:t>gories used for the assessment of exposure</w:t>
      </w:r>
      <w:bookmarkEnd w:id="39"/>
    </w:p>
    <w:p w14:paraId="5D664BDC" w14:textId="22B1B503" w:rsidR="00821C74" w:rsidRPr="00821C74" w:rsidRDefault="00821C74" w:rsidP="00821C74">
      <w:pPr>
        <w:pStyle w:val="EFSABodytext"/>
      </w:pPr>
      <w:bookmarkStart w:id="40" w:name="_Hlk14355680"/>
      <w:r>
        <w:t xml:space="preserve">According to the available literature </w:t>
      </w:r>
      <w:r w:rsidR="00433438">
        <w:t xml:space="preserve">on </w:t>
      </w:r>
      <w:r w:rsidR="44B05DF0">
        <w:t xml:space="preserve">the </w:t>
      </w:r>
      <w:r w:rsidR="009D3014">
        <w:t xml:space="preserve">dietary </w:t>
      </w:r>
      <w:r w:rsidR="44B05DF0">
        <w:t xml:space="preserve">exposure to sweeteners in different </w:t>
      </w:r>
      <w:r>
        <w:t>EU countries, Non-alcoholic beverages and Table-top sweeteners are expected to be the main contributors to the exposure for most</w:t>
      </w:r>
      <w:r w:rsidR="00044319">
        <w:t xml:space="preserve"> </w:t>
      </w:r>
      <w:r>
        <w:t>sweeteners (Garnier-</w:t>
      </w:r>
      <w:proofErr w:type="spellStart"/>
      <w:r>
        <w:t>Sag</w:t>
      </w:r>
      <w:r w:rsidR="00727E65">
        <w:t>n</w:t>
      </w:r>
      <w:r>
        <w:t>e</w:t>
      </w:r>
      <w:proofErr w:type="spellEnd"/>
      <w:r>
        <w:t xml:space="preserve"> et al., 2001; </w:t>
      </w:r>
      <w:proofErr w:type="spellStart"/>
      <w:r>
        <w:t>Ilbäck</w:t>
      </w:r>
      <w:proofErr w:type="spellEnd"/>
      <w:r>
        <w:t xml:space="preserve"> et al., 2003; </w:t>
      </w:r>
      <w:proofErr w:type="spellStart"/>
      <w:r>
        <w:t>Arcella</w:t>
      </w:r>
      <w:proofErr w:type="spellEnd"/>
      <w:r>
        <w:t xml:space="preserve"> et al, 2004; Le Donne et al., 2017). Food Supplements, Desserts and Confectionery (e.g. chewing gum, candies, etc.) could as well represent </w:t>
      </w:r>
      <w:bookmarkStart w:id="41" w:name="_Hlk13665292"/>
      <w:r>
        <w:t>a signiﬁcant source of exposure</w:t>
      </w:r>
      <w:bookmarkEnd w:id="41"/>
      <w:r>
        <w:t xml:space="preserve"> (</w:t>
      </w:r>
      <w:proofErr w:type="spellStart"/>
      <w:r>
        <w:t>Arcella</w:t>
      </w:r>
      <w:proofErr w:type="spellEnd"/>
      <w:r>
        <w:t xml:space="preserve"> et al, 2004; Vi</w:t>
      </w:r>
      <w:r w:rsidR="00114508">
        <w:t>n</w:t>
      </w:r>
      <w:r>
        <w:t xml:space="preserve"> et al., 2013; Le Donne et al., 2017)</w:t>
      </w:r>
      <w:r w:rsidR="00CA1D98">
        <w:t xml:space="preserve">. Alcoholic beverages </w:t>
      </w:r>
      <w:r w:rsidR="00494C5B">
        <w:t xml:space="preserve">have </w:t>
      </w:r>
      <w:r w:rsidR="00CA1D98">
        <w:t xml:space="preserve">been mentioned by Le Donne et al. (2017) as </w:t>
      </w:r>
      <w:r w:rsidR="0029147D">
        <w:t xml:space="preserve">an </w:t>
      </w:r>
      <w:r w:rsidR="00CA1D98">
        <w:t>additional potential source</w:t>
      </w:r>
      <w:r>
        <w:t>.</w:t>
      </w:r>
    </w:p>
    <w:bookmarkEnd w:id="40"/>
    <w:p w14:paraId="38792EF5" w14:textId="3F208410" w:rsidR="00821C74" w:rsidRDefault="00821C74" w:rsidP="00821C74">
      <w:pPr>
        <w:pStyle w:val="EFSABodytext"/>
      </w:pPr>
      <w:r>
        <w:t xml:space="preserve">The percentage of products within the food sub-categories used in GNPD labelled to contain at least one sweetener is reported in </w:t>
      </w:r>
      <w:r w:rsidR="00477FD9">
        <w:t xml:space="preserve">Appendix </w:t>
      </w:r>
      <w:r>
        <w:t>B.</w:t>
      </w:r>
      <w:r w:rsidR="004B5F74">
        <w:t xml:space="preserve"> This sea</w:t>
      </w:r>
      <w:r w:rsidR="0001334E">
        <w:t>r</w:t>
      </w:r>
      <w:r w:rsidR="004B5F74">
        <w:t xml:space="preserve">ch was performed </w:t>
      </w:r>
      <w:r w:rsidR="00253E2A">
        <w:t xml:space="preserve">in the </w:t>
      </w:r>
      <w:r w:rsidR="0082198C">
        <w:t xml:space="preserve">first </w:t>
      </w:r>
      <w:r w:rsidR="00D956E1">
        <w:t>half</w:t>
      </w:r>
      <w:r w:rsidR="00253E2A">
        <w:t xml:space="preserve"> </w:t>
      </w:r>
      <w:r w:rsidR="009F2130">
        <w:t xml:space="preserve">of </w:t>
      </w:r>
      <w:r w:rsidR="00253E2A">
        <w:t>2019.</w:t>
      </w:r>
      <w:r>
        <w:t xml:space="preserve"> The </w:t>
      </w:r>
      <w:r w:rsidR="46B2E036">
        <w:t xml:space="preserve">five </w:t>
      </w:r>
      <w:r>
        <w:t xml:space="preserve">GNPD food sub-categories presenting the highest </w:t>
      </w:r>
      <w:r w:rsidR="003129FD">
        <w:t xml:space="preserve">percentage </w:t>
      </w:r>
      <w:r>
        <w:t>of products labelled to contain at least one sweetener are Artificial Sweeteners (99%), Gum (89%), Meal Replacements &amp; Other Drinks (58%), Sports Drinks (57%) and Medicated Confectionery (49%). When looking at the food categories</w:t>
      </w:r>
      <w:r w:rsidR="00190EC6">
        <w:t xml:space="preserve"> from the legislation (Annex II, Part D to Regulation (EC) No 1333/2008) </w:t>
      </w:r>
      <w:r w:rsidR="002478C6">
        <w:t xml:space="preserve">that are </w:t>
      </w:r>
      <w:r>
        <w:t>expected to be main contributors to the exposure according to the literature, at least one sweetener is reported on the label for 31% of Carbonated Soft Drinks, 32% of Energy Drinks and 21% of Vitamins &amp; Dietary Supplements. Th</w:t>
      </w:r>
      <w:r w:rsidR="003F1216">
        <w:t>e</w:t>
      </w:r>
      <w:r>
        <w:t xml:space="preserve"> </w:t>
      </w:r>
      <w:r w:rsidR="0084389A">
        <w:t xml:space="preserve">percentage </w:t>
      </w:r>
      <w:r w:rsidR="00E533CC">
        <w:t xml:space="preserve">of products with sweeteners on the label </w:t>
      </w:r>
      <w:r>
        <w:t xml:space="preserve">is lower </w:t>
      </w:r>
      <w:r w:rsidR="00E533CC">
        <w:t xml:space="preserve">for </w:t>
      </w:r>
      <w:r>
        <w:t xml:space="preserve">Cakes, Pastries &amp; Sweet Goods (17%), </w:t>
      </w:r>
      <w:bookmarkStart w:id="42" w:name="_Hlk14190990"/>
      <w:r>
        <w:t xml:space="preserve">Desserts </w:t>
      </w:r>
      <w:bookmarkEnd w:id="42"/>
      <w:r>
        <w:t xml:space="preserve">(GNPD food sub-categories: Frozen Desserts (10%), Shelf-Stable Desserts (10%), Soft Cheese Desserts (9%), Chilled Desserts (9%) and Dessert Toppings (5%)) and confectionary other than gums (GNPD food sub-categories: Other Sugar Confectionery (14%) and Other Chocolate Confectionery (2%)). The percentage of products with sweeteners on the label </w:t>
      </w:r>
      <w:r w:rsidR="00595345">
        <w:t xml:space="preserve">is negligible </w:t>
      </w:r>
      <w:r w:rsidR="00136466">
        <w:t xml:space="preserve">for </w:t>
      </w:r>
      <w:r>
        <w:t xml:space="preserve">Cold cereals and Savoury Biscuits/Crackers </w:t>
      </w:r>
      <w:r w:rsidR="00136466">
        <w:t>(&lt;</w:t>
      </w:r>
      <w:r>
        <w:t xml:space="preserve"> 1%</w:t>
      </w:r>
      <w:r w:rsidR="001B22AC">
        <w:t>)</w:t>
      </w:r>
      <w:r>
        <w:t xml:space="preserve"> and Alcoholic beverages: Beer (2%), Cider (1.4%), Liqueur (0.2%), </w:t>
      </w:r>
      <w:r w:rsidR="0E881E14">
        <w:t xml:space="preserve">and </w:t>
      </w:r>
      <w:r>
        <w:t>Wine (0.02%).</w:t>
      </w:r>
    </w:p>
    <w:p w14:paraId="1C0B4665" w14:textId="5540BC72" w:rsidR="00821C74" w:rsidRDefault="215973FB" w:rsidP="00821C74">
      <w:pPr>
        <w:pStyle w:val="EFSABodytext"/>
      </w:pPr>
      <w:r>
        <w:t xml:space="preserve">The FAF Panel </w:t>
      </w:r>
      <w:r w:rsidR="1C119476">
        <w:t xml:space="preserve">proposes </w:t>
      </w:r>
      <w:r>
        <w:t>to use the FoodEx2 facets to identify eating occasions of foods containing sweeteners in the Comprehensive Database for the assessment of exposure. In practice, when an eating occasion refers to a food for which a FoodEx2 facet</w:t>
      </w:r>
      <w:r w:rsidR="00EF4E53">
        <w:t xml:space="preserve"> (see section 5.2.1)</w:t>
      </w:r>
      <w:r>
        <w:t xml:space="preserve"> was reported specifying the presence of sweetener(s), the food is assumed to contain the sweetener under evaluation and the eating occasion is included in the assessment</w:t>
      </w:r>
      <w:r w:rsidR="706062A9">
        <w:t xml:space="preserve"> of exposure</w:t>
      </w:r>
      <w:r>
        <w:t>. Of course, this is done only if the sweetener under consideration is authorised in the specific food category</w:t>
      </w:r>
      <w:r w:rsidR="71410BAB">
        <w:t>,</w:t>
      </w:r>
      <w:r>
        <w:t xml:space="preserve"> and </w:t>
      </w:r>
      <w:r w:rsidR="023FFB8D">
        <w:t>MPLs</w:t>
      </w:r>
      <w:r w:rsidR="007E1708">
        <w:t>,</w:t>
      </w:r>
      <w:r w:rsidR="023FFB8D">
        <w:t xml:space="preserve"> </w:t>
      </w:r>
      <w:r>
        <w:t xml:space="preserve">adequate </w:t>
      </w:r>
      <w:r w:rsidR="7E443A24">
        <w:t xml:space="preserve">use levels and/or </w:t>
      </w:r>
      <w:r>
        <w:t>analytical results</w:t>
      </w:r>
      <w:r w:rsidR="628B3AD5">
        <w:t xml:space="preserve"> </w:t>
      </w:r>
      <w:r>
        <w:t>are available</w:t>
      </w:r>
      <w:r w:rsidR="5333B9A4">
        <w:t xml:space="preserve"> (see in sections 5.1.1 and 5.2.3.2)</w:t>
      </w:r>
      <w:r>
        <w:t>.</w:t>
      </w:r>
    </w:p>
    <w:p w14:paraId="0DA8EDBB" w14:textId="79EE38FB" w:rsidR="00477FD9" w:rsidRDefault="00821C74" w:rsidP="00821C74">
      <w:pPr>
        <w:pStyle w:val="EFSABodytext"/>
      </w:pPr>
      <w:r>
        <w:t xml:space="preserve">The FoodEx2 facets are based on information obtained </w:t>
      </w:r>
      <w:r w:rsidR="00B60CAF">
        <w:t xml:space="preserve">during </w:t>
      </w:r>
      <w:r>
        <w:t>the</w:t>
      </w:r>
      <w:r w:rsidR="00B60CAF">
        <w:t xml:space="preserve"> dietary</w:t>
      </w:r>
      <w:r>
        <w:t xml:space="preserve"> survey</w:t>
      </w:r>
      <w:r w:rsidR="00B60CAF">
        <w:t xml:space="preserve"> from the</w:t>
      </w:r>
      <w:r>
        <w:t xml:space="preserve"> participants </w:t>
      </w:r>
      <w:r w:rsidR="13FBCDB6">
        <w:t xml:space="preserve">if </w:t>
      </w:r>
      <w:r>
        <w:t xml:space="preserve">the survey protocol required </w:t>
      </w:r>
      <w:r w:rsidR="003B206E">
        <w:t xml:space="preserve">the collection of </w:t>
      </w:r>
      <w:r>
        <w:t xml:space="preserve">data at a higher level of detail. The reliability </w:t>
      </w:r>
      <w:r w:rsidR="4F748442">
        <w:t xml:space="preserve">of </w:t>
      </w:r>
      <w:r>
        <w:t xml:space="preserve">using these facets to identify the possible presence of sweeteners in food categories varies </w:t>
      </w:r>
      <w:r w:rsidR="10D7C208">
        <w:t>between</w:t>
      </w:r>
      <w:r w:rsidR="001C6103">
        <w:t xml:space="preserve"> </w:t>
      </w:r>
      <w:r>
        <w:t xml:space="preserve">dietary surveys and food categories. </w:t>
      </w:r>
      <w:r w:rsidR="41FBC31F">
        <w:t>T</w:t>
      </w:r>
      <w:r w:rsidR="73AFBE7C">
        <w:t xml:space="preserve">he information reported through facets (e.g. percentage of foods reported with facets and respective consumption amounts of foods with and without facets of interest) and, consequently, the availability of the consumption data related to products containing sweeteners, </w:t>
      </w:r>
      <w:r w:rsidR="566CD9B3">
        <w:t xml:space="preserve">was evaluated using information on 1) </w:t>
      </w:r>
      <w:r w:rsidR="64831259">
        <w:t>f</w:t>
      </w:r>
      <w:r>
        <w:t xml:space="preserve">ood consumption statistics (consumers only) per country and age class for each </w:t>
      </w:r>
      <w:r w:rsidR="7ECD763C">
        <w:t>FoodEx2 category</w:t>
      </w:r>
      <w:r w:rsidR="3ECF947A">
        <w:t xml:space="preserve"> and corresponding </w:t>
      </w:r>
      <w:r w:rsidR="7ECD763C">
        <w:t xml:space="preserve">GNPD food sub-category (see Appendix C); and 2) the percentage of eating occasions and quantity consumed for which at least one of the above-mentioned facets </w:t>
      </w:r>
      <w:r w:rsidR="60A1597D">
        <w:t>(see section</w:t>
      </w:r>
      <w:r w:rsidR="7EB8C101">
        <w:t xml:space="preserve"> 5.2.1)</w:t>
      </w:r>
      <w:r w:rsidR="60A1597D">
        <w:t xml:space="preserve"> </w:t>
      </w:r>
      <w:r w:rsidR="7ECD763C">
        <w:t>was reported</w:t>
      </w:r>
      <w:r w:rsidR="4CCD90D7">
        <w:t xml:space="preserve"> </w:t>
      </w:r>
      <w:r w:rsidR="7ECD763C">
        <w:t xml:space="preserve">(see Appendix D). </w:t>
      </w:r>
      <w:r w:rsidR="5EB34570">
        <w:t xml:space="preserve">The </w:t>
      </w:r>
      <w:r>
        <w:t xml:space="preserve">analysis was carried out on the </w:t>
      </w:r>
      <w:r w:rsidR="5A3EF834">
        <w:t xml:space="preserve">FoodEx2 </w:t>
      </w:r>
      <w:r>
        <w:t xml:space="preserve">categories expected to be main contributors to the exposure to sweeteners according to the literature. </w:t>
      </w:r>
    </w:p>
    <w:p w14:paraId="21FC7CAE" w14:textId="1590F395" w:rsidR="00821C74" w:rsidRDefault="00821C74" w:rsidP="00821C74">
      <w:pPr>
        <w:pStyle w:val="EFSABodytext"/>
      </w:pPr>
      <w:r>
        <w:t xml:space="preserve">In the case of </w:t>
      </w:r>
      <w:r w:rsidR="140B0FE8">
        <w:t xml:space="preserve">the FoodEx2 categories </w:t>
      </w:r>
      <w:r>
        <w:t xml:space="preserve">Chewing gum and </w:t>
      </w:r>
      <w:r w:rsidR="00311BD5">
        <w:t xml:space="preserve">Gum drops </w:t>
      </w:r>
      <w:r>
        <w:t>(linked to the GNPD food sub-category Gum and</w:t>
      </w:r>
      <w:r w:rsidR="00311BD5">
        <w:t xml:space="preserve"> Medicated confectionary, respectively</w:t>
      </w:r>
      <w:r>
        <w:t>)</w:t>
      </w:r>
      <w:r w:rsidR="0084389A">
        <w:t>,</w:t>
      </w:r>
      <w:r>
        <w:t xml:space="preserve"> the </w:t>
      </w:r>
      <w:r w:rsidR="00116B40">
        <w:t xml:space="preserve">percentage </w:t>
      </w:r>
      <w:r>
        <w:t xml:space="preserve">of eating occasions for adults </w:t>
      </w:r>
      <w:r w:rsidR="00605CD3">
        <w:t xml:space="preserve">associated with </w:t>
      </w:r>
      <w:r>
        <w:t>the facets range</w:t>
      </w:r>
      <w:r w:rsidR="0061618C">
        <w:t>d</w:t>
      </w:r>
      <w:r>
        <w:t xml:space="preserve"> from 50 to 100%, with Austria, Czech Republic, Finland, Romania, Spain and Sweden never reporting any facet. Facets were never reported for FoodEx2 categories linked to the GNPD categories Other Sugar Confectionery and Other Chocolate Confectionery.</w:t>
      </w:r>
      <w:r w:rsidR="00116B40">
        <w:t xml:space="preserve"> </w:t>
      </w:r>
    </w:p>
    <w:p w14:paraId="6E47E0B2" w14:textId="036C5B6F" w:rsidR="00821C74" w:rsidRDefault="00821C74" w:rsidP="00821C74">
      <w:pPr>
        <w:pStyle w:val="EFSABodytext"/>
      </w:pPr>
      <w:r>
        <w:t xml:space="preserve">In the case of </w:t>
      </w:r>
      <w:r w:rsidR="6815BBC0">
        <w:t xml:space="preserve">FoodEx2 category </w:t>
      </w:r>
      <w:r>
        <w:t xml:space="preserve">Energy drinks (linked to the GNPD food sub-category Energy drinks) the </w:t>
      </w:r>
      <w:r w:rsidR="00116B40">
        <w:t xml:space="preserve">percentage </w:t>
      </w:r>
      <w:r>
        <w:t>of eating occasions for adults presenting the facets range</w:t>
      </w:r>
      <w:r w:rsidR="00392D3F">
        <w:t>d</w:t>
      </w:r>
      <w:r>
        <w:t xml:space="preserve"> from 0.1 to 17%, with 10 countries out of 17 never reporting any facet. </w:t>
      </w:r>
    </w:p>
    <w:p w14:paraId="5684036D" w14:textId="58B45422" w:rsidR="00821C74" w:rsidRDefault="00821C74" w:rsidP="00821C74">
      <w:pPr>
        <w:pStyle w:val="EFSABodytext"/>
      </w:pPr>
      <w:r>
        <w:t>In the case of FoodEx2 categories</w:t>
      </w:r>
      <w:r w:rsidRPr="001E10FE">
        <w:t xml:space="preserve"> </w:t>
      </w:r>
      <w:r>
        <w:t xml:space="preserve">linked to the </w:t>
      </w:r>
      <w:r w:rsidRPr="00B56630">
        <w:t>GNPD food sub-categor</w:t>
      </w:r>
      <w:r>
        <w:t xml:space="preserve">y </w:t>
      </w:r>
      <w:r w:rsidRPr="001E10FE">
        <w:t>Vitamins &amp; Dietary Supplements</w:t>
      </w:r>
      <w:r>
        <w:t xml:space="preserve">, only in Italy and Germany </w:t>
      </w:r>
      <w:r w:rsidR="00057CDE">
        <w:t xml:space="preserve">were </w:t>
      </w:r>
      <w:r>
        <w:t>f</w:t>
      </w:r>
      <w:r w:rsidRPr="00B56630">
        <w:t>acets used to identify products contain</w:t>
      </w:r>
      <w:r>
        <w:t>ing</w:t>
      </w:r>
      <w:r w:rsidRPr="00B56630">
        <w:t xml:space="preserve"> sweeteners</w:t>
      </w:r>
      <w:r>
        <w:t xml:space="preserve"> (10% and 0.4% of </w:t>
      </w:r>
      <w:r w:rsidRPr="001E10FE">
        <w:t>Vitamin only supplements</w:t>
      </w:r>
      <w:r>
        <w:t xml:space="preserve">, respectively). </w:t>
      </w:r>
    </w:p>
    <w:p w14:paraId="218442B1" w14:textId="359BA3AF" w:rsidR="00821C74" w:rsidRDefault="00821C74" w:rsidP="00821C74">
      <w:pPr>
        <w:pStyle w:val="EFSABodytext"/>
      </w:pPr>
      <w:r>
        <w:t>In the case of FoodEx2 categories</w:t>
      </w:r>
      <w:r w:rsidRPr="001E10FE">
        <w:t xml:space="preserve"> </w:t>
      </w:r>
      <w:r>
        <w:t>related to d</w:t>
      </w:r>
      <w:r w:rsidRPr="005052B5">
        <w:t>esserts</w:t>
      </w:r>
      <w:r>
        <w:t>, f</w:t>
      </w:r>
      <w:r w:rsidRPr="00B56630">
        <w:t>acets used to identify products contain</w:t>
      </w:r>
      <w:r>
        <w:t>ing</w:t>
      </w:r>
      <w:r w:rsidRPr="00B56630">
        <w:t xml:space="preserve"> sweeteners</w:t>
      </w:r>
      <w:r>
        <w:t xml:space="preserve"> were reported for </w:t>
      </w:r>
      <w:r w:rsidRPr="009D7E78">
        <w:t xml:space="preserve">Compote of fruit / </w:t>
      </w:r>
      <w:r>
        <w:t xml:space="preserve">vegetables (6 countries, from 9 to 38% of eating occasions), </w:t>
      </w:r>
      <w:r w:rsidRPr="009D7E78">
        <w:t>Starchy pudding</w:t>
      </w:r>
      <w:r>
        <w:t xml:space="preserve"> (4 countries, from 3 to 14%), Custard (3 countries, from 1 to 15%), </w:t>
      </w:r>
      <w:r w:rsidRPr="009D7E78">
        <w:t>Fruit or fruit-vegetable pur</w:t>
      </w:r>
      <w:r w:rsidR="00A14285">
        <w:t>é</w:t>
      </w:r>
      <w:r w:rsidRPr="009D7E78">
        <w:t>e</w:t>
      </w:r>
      <w:r>
        <w:t xml:space="preserve"> (2 countries, from 26% to 100%), </w:t>
      </w:r>
      <w:r w:rsidRPr="009D7E78">
        <w:t xml:space="preserve">Other desserts </w:t>
      </w:r>
      <w:proofErr w:type="spellStart"/>
      <w:r>
        <w:t>spoonable</w:t>
      </w:r>
      <w:proofErr w:type="spellEnd"/>
      <w:r>
        <w:t xml:space="preserve"> (2 countries, from 31 to 50%), </w:t>
      </w:r>
      <w:r w:rsidRPr="009D7E78">
        <w:t>Dairy desserts</w:t>
      </w:r>
      <w:r>
        <w:t xml:space="preserve"> </w:t>
      </w:r>
      <w:proofErr w:type="spellStart"/>
      <w:r>
        <w:t>spoonable</w:t>
      </w:r>
      <w:proofErr w:type="spellEnd"/>
      <w:r>
        <w:t xml:space="preserve"> (1 country, 40%) and Rice </w:t>
      </w:r>
      <w:r w:rsidRPr="009D7E78">
        <w:t>pudding</w:t>
      </w:r>
      <w:r>
        <w:t xml:space="preserve"> (1 country, 5%).</w:t>
      </w:r>
    </w:p>
    <w:p w14:paraId="69FF4ED3" w14:textId="485F5089" w:rsidR="00821C74" w:rsidRDefault="00821C74" w:rsidP="00821C74">
      <w:pPr>
        <w:pStyle w:val="EFSABodytext"/>
      </w:pPr>
      <w:r>
        <w:t xml:space="preserve">FoodEx2 categories Diet soft drink with caffeine, Diet soft drinks with fruit juice and Diet soft drinks with flavours (linked to the GNPD food sub-category Carbonated Soft Drinks) </w:t>
      </w:r>
      <w:r w:rsidR="007C20B3">
        <w:t xml:space="preserve">are </w:t>
      </w:r>
      <w:r>
        <w:t xml:space="preserve">always implicitly </w:t>
      </w:r>
      <w:r w:rsidR="007124AE">
        <w:t xml:space="preserve">associated </w:t>
      </w:r>
      <w:r w:rsidR="00695589">
        <w:t xml:space="preserve">with </w:t>
      </w:r>
      <w:r>
        <w:t xml:space="preserve">at least one of the facets used to identify products containing sweeteners. </w:t>
      </w:r>
      <w:r w:rsidR="005460AE">
        <w:t xml:space="preserve">Caffeine containing </w:t>
      </w:r>
      <w:r>
        <w:t>Cola beverages</w:t>
      </w:r>
      <w:r w:rsidR="006540D9">
        <w:t xml:space="preserve"> are</w:t>
      </w:r>
      <w:r>
        <w:t xml:space="preserve"> the most largely consumed FoodEx2 category </w:t>
      </w:r>
      <w:r w:rsidR="008550F3">
        <w:t>within</w:t>
      </w:r>
      <w:r>
        <w:t xml:space="preserve"> Carbonated Soft Drinks</w:t>
      </w:r>
      <w:r w:rsidR="2BC34E55">
        <w:t>. T</w:t>
      </w:r>
      <w:r>
        <w:t xml:space="preserve">he </w:t>
      </w:r>
      <w:r w:rsidR="00A14285">
        <w:t xml:space="preserve">percentage </w:t>
      </w:r>
      <w:r>
        <w:t xml:space="preserve">of eating occasions in adults </w:t>
      </w:r>
      <w:r w:rsidR="4027E116">
        <w:t xml:space="preserve">for this </w:t>
      </w:r>
      <w:r w:rsidR="008B76A4">
        <w:t xml:space="preserve">FoodEx2 </w:t>
      </w:r>
      <w:r w:rsidR="4027E116">
        <w:t xml:space="preserve">category </w:t>
      </w:r>
      <w:r>
        <w:t>presenting the facets range</w:t>
      </w:r>
      <w:r w:rsidR="00914BAE">
        <w:t>d</w:t>
      </w:r>
      <w:r>
        <w:t xml:space="preserve"> from 2 to 60%, with 10 countries out of 17 never reporting any facet. But in most of these 10 countries the category Diet soft drink with caffeine was used </w:t>
      </w:r>
      <w:r w:rsidR="000D2F1D">
        <w:t>instead of Caffeine containing Cola beverages</w:t>
      </w:r>
      <w:r w:rsidR="000E5C67">
        <w:t xml:space="preserve"> (with facets)</w:t>
      </w:r>
      <w:r>
        <w:t xml:space="preserve">, suggesting still a relatively good identification </w:t>
      </w:r>
      <w:r w:rsidR="005B14BD">
        <w:t xml:space="preserve">of soft drinks </w:t>
      </w:r>
      <w:r>
        <w:t xml:space="preserve">products containing sweeteners. </w:t>
      </w:r>
    </w:p>
    <w:p w14:paraId="1740907C" w14:textId="531F9A51" w:rsidR="002C23A7" w:rsidRPr="00483DE5" w:rsidRDefault="002C23A7" w:rsidP="00821C74">
      <w:pPr>
        <w:pStyle w:val="EFSABodytext"/>
      </w:pPr>
      <w:r w:rsidRPr="00483DE5">
        <w:t xml:space="preserve">The GNPD food sub-category Artificial Sweeteners (e.g. Table-top sweeteners formulations, Table-top sweeteners in liquid form, Table-top sweeteners in powder form and Table-top sweeteners in tablets) </w:t>
      </w:r>
      <w:r w:rsidR="00BF14D2">
        <w:t xml:space="preserve">contains </w:t>
      </w:r>
      <w:r w:rsidRPr="00483DE5">
        <w:t>by definition sweeteners. All eating events under the food category Table-top sweeteners (FC 11.4 and children) will be considered in the exposure assessment scenarios.</w:t>
      </w:r>
      <w:r w:rsidR="00A34298" w:rsidRPr="00483DE5">
        <w:t xml:space="preserve"> </w:t>
      </w:r>
    </w:p>
    <w:p w14:paraId="3211699F" w14:textId="741016E3" w:rsidR="00821C74" w:rsidRDefault="00B87C97" w:rsidP="00821C74">
      <w:pPr>
        <w:pStyle w:val="EFSABodytext"/>
      </w:pPr>
      <w:r>
        <w:t>In addition, b</w:t>
      </w:r>
      <w:r w:rsidR="00DD3E57">
        <w:t xml:space="preserve">ased on </w:t>
      </w:r>
      <w:r w:rsidR="00E71254">
        <w:t>a</w:t>
      </w:r>
      <w:r w:rsidR="00821C74">
        <w:t xml:space="preserve">n analysis of the </w:t>
      </w:r>
      <w:r w:rsidR="00A14285">
        <w:t xml:space="preserve">percentage </w:t>
      </w:r>
      <w:r w:rsidR="00821C74">
        <w:t xml:space="preserve">of eating occasions presenting at least one of the facets used to identify products containing sweeteners, the FAF Panel noted a likely underestimation of eating occasions of products containing sweeteners </w:t>
      </w:r>
      <w:r w:rsidR="00146DB3">
        <w:t>for</w:t>
      </w:r>
      <w:r w:rsidR="00821C74">
        <w:t xml:space="preserve"> Chewing gum, Gum drops, Energy drinks and Vitamin and mineral supplements. Since these categories are expected to be </w:t>
      </w:r>
      <w:r w:rsidR="0084389A">
        <w:t>major</w:t>
      </w:r>
      <w:r w:rsidR="00821C74">
        <w:t xml:space="preserve"> contributors to the exposure according to the literature and present a relatively high </w:t>
      </w:r>
      <w:r w:rsidR="00A14285">
        <w:t xml:space="preserve">percentage </w:t>
      </w:r>
      <w:r w:rsidR="00821C74">
        <w:t xml:space="preserve">of products labelled to contain at least one sweetener, the FAF Panel </w:t>
      </w:r>
      <w:r w:rsidR="63020A5D">
        <w:t xml:space="preserve">decided </w:t>
      </w:r>
      <w:r w:rsidR="00821C74">
        <w:t xml:space="preserve">to always include these food categories in the exposure assessment </w:t>
      </w:r>
      <w:r w:rsidR="009F6DC7">
        <w:t xml:space="preserve">regardless </w:t>
      </w:r>
      <w:r w:rsidR="00821C74">
        <w:t xml:space="preserve">of the presence of facets. In order not to underestimate the exposure, </w:t>
      </w:r>
      <w:r w:rsidR="09E239F8">
        <w:t xml:space="preserve">foods in </w:t>
      </w:r>
      <w:r w:rsidR="00821C74">
        <w:t xml:space="preserve">these categories </w:t>
      </w:r>
      <w:r w:rsidR="359425EF">
        <w:t>are</w:t>
      </w:r>
      <w:r w:rsidR="0012281A">
        <w:t xml:space="preserve"> </w:t>
      </w:r>
      <w:r w:rsidR="00821C74">
        <w:t xml:space="preserve">assumed to </w:t>
      </w:r>
      <w:r w:rsidR="68912876">
        <w:t xml:space="preserve">always </w:t>
      </w:r>
      <w:r w:rsidR="00821C74">
        <w:t xml:space="preserve">contain the sweetener under evaluation, if authorised and if </w:t>
      </w:r>
      <w:r w:rsidR="00551589">
        <w:t>MPLs</w:t>
      </w:r>
      <w:r w:rsidR="00B00581">
        <w:t>,</w:t>
      </w:r>
      <w:r w:rsidR="00E32286">
        <w:t xml:space="preserve"> </w:t>
      </w:r>
      <w:r w:rsidR="00821C74">
        <w:t xml:space="preserve">adequate </w:t>
      </w:r>
      <w:r w:rsidR="3D643808">
        <w:t xml:space="preserve">use levels and/or </w:t>
      </w:r>
      <w:r w:rsidR="00821C74">
        <w:t xml:space="preserve">analytical </w:t>
      </w:r>
      <w:r w:rsidR="1EA08DDB">
        <w:t>data</w:t>
      </w:r>
      <w:r w:rsidR="49A88713">
        <w:t xml:space="preserve"> </w:t>
      </w:r>
      <w:r w:rsidR="00821C74">
        <w:t xml:space="preserve">are available. The facets used to identify products containing sweeteners are considered more reliable for the FoodEx2 categories linked to the GNPD food sub-category Carbonated Soft Drinks. In order not to overestimate the exposure, the </w:t>
      </w:r>
      <w:bookmarkStart w:id="43" w:name="_Hlk14189134"/>
      <w:r w:rsidR="00821C74">
        <w:t xml:space="preserve">FAF Panel </w:t>
      </w:r>
      <w:bookmarkEnd w:id="43"/>
      <w:r w:rsidR="3B7F1DE8">
        <w:t xml:space="preserve">decided </w:t>
      </w:r>
      <w:r w:rsidR="00821C74">
        <w:t xml:space="preserve">to use the facets to identify the eating occasions </w:t>
      </w:r>
      <w:r w:rsidR="00657857">
        <w:t>of carbonated soft drinks</w:t>
      </w:r>
      <w:r w:rsidR="00821C74">
        <w:t xml:space="preserve"> contain</w:t>
      </w:r>
      <w:r w:rsidR="007313DB">
        <w:t>ing</w:t>
      </w:r>
      <w:r w:rsidR="00821C74">
        <w:t xml:space="preserve"> the sweetener under evaluation. </w:t>
      </w:r>
    </w:p>
    <w:p w14:paraId="027FDC48" w14:textId="79D02413" w:rsidR="00821C74" w:rsidRDefault="00F0198F" w:rsidP="00821C74">
      <w:pPr>
        <w:pStyle w:val="EFSABodytext"/>
      </w:pPr>
      <w:r>
        <w:t>S</w:t>
      </w:r>
      <w:r w:rsidR="00706F33">
        <w:t xml:space="preserve">ome of the </w:t>
      </w:r>
      <w:r w:rsidR="00726371">
        <w:t>sweeteners</w:t>
      </w:r>
      <w:r w:rsidR="00706F33">
        <w:t xml:space="preserve"> are </w:t>
      </w:r>
      <w:r w:rsidR="76E26AFC">
        <w:t xml:space="preserve">also </w:t>
      </w:r>
      <w:r w:rsidR="00706F33">
        <w:t>authorised</w:t>
      </w:r>
      <w:r w:rsidR="00726371">
        <w:t xml:space="preserve"> as flavour enhancer (e.g. neotame and thaumatin in FC 12.6 sauces and FC 15.1 snacks)</w:t>
      </w:r>
      <w:r w:rsidR="00706F33">
        <w:t xml:space="preserve"> and</w:t>
      </w:r>
      <w:r w:rsidR="00726371">
        <w:t xml:space="preserve"> </w:t>
      </w:r>
      <w:r w:rsidR="00706F33">
        <w:t>this type of</w:t>
      </w:r>
      <w:r w:rsidR="00726371">
        <w:t xml:space="preserve"> use </w:t>
      </w:r>
      <w:r w:rsidR="00706F33">
        <w:t>might</w:t>
      </w:r>
      <w:r w:rsidR="00726371">
        <w:t xml:space="preserve"> not </w:t>
      </w:r>
      <w:r w:rsidR="00706F33">
        <w:t xml:space="preserve">be </w:t>
      </w:r>
      <w:r w:rsidR="00726371">
        <w:t>captured</w:t>
      </w:r>
      <w:r w:rsidR="00706F33">
        <w:t xml:space="preserve"> with the FoodEx2</w:t>
      </w:r>
      <w:r w:rsidR="00726371">
        <w:t xml:space="preserve"> facets</w:t>
      </w:r>
      <w:r w:rsidR="00706F33">
        <w:t>. This might lead to a</w:t>
      </w:r>
      <w:r w:rsidR="004A27E5">
        <w:t>n</w:t>
      </w:r>
      <w:r w:rsidR="00706F33">
        <w:t xml:space="preserve"> under-estimation of exposure that will be considered in the </w:t>
      </w:r>
      <w:r w:rsidR="00AB492B">
        <w:t>uncertain</w:t>
      </w:r>
      <w:r w:rsidR="00B429E8">
        <w:t>ty</w:t>
      </w:r>
      <w:r w:rsidR="00AB492B">
        <w:t xml:space="preserve"> </w:t>
      </w:r>
      <w:r w:rsidR="00706F33">
        <w:t>section of the opinion</w:t>
      </w:r>
      <w:r w:rsidR="00822734">
        <w:t>, if relevant</w:t>
      </w:r>
      <w:r w:rsidR="00726371">
        <w:t xml:space="preserve">. </w:t>
      </w:r>
    </w:p>
    <w:p w14:paraId="4ECFC75B" w14:textId="7EC0C32A" w:rsidR="00821C74" w:rsidRDefault="00821C74" w:rsidP="009041F8">
      <w:pPr>
        <w:pStyle w:val="EFSABodytext"/>
      </w:pPr>
      <w:r w:rsidRPr="00EA467C">
        <w:t xml:space="preserve">The FAF Panel also </w:t>
      </w:r>
      <w:r w:rsidR="4AED16D5" w:rsidRPr="00EA467C">
        <w:t xml:space="preserve">decided </w:t>
      </w:r>
      <w:r w:rsidRPr="00EA467C">
        <w:t>to apply the same approach</w:t>
      </w:r>
      <w:r w:rsidR="003B72AB" w:rsidRPr="00EA467C">
        <w:t xml:space="preserve">, i.e. </w:t>
      </w:r>
      <w:r w:rsidR="00870597" w:rsidRPr="00EA467C">
        <w:t>sweetener co</w:t>
      </w:r>
      <w:r w:rsidR="00CE51CA" w:rsidRPr="00EA467C">
        <w:t xml:space="preserve">nsidered </w:t>
      </w:r>
      <w:r w:rsidR="00BD4E83" w:rsidRPr="00EA467C">
        <w:t xml:space="preserve">only present </w:t>
      </w:r>
      <w:r w:rsidR="003B72AB" w:rsidRPr="00EA467C">
        <w:t xml:space="preserve">based on facet information, </w:t>
      </w:r>
      <w:r w:rsidRPr="00EA467C">
        <w:t>to all other food categories which are not expected to be a signiﬁcant source of exposure</w:t>
      </w:r>
      <w:r w:rsidR="7833DCD3" w:rsidRPr="00EA467C">
        <w:t xml:space="preserve"> to the sweetener</w:t>
      </w:r>
      <w:r w:rsidRPr="00EA467C">
        <w:t>, based on the literature and on the low percentage of products labelled to contain sweeteners in the GNPD. In these cases, the uncertainty related to the reliability of the facets is not expected to lead to a considerable underestimation of the exposure.</w:t>
      </w:r>
    </w:p>
    <w:p w14:paraId="7804A884" w14:textId="77777777" w:rsidR="00597549" w:rsidRDefault="00597549" w:rsidP="009041F8">
      <w:pPr>
        <w:pStyle w:val="EFSABodytext"/>
      </w:pPr>
    </w:p>
    <w:p w14:paraId="14712D11" w14:textId="0C27400D" w:rsidR="008668A4" w:rsidRPr="00A00E6D" w:rsidRDefault="00151773" w:rsidP="00B16933">
      <w:pPr>
        <w:pStyle w:val="EFSAHeading3"/>
      </w:pPr>
      <w:bookmarkStart w:id="44" w:name="_Toc181606790"/>
      <w:r>
        <w:t>Chronic e</w:t>
      </w:r>
      <w:r w:rsidR="00A00E6D" w:rsidRPr="00A00E6D">
        <w:t xml:space="preserve">xposure assessment of </w:t>
      </w:r>
      <w:r w:rsidR="0084389A">
        <w:t>sweeteners</w:t>
      </w:r>
      <w:r w:rsidR="00A00E6D" w:rsidRPr="00A00E6D">
        <w:t xml:space="preserve"> under re-evaluation</w:t>
      </w:r>
      <w:bookmarkEnd w:id="44"/>
    </w:p>
    <w:p w14:paraId="54DAAE14" w14:textId="52642D8D" w:rsidR="00A00E6D" w:rsidRDefault="00A00E6D" w:rsidP="00A00E6D">
      <w:pPr>
        <w:pStyle w:val="EFSABodytext"/>
      </w:pPr>
      <w:r w:rsidRPr="00EF7C44">
        <w:t xml:space="preserve">The Panel estimates </w:t>
      </w:r>
      <w:r w:rsidR="00CC5487">
        <w:t xml:space="preserve">the </w:t>
      </w:r>
      <w:r w:rsidRPr="00EF7C44">
        <w:t xml:space="preserve">chronic exposure to </w:t>
      </w:r>
      <w:r w:rsidR="000440C8">
        <w:t>sweeteners</w:t>
      </w:r>
      <w:r w:rsidRPr="00EF7C44">
        <w:t xml:space="preserve">. </w:t>
      </w:r>
      <w:r>
        <w:t>E</w:t>
      </w:r>
      <w:r w:rsidRPr="00EF7C44">
        <w:t>xposure assessment</w:t>
      </w:r>
      <w:r>
        <w:t>s</w:t>
      </w:r>
      <w:r w:rsidRPr="00EF7C44">
        <w:t xml:space="preserve"> </w:t>
      </w:r>
      <w:r>
        <w:t>of</w:t>
      </w:r>
      <w:r w:rsidRPr="00EF7C44">
        <w:t xml:space="preserve"> </w:t>
      </w:r>
      <w:r w:rsidR="000440C8">
        <w:t>sweeteners</w:t>
      </w:r>
      <w:r w:rsidRPr="00EF7C44">
        <w:t xml:space="preserve"> under </w:t>
      </w:r>
      <w:r w:rsidR="00E71254">
        <w:t xml:space="preserve">the </w:t>
      </w:r>
      <w:r w:rsidRPr="00EF7C44">
        <w:t>re-evaluation</w:t>
      </w:r>
      <w:r w:rsidR="000440C8">
        <w:t xml:space="preserve"> programme</w:t>
      </w:r>
      <w:r w:rsidRPr="00EF7C44">
        <w:t xml:space="preserve"> </w:t>
      </w:r>
      <w:r>
        <w:t>are</w:t>
      </w:r>
      <w:r w:rsidRPr="00EF7C44">
        <w:t xml:space="preserve"> carried out by the </w:t>
      </w:r>
      <w:r w:rsidR="00B97CDF">
        <w:t xml:space="preserve">FAF </w:t>
      </w:r>
      <w:r w:rsidRPr="00EF7C44">
        <w:t>Panel based on two different set</w:t>
      </w:r>
      <w:r>
        <w:t>s</w:t>
      </w:r>
      <w:r w:rsidRPr="00EF7C44">
        <w:t xml:space="preserve"> of </w:t>
      </w:r>
      <w:r>
        <w:t xml:space="preserve">concentration </w:t>
      </w:r>
      <w:r w:rsidRPr="00EF7C44">
        <w:t xml:space="preserve">data: (a) MPLs of use </w:t>
      </w:r>
      <w:r w:rsidR="008664B7">
        <w:t xml:space="preserve">as </w:t>
      </w:r>
      <w:r w:rsidRPr="00EF7C44">
        <w:t>set down in the EU legislation (</w:t>
      </w:r>
      <w:r w:rsidR="60E56ABD">
        <w:t xml:space="preserve">used in a scenario </w:t>
      </w:r>
      <w:r w:rsidRPr="00EF7C44">
        <w:t xml:space="preserve">defined as </w:t>
      </w:r>
      <w:r w:rsidRPr="00CE355E">
        <w:rPr>
          <w:i/>
        </w:rPr>
        <w:t>regulatory maximum level exposure assessment scenario</w:t>
      </w:r>
      <w:r w:rsidRPr="00EF7C44">
        <w:t xml:space="preserve">) and (b) use levels and/or analytical </w:t>
      </w:r>
      <w:r>
        <w:t>data</w:t>
      </w:r>
      <w:r w:rsidRPr="00EF7C44">
        <w:t xml:space="preserve"> </w:t>
      </w:r>
      <w:r>
        <w:t xml:space="preserve">provided through the calls for data </w:t>
      </w:r>
      <w:r w:rsidRPr="00EF7C44">
        <w:t>(</w:t>
      </w:r>
      <w:r w:rsidR="435FB819">
        <w:t xml:space="preserve">used in a scenario </w:t>
      </w:r>
      <w:r w:rsidRPr="00EF7C44">
        <w:t xml:space="preserve">defined as </w:t>
      </w:r>
      <w:r w:rsidRPr="00CE355E">
        <w:rPr>
          <w:i/>
        </w:rPr>
        <w:t>refined exposure assessment scenario</w:t>
      </w:r>
      <w:r w:rsidRPr="00EF7C44">
        <w:t>)</w:t>
      </w:r>
      <w:r>
        <w:t xml:space="preserve">. </w:t>
      </w:r>
    </w:p>
    <w:p w14:paraId="573FEBEF" w14:textId="51693C51" w:rsidR="004E49C6" w:rsidRDefault="00A637F3" w:rsidP="004E49C6">
      <w:pPr>
        <w:pStyle w:val="EFSABodytext"/>
        <w:rPr>
          <w:rFonts w:eastAsia="Times New Roman"/>
        </w:rPr>
      </w:pPr>
      <w:bookmarkStart w:id="45" w:name="_Hlk20303660"/>
      <w:r>
        <w:t>These scenarios will be used for single substances and for co-occurring substances. Co-occurrence exists in the case of the salt of aspartame-acesulfame</w:t>
      </w:r>
      <w:r w:rsidR="00190EC6">
        <w:t xml:space="preserve"> (E 962)</w:t>
      </w:r>
      <w:r>
        <w:t>, which liberates aspartame and acesulfame on disassociation</w:t>
      </w:r>
      <w:r w:rsidR="00C354D7">
        <w:t>.</w:t>
      </w:r>
      <w:r w:rsidR="00D57C39">
        <w:t xml:space="preserve"> T</w:t>
      </w:r>
      <w:r>
        <w:t xml:space="preserve">his should be taken into account together with the single use of these two sweeteners as such. </w:t>
      </w:r>
      <w:r w:rsidR="004E49C6">
        <w:t xml:space="preserve">Should evidence emerge that two or more substances lead to </w:t>
      </w:r>
      <w:r w:rsidR="00F87BA7">
        <w:t xml:space="preserve">the </w:t>
      </w:r>
      <w:r w:rsidR="004E49C6">
        <w:t>same adverse effects</w:t>
      </w:r>
      <w:r w:rsidR="00F864FD">
        <w:t>, in particular</w:t>
      </w:r>
      <w:r w:rsidR="004E49C6">
        <w:t xml:space="preserve"> </w:t>
      </w:r>
      <w:r w:rsidR="004E49C6" w:rsidRPr="00F864FD">
        <w:t>through the same Mode of Action (</w:t>
      </w:r>
      <w:proofErr w:type="spellStart"/>
      <w:r w:rsidR="004E49C6" w:rsidRPr="00F864FD">
        <w:t>MoA</w:t>
      </w:r>
      <w:proofErr w:type="spellEnd"/>
      <w:r w:rsidR="004E49C6" w:rsidRPr="00F864FD">
        <w:t>)</w:t>
      </w:r>
      <w:r w:rsidR="004E49C6">
        <w:t>, the use of a cumulative assessment group will be considered.</w:t>
      </w:r>
    </w:p>
    <w:p w14:paraId="0FF75FA8" w14:textId="4FA9B86B" w:rsidR="004112A9" w:rsidRDefault="00FF2109" w:rsidP="00A00E6D">
      <w:pPr>
        <w:pStyle w:val="EFSABodytext"/>
        <w:rPr>
          <w:rFonts w:eastAsia="Times New Roman"/>
        </w:rPr>
      </w:pPr>
      <w:r w:rsidRPr="7ECD763C">
        <w:rPr>
          <w:rFonts w:eastAsia="Times New Roman"/>
        </w:rPr>
        <w:t xml:space="preserve">In case other cumulative </w:t>
      </w:r>
      <w:r w:rsidR="00E71254" w:rsidRPr="7ECD763C">
        <w:rPr>
          <w:rFonts w:eastAsia="Times New Roman"/>
        </w:rPr>
        <w:t>e</w:t>
      </w:r>
      <w:r w:rsidRPr="7ECD763C">
        <w:rPr>
          <w:rFonts w:eastAsia="Times New Roman"/>
        </w:rPr>
        <w:t xml:space="preserve">ffects need to be considered within </w:t>
      </w:r>
      <w:r w:rsidR="00B21469" w:rsidRPr="7ECD763C">
        <w:rPr>
          <w:rFonts w:eastAsia="Times New Roman"/>
        </w:rPr>
        <w:t xml:space="preserve">the </w:t>
      </w:r>
      <w:r w:rsidRPr="7ECD763C">
        <w:rPr>
          <w:rFonts w:eastAsia="Times New Roman"/>
        </w:rPr>
        <w:t>re-evaluation or by a s</w:t>
      </w:r>
      <w:r w:rsidR="00277B79" w:rsidRPr="7ECD763C">
        <w:rPr>
          <w:rFonts w:eastAsia="Times New Roman"/>
        </w:rPr>
        <w:t>e</w:t>
      </w:r>
      <w:r w:rsidRPr="7ECD763C">
        <w:rPr>
          <w:rFonts w:eastAsia="Times New Roman"/>
        </w:rPr>
        <w:t>p</w:t>
      </w:r>
      <w:r w:rsidR="00277B79" w:rsidRPr="7ECD763C">
        <w:rPr>
          <w:rFonts w:eastAsia="Times New Roman"/>
        </w:rPr>
        <w:t>a</w:t>
      </w:r>
      <w:r w:rsidRPr="7ECD763C">
        <w:rPr>
          <w:rFonts w:eastAsia="Times New Roman"/>
        </w:rPr>
        <w:t>rate mandate</w:t>
      </w:r>
      <w:r w:rsidR="00B21469" w:rsidRPr="7ECD763C">
        <w:rPr>
          <w:rFonts w:eastAsia="Times New Roman"/>
        </w:rPr>
        <w:t>,</w:t>
      </w:r>
      <w:r w:rsidRPr="7ECD763C">
        <w:rPr>
          <w:rFonts w:eastAsia="Times New Roman"/>
        </w:rPr>
        <w:t xml:space="preserve"> these scenarios</w:t>
      </w:r>
      <w:r w:rsidR="00B21469" w:rsidRPr="7ECD763C">
        <w:rPr>
          <w:rFonts w:eastAsia="Times New Roman"/>
        </w:rPr>
        <w:t xml:space="preserve"> </w:t>
      </w:r>
      <w:r w:rsidR="00C14E18" w:rsidRPr="7ECD763C">
        <w:rPr>
          <w:rFonts w:eastAsia="Times New Roman"/>
        </w:rPr>
        <w:t>may be adapted</w:t>
      </w:r>
      <w:r w:rsidRPr="7ECD763C">
        <w:rPr>
          <w:rFonts w:eastAsia="Times New Roman"/>
        </w:rPr>
        <w:t>.</w:t>
      </w:r>
      <w:bookmarkEnd w:id="45"/>
    </w:p>
    <w:p w14:paraId="5FA0E20A" w14:textId="6CD243E8" w:rsidR="00A00E6D" w:rsidRDefault="00A00E6D" w:rsidP="00A00E6D">
      <w:pPr>
        <w:pStyle w:val="EFSABodytext"/>
      </w:pPr>
      <w:r>
        <w:t xml:space="preserve">In the </w:t>
      </w:r>
      <w:r w:rsidR="00C0783C">
        <w:t xml:space="preserve">exposure </w:t>
      </w:r>
      <w:r>
        <w:t>assessment scenario</w:t>
      </w:r>
      <w:r w:rsidR="00F40650">
        <w:t>s</w:t>
      </w:r>
      <w:r>
        <w:t>, the concentration levels considered by the Panel are extracted from the whole dataset received (i.e. reported use levels and analytical data)</w:t>
      </w:r>
      <w:r w:rsidR="00C00C43">
        <w:t xml:space="preserve"> and are pooled together assuming a European market</w:t>
      </w:r>
      <w:r>
        <w:t xml:space="preserve">. </w:t>
      </w:r>
    </w:p>
    <w:p w14:paraId="5246BB92" w14:textId="2F53BF5D" w:rsidR="00A00E6D" w:rsidRDefault="00CC2E9C" w:rsidP="00A00E6D">
      <w:pPr>
        <w:pStyle w:val="EFSABodytext"/>
      </w:pPr>
      <w:r>
        <w:t xml:space="preserve">All reported use levels and analytical data will be </w:t>
      </w:r>
      <w:r w:rsidR="00470261">
        <w:t xml:space="preserve">summarised </w:t>
      </w:r>
      <w:r>
        <w:t xml:space="preserve">in the appendices of the scientific opinion for acknowledgment and information. </w:t>
      </w:r>
    </w:p>
    <w:p w14:paraId="752BAD56" w14:textId="00A9E793" w:rsidR="002E5592" w:rsidRPr="00EF7C44" w:rsidRDefault="000474A7" w:rsidP="002E5592">
      <w:pPr>
        <w:pStyle w:val="EFSABodytext"/>
      </w:pPr>
      <w:r>
        <w:t>S</w:t>
      </w:r>
      <w:r w:rsidR="29FABE25">
        <w:t>weetener</w:t>
      </w:r>
      <w:r w:rsidR="002E5592">
        <w:t xml:space="preserve"> concentration values (MPLs, use levels and/or analytical data) are combined with national food consumption data </w:t>
      </w:r>
      <w:r w:rsidR="006115D5">
        <w:t xml:space="preserve">at individual level </w:t>
      </w:r>
      <w:r w:rsidR="002E5592">
        <w:t xml:space="preserve">from the EFSA Comprehensive Database considering the six different population groups mentioned </w:t>
      </w:r>
      <w:r w:rsidR="004771DE">
        <w:t xml:space="preserve">above </w:t>
      </w:r>
      <w:r w:rsidR="002E5592">
        <w:t xml:space="preserve">(see </w:t>
      </w:r>
      <w:r w:rsidR="00C53C21">
        <w:t>s</w:t>
      </w:r>
      <w:r w:rsidR="002E5592">
        <w:t xml:space="preserve">ection 5.1.2). </w:t>
      </w:r>
    </w:p>
    <w:p w14:paraId="76F64DB3" w14:textId="0034871F" w:rsidR="00BF1CA5" w:rsidRPr="00EF7C44" w:rsidRDefault="00E71254" w:rsidP="00A00E6D">
      <w:pPr>
        <w:pStyle w:val="EFSABodytext"/>
      </w:pPr>
      <w:r>
        <w:t>A u</w:t>
      </w:r>
      <w:r w:rsidR="00855236">
        <w:t xml:space="preserve">se level referring to a niche product </w:t>
      </w:r>
      <w:r w:rsidR="647ECD5B">
        <w:t>will be considered as described in section 5.1.1.</w:t>
      </w:r>
      <w:r w:rsidR="009E583C">
        <w:t>1</w:t>
      </w:r>
      <w:r w:rsidR="647ECD5B">
        <w:t>.</w:t>
      </w:r>
      <w:r w:rsidR="00BF1CA5">
        <w:t xml:space="preserve"> The possible under/overestimation of the contribution of the food category to which the niche product belongs to the overall exposure </w:t>
      </w:r>
      <w:r w:rsidR="0B0EBF05">
        <w:t>will</w:t>
      </w:r>
      <w:r w:rsidR="00BF1CA5">
        <w:t xml:space="preserve"> be </w:t>
      </w:r>
      <w:r w:rsidR="69DCFF7B">
        <w:t xml:space="preserve">discussed </w:t>
      </w:r>
      <w:r w:rsidR="00B1565A">
        <w:t>in the uncertainty section</w:t>
      </w:r>
      <w:r w:rsidR="11AF75A6">
        <w:t xml:space="preserve"> of the opinion</w:t>
      </w:r>
      <w:r w:rsidR="00B1565A">
        <w:t>.</w:t>
      </w:r>
      <w:r w:rsidR="00BF1CA5">
        <w:t xml:space="preserve"> </w:t>
      </w:r>
    </w:p>
    <w:p w14:paraId="7F5E7965" w14:textId="5456E563" w:rsidR="005619BA" w:rsidRDefault="00A00E6D" w:rsidP="006E6F94">
      <w:pPr>
        <w:pStyle w:val="EFSABodytext"/>
      </w:pPr>
      <w:r>
        <w:t xml:space="preserve">Use levels reported by food additive producers </w:t>
      </w:r>
      <w:r w:rsidR="00EC77C5">
        <w:t xml:space="preserve">will </w:t>
      </w:r>
      <w:r>
        <w:t>not</w:t>
      </w:r>
      <w:r w:rsidR="00EC77C5">
        <w:t xml:space="preserve"> be</w:t>
      </w:r>
      <w:r>
        <w:t xml:space="preserve"> considered </w:t>
      </w:r>
      <w:r w:rsidR="008B32F4">
        <w:t xml:space="preserve">with </w:t>
      </w:r>
      <w:r>
        <w:t xml:space="preserve">the same </w:t>
      </w:r>
      <w:r w:rsidR="008B32F4">
        <w:t xml:space="preserve">priority </w:t>
      </w:r>
      <w:r>
        <w:t>as those provided by food industry. The</w:t>
      </w:r>
      <w:r w:rsidR="009C66B2">
        <w:t xml:space="preserve"> </w:t>
      </w:r>
      <w:r w:rsidR="00B97CDF">
        <w:t xml:space="preserve">FAF </w:t>
      </w:r>
      <w:r>
        <w:t xml:space="preserve">Panel considered that food additive producers might recommend use levels to the food industry, but the final levels used might, ultimately, be different. Therefore, unless food additive producers confirm that the recommended levels are used by </w:t>
      </w:r>
      <w:r w:rsidR="00253DE4">
        <w:t xml:space="preserve">the </w:t>
      </w:r>
      <w:r>
        <w:t xml:space="preserve">food industry, they </w:t>
      </w:r>
      <w:r w:rsidR="00EC77C5">
        <w:t xml:space="preserve">will </w:t>
      </w:r>
      <w:r>
        <w:t xml:space="preserve">not </w:t>
      </w:r>
      <w:r w:rsidR="00EC77C5">
        <w:t xml:space="preserve">be </w:t>
      </w:r>
      <w:r>
        <w:t xml:space="preserve">considered in the refined exposure scenario. Data from food additive producers will be used in the </w:t>
      </w:r>
      <w:r w:rsidRPr="7ECD763C">
        <w:rPr>
          <w:i/>
          <w:iCs/>
        </w:rPr>
        <w:t xml:space="preserve">maximum level exposure assessment </w:t>
      </w:r>
      <w:r>
        <w:t xml:space="preserve">scenario in case of QS authorisation </w:t>
      </w:r>
      <w:r w:rsidR="00253DE4">
        <w:t xml:space="preserve">and </w:t>
      </w:r>
      <w:r>
        <w:t xml:space="preserve">when no </w:t>
      </w:r>
      <w:r w:rsidR="00544ED0">
        <w:t xml:space="preserve">use levels </w:t>
      </w:r>
      <w:r>
        <w:t>from food industry</w:t>
      </w:r>
      <w:r w:rsidR="00782042">
        <w:t xml:space="preserve"> or analytical data</w:t>
      </w:r>
      <w:r w:rsidR="00544ED0">
        <w:t xml:space="preserve"> are available</w:t>
      </w:r>
      <w:r>
        <w:t xml:space="preserve">. In this way, the most </w:t>
      </w:r>
      <w:r w:rsidR="00783DC2">
        <w:t xml:space="preserve">comprehensive </w:t>
      </w:r>
      <w:r>
        <w:t xml:space="preserve">exposure estimates </w:t>
      </w:r>
      <w:r w:rsidR="00EC77C5">
        <w:t xml:space="preserve">will be </w:t>
      </w:r>
      <w:r>
        <w:t xml:space="preserve">calculated. </w:t>
      </w:r>
    </w:p>
    <w:p w14:paraId="517A1504" w14:textId="1AD12E0F" w:rsidR="006E6F94" w:rsidRPr="00785F4F" w:rsidRDefault="02DE4D4E" w:rsidP="006E6F94">
      <w:pPr>
        <w:pStyle w:val="EFSABodytext"/>
        <w:rPr>
          <w:color w:val="0070C0"/>
        </w:rPr>
      </w:pPr>
      <w:r w:rsidRPr="08C72DCE">
        <w:rPr>
          <w:color w:val="0070C0"/>
        </w:rPr>
        <w:t xml:space="preserve">For the risk assessment of sweeteners, the FAF Panel </w:t>
      </w:r>
      <w:r w:rsidR="17CD790A" w:rsidRPr="08C72DCE">
        <w:rPr>
          <w:color w:val="0070C0"/>
        </w:rPr>
        <w:t>use</w:t>
      </w:r>
      <w:r w:rsidR="003A6B58" w:rsidRPr="08C72DCE">
        <w:rPr>
          <w:color w:val="0070C0"/>
        </w:rPr>
        <w:t>s</w:t>
      </w:r>
      <w:r w:rsidR="17CD790A" w:rsidRPr="08C72DCE">
        <w:rPr>
          <w:color w:val="0070C0"/>
        </w:rPr>
        <w:t xml:space="preserve"> </w:t>
      </w:r>
      <w:r w:rsidRPr="08C72DCE">
        <w:rPr>
          <w:color w:val="0070C0"/>
        </w:rPr>
        <w:t>a</w:t>
      </w:r>
      <w:r w:rsidR="00822AAD" w:rsidRPr="08C72DCE">
        <w:rPr>
          <w:color w:val="0070C0"/>
        </w:rPr>
        <w:t xml:space="preserve"> </w:t>
      </w:r>
      <w:r w:rsidR="123058CF" w:rsidRPr="08C72DCE">
        <w:rPr>
          <w:color w:val="0070C0"/>
        </w:rPr>
        <w:t>consumer</w:t>
      </w:r>
      <w:r w:rsidR="00581C3E" w:rsidRPr="08C72DCE">
        <w:rPr>
          <w:color w:val="0070C0"/>
        </w:rPr>
        <w:t>s</w:t>
      </w:r>
      <w:r w:rsidR="70D418AB" w:rsidRPr="08C72DCE">
        <w:rPr>
          <w:color w:val="0070C0"/>
        </w:rPr>
        <w:t xml:space="preserve"> </w:t>
      </w:r>
      <w:r w:rsidR="00822AAD" w:rsidRPr="08C72DCE">
        <w:rPr>
          <w:color w:val="0070C0"/>
        </w:rPr>
        <w:t xml:space="preserve">only </w:t>
      </w:r>
      <w:r w:rsidR="00DE00CD" w:rsidRPr="08C72DCE">
        <w:rPr>
          <w:color w:val="0070C0"/>
        </w:rPr>
        <w:t>ex</w:t>
      </w:r>
      <w:r w:rsidRPr="08C72DCE">
        <w:rPr>
          <w:color w:val="0070C0"/>
        </w:rPr>
        <w:t>posure approach</w:t>
      </w:r>
      <w:r w:rsidR="00663758" w:rsidRPr="08C72DCE">
        <w:rPr>
          <w:color w:val="0070C0"/>
        </w:rPr>
        <w:t xml:space="preserve">. </w:t>
      </w:r>
      <w:r w:rsidR="000A4CCB" w:rsidRPr="08C72DCE">
        <w:rPr>
          <w:color w:val="0070C0"/>
        </w:rPr>
        <w:t xml:space="preserve">This approach </w:t>
      </w:r>
      <w:r w:rsidR="005B5188" w:rsidRPr="08C72DCE">
        <w:rPr>
          <w:color w:val="0070C0"/>
        </w:rPr>
        <w:t>differs from</w:t>
      </w:r>
      <w:r w:rsidR="00273880" w:rsidRPr="08C72DCE">
        <w:rPr>
          <w:color w:val="0070C0"/>
        </w:rPr>
        <w:t xml:space="preserve"> </w:t>
      </w:r>
      <w:r w:rsidR="00581C3E" w:rsidRPr="08C72DCE">
        <w:rPr>
          <w:color w:val="0070C0"/>
        </w:rPr>
        <w:t xml:space="preserve">a </w:t>
      </w:r>
      <w:r w:rsidR="00DE00CD" w:rsidRPr="08C72DCE">
        <w:rPr>
          <w:color w:val="0070C0"/>
        </w:rPr>
        <w:t>general population approach</w:t>
      </w:r>
      <w:r w:rsidR="00180FF0" w:rsidRPr="08C72DCE">
        <w:rPr>
          <w:color w:val="0070C0"/>
        </w:rPr>
        <w:t xml:space="preserve"> which is</w:t>
      </w:r>
      <w:r w:rsidR="00DE00CD" w:rsidRPr="08C72DCE">
        <w:rPr>
          <w:color w:val="0070C0"/>
        </w:rPr>
        <w:t xml:space="preserve"> </w:t>
      </w:r>
      <w:r w:rsidR="381C6A4D" w:rsidRPr="08C72DCE">
        <w:rPr>
          <w:color w:val="0070C0"/>
        </w:rPr>
        <w:t xml:space="preserve">used </w:t>
      </w:r>
      <w:r w:rsidRPr="08C72DCE">
        <w:rPr>
          <w:color w:val="0070C0"/>
        </w:rPr>
        <w:t>for other food additives</w:t>
      </w:r>
      <w:r w:rsidR="007A14DD" w:rsidRPr="08C72DCE">
        <w:rPr>
          <w:color w:val="0070C0"/>
        </w:rPr>
        <w:t xml:space="preserve"> (EFSA</w:t>
      </w:r>
      <w:r w:rsidR="001B767A" w:rsidRPr="08C72DCE">
        <w:rPr>
          <w:color w:val="0070C0"/>
        </w:rPr>
        <w:t xml:space="preserve"> ANS Panel</w:t>
      </w:r>
      <w:r w:rsidR="007A14DD" w:rsidRPr="08C72DCE">
        <w:rPr>
          <w:color w:val="0070C0"/>
        </w:rPr>
        <w:t>, 2017)</w:t>
      </w:r>
      <w:r w:rsidR="00DE00CD" w:rsidRPr="08C72DCE">
        <w:rPr>
          <w:color w:val="0070C0"/>
        </w:rPr>
        <w:t xml:space="preserve">. </w:t>
      </w:r>
      <w:r w:rsidR="00D15F25" w:rsidRPr="08C72DCE">
        <w:rPr>
          <w:color w:val="0070C0"/>
        </w:rPr>
        <w:t xml:space="preserve">A consumers only approach </w:t>
      </w:r>
      <w:r w:rsidR="006E2F37" w:rsidRPr="08C72DCE">
        <w:rPr>
          <w:color w:val="0070C0"/>
        </w:rPr>
        <w:t>is</w:t>
      </w:r>
      <w:r w:rsidR="00D15F25" w:rsidRPr="08C72DCE">
        <w:rPr>
          <w:color w:val="0070C0"/>
        </w:rPr>
        <w:t xml:space="preserve"> used, because i</w:t>
      </w:r>
      <w:r w:rsidR="4EE6D793" w:rsidRPr="08C72DCE">
        <w:rPr>
          <w:color w:val="0070C0"/>
        </w:rPr>
        <w:t xml:space="preserve">t </w:t>
      </w:r>
      <w:r w:rsidR="00D15F25" w:rsidRPr="08C72DCE">
        <w:rPr>
          <w:color w:val="0070C0"/>
        </w:rPr>
        <w:t>is</w:t>
      </w:r>
      <w:r w:rsidR="4EE6D793" w:rsidRPr="08C72DCE">
        <w:rPr>
          <w:color w:val="0070C0"/>
        </w:rPr>
        <w:t xml:space="preserve"> </w:t>
      </w:r>
      <w:r w:rsidR="006E2F37" w:rsidRPr="08C72DCE">
        <w:rPr>
          <w:color w:val="0070C0"/>
        </w:rPr>
        <w:t xml:space="preserve">likely </w:t>
      </w:r>
      <w:r w:rsidR="4EE6D793" w:rsidRPr="08C72DCE">
        <w:rPr>
          <w:color w:val="0070C0"/>
        </w:rPr>
        <w:t>that consumers</w:t>
      </w:r>
      <w:r w:rsidRPr="08C72DCE">
        <w:rPr>
          <w:color w:val="0070C0"/>
        </w:rPr>
        <w:t xml:space="preserve"> choose their foods based on </w:t>
      </w:r>
      <w:r w:rsidR="008C0454" w:rsidRPr="08C72DCE">
        <w:rPr>
          <w:color w:val="0070C0"/>
        </w:rPr>
        <w:t xml:space="preserve">label information </w:t>
      </w:r>
      <w:r w:rsidR="286E2E73" w:rsidRPr="08C72DCE">
        <w:rPr>
          <w:color w:val="0070C0"/>
        </w:rPr>
        <w:t>con</w:t>
      </w:r>
      <w:r w:rsidR="6BC882FA" w:rsidRPr="08C72DCE">
        <w:rPr>
          <w:color w:val="0070C0"/>
        </w:rPr>
        <w:t>c</w:t>
      </w:r>
      <w:r w:rsidR="286E2E73" w:rsidRPr="08C72DCE">
        <w:rPr>
          <w:color w:val="0070C0"/>
        </w:rPr>
        <w:t>e</w:t>
      </w:r>
      <w:r w:rsidR="619B3E45" w:rsidRPr="08C72DCE">
        <w:rPr>
          <w:color w:val="0070C0"/>
        </w:rPr>
        <w:t>rn</w:t>
      </w:r>
      <w:r w:rsidR="286E2E73" w:rsidRPr="08C72DCE">
        <w:rPr>
          <w:color w:val="0070C0"/>
        </w:rPr>
        <w:t xml:space="preserve">ing the </w:t>
      </w:r>
      <w:r w:rsidRPr="08C72DCE">
        <w:rPr>
          <w:color w:val="0070C0"/>
        </w:rPr>
        <w:t>presence of sweetener</w:t>
      </w:r>
      <w:r w:rsidR="00FB6789">
        <w:rPr>
          <w:color w:val="0070C0"/>
        </w:rPr>
        <w:t>(s)</w:t>
      </w:r>
      <w:r w:rsidR="119E0ADF" w:rsidRPr="08C72DCE">
        <w:rPr>
          <w:color w:val="0070C0"/>
        </w:rPr>
        <w:t xml:space="preserve"> </w:t>
      </w:r>
      <w:r w:rsidR="4B1AF593" w:rsidRPr="08C72DCE">
        <w:rPr>
          <w:color w:val="0070C0"/>
        </w:rPr>
        <w:t>in a consistent manner</w:t>
      </w:r>
      <w:r w:rsidR="45389151" w:rsidRPr="08C72DCE">
        <w:rPr>
          <w:color w:val="0070C0"/>
        </w:rPr>
        <w:t xml:space="preserve"> and represent the most relevant population for </w:t>
      </w:r>
      <w:r w:rsidR="00B01CA9" w:rsidRPr="08C72DCE">
        <w:rPr>
          <w:color w:val="0070C0"/>
        </w:rPr>
        <w:t xml:space="preserve">the </w:t>
      </w:r>
      <w:r w:rsidR="45389151" w:rsidRPr="08C72DCE">
        <w:rPr>
          <w:color w:val="0070C0"/>
        </w:rPr>
        <w:t xml:space="preserve">dietary exposure assessment </w:t>
      </w:r>
      <w:r w:rsidR="00B01CA9" w:rsidRPr="08C72DCE">
        <w:rPr>
          <w:color w:val="0070C0"/>
        </w:rPr>
        <w:t>of</w:t>
      </w:r>
      <w:r w:rsidR="45389151" w:rsidRPr="08C72DCE">
        <w:rPr>
          <w:color w:val="0070C0"/>
        </w:rPr>
        <w:t xml:space="preserve"> sweeteners</w:t>
      </w:r>
      <w:r w:rsidR="3D55D96B" w:rsidRPr="08C72DCE">
        <w:rPr>
          <w:color w:val="0070C0"/>
        </w:rPr>
        <w:t>.</w:t>
      </w:r>
      <w:r w:rsidR="003160B8" w:rsidRPr="08C72DCE">
        <w:rPr>
          <w:color w:val="0070C0"/>
        </w:rPr>
        <w:t xml:space="preserve"> </w:t>
      </w:r>
      <w:r w:rsidR="000A61AF" w:rsidRPr="08C72DCE">
        <w:rPr>
          <w:color w:val="0070C0"/>
        </w:rPr>
        <w:t xml:space="preserve">For </w:t>
      </w:r>
      <w:r w:rsidR="00FE5664" w:rsidRPr="08C72DCE">
        <w:rPr>
          <w:color w:val="0070C0"/>
        </w:rPr>
        <w:t>example</w:t>
      </w:r>
      <w:r w:rsidR="000A61AF" w:rsidRPr="08C72DCE">
        <w:rPr>
          <w:color w:val="0070C0"/>
        </w:rPr>
        <w:t>,</w:t>
      </w:r>
      <w:r w:rsidR="00371E01" w:rsidRPr="08C72DCE">
        <w:rPr>
          <w:color w:val="0070C0"/>
        </w:rPr>
        <w:t xml:space="preserve"> </w:t>
      </w:r>
      <w:r w:rsidR="00C11C31" w:rsidRPr="08C72DCE">
        <w:rPr>
          <w:color w:val="0070C0"/>
        </w:rPr>
        <w:t xml:space="preserve">diabetics </w:t>
      </w:r>
      <w:r w:rsidR="00184195" w:rsidRPr="08C72DCE">
        <w:rPr>
          <w:color w:val="0070C0"/>
        </w:rPr>
        <w:t>cho</w:t>
      </w:r>
      <w:r w:rsidR="000A61AF" w:rsidRPr="08C72DCE">
        <w:rPr>
          <w:color w:val="0070C0"/>
        </w:rPr>
        <w:t>o</w:t>
      </w:r>
      <w:r w:rsidR="00184195" w:rsidRPr="08C72DCE">
        <w:rPr>
          <w:color w:val="0070C0"/>
        </w:rPr>
        <w:t>se products</w:t>
      </w:r>
      <w:r w:rsidR="00C11C31" w:rsidRPr="08C72DCE">
        <w:rPr>
          <w:color w:val="0070C0"/>
        </w:rPr>
        <w:t xml:space="preserve"> </w:t>
      </w:r>
      <w:r w:rsidR="4514914A" w:rsidRPr="08C72DCE">
        <w:rPr>
          <w:color w:val="0070C0"/>
        </w:rPr>
        <w:t xml:space="preserve">containing sweeteners </w:t>
      </w:r>
      <w:r w:rsidR="00184195" w:rsidRPr="08C72DCE">
        <w:rPr>
          <w:color w:val="0070C0"/>
        </w:rPr>
        <w:t>for health reasons</w:t>
      </w:r>
      <w:r w:rsidRPr="08C72DCE">
        <w:rPr>
          <w:color w:val="0070C0"/>
        </w:rPr>
        <w:t xml:space="preserve">. </w:t>
      </w:r>
    </w:p>
    <w:p w14:paraId="6A523B72" w14:textId="1BEFF1F2" w:rsidR="005C0A1B" w:rsidRDefault="006E6F94" w:rsidP="0095617F">
      <w:pPr>
        <w:pStyle w:val="EFSABodytext"/>
      </w:pPr>
      <w:r>
        <w:t>Therefore, a</w:t>
      </w:r>
      <w:r w:rsidR="00032EB8">
        <w:t>ll exposure scenarios described below (see section</w:t>
      </w:r>
      <w:r w:rsidR="00B01CA9">
        <w:t>s</w:t>
      </w:r>
      <w:r w:rsidR="00032EB8">
        <w:t xml:space="preserve"> 5.2.3.1., 5.2.3.2 and 5.2.3.3.) refer to consumers only</w:t>
      </w:r>
      <w:r w:rsidR="006727D9">
        <w:t xml:space="preserve"> of foods containing sweetener</w:t>
      </w:r>
      <w:r w:rsidR="00D3641B">
        <w:t>(</w:t>
      </w:r>
      <w:r w:rsidR="006727D9">
        <w:t>s</w:t>
      </w:r>
      <w:r w:rsidR="00D3641B">
        <w:t>)</w:t>
      </w:r>
      <w:r w:rsidR="00032EB8">
        <w:t xml:space="preserve">. </w:t>
      </w:r>
      <w:r w:rsidR="001B48C1">
        <w:t xml:space="preserve">Mean and 95th percentile exposure results </w:t>
      </w:r>
      <w:r w:rsidR="00107AD4">
        <w:t>will be</w:t>
      </w:r>
      <w:r w:rsidR="00E15543">
        <w:t xml:space="preserve"> calculated for consumers only of at least one food category containing the sweetener under evaluation according to Annex II to Regulation No 1333/2008</w:t>
      </w:r>
      <w:r w:rsidR="003A7CA1">
        <w:t xml:space="preserve"> </w:t>
      </w:r>
      <w:r w:rsidR="00E15543">
        <w:t>and will be</w:t>
      </w:r>
      <w:r w:rsidR="00107AD4">
        <w:t xml:space="preserve"> </w:t>
      </w:r>
      <w:r w:rsidR="001B48C1">
        <w:t xml:space="preserve">reported for each dietary survey and population group. </w:t>
      </w:r>
      <w:r w:rsidR="00FF7CEE">
        <w:t xml:space="preserve">The main food categories of Annex II, Part D to Regulation (EC) No 1333/2008 contributing to the total mean exposure to the sweeteners </w:t>
      </w:r>
      <w:r w:rsidR="00107AD4">
        <w:t xml:space="preserve">will be </w:t>
      </w:r>
      <w:r w:rsidR="00FF7CEE">
        <w:t xml:space="preserve">provided in each opinion for each scenario. </w:t>
      </w:r>
    </w:p>
    <w:p w14:paraId="029AEA84" w14:textId="0391ED02" w:rsidR="0095617F" w:rsidRDefault="001B48C1" w:rsidP="0095617F">
      <w:pPr>
        <w:pStyle w:val="EFSABodytext"/>
      </w:pPr>
      <w:r>
        <w:t>In addition, exposure results will also be calculated for consumers only for each food category separately and will be included in</w:t>
      </w:r>
      <w:r w:rsidR="00663956">
        <w:t xml:space="preserve"> </w:t>
      </w:r>
      <w:r w:rsidR="00FF7CEE">
        <w:t xml:space="preserve">an </w:t>
      </w:r>
      <w:r>
        <w:t>Annex</w:t>
      </w:r>
      <w:r w:rsidR="00FF7CEE">
        <w:t xml:space="preserve"> to the respective re-evaluation</w:t>
      </w:r>
      <w:r>
        <w:t>.</w:t>
      </w:r>
      <w:r w:rsidR="00663956">
        <w:t xml:space="preserve"> </w:t>
      </w:r>
    </w:p>
    <w:p w14:paraId="63826F4A" w14:textId="2238EBCD" w:rsidR="0095617F" w:rsidRPr="0095617F" w:rsidRDefault="0095617F" w:rsidP="0095617F">
      <w:pPr>
        <w:pStyle w:val="EFSABodytext"/>
      </w:pPr>
      <w:r w:rsidRPr="0095617F">
        <w:t>Due to limited number of consumption data for diabetics, it is not possible to perform an exposure assessment for this specific population sub-group. Nevertheless, it is expected that diabetics are expos</w:t>
      </w:r>
      <w:r>
        <w:t>ed</w:t>
      </w:r>
      <w:r w:rsidRPr="0095617F">
        <w:t xml:space="preserve"> to</w:t>
      </w:r>
      <w:r w:rsidR="00D9699B">
        <w:t xml:space="preserve"> sweeteners at</w:t>
      </w:r>
      <w:r w:rsidRPr="0095617F">
        <w:t xml:space="preserve"> levels in the same range </w:t>
      </w:r>
      <w:r w:rsidR="00253DE4">
        <w:t>as</w:t>
      </w:r>
      <w:r w:rsidRPr="0095617F">
        <w:t xml:space="preserve"> </w:t>
      </w:r>
      <w:r w:rsidR="00773189">
        <w:t>for</w:t>
      </w:r>
      <w:r w:rsidR="00773189" w:rsidRPr="0095617F">
        <w:t xml:space="preserve"> </w:t>
      </w:r>
      <w:r w:rsidRPr="0095617F">
        <w:t xml:space="preserve">subjects </w:t>
      </w:r>
      <w:r w:rsidR="00773189">
        <w:t>at</w:t>
      </w:r>
      <w:r w:rsidR="00773189" w:rsidRPr="0095617F">
        <w:t xml:space="preserve"> </w:t>
      </w:r>
      <w:r w:rsidRPr="0095617F">
        <w:t>the right</w:t>
      </w:r>
      <w:r w:rsidR="00AB3DDB" w:rsidDel="00AB3DDB">
        <w:t xml:space="preserve"> </w:t>
      </w:r>
      <w:r w:rsidR="00253DE4">
        <w:t>side</w:t>
      </w:r>
      <w:r w:rsidRPr="0095617F">
        <w:t xml:space="preserve"> </w:t>
      </w:r>
      <w:r w:rsidR="00253DE4">
        <w:t>(high</w:t>
      </w:r>
      <w:r w:rsidR="00B61714">
        <w:t>er</w:t>
      </w:r>
      <w:r w:rsidR="00253DE4">
        <w:t xml:space="preserve"> </w:t>
      </w:r>
      <w:r w:rsidRPr="0095617F">
        <w:t>end</w:t>
      </w:r>
      <w:r w:rsidR="00B61714">
        <w:t>)</w:t>
      </w:r>
      <w:r w:rsidRPr="0095617F">
        <w:t xml:space="preserve"> of the exposure distribution for consumers only of at least one food category containing the sweetener under evaluation.</w:t>
      </w:r>
    </w:p>
    <w:p w14:paraId="20C2BFF3" w14:textId="77777777" w:rsidR="00A00E6D" w:rsidRDefault="00A00E6D" w:rsidP="00A00E6D">
      <w:pPr>
        <w:pStyle w:val="EFSAHeading4"/>
      </w:pPr>
      <w:bookmarkStart w:id="46" w:name="_Toc181606791"/>
      <w:r w:rsidRPr="00A00E6D">
        <w:t>Regulatory maximum level exposure assessment scenario</w:t>
      </w:r>
      <w:bookmarkEnd w:id="46"/>
    </w:p>
    <w:p w14:paraId="6A4A962E" w14:textId="1F803550" w:rsidR="00A00E6D" w:rsidRDefault="00A00E6D" w:rsidP="00A00E6D">
      <w:pPr>
        <w:pStyle w:val="EFSABodytext"/>
      </w:pPr>
      <w:r>
        <w:t xml:space="preserve">The </w:t>
      </w:r>
      <w:r w:rsidRPr="007C5D78">
        <w:rPr>
          <w:i/>
        </w:rPr>
        <w:t>regulatory maximum level exposure assessment scenario</w:t>
      </w:r>
      <w:r>
        <w:t xml:space="preserve"> is based on MPLs of use as set in Annex II</w:t>
      </w:r>
      <w:r w:rsidR="00551589">
        <w:t>, Part E,</w:t>
      </w:r>
      <w:r>
        <w:t xml:space="preserve"> to Regulation No 1333/2008. Therefore, it includes </w:t>
      </w:r>
      <w:r w:rsidR="59AABDFC">
        <w:t xml:space="preserve">all </w:t>
      </w:r>
      <w:r>
        <w:t xml:space="preserve">food categories authorised according to this Annex or any other legislation clearly defining the food or food category in which the </w:t>
      </w:r>
      <w:r w:rsidR="00573D4F">
        <w:t>sweetener</w:t>
      </w:r>
      <w:r>
        <w:t xml:space="preserve"> might be added </w:t>
      </w:r>
      <w:r w:rsidR="00B62BAF">
        <w:t xml:space="preserve">and for which </w:t>
      </w:r>
      <w:r>
        <w:t>a</w:t>
      </w:r>
      <w:r w:rsidR="001B2AB9">
        <w:t xml:space="preserve"> </w:t>
      </w:r>
      <w:r>
        <w:t>n</w:t>
      </w:r>
      <w:r w:rsidR="001B2AB9">
        <w:t>umerical</w:t>
      </w:r>
      <w:r>
        <w:t xml:space="preserve"> MPL </w:t>
      </w:r>
      <w:r w:rsidR="00B62BAF">
        <w:t xml:space="preserve">has been set </w:t>
      </w:r>
      <w:r>
        <w:t xml:space="preserve">(e.g. Annex III of the same Regulation). </w:t>
      </w:r>
    </w:p>
    <w:p w14:paraId="07F18173" w14:textId="0D4C3739" w:rsidR="00B1565A" w:rsidRPr="00B80A2A" w:rsidRDefault="000D2E66" w:rsidP="7ECD763C">
      <w:pPr>
        <w:pStyle w:val="EFSABODYCOPY"/>
        <w:jc w:val="both"/>
        <w:rPr>
          <w:rFonts w:ascii="Tahoma" w:eastAsiaTheme="minorEastAsia" w:hAnsi="Tahoma" w:cstheme="minorBidi"/>
        </w:rPr>
      </w:pPr>
      <w:bookmarkStart w:id="47" w:name="_Hlk21448168"/>
      <w:r w:rsidRPr="7ECD763C">
        <w:rPr>
          <w:rFonts w:ascii="Tahoma" w:eastAsiaTheme="minorEastAsia" w:hAnsi="Tahoma" w:cstheme="minorBidi"/>
        </w:rPr>
        <w:t xml:space="preserve">Under the </w:t>
      </w:r>
      <w:r w:rsidR="00083C14" w:rsidRPr="7ECD763C">
        <w:rPr>
          <w:rFonts w:ascii="Tahoma" w:eastAsiaTheme="minorEastAsia" w:hAnsi="Tahoma" w:cstheme="minorBidi"/>
          <w:i/>
          <w:iCs/>
        </w:rPr>
        <w:t xml:space="preserve">regulatory maximum level exposure assessment </w:t>
      </w:r>
      <w:r w:rsidRPr="7ECD763C">
        <w:rPr>
          <w:rFonts w:ascii="Tahoma" w:eastAsiaTheme="minorEastAsia" w:hAnsi="Tahoma" w:cstheme="minorBidi"/>
        </w:rPr>
        <w:t xml:space="preserve">scenario, all FoodEx2 codes </w:t>
      </w:r>
      <w:r w:rsidR="4244E52B" w:rsidRPr="7ECD763C">
        <w:rPr>
          <w:rFonts w:ascii="Tahoma" w:eastAsiaTheme="minorEastAsia" w:hAnsi="Tahoma" w:cstheme="minorBidi"/>
        </w:rPr>
        <w:t xml:space="preserve">belonging to an authorised food category </w:t>
      </w:r>
      <w:r w:rsidRPr="7ECD763C">
        <w:rPr>
          <w:rFonts w:ascii="Tahoma" w:eastAsiaTheme="minorEastAsia" w:hAnsi="Tahoma" w:cstheme="minorBidi"/>
        </w:rPr>
        <w:t xml:space="preserve">will be assumed to contain </w:t>
      </w:r>
      <w:r w:rsidR="41C0B309" w:rsidRPr="7ECD763C">
        <w:rPr>
          <w:rFonts w:ascii="Tahoma" w:eastAsiaTheme="minorEastAsia" w:hAnsi="Tahoma" w:cstheme="minorBidi"/>
        </w:rPr>
        <w:t>the</w:t>
      </w:r>
      <w:r w:rsidRPr="7ECD763C">
        <w:rPr>
          <w:rFonts w:ascii="Tahoma" w:eastAsiaTheme="minorEastAsia" w:hAnsi="Tahoma" w:cstheme="minorBidi"/>
        </w:rPr>
        <w:t xml:space="preserve"> sweetener, unless </w:t>
      </w:r>
      <w:r w:rsidR="14CA2AFC" w:rsidRPr="7ECD763C">
        <w:rPr>
          <w:rFonts w:ascii="Tahoma" w:eastAsiaTheme="minorEastAsia" w:hAnsi="Tahoma" w:cstheme="minorBidi"/>
        </w:rPr>
        <w:t xml:space="preserve">Annex II to </w:t>
      </w:r>
      <w:r w:rsidRPr="7ECD763C">
        <w:rPr>
          <w:rFonts w:ascii="Tahoma" w:eastAsiaTheme="minorEastAsia" w:hAnsi="Tahoma" w:cstheme="minorBidi"/>
        </w:rPr>
        <w:t>Regulation N</w:t>
      </w:r>
      <w:r w:rsidR="00F1391E" w:rsidRPr="7ECD763C">
        <w:rPr>
          <w:rFonts w:ascii="Tahoma" w:eastAsiaTheme="minorEastAsia" w:hAnsi="Tahoma" w:cstheme="minorBidi"/>
        </w:rPr>
        <w:t xml:space="preserve">o </w:t>
      </w:r>
      <w:r w:rsidRPr="7ECD763C">
        <w:rPr>
          <w:rFonts w:ascii="Tahoma" w:eastAsiaTheme="minorEastAsia" w:hAnsi="Tahoma" w:cstheme="minorBidi"/>
        </w:rPr>
        <w:t>1333/2008</w:t>
      </w:r>
      <w:r w:rsidR="366BD1DE" w:rsidRPr="7ECD763C">
        <w:rPr>
          <w:rFonts w:ascii="Tahoma" w:eastAsiaTheme="minorEastAsia" w:hAnsi="Tahoma" w:cstheme="minorBidi"/>
        </w:rPr>
        <w:t xml:space="preserve"> </w:t>
      </w:r>
      <w:r w:rsidRPr="7ECD763C">
        <w:rPr>
          <w:rFonts w:ascii="Tahoma" w:eastAsiaTheme="minorEastAsia" w:hAnsi="Tahoma" w:cstheme="minorBidi"/>
        </w:rPr>
        <w:t>indicat</w:t>
      </w:r>
      <w:r w:rsidR="00D53A39" w:rsidRPr="7ECD763C">
        <w:rPr>
          <w:rFonts w:ascii="Tahoma" w:eastAsiaTheme="minorEastAsia" w:hAnsi="Tahoma" w:cstheme="minorBidi"/>
        </w:rPr>
        <w:t>es</w:t>
      </w:r>
      <w:r w:rsidRPr="7ECD763C">
        <w:rPr>
          <w:rFonts w:ascii="Tahoma" w:eastAsiaTheme="minorEastAsia" w:hAnsi="Tahoma" w:cstheme="minorBidi"/>
        </w:rPr>
        <w:t xml:space="preserve"> that </w:t>
      </w:r>
      <w:r w:rsidR="497E889D" w:rsidRPr="7ECD763C">
        <w:rPr>
          <w:rFonts w:ascii="Tahoma" w:eastAsiaTheme="minorEastAsia" w:hAnsi="Tahoma" w:cstheme="minorBidi"/>
        </w:rPr>
        <w:t xml:space="preserve">the </w:t>
      </w:r>
      <w:r w:rsidRPr="7ECD763C">
        <w:rPr>
          <w:rFonts w:ascii="Tahoma" w:eastAsiaTheme="minorEastAsia" w:hAnsi="Tahoma" w:cstheme="minorBidi"/>
        </w:rPr>
        <w:t xml:space="preserve">sweetener can </w:t>
      </w:r>
      <w:r w:rsidR="4FD5CAAA" w:rsidRPr="7ECD763C">
        <w:rPr>
          <w:rFonts w:ascii="Tahoma" w:eastAsiaTheme="minorEastAsia" w:hAnsi="Tahoma" w:cstheme="minorBidi"/>
        </w:rPr>
        <w:t xml:space="preserve">only </w:t>
      </w:r>
      <w:r w:rsidRPr="7ECD763C">
        <w:rPr>
          <w:rFonts w:ascii="Tahoma" w:eastAsiaTheme="minorEastAsia" w:hAnsi="Tahoma" w:cstheme="minorBidi"/>
        </w:rPr>
        <w:t>be added under specific restrictions/exceptions</w:t>
      </w:r>
      <w:r w:rsidR="10829DC7" w:rsidRPr="7ECD763C">
        <w:rPr>
          <w:rFonts w:ascii="Tahoma" w:eastAsiaTheme="minorEastAsia" w:hAnsi="Tahoma" w:cstheme="minorBidi"/>
        </w:rPr>
        <w:t>,</w:t>
      </w:r>
      <w:r w:rsidRPr="7ECD763C">
        <w:rPr>
          <w:rFonts w:ascii="Tahoma" w:eastAsiaTheme="minorEastAsia" w:hAnsi="Tahoma" w:cstheme="minorBidi"/>
        </w:rPr>
        <w:t xml:space="preserve"> e.g. “only energy reduced or with no added sugar”. In th</w:t>
      </w:r>
      <w:r w:rsidR="6F7EF590" w:rsidRPr="7ECD763C">
        <w:rPr>
          <w:rFonts w:ascii="Tahoma" w:eastAsiaTheme="minorEastAsia" w:hAnsi="Tahoma" w:cstheme="minorBidi"/>
        </w:rPr>
        <w:t>at</w:t>
      </w:r>
      <w:r w:rsidRPr="7ECD763C">
        <w:rPr>
          <w:rFonts w:ascii="Tahoma" w:eastAsiaTheme="minorEastAsia" w:hAnsi="Tahoma" w:cstheme="minorBidi"/>
        </w:rPr>
        <w:t xml:space="preserve"> case</w:t>
      </w:r>
      <w:r w:rsidR="00ED6D77" w:rsidRPr="7ECD763C">
        <w:rPr>
          <w:rFonts w:ascii="Tahoma" w:eastAsiaTheme="minorEastAsia" w:hAnsi="Tahoma" w:cstheme="minorBidi"/>
        </w:rPr>
        <w:t xml:space="preserve">, the food selection approach </w:t>
      </w:r>
      <w:r w:rsidR="25AB0E05" w:rsidRPr="5EC9CA25">
        <w:rPr>
          <w:rFonts w:ascii="Tahoma" w:eastAsiaTheme="minorEastAsia" w:hAnsi="Tahoma" w:cstheme="minorBidi"/>
        </w:rPr>
        <w:t>based on facets</w:t>
      </w:r>
      <w:r w:rsidR="6BB75F18" w:rsidRPr="5EC9CA25">
        <w:rPr>
          <w:rFonts w:ascii="Tahoma" w:eastAsiaTheme="minorEastAsia" w:hAnsi="Tahoma" w:cstheme="minorBidi"/>
        </w:rPr>
        <w:t xml:space="preserve"> </w:t>
      </w:r>
      <w:r w:rsidR="00ED6D77" w:rsidRPr="7ECD763C">
        <w:rPr>
          <w:rFonts w:ascii="Tahoma" w:eastAsiaTheme="minorEastAsia" w:hAnsi="Tahoma" w:cstheme="minorBidi"/>
        </w:rPr>
        <w:t xml:space="preserve">described in section </w:t>
      </w:r>
      <w:r w:rsidR="00EC77C5" w:rsidRPr="7ECD763C">
        <w:rPr>
          <w:rFonts w:ascii="Tahoma" w:eastAsiaTheme="minorEastAsia" w:hAnsi="Tahoma" w:cstheme="minorBidi"/>
        </w:rPr>
        <w:t>5</w:t>
      </w:r>
      <w:r w:rsidR="00ED6D77" w:rsidRPr="7ECD763C">
        <w:rPr>
          <w:rFonts w:ascii="Tahoma" w:eastAsiaTheme="minorEastAsia" w:hAnsi="Tahoma" w:cstheme="minorBidi"/>
        </w:rPr>
        <w:t>.2.</w:t>
      </w:r>
      <w:r w:rsidR="00C2721C" w:rsidRPr="7ECD763C">
        <w:rPr>
          <w:rFonts w:ascii="Tahoma" w:eastAsiaTheme="minorEastAsia" w:hAnsi="Tahoma" w:cstheme="minorBidi"/>
        </w:rPr>
        <w:t>2</w:t>
      </w:r>
      <w:r w:rsidR="00ED6D77" w:rsidRPr="7ECD763C">
        <w:rPr>
          <w:rFonts w:ascii="Tahoma" w:eastAsiaTheme="minorEastAsia" w:hAnsi="Tahoma" w:cstheme="minorBidi"/>
        </w:rPr>
        <w:t xml:space="preserve"> applies.</w:t>
      </w:r>
      <w:r w:rsidRPr="7ECD763C">
        <w:rPr>
          <w:rFonts w:ascii="Tahoma" w:eastAsiaTheme="minorEastAsia" w:hAnsi="Tahoma" w:cstheme="minorBidi"/>
        </w:rPr>
        <w:t xml:space="preserve"> </w:t>
      </w:r>
    </w:p>
    <w:bookmarkEnd w:id="47"/>
    <w:p w14:paraId="4A7058CC" w14:textId="486D9D76" w:rsidR="00A00E6D" w:rsidRDefault="006242A3" w:rsidP="00A00E6D">
      <w:pPr>
        <w:pStyle w:val="EFSABodytext"/>
      </w:pPr>
      <w:r w:rsidRPr="00D969AC">
        <w:t>F</w:t>
      </w:r>
      <w:r w:rsidR="00A00E6D" w:rsidRPr="00D969AC">
        <w:t>o</w:t>
      </w:r>
      <w:r w:rsidR="00A00E6D">
        <w:t xml:space="preserve">r </w:t>
      </w:r>
      <w:r w:rsidR="44FB1AC8">
        <w:t>sweeteners</w:t>
      </w:r>
      <w:r w:rsidR="00A00E6D">
        <w:t xml:space="preserve"> authorised according to </w:t>
      </w:r>
      <w:r w:rsidR="00AC25CC" w:rsidRPr="7ECD763C">
        <w:rPr>
          <w:i/>
          <w:iCs/>
        </w:rPr>
        <w:t xml:space="preserve">quantum </w:t>
      </w:r>
      <w:proofErr w:type="spellStart"/>
      <w:r w:rsidR="00AC25CC" w:rsidRPr="7ECD763C">
        <w:rPr>
          <w:i/>
          <w:iCs/>
        </w:rPr>
        <w:t>satis</w:t>
      </w:r>
      <w:proofErr w:type="spellEnd"/>
      <w:r w:rsidR="00AC25CC">
        <w:t xml:space="preserve"> (QS)</w:t>
      </w:r>
      <w:r w:rsidR="00A00E6D">
        <w:t xml:space="preserve"> in all or part of the food categories, a </w:t>
      </w:r>
      <w:r w:rsidR="00A00E6D" w:rsidRPr="7ECD763C">
        <w:rPr>
          <w:i/>
          <w:iCs/>
        </w:rPr>
        <w:t>maximum level exposure assessment scenario</w:t>
      </w:r>
      <w:r w:rsidR="00A00E6D">
        <w:t xml:space="preserve"> </w:t>
      </w:r>
      <w:r w:rsidR="005B5E71">
        <w:t xml:space="preserve">will be </w:t>
      </w:r>
      <w:r w:rsidR="00A00E6D">
        <w:t xml:space="preserve">performed based on the maximum reported use levels provided by industry or </w:t>
      </w:r>
      <w:r w:rsidR="00927CB6">
        <w:t xml:space="preserve">on the </w:t>
      </w:r>
      <w:r w:rsidR="00A00E6D">
        <w:t xml:space="preserve">highest </w:t>
      </w:r>
      <w:r w:rsidR="00B97CDF">
        <w:t xml:space="preserve">reliable </w:t>
      </w:r>
      <w:r w:rsidR="00A00E6D">
        <w:t>percentile different from the maximum (depending of the number of observations</w:t>
      </w:r>
      <w:r w:rsidR="00713A84">
        <w:rPr>
          <w:rStyle w:val="FootnoteReference"/>
        </w:rPr>
        <w:footnoteReference w:id="14"/>
      </w:r>
      <w:r w:rsidR="00A00E6D">
        <w:t>) of analytical data provided by M</w:t>
      </w:r>
      <w:r w:rsidR="000A1D2B">
        <w:t xml:space="preserve">ember </w:t>
      </w:r>
      <w:r w:rsidR="00A00E6D">
        <w:t>S</w:t>
      </w:r>
      <w:r w:rsidR="000A1D2B">
        <w:t>tate</w:t>
      </w:r>
      <w:r w:rsidR="00A00E6D">
        <w:t>s</w:t>
      </w:r>
      <w:r w:rsidR="000A1D2B">
        <w:t xml:space="preserve"> (MSs)</w:t>
      </w:r>
      <w:r w:rsidR="00596532">
        <w:t>,</w:t>
      </w:r>
      <w:r w:rsidR="00A00E6D">
        <w:t xml:space="preserve"> whichever is highest or available</w:t>
      </w:r>
      <w:r w:rsidR="00B27905">
        <w:t>, as described in the EFSA Conceptual framework (EFSA ANS Panel, 2014)</w:t>
      </w:r>
      <w:r w:rsidR="00A00E6D">
        <w:t>. Food categories authorised at QS and for which us</w:t>
      </w:r>
      <w:r w:rsidR="00764945">
        <w:t>e</w:t>
      </w:r>
      <w:r w:rsidR="00A00E6D">
        <w:t xml:space="preserve"> </w:t>
      </w:r>
      <w:r w:rsidR="209D2C9A">
        <w:t xml:space="preserve">levels </w:t>
      </w:r>
      <w:r w:rsidR="00A00E6D">
        <w:t>or analytical data are not available or adequate</w:t>
      </w:r>
      <w:r w:rsidR="0084389A">
        <w:t xml:space="preserve"> (e.g. unreliable analytical methods)</w:t>
      </w:r>
      <w:r w:rsidR="00A00E6D">
        <w:t xml:space="preserve"> are not considered in this scenario. </w:t>
      </w:r>
    </w:p>
    <w:p w14:paraId="22E38D39" w14:textId="77777777" w:rsidR="0080794C" w:rsidRDefault="00A00E6D" w:rsidP="0080794C">
      <w:pPr>
        <w:pStyle w:val="EFSABodytext"/>
      </w:pPr>
      <w:r>
        <w:t xml:space="preserve">The exposure estimates derived following this scenario </w:t>
      </w:r>
      <w:r w:rsidR="00A30F9C">
        <w:t xml:space="preserve">are based on the </w:t>
      </w:r>
      <w:r>
        <w:t>assum</w:t>
      </w:r>
      <w:r w:rsidR="00A30F9C">
        <w:t>ptio</w:t>
      </w:r>
      <w:r w:rsidR="00B66801">
        <w:t>n</w:t>
      </w:r>
      <w:r>
        <w:t xml:space="preserve"> that the population group will be exposed to a </w:t>
      </w:r>
      <w:r w:rsidR="00FA2F5D">
        <w:t>sweetener</w:t>
      </w:r>
      <w:r>
        <w:t xml:space="preserve"> present in food at the MPL</w:t>
      </w:r>
      <w:r w:rsidR="3AE4239D">
        <w:t>,</w:t>
      </w:r>
      <w:r>
        <w:t xml:space="preserve"> or maximum reported use</w:t>
      </w:r>
      <w:r w:rsidR="00CE3204">
        <w:t xml:space="preserve"> level or the highest reliable percentile different from the maximum of the</w:t>
      </w:r>
      <w:r w:rsidR="00CB22A9">
        <w:t xml:space="preserve"> </w:t>
      </w:r>
      <w:r w:rsidR="00FA2F5D">
        <w:t>analytical</w:t>
      </w:r>
      <w:r>
        <w:t xml:space="preserve"> level in case of QS authorisation, over a long period of time. </w:t>
      </w:r>
    </w:p>
    <w:p w14:paraId="72D921F1" w14:textId="24210C5A" w:rsidR="0080794C" w:rsidRDefault="0080794C" w:rsidP="0080794C">
      <w:pPr>
        <w:pStyle w:val="EFSABodytext"/>
      </w:pPr>
      <w:r>
        <w:t xml:space="preserve">The </w:t>
      </w:r>
      <w:r w:rsidRPr="7ECD763C">
        <w:rPr>
          <w:i/>
          <w:iCs/>
        </w:rPr>
        <w:t>regulatory maximum level exposure assessment scenario</w:t>
      </w:r>
      <w:r>
        <w:t xml:space="preserve"> is the only scenario which will not be influenced by future changes of sweetener use in the market.</w:t>
      </w:r>
    </w:p>
    <w:p w14:paraId="1D2EC62B" w14:textId="0EF802B4" w:rsidR="00DD5A85" w:rsidRDefault="00DD5A85" w:rsidP="00A00E6D">
      <w:pPr>
        <w:pStyle w:val="EFSABodytext"/>
      </w:pPr>
    </w:p>
    <w:p w14:paraId="788D215C" w14:textId="27F840F0" w:rsidR="00A00E6D" w:rsidRDefault="00A00E6D" w:rsidP="00A00E6D">
      <w:pPr>
        <w:pStyle w:val="EFSAHeading4"/>
      </w:pPr>
      <w:bookmarkStart w:id="48" w:name="_Toc181606792"/>
      <w:r w:rsidRPr="00A00E6D">
        <w:t>Refined exposure assessment scenario</w:t>
      </w:r>
      <w:bookmarkEnd w:id="48"/>
      <w:r w:rsidRPr="00A00E6D">
        <w:t xml:space="preserve"> </w:t>
      </w:r>
    </w:p>
    <w:p w14:paraId="1FE831EE" w14:textId="18C96483" w:rsidR="00C06116" w:rsidRDefault="00A00E6D" w:rsidP="008F2315">
      <w:pPr>
        <w:pStyle w:val="EFSAListnumbered"/>
        <w:numPr>
          <w:ilvl w:val="0"/>
          <w:numId w:val="0"/>
        </w:numPr>
        <w:jc w:val="both"/>
        <w:rPr>
          <w:rFonts w:eastAsia="Calibri"/>
        </w:rPr>
      </w:pPr>
      <w:r w:rsidRPr="7ECD763C">
        <w:rPr>
          <w:rFonts w:eastAsia="Calibri"/>
        </w:rPr>
        <w:t xml:space="preserve">The </w:t>
      </w:r>
      <w:r w:rsidRPr="7ECD763C">
        <w:rPr>
          <w:i/>
          <w:iCs/>
        </w:rPr>
        <w:t>refined exposure assessment scenario</w:t>
      </w:r>
      <w:r w:rsidRPr="7ECD763C">
        <w:rPr>
          <w:rFonts w:eastAsia="Calibri"/>
        </w:rPr>
        <w:t xml:space="preserve"> is based on information on </w:t>
      </w:r>
      <w:r w:rsidR="0F10C3B9" w:rsidRPr="5EC9CA25">
        <w:rPr>
          <w:rFonts w:eastAsia="Calibri"/>
        </w:rPr>
        <w:t xml:space="preserve">reported </w:t>
      </w:r>
      <w:r w:rsidRPr="7ECD763C">
        <w:rPr>
          <w:rFonts w:eastAsia="Calibri"/>
        </w:rPr>
        <w:t>use levels and/or analytical data</w:t>
      </w:r>
      <w:r w:rsidR="00EC77C5" w:rsidRPr="7ECD763C">
        <w:rPr>
          <w:rFonts w:eastAsia="Calibri"/>
        </w:rPr>
        <w:t>,</w:t>
      </w:r>
      <w:r w:rsidRPr="7ECD763C">
        <w:rPr>
          <w:rFonts w:eastAsia="Calibri"/>
        </w:rPr>
        <w:t xml:space="preserve"> and can only be carried out if sufficient and adequate data have been reported. The refined scenario should be performed taking into account the authorised food categories according to Annex II</w:t>
      </w:r>
      <w:r w:rsidR="00551589" w:rsidRPr="7ECD763C">
        <w:rPr>
          <w:rFonts w:eastAsia="Calibri"/>
        </w:rPr>
        <w:t>, Part E,</w:t>
      </w:r>
      <w:r w:rsidRPr="7ECD763C">
        <w:rPr>
          <w:rFonts w:eastAsia="Calibri"/>
        </w:rPr>
        <w:t xml:space="preserve"> to Regulation No 1333/2008. </w:t>
      </w:r>
    </w:p>
    <w:p w14:paraId="33FB77EF" w14:textId="253FB1F3" w:rsidR="00BB0425" w:rsidRDefault="00C06116" w:rsidP="57429C42">
      <w:pPr>
        <w:pStyle w:val="EFSAListnumbered"/>
        <w:numPr>
          <w:ilvl w:val="0"/>
          <w:numId w:val="0"/>
        </w:numPr>
        <w:jc w:val="both"/>
        <w:rPr>
          <w:rFonts w:eastAsia="Calibri"/>
          <w:color w:val="0070C0"/>
        </w:rPr>
      </w:pPr>
      <w:r w:rsidRPr="004C4804">
        <w:rPr>
          <w:rFonts w:eastAsia="Calibri"/>
          <w:color w:val="0070C0"/>
        </w:rPr>
        <w:t xml:space="preserve">Regarding intense </w:t>
      </w:r>
      <w:r w:rsidRPr="00875F95">
        <w:rPr>
          <w:rFonts w:eastAsia="Calibri"/>
          <w:color w:val="0070C0"/>
        </w:rPr>
        <w:t xml:space="preserve">sweeteners, </w:t>
      </w:r>
      <w:r w:rsidR="001C30F9" w:rsidRPr="00875F95">
        <w:rPr>
          <w:rFonts w:eastAsia="Calibri"/>
          <w:color w:val="0070C0"/>
        </w:rPr>
        <w:t xml:space="preserve">the facets </w:t>
      </w:r>
      <w:r w:rsidR="009E2F9D" w:rsidRPr="00875F95">
        <w:rPr>
          <w:rFonts w:eastAsia="Calibri"/>
          <w:color w:val="0070C0"/>
        </w:rPr>
        <w:t>will be considered in the</w:t>
      </w:r>
      <w:r w:rsidR="00882304" w:rsidRPr="00875F95">
        <w:rPr>
          <w:rFonts w:eastAsia="Calibri"/>
          <w:color w:val="0070C0"/>
        </w:rPr>
        <w:t xml:space="preserve"> refined</w:t>
      </w:r>
      <w:r w:rsidR="009E2F9D" w:rsidRPr="00875F95">
        <w:rPr>
          <w:rFonts w:eastAsia="Calibri"/>
          <w:color w:val="0070C0"/>
        </w:rPr>
        <w:t xml:space="preserve"> exposure assessmen</w:t>
      </w:r>
      <w:r w:rsidR="00882304" w:rsidRPr="00875F95">
        <w:rPr>
          <w:rFonts w:eastAsia="Calibri"/>
          <w:color w:val="0070C0"/>
        </w:rPr>
        <w:t>t</w:t>
      </w:r>
      <w:r w:rsidR="009E2F9D" w:rsidRPr="00875F95">
        <w:rPr>
          <w:rFonts w:eastAsia="Calibri"/>
          <w:color w:val="0070C0"/>
        </w:rPr>
        <w:t xml:space="preserve"> </w:t>
      </w:r>
      <w:r w:rsidR="00882304" w:rsidRPr="00875F95">
        <w:rPr>
          <w:rFonts w:eastAsia="Calibri"/>
          <w:color w:val="0070C0"/>
        </w:rPr>
        <w:t xml:space="preserve">as described </w:t>
      </w:r>
      <w:r w:rsidR="009B0F05" w:rsidRPr="00875F95">
        <w:rPr>
          <w:rFonts w:eastAsia="Calibri"/>
          <w:color w:val="0070C0"/>
        </w:rPr>
        <w:t>in section 5.2.2</w:t>
      </w:r>
      <w:r w:rsidR="00822A80" w:rsidRPr="00875F95">
        <w:rPr>
          <w:rFonts w:eastAsia="Calibri"/>
          <w:color w:val="0070C0"/>
        </w:rPr>
        <w:t>.</w:t>
      </w:r>
      <w:r w:rsidRPr="00875F95">
        <w:rPr>
          <w:rFonts w:eastAsia="Calibri"/>
          <w:color w:val="0070C0"/>
        </w:rPr>
        <w:t xml:space="preserve"> For the polyols, facets will </w:t>
      </w:r>
      <w:r w:rsidR="3A886389" w:rsidRPr="00875F95">
        <w:rPr>
          <w:rFonts w:eastAsia="Calibri"/>
          <w:color w:val="0070C0"/>
        </w:rPr>
        <w:t xml:space="preserve">only </w:t>
      </w:r>
      <w:r w:rsidR="003E3BD5" w:rsidRPr="00875F95">
        <w:rPr>
          <w:rFonts w:eastAsia="Calibri"/>
          <w:color w:val="0070C0"/>
        </w:rPr>
        <w:t xml:space="preserve">be considered for </w:t>
      </w:r>
      <w:r w:rsidR="00DE1E96" w:rsidRPr="00875F95">
        <w:rPr>
          <w:rFonts w:eastAsia="Calibri"/>
          <w:color w:val="0070C0"/>
        </w:rPr>
        <w:t xml:space="preserve">food categories </w:t>
      </w:r>
      <w:r w:rsidR="003E3BD5" w:rsidRPr="00875F95">
        <w:rPr>
          <w:rFonts w:eastAsia="Calibri"/>
          <w:color w:val="0070C0"/>
        </w:rPr>
        <w:t>w</w:t>
      </w:r>
      <w:r w:rsidR="00AB74E4" w:rsidRPr="00875F95">
        <w:rPr>
          <w:rFonts w:eastAsia="Calibri"/>
          <w:color w:val="0070C0"/>
        </w:rPr>
        <w:t>ith</w:t>
      </w:r>
      <w:r w:rsidR="00DE1E96" w:rsidRPr="00875F95">
        <w:rPr>
          <w:rFonts w:eastAsia="Calibri"/>
          <w:color w:val="0070C0"/>
        </w:rPr>
        <w:t xml:space="preserve"> </w:t>
      </w:r>
      <w:r w:rsidR="00726818" w:rsidRPr="00875F95">
        <w:rPr>
          <w:rFonts w:eastAsia="Calibri"/>
          <w:color w:val="0070C0"/>
        </w:rPr>
        <w:t xml:space="preserve">the restriction/exception </w:t>
      </w:r>
      <w:r w:rsidR="00E5265B">
        <w:rPr>
          <w:rFonts w:eastAsia="Calibri"/>
          <w:color w:val="0070C0"/>
        </w:rPr>
        <w:t>“</w:t>
      </w:r>
      <w:r w:rsidR="00726818" w:rsidRPr="00875F95">
        <w:rPr>
          <w:rFonts w:eastAsia="Calibri"/>
          <w:color w:val="0070C0"/>
        </w:rPr>
        <w:t xml:space="preserve">only energy-reduced or with no added sugar”, as for the </w:t>
      </w:r>
      <w:r w:rsidR="002851BD" w:rsidRPr="00EF11D0">
        <w:rPr>
          <w:i/>
          <w:iCs/>
          <w:color w:val="0070C0"/>
        </w:rPr>
        <w:t>regulatory maximum level exposure assessment scenario</w:t>
      </w:r>
      <w:r w:rsidR="001453C8" w:rsidRPr="00875F95">
        <w:rPr>
          <w:color w:val="0070C0"/>
        </w:rPr>
        <w:t xml:space="preserve"> (see section 5.2.3.1</w:t>
      </w:r>
      <w:r w:rsidR="00BB0425">
        <w:rPr>
          <w:color w:val="0070C0"/>
        </w:rPr>
        <w:t xml:space="preserve"> and </w:t>
      </w:r>
      <w:r w:rsidR="00560EAB">
        <w:rPr>
          <w:color w:val="0070C0"/>
        </w:rPr>
        <w:t>T</w:t>
      </w:r>
      <w:r w:rsidR="00BB0425">
        <w:rPr>
          <w:color w:val="0070C0"/>
        </w:rPr>
        <w:t xml:space="preserve">able </w:t>
      </w:r>
      <w:r w:rsidR="001E5133">
        <w:rPr>
          <w:color w:val="0070C0"/>
        </w:rPr>
        <w:t>2</w:t>
      </w:r>
      <w:r w:rsidR="00560EAB">
        <w:rPr>
          <w:color w:val="0070C0"/>
        </w:rPr>
        <w:t xml:space="preserve"> </w:t>
      </w:r>
      <w:r w:rsidR="00BB0425">
        <w:rPr>
          <w:color w:val="0070C0"/>
        </w:rPr>
        <w:t>below</w:t>
      </w:r>
      <w:r w:rsidR="001453C8" w:rsidRPr="00875F95">
        <w:rPr>
          <w:color w:val="0070C0"/>
        </w:rPr>
        <w:t>)</w:t>
      </w:r>
      <w:r w:rsidR="00D4078A" w:rsidRPr="00875F95">
        <w:rPr>
          <w:color w:val="0070C0"/>
        </w:rPr>
        <w:t>.</w:t>
      </w:r>
      <w:r w:rsidR="00027239" w:rsidRPr="00875F95">
        <w:rPr>
          <w:color w:val="0070C0"/>
        </w:rPr>
        <w:t xml:space="preserve"> </w:t>
      </w:r>
      <w:r w:rsidR="00337EA0" w:rsidRPr="00875F95">
        <w:rPr>
          <w:color w:val="0070C0"/>
        </w:rPr>
        <w:t>The r</w:t>
      </w:r>
      <w:r w:rsidR="00373437" w:rsidRPr="00875F95">
        <w:rPr>
          <w:color w:val="0070C0"/>
        </w:rPr>
        <w:t xml:space="preserve">eason for a different approach is that </w:t>
      </w:r>
      <w:r w:rsidR="00337EA0" w:rsidRPr="00875F95">
        <w:rPr>
          <w:color w:val="0070C0"/>
        </w:rPr>
        <w:t>p</w:t>
      </w:r>
      <w:r w:rsidR="00BB2544" w:rsidRPr="004C4804">
        <w:rPr>
          <w:color w:val="0070C0"/>
        </w:rPr>
        <w:t xml:space="preserve">olyols </w:t>
      </w:r>
      <w:r w:rsidR="00337EA0" w:rsidRPr="004C4804">
        <w:rPr>
          <w:color w:val="0070C0"/>
        </w:rPr>
        <w:t>may</w:t>
      </w:r>
      <w:r w:rsidR="000B5F12" w:rsidRPr="004C4804">
        <w:rPr>
          <w:color w:val="0070C0"/>
        </w:rPr>
        <w:t xml:space="preserve"> also be </w:t>
      </w:r>
      <w:r w:rsidR="00337EA0" w:rsidRPr="004C4804">
        <w:rPr>
          <w:color w:val="0070C0"/>
        </w:rPr>
        <w:t>added</w:t>
      </w:r>
      <w:r w:rsidR="000B5F12" w:rsidRPr="004C4804">
        <w:rPr>
          <w:color w:val="0070C0"/>
        </w:rPr>
        <w:t xml:space="preserve"> </w:t>
      </w:r>
      <w:r w:rsidR="00065D44" w:rsidRPr="004C4804">
        <w:rPr>
          <w:color w:val="0070C0"/>
        </w:rPr>
        <w:t xml:space="preserve">for </w:t>
      </w:r>
      <w:r w:rsidR="0071239F" w:rsidRPr="004C4804">
        <w:rPr>
          <w:color w:val="0070C0"/>
        </w:rPr>
        <w:t>purpose</w:t>
      </w:r>
      <w:r w:rsidR="00337EA0" w:rsidRPr="004C4804">
        <w:rPr>
          <w:color w:val="0070C0"/>
        </w:rPr>
        <w:t>s</w:t>
      </w:r>
      <w:r w:rsidR="0071239F" w:rsidRPr="004C4804">
        <w:rPr>
          <w:color w:val="0070C0"/>
        </w:rPr>
        <w:t xml:space="preserve"> other than </w:t>
      </w:r>
      <w:r w:rsidR="0071239F" w:rsidRPr="00E9251F">
        <w:rPr>
          <w:color w:val="0070C0"/>
        </w:rPr>
        <w:t xml:space="preserve">sweetening </w:t>
      </w:r>
      <w:r w:rsidR="00871AF2" w:rsidRPr="00E9251F">
        <w:rPr>
          <w:color w:val="0070C0"/>
        </w:rPr>
        <w:t>(</w:t>
      </w:r>
      <w:r w:rsidR="00337EA0" w:rsidRPr="00E9251F">
        <w:rPr>
          <w:color w:val="0070C0"/>
        </w:rPr>
        <w:t xml:space="preserve">see section </w:t>
      </w:r>
      <w:r w:rsidR="00337EA0" w:rsidRPr="00BB0425">
        <w:rPr>
          <w:color w:val="0070C0"/>
        </w:rPr>
        <w:t>4</w:t>
      </w:r>
      <w:r w:rsidR="00F35955" w:rsidRPr="00E9251F">
        <w:rPr>
          <w:rFonts w:eastAsia="Calibri"/>
          <w:color w:val="0070C0"/>
        </w:rPr>
        <w:t>)</w:t>
      </w:r>
      <w:r w:rsidR="000409CC" w:rsidRPr="00E9251F">
        <w:rPr>
          <w:rFonts w:eastAsia="Calibri"/>
          <w:color w:val="0070C0"/>
        </w:rPr>
        <w:t>.</w:t>
      </w:r>
      <w:r w:rsidR="000409CC" w:rsidRPr="004C4804">
        <w:rPr>
          <w:rFonts w:eastAsia="Calibri"/>
          <w:color w:val="0070C0"/>
        </w:rPr>
        <w:t xml:space="preserve"> </w:t>
      </w:r>
    </w:p>
    <w:p w14:paraId="2D5C5B8F" w14:textId="6A1672F4" w:rsidR="0074505D" w:rsidRDefault="0074505D" w:rsidP="008F2315">
      <w:pPr>
        <w:pStyle w:val="EFSAListnumbered"/>
        <w:numPr>
          <w:ilvl w:val="0"/>
          <w:numId w:val="0"/>
        </w:numPr>
        <w:jc w:val="both"/>
        <w:rPr>
          <w:rFonts w:eastAsia="Calibri"/>
          <w:color w:val="0070C0"/>
        </w:rPr>
      </w:pPr>
    </w:p>
    <w:p w14:paraId="5945AECC" w14:textId="6BD1DE12" w:rsidR="00A00E6D" w:rsidRPr="008F2315" w:rsidRDefault="008F2315" w:rsidP="008F2315">
      <w:pPr>
        <w:pStyle w:val="EFSAListnumbered"/>
        <w:numPr>
          <w:ilvl w:val="0"/>
          <w:numId w:val="0"/>
        </w:numPr>
        <w:jc w:val="both"/>
        <w:rPr>
          <w:rFonts w:eastAsia="Calibri"/>
        </w:rPr>
      </w:pPr>
      <w:r w:rsidRPr="7ECD763C">
        <w:rPr>
          <w:rFonts w:eastAsia="Calibri"/>
        </w:rPr>
        <w:t xml:space="preserve">If both use </w:t>
      </w:r>
      <w:r w:rsidR="20273392" w:rsidRPr="7ECD763C">
        <w:rPr>
          <w:rFonts w:eastAsia="Calibri"/>
        </w:rPr>
        <w:t xml:space="preserve">levels </w:t>
      </w:r>
      <w:r w:rsidRPr="7ECD763C">
        <w:rPr>
          <w:rFonts w:eastAsia="Calibri"/>
        </w:rPr>
        <w:t xml:space="preserve">and analytical data are available for the same food </w:t>
      </w:r>
      <w:r w:rsidR="00C01BC9" w:rsidRPr="7ECD763C">
        <w:rPr>
          <w:rFonts w:eastAsia="Calibri"/>
        </w:rPr>
        <w:t>category</w:t>
      </w:r>
      <w:r w:rsidRPr="7ECD763C">
        <w:rPr>
          <w:rFonts w:eastAsia="Calibri"/>
        </w:rPr>
        <w:t xml:space="preserve">, the highest reliable value (based on expert judgement) for the food category under consideration </w:t>
      </w:r>
      <w:r w:rsidR="005B5E71" w:rsidRPr="7ECD763C">
        <w:rPr>
          <w:rFonts w:eastAsia="Calibri"/>
        </w:rPr>
        <w:t xml:space="preserve">will be </w:t>
      </w:r>
      <w:r w:rsidRPr="7ECD763C">
        <w:rPr>
          <w:rFonts w:eastAsia="Calibri"/>
        </w:rPr>
        <w:t>used.</w:t>
      </w:r>
    </w:p>
    <w:p w14:paraId="5A179E57" w14:textId="4EFF153C" w:rsidR="004C3615" w:rsidRPr="004C3615" w:rsidRDefault="00D9422C" w:rsidP="004C3615">
      <w:pPr>
        <w:pStyle w:val="EFSABodytext"/>
        <w:rPr>
          <w:rFonts w:eastAsia="Calibri"/>
        </w:rPr>
      </w:pPr>
      <w:r w:rsidRPr="7ECD763C">
        <w:rPr>
          <w:rFonts w:eastAsia="Calibri"/>
        </w:rPr>
        <w:t xml:space="preserve">Considering the specific food consumption patterns of foods containing sweeteners, </w:t>
      </w:r>
      <w:r w:rsidR="00D340E0" w:rsidRPr="7ECD763C">
        <w:rPr>
          <w:rFonts w:eastAsia="Calibri"/>
        </w:rPr>
        <w:t xml:space="preserve">the refined </w:t>
      </w:r>
      <w:r w:rsidRPr="7ECD763C">
        <w:rPr>
          <w:rFonts w:eastAsia="Calibri"/>
        </w:rPr>
        <w:t xml:space="preserve">exposure assessment will be based on the brand-loyalty principle. In practice, </w:t>
      </w:r>
      <w:r w:rsidR="00A00E6D" w:rsidRPr="7ECD763C">
        <w:rPr>
          <w:rFonts w:eastAsia="Calibri"/>
        </w:rPr>
        <w:t>estimate</w:t>
      </w:r>
      <w:r w:rsidR="003A2C11" w:rsidRPr="7ECD763C">
        <w:rPr>
          <w:rFonts w:eastAsia="Calibri"/>
        </w:rPr>
        <w:t>s</w:t>
      </w:r>
      <w:r w:rsidR="00A00E6D" w:rsidRPr="7ECD763C">
        <w:rPr>
          <w:rFonts w:eastAsia="Calibri"/>
        </w:rPr>
        <w:t xml:space="preserve"> </w:t>
      </w:r>
      <w:r w:rsidRPr="7ECD763C">
        <w:rPr>
          <w:rFonts w:eastAsia="Calibri"/>
        </w:rPr>
        <w:t>will be</w:t>
      </w:r>
      <w:r w:rsidR="003A2C11" w:rsidRPr="7ECD763C">
        <w:rPr>
          <w:rFonts w:eastAsia="Calibri"/>
        </w:rPr>
        <w:t xml:space="preserve"> </w:t>
      </w:r>
      <w:r w:rsidR="00A00E6D" w:rsidRPr="7ECD763C">
        <w:rPr>
          <w:rFonts w:eastAsia="Calibri"/>
        </w:rPr>
        <w:t xml:space="preserve">based on the assumption that an individual is a long-term brand-loyal consumer of one food category containing the </w:t>
      </w:r>
      <w:r w:rsidR="001D0BA2" w:rsidRPr="7ECD763C">
        <w:rPr>
          <w:rFonts w:eastAsia="Calibri"/>
        </w:rPr>
        <w:t>sweetener</w:t>
      </w:r>
      <w:r w:rsidR="00A00E6D" w:rsidRPr="7ECD763C">
        <w:rPr>
          <w:rFonts w:eastAsia="Calibri"/>
        </w:rPr>
        <w:t xml:space="preserve"> at the highest</w:t>
      </w:r>
      <w:r w:rsidR="00727E65" w:rsidRPr="7ECD763C">
        <w:rPr>
          <w:rFonts w:eastAsia="Calibri"/>
        </w:rPr>
        <w:t xml:space="preserve"> </w:t>
      </w:r>
      <w:r w:rsidR="00C97D85">
        <w:rPr>
          <w:rFonts w:eastAsia="Calibri"/>
        </w:rPr>
        <w:t xml:space="preserve">reported </w:t>
      </w:r>
      <w:r w:rsidR="00727E65" w:rsidRPr="7ECD763C">
        <w:rPr>
          <w:rFonts w:eastAsia="Calibri"/>
        </w:rPr>
        <w:t>use</w:t>
      </w:r>
      <w:r w:rsidR="00A00E6D" w:rsidRPr="7ECD763C">
        <w:rPr>
          <w:rFonts w:eastAsia="Calibri"/>
        </w:rPr>
        <w:t xml:space="preserve"> level/highest </w:t>
      </w:r>
      <w:r w:rsidR="00410192" w:rsidRPr="7ECD763C">
        <w:rPr>
          <w:rFonts w:eastAsia="Calibri"/>
        </w:rPr>
        <w:t xml:space="preserve">reliable </w:t>
      </w:r>
      <w:r w:rsidR="00A00E6D" w:rsidRPr="7ECD763C">
        <w:rPr>
          <w:rFonts w:eastAsia="Calibri"/>
        </w:rPr>
        <w:t xml:space="preserve">percentile different from the maximum level analysed and non-brand loyal to the other food categories in the diet, which contain the </w:t>
      </w:r>
      <w:r w:rsidR="001D0BA2" w:rsidRPr="7ECD763C">
        <w:rPr>
          <w:rFonts w:eastAsia="Calibri"/>
        </w:rPr>
        <w:t>sweetener</w:t>
      </w:r>
      <w:r w:rsidR="00A00E6D" w:rsidRPr="7ECD763C">
        <w:rPr>
          <w:rFonts w:eastAsia="Calibri"/>
        </w:rPr>
        <w:t xml:space="preserve"> at the mean/median of typical reported use level or analytical data.</w:t>
      </w:r>
      <w:r w:rsidR="004C3615" w:rsidRPr="7ECD763C">
        <w:rPr>
          <w:rFonts w:eastAsia="Calibri"/>
        </w:rPr>
        <w:t xml:space="preserve"> This exposure estimate will be calculated as follows: </w:t>
      </w:r>
    </w:p>
    <w:p w14:paraId="788C9AED" w14:textId="3FD3D5EF" w:rsidR="004C3615" w:rsidRDefault="009850BF" w:rsidP="004C3615">
      <w:pPr>
        <w:pStyle w:val="EFSABodytext"/>
        <w:numPr>
          <w:ilvl w:val="0"/>
          <w:numId w:val="45"/>
        </w:numPr>
        <w:ind w:left="1083" w:hanging="272"/>
        <w:rPr>
          <w:rFonts w:eastAsia="Calibri"/>
        </w:rPr>
      </w:pPr>
      <w:r w:rsidRPr="7ECD763C">
        <w:rPr>
          <w:rFonts w:eastAsia="Calibri"/>
        </w:rPr>
        <w:t>C</w:t>
      </w:r>
      <w:r w:rsidR="004C3615" w:rsidRPr="7ECD763C">
        <w:rPr>
          <w:rFonts w:eastAsia="Calibri"/>
        </w:rPr>
        <w:t xml:space="preserve">ombining </w:t>
      </w:r>
      <w:r>
        <w:t>food consumption with</w:t>
      </w:r>
      <w:r w:rsidRPr="7ECD763C">
        <w:rPr>
          <w:rFonts w:eastAsia="Calibri"/>
        </w:rPr>
        <w:t xml:space="preserve"> </w:t>
      </w:r>
      <w:r w:rsidR="004C3615" w:rsidRPr="7ECD763C">
        <w:rPr>
          <w:rFonts w:eastAsia="Calibri"/>
        </w:rPr>
        <w:t>the maximum reported use level (or highest reliable percentile different from the maximum level analysed) available</w:t>
      </w:r>
      <w:r w:rsidRPr="7ECD763C">
        <w:rPr>
          <w:rFonts w:eastAsia="Calibri"/>
        </w:rPr>
        <w:t xml:space="preserve"> for the food category having, at the individual level, the highest contribution to the total individual mean exposure,</w:t>
      </w:r>
      <w:r w:rsidR="004C3615" w:rsidRPr="7ECD763C">
        <w:rPr>
          <w:rFonts w:eastAsia="Calibri"/>
        </w:rPr>
        <w:t xml:space="preserve"> </w:t>
      </w:r>
    </w:p>
    <w:p w14:paraId="2311E623" w14:textId="7CC26A9B" w:rsidR="00A00E6D" w:rsidRPr="004C3615" w:rsidRDefault="009850BF" w:rsidP="004C3615">
      <w:pPr>
        <w:pStyle w:val="EFSABodytext"/>
        <w:numPr>
          <w:ilvl w:val="0"/>
          <w:numId w:val="45"/>
        </w:numPr>
        <w:ind w:left="1083" w:hanging="272"/>
        <w:rPr>
          <w:rFonts w:eastAsia="Calibri"/>
        </w:rPr>
      </w:pPr>
      <w:r>
        <w:rPr>
          <w:rFonts w:eastAsia="Calibri"/>
        </w:rPr>
        <w:t xml:space="preserve">Using </w:t>
      </w:r>
      <w:r w:rsidR="004C3615" w:rsidRPr="004C3615">
        <w:rPr>
          <w:rFonts w:eastAsia="Calibri"/>
        </w:rPr>
        <w:t xml:space="preserve">the </w:t>
      </w:r>
      <w:r w:rsidR="004C3615" w:rsidRPr="00137A16">
        <w:rPr>
          <w:rFonts w:eastAsia="Calibri"/>
        </w:rPr>
        <w:t>mean</w:t>
      </w:r>
      <w:r w:rsidR="004C3615" w:rsidRPr="004C3615">
        <w:rPr>
          <w:rFonts w:eastAsia="Calibri"/>
        </w:rPr>
        <w:t xml:space="preserve"> of the typical reported use levels or the </w:t>
      </w:r>
      <w:r w:rsidR="004C3615" w:rsidRPr="00137A16">
        <w:rPr>
          <w:rFonts w:eastAsia="Calibri"/>
        </w:rPr>
        <w:t>mean/median</w:t>
      </w:r>
      <w:r w:rsidR="004C3615" w:rsidRPr="004C3615">
        <w:rPr>
          <w:rFonts w:eastAsia="Calibri"/>
        </w:rPr>
        <w:t xml:space="preserve"> of analytical results </w:t>
      </w:r>
      <w:r>
        <w:rPr>
          <w:rFonts w:eastAsia="Calibri"/>
        </w:rPr>
        <w:t>f</w:t>
      </w:r>
      <w:r w:rsidRPr="004C3615">
        <w:rPr>
          <w:rFonts w:eastAsia="Calibri"/>
        </w:rPr>
        <w:t>or the remaining food categories</w:t>
      </w:r>
      <w:r>
        <w:rPr>
          <w:rFonts w:eastAsia="Calibri"/>
        </w:rPr>
        <w:t>.</w:t>
      </w:r>
    </w:p>
    <w:p w14:paraId="6290D6AD" w14:textId="71447930" w:rsidR="00A00E6D" w:rsidRDefault="00A00E6D" w:rsidP="00A00E6D">
      <w:pPr>
        <w:pStyle w:val="EFSABodytext"/>
      </w:pPr>
      <w:r>
        <w:t xml:space="preserve">As mentioned previously, food categories for which no or inadequate information regarding the use/occurrence of a </w:t>
      </w:r>
      <w:r w:rsidR="00A34FD2">
        <w:t>sweetener</w:t>
      </w:r>
      <w:r>
        <w:t xml:space="preserve"> is available (obtained from industry or </w:t>
      </w:r>
      <w:r w:rsidR="00EA01D6">
        <w:t xml:space="preserve">from </w:t>
      </w:r>
      <w:r>
        <w:t>MSs) cannot be included</w:t>
      </w:r>
      <w:r w:rsidR="4C99897D">
        <w:t xml:space="preserve"> in the refined scenario</w:t>
      </w:r>
      <w:r>
        <w:t>. Consequently, th</w:t>
      </w:r>
      <w:r w:rsidR="5B91334B">
        <w:t>is scenario</w:t>
      </w:r>
      <w:r>
        <w:t xml:space="preserve"> will be limited to those food categories for which information is available. Exclusion of food categories for which data is not available might result in underestimation of </w:t>
      </w:r>
      <w:r w:rsidR="00EA01D6">
        <w:t xml:space="preserve">the </w:t>
      </w:r>
      <w:r>
        <w:t xml:space="preserve">true exposure. </w:t>
      </w:r>
    </w:p>
    <w:p w14:paraId="69889458" w14:textId="235F057D" w:rsidR="00A00E6D" w:rsidRDefault="00A00E6D" w:rsidP="00A00E6D">
      <w:pPr>
        <w:pStyle w:val="EFSABodytext"/>
      </w:pPr>
      <w:r>
        <w:t xml:space="preserve">Overall, the </w:t>
      </w:r>
      <w:r w:rsidRPr="7ECD763C">
        <w:rPr>
          <w:i/>
          <w:iCs/>
        </w:rPr>
        <w:t>refined exposure assessment scenario</w:t>
      </w:r>
      <w:r>
        <w:t xml:space="preserve"> is suitable to calculate the most realistic exposure estimates </w:t>
      </w:r>
      <w:r w:rsidR="0B4BEE73">
        <w:t xml:space="preserve">of </w:t>
      </w:r>
      <w:r w:rsidR="00A34FD2">
        <w:t xml:space="preserve">sweeteners </w:t>
      </w:r>
      <w:r>
        <w:t>given the available data</w:t>
      </w:r>
      <w:r w:rsidR="0019500B">
        <w:t>.</w:t>
      </w:r>
      <w:r>
        <w:t xml:space="preserve"> Moreover, assigning the mean concentration of the food additive to food consumed by a given population</w:t>
      </w:r>
      <w:r w:rsidR="00537A4F">
        <w:t xml:space="preserve"> </w:t>
      </w:r>
      <w:r w:rsidR="00C2747D">
        <w:t>(</w:t>
      </w:r>
      <w:r w:rsidR="0040452B">
        <w:t>with the exception of the food category selected based on the brand-loyalty principle</w:t>
      </w:r>
      <w:r w:rsidR="00783B82">
        <w:t xml:space="preserve">, as </w:t>
      </w:r>
      <w:r w:rsidR="00252727">
        <w:t>described above</w:t>
      </w:r>
      <w:r w:rsidR="00537A4F" w:rsidRPr="7ECD763C">
        <w:rPr>
          <w:rFonts w:eastAsia="Calibri"/>
        </w:rPr>
        <w:t>)</w:t>
      </w:r>
      <w:r>
        <w:t xml:space="preserve">, is consistent with general chronic exposure approaches. </w:t>
      </w:r>
    </w:p>
    <w:p w14:paraId="6BDD689A" w14:textId="5CED3F9B" w:rsidR="00E137DF" w:rsidRDefault="00E137DF" w:rsidP="00F76107">
      <w:pPr>
        <w:pStyle w:val="EFSABodytext"/>
        <w:rPr>
          <w:color w:val="0070C0"/>
        </w:rPr>
      </w:pPr>
      <w:r w:rsidRPr="00F76107">
        <w:rPr>
          <w:color w:val="0070C0"/>
        </w:rPr>
        <w:t xml:space="preserve">As the refined exposure assessment scenario </w:t>
      </w:r>
      <w:r w:rsidR="008C75B8" w:rsidRPr="00F76107">
        <w:rPr>
          <w:color w:val="0070C0"/>
        </w:rPr>
        <w:t xml:space="preserve">may </w:t>
      </w:r>
      <w:r w:rsidRPr="00F76107">
        <w:rPr>
          <w:color w:val="0070C0"/>
        </w:rPr>
        <w:t xml:space="preserve">cover </w:t>
      </w:r>
      <w:r w:rsidR="00894E77">
        <w:rPr>
          <w:color w:val="0070C0"/>
        </w:rPr>
        <w:t>less</w:t>
      </w:r>
      <w:r w:rsidRPr="00F76107">
        <w:rPr>
          <w:color w:val="0070C0"/>
        </w:rPr>
        <w:t xml:space="preserve"> </w:t>
      </w:r>
      <w:r w:rsidR="009056AE" w:rsidRPr="00F76107">
        <w:rPr>
          <w:color w:val="0070C0"/>
        </w:rPr>
        <w:t xml:space="preserve">food </w:t>
      </w:r>
      <w:r w:rsidR="00DB7DD8" w:rsidRPr="00F76107">
        <w:rPr>
          <w:color w:val="0070C0"/>
        </w:rPr>
        <w:t>categories</w:t>
      </w:r>
      <w:r w:rsidR="009056AE" w:rsidRPr="00F76107">
        <w:rPr>
          <w:color w:val="0070C0"/>
        </w:rPr>
        <w:t xml:space="preserve"> </w:t>
      </w:r>
      <w:r w:rsidR="005F63AF" w:rsidRPr="00F76107">
        <w:rPr>
          <w:color w:val="0070C0"/>
        </w:rPr>
        <w:t xml:space="preserve">depending on the availability of the </w:t>
      </w:r>
      <w:r w:rsidR="00894E77">
        <w:rPr>
          <w:color w:val="0070C0"/>
        </w:rPr>
        <w:t xml:space="preserve">concentration </w:t>
      </w:r>
      <w:r w:rsidR="00DB7DD8" w:rsidRPr="00F76107">
        <w:rPr>
          <w:color w:val="0070C0"/>
        </w:rPr>
        <w:t>data</w:t>
      </w:r>
      <w:r w:rsidR="00423A6C" w:rsidRPr="00F76107">
        <w:rPr>
          <w:color w:val="0070C0"/>
        </w:rPr>
        <w:t xml:space="preserve"> </w:t>
      </w:r>
      <w:r w:rsidR="00921725" w:rsidRPr="00F76107">
        <w:rPr>
          <w:color w:val="0070C0"/>
        </w:rPr>
        <w:t xml:space="preserve">and </w:t>
      </w:r>
      <w:r w:rsidR="00A43A74" w:rsidRPr="00F76107">
        <w:rPr>
          <w:color w:val="0070C0"/>
        </w:rPr>
        <w:t xml:space="preserve">on </w:t>
      </w:r>
      <w:r w:rsidR="00D02A09" w:rsidRPr="00F76107">
        <w:rPr>
          <w:color w:val="0070C0"/>
        </w:rPr>
        <w:t xml:space="preserve">the use of the facets for intense sweeteners (see Table </w:t>
      </w:r>
      <w:r w:rsidR="00682352" w:rsidRPr="00F76107">
        <w:rPr>
          <w:color w:val="0070C0"/>
        </w:rPr>
        <w:t>2</w:t>
      </w:r>
      <w:r w:rsidR="00D02A09" w:rsidRPr="00F76107">
        <w:rPr>
          <w:color w:val="0070C0"/>
        </w:rPr>
        <w:t>),</w:t>
      </w:r>
      <w:r w:rsidR="009A17E4" w:rsidRPr="00F76107">
        <w:rPr>
          <w:color w:val="0070C0"/>
        </w:rPr>
        <w:t xml:space="preserve"> the underlying population of consumers only </w:t>
      </w:r>
      <w:r w:rsidR="00BA2359">
        <w:rPr>
          <w:color w:val="0070C0"/>
        </w:rPr>
        <w:t>may</w:t>
      </w:r>
      <w:r w:rsidR="00BA2359" w:rsidRPr="00F76107">
        <w:rPr>
          <w:color w:val="0070C0"/>
        </w:rPr>
        <w:t xml:space="preserve"> </w:t>
      </w:r>
      <w:r w:rsidR="009A17E4" w:rsidRPr="00F76107">
        <w:rPr>
          <w:color w:val="0070C0"/>
        </w:rPr>
        <w:t xml:space="preserve">not </w:t>
      </w:r>
      <w:r w:rsidR="00BA2359">
        <w:rPr>
          <w:color w:val="0070C0"/>
        </w:rPr>
        <w:t xml:space="preserve">be </w:t>
      </w:r>
      <w:r w:rsidR="009A17E4" w:rsidRPr="00F76107">
        <w:rPr>
          <w:color w:val="0070C0"/>
        </w:rPr>
        <w:t>the same</w:t>
      </w:r>
      <w:r w:rsidR="008764AE" w:rsidRPr="00F76107">
        <w:rPr>
          <w:color w:val="0070C0"/>
        </w:rPr>
        <w:t xml:space="preserve"> as in the </w:t>
      </w:r>
      <w:r w:rsidR="008764AE" w:rsidRPr="00FC0FEA">
        <w:rPr>
          <w:i/>
          <w:iCs/>
          <w:color w:val="0070C0"/>
        </w:rPr>
        <w:t xml:space="preserve">regulatory maximum level exposure assessment </w:t>
      </w:r>
      <w:r w:rsidR="005E05AD" w:rsidRPr="00FC0FEA">
        <w:rPr>
          <w:i/>
          <w:iCs/>
          <w:color w:val="0070C0"/>
        </w:rPr>
        <w:t>scenario</w:t>
      </w:r>
      <w:r w:rsidR="009A17E4" w:rsidRPr="00F76107">
        <w:rPr>
          <w:color w:val="0070C0"/>
        </w:rPr>
        <w:t>. Therefore,</w:t>
      </w:r>
      <w:r w:rsidR="00D02A09" w:rsidRPr="00F76107">
        <w:rPr>
          <w:color w:val="0070C0"/>
        </w:rPr>
        <w:t xml:space="preserve"> the results of </w:t>
      </w:r>
      <w:r w:rsidR="004220AD" w:rsidRPr="00F76107">
        <w:rPr>
          <w:color w:val="0070C0"/>
        </w:rPr>
        <w:t>th</w:t>
      </w:r>
      <w:r w:rsidR="0035348A">
        <w:rPr>
          <w:color w:val="0070C0"/>
        </w:rPr>
        <w:t xml:space="preserve">e refined exposure assessment </w:t>
      </w:r>
      <w:r w:rsidR="004220AD" w:rsidRPr="00F76107">
        <w:rPr>
          <w:color w:val="0070C0"/>
        </w:rPr>
        <w:t xml:space="preserve">scenario cannot be </w:t>
      </w:r>
      <w:r w:rsidR="004E6C31" w:rsidRPr="00F76107">
        <w:rPr>
          <w:color w:val="0070C0"/>
        </w:rPr>
        <w:t xml:space="preserve">meaningfully </w:t>
      </w:r>
      <w:r w:rsidR="004220AD" w:rsidRPr="00F76107">
        <w:rPr>
          <w:color w:val="0070C0"/>
        </w:rPr>
        <w:t xml:space="preserve">compared to those of </w:t>
      </w:r>
      <w:r w:rsidR="00D02A09" w:rsidRPr="00F76107">
        <w:rPr>
          <w:color w:val="0070C0"/>
        </w:rPr>
        <w:t xml:space="preserve">the </w:t>
      </w:r>
      <w:r w:rsidR="622B1703" w:rsidRPr="00FC0FEA">
        <w:rPr>
          <w:i/>
          <w:iCs/>
          <w:color w:val="0070C0"/>
        </w:rPr>
        <w:t>regulatory maximum level exposure assessment scenario</w:t>
      </w:r>
      <w:r w:rsidR="622B1703" w:rsidRPr="00F76107">
        <w:rPr>
          <w:color w:val="0070C0"/>
        </w:rPr>
        <w:t xml:space="preserve">. </w:t>
      </w:r>
      <w:r w:rsidR="009A17E4" w:rsidRPr="00F76107">
        <w:rPr>
          <w:color w:val="0070C0"/>
        </w:rPr>
        <w:t xml:space="preserve">For this reason, also </w:t>
      </w:r>
      <w:r w:rsidR="00D02A09" w:rsidRPr="00F76107">
        <w:rPr>
          <w:color w:val="0070C0"/>
        </w:rPr>
        <w:t xml:space="preserve">a </w:t>
      </w:r>
      <w:r w:rsidR="00D02A09" w:rsidRPr="00FC0FEA">
        <w:rPr>
          <w:i/>
          <w:iCs/>
          <w:color w:val="0070C0"/>
        </w:rPr>
        <w:t xml:space="preserve">refined regulatory </w:t>
      </w:r>
      <w:r w:rsidR="00036D64">
        <w:rPr>
          <w:i/>
          <w:iCs/>
          <w:color w:val="0070C0"/>
        </w:rPr>
        <w:t xml:space="preserve">maximum level </w:t>
      </w:r>
      <w:r w:rsidR="00D02A09" w:rsidRPr="00FC0FEA">
        <w:rPr>
          <w:i/>
          <w:iCs/>
          <w:color w:val="0070C0"/>
        </w:rPr>
        <w:t>exposure assessment scenario</w:t>
      </w:r>
      <w:r w:rsidR="00D02A09" w:rsidRPr="00F76107">
        <w:rPr>
          <w:color w:val="0070C0"/>
        </w:rPr>
        <w:t xml:space="preserve"> </w:t>
      </w:r>
      <w:r w:rsidR="003C0162" w:rsidRPr="00F76107">
        <w:rPr>
          <w:color w:val="0070C0"/>
        </w:rPr>
        <w:t>may be</w:t>
      </w:r>
      <w:r w:rsidR="003E0311" w:rsidRPr="00F76107">
        <w:rPr>
          <w:color w:val="0070C0"/>
        </w:rPr>
        <w:t xml:space="preserve"> performed</w:t>
      </w:r>
      <w:r w:rsidR="009A17E4" w:rsidRPr="00F76107">
        <w:rPr>
          <w:color w:val="0070C0"/>
        </w:rPr>
        <w:t xml:space="preserve"> based on the same population included in the refined exposure assessment scenario</w:t>
      </w:r>
      <w:r w:rsidR="003E0311" w:rsidRPr="00F76107">
        <w:rPr>
          <w:color w:val="0070C0"/>
        </w:rPr>
        <w:t xml:space="preserve">. </w:t>
      </w:r>
    </w:p>
    <w:p w14:paraId="44E54239" w14:textId="77777777" w:rsidR="00CC7F02" w:rsidRDefault="00CC7F02" w:rsidP="00F76107">
      <w:pPr>
        <w:pStyle w:val="EFSABodytext"/>
        <w:rPr>
          <w:color w:val="0070C0"/>
        </w:rPr>
      </w:pPr>
    </w:p>
    <w:p w14:paraId="21BB06B9" w14:textId="77777777" w:rsidR="0013446F" w:rsidRDefault="0013446F" w:rsidP="006F6895">
      <w:pPr>
        <w:pStyle w:val="EFSATabletitle"/>
        <w:ind w:left="786"/>
        <w:rPr>
          <w:rStyle w:val="EFSATabletitleChar"/>
        </w:rPr>
        <w:sectPr w:rsidR="0013446F" w:rsidSect="00F65577">
          <w:headerReference w:type="even" r:id="rId19"/>
          <w:headerReference w:type="default" r:id="rId20"/>
          <w:footerReference w:type="even" r:id="rId21"/>
          <w:footerReference w:type="default" r:id="rId22"/>
          <w:headerReference w:type="first" r:id="rId23"/>
          <w:footerReference w:type="first" r:id="rId24"/>
          <w:pgSz w:w="11906" w:h="16838" w:code="9"/>
          <w:pgMar w:top="1418" w:right="1416" w:bottom="1418" w:left="1418" w:header="709" w:footer="709" w:gutter="0"/>
          <w:cols w:space="720"/>
          <w:docGrid w:linePitch="360" w:charSpace="2047"/>
        </w:sectPr>
      </w:pPr>
    </w:p>
    <w:p w14:paraId="677427D4" w14:textId="77777777" w:rsidR="00AB72E5" w:rsidRPr="00DF0D22" w:rsidRDefault="00AB72E5" w:rsidP="006F6895">
      <w:pPr>
        <w:pStyle w:val="EFSATabletitle"/>
        <w:ind w:left="786"/>
        <w:rPr>
          <w:rStyle w:val="EFSATabletitleChar"/>
        </w:rPr>
      </w:pPr>
      <w:r w:rsidRPr="00A047CB">
        <w:rPr>
          <w:rStyle w:val="EFSATabletitleChar"/>
        </w:rPr>
        <w:t>Description</w:t>
      </w:r>
      <w:r w:rsidRPr="00DF0D22">
        <w:rPr>
          <w:rStyle w:val="EFSATabletitleChar"/>
        </w:rPr>
        <w:t xml:space="preserve"> of how facets are considered in the different exposure assessment scenarios: </w:t>
      </w:r>
    </w:p>
    <w:tbl>
      <w:tblPr>
        <w:tblW w:w="10485" w:type="dxa"/>
        <w:jc w:val="center"/>
        <w:tblLook w:val="04A0" w:firstRow="1" w:lastRow="0" w:firstColumn="1" w:lastColumn="0" w:noHBand="0" w:noVBand="1"/>
      </w:tblPr>
      <w:tblGrid>
        <w:gridCol w:w="2405"/>
        <w:gridCol w:w="2693"/>
        <w:gridCol w:w="2694"/>
        <w:gridCol w:w="2693"/>
      </w:tblGrid>
      <w:tr w:rsidR="00AB72E5" w:rsidRPr="00850534" w14:paraId="4F0D18AD" w14:textId="77777777" w:rsidTr="00172F42">
        <w:trPr>
          <w:trHeight w:val="285"/>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8E2F4" w14:textId="77777777" w:rsidR="00AB72E5" w:rsidRPr="00850534" w:rsidRDefault="00AB72E5">
            <w:pPr>
              <w:spacing w:after="0" w:line="240" w:lineRule="auto"/>
              <w:rPr>
                <w:rFonts w:ascii="Tahoma" w:eastAsia="Times New Roman" w:hAnsi="Tahoma" w:cs="Tahoma"/>
                <w:color w:val="000000"/>
                <w:sz w:val="18"/>
                <w:szCs w:val="18"/>
                <w:lang w:eastAsia="en-GB"/>
              </w:rPr>
            </w:pPr>
            <w:r w:rsidRPr="00850534">
              <w:rPr>
                <w:rFonts w:ascii="Tahoma" w:eastAsia="Times New Roman" w:hAnsi="Tahoma" w:cs="Tahoma"/>
                <w:color w:val="000000"/>
                <w:sz w:val="18"/>
                <w:szCs w:val="18"/>
                <w:lang w:eastAsia="en-GB"/>
              </w:rPr>
              <w:t> </w:t>
            </w:r>
          </w:p>
        </w:tc>
        <w:tc>
          <w:tcPr>
            <w:tcW w:w="5387" w:type="dxa"/>
            <w:gridSpan w:val="2"/>
            <w:tcBorders>
              <w:top w:val="single" w:sz="4" w:space="0" w:color="auto"/>
              <w:left w:val="nil"/>
              <w:bottom w:val="single" w:sz="4" w:space="0" w:color="auto"/>
              <w:right w:val="single" w:sz="4" w:space="0" w:color="auto"/>
            </w:tcBorders>
            <w:shd w:val="clear" w:color="auto" w:fill="FFFF00"/>
            <w:noWrap/>
            <w:vAlign w:val="center"/>
            <w:hideMark/>
          </w:tcPr>
          <w:p w14:paraId="31979CE8" w14:textId="77777777" w:rsidR="00AB72E5" w:rsidRPr="00850534" w:rsidRDefault="00AB72E5">
            <w:pPr>
              <w:spacing w:after="0" w:line="240" w:lineRule="auto"/>
              <w:jc w:val="center"/>
              <w:rPr>
                <w:rFonts w:ascii="Tahoma" w:eastAsia="Times New Roman" w:hAnsi="Tahoma" w:cs="Tahoma"/>
                <w:b/>
                <w:bCs/>
                <w:color w:val="000000"/>
                <w:sz w:val="18"/>
                <w:szCs w:val="18"/>
                <w:lang w:eastAsia="en-GB"/>
              </w:rPr>
            </w:pPr>
            <w:r w:rsidRPr="00850534">
              <w:rPr>
                <w:rFonts w:ascii="Tahoma" w:eastAsia="Times New Roman" w:hAnsi="Tahoma" w:cs="Tahoma"/>
                <w:b/>
                <w:bCs/>
                <w:color w:val="000000"/>
                <w:sz w:val="18"/>
                <w:szCs w:val="18"/>
                <w:lang w:eastAsia="en-GB"/>
              </w:rPr>
              <w:t>Intense sweetener</w:t>
            </w:r>
          </w:p>
        </w:tc>
        <w:tc>
          <w:tcPr>
            <w:tcW w:w="2693" w:type="dxa"/>
            <w:tcBorders>
              <w:top w:val="single" w:sz="4" w:space="0" w:color="auto"/>
              <w:left w:val="nil"/>
              <w:bottom w:val="single" w:sz="4" w:space="0" w:color="auto"/>
              <w:right w:val="single" w:sz="4" w:space="0" w:color="auto"/>
            </w:tcBorders>
            <w:shd w:val="clear" w:color="auto" w:fill="B4C6E7"/>
            <w:vAlign w:val="center"/>
            <w:hideMark/>
          </w:tcPr>
          <w:p w14:paraId="206B4A46" w14:textId="77777777" w:rsidR="00AB72E5" w:rsidRPr="00850534" w:rsidRDefault="00AB72E5">
            <w:pPr>
              <w:spacing w:after="0" w:line="240" w:lineRule="auto"/>
              <w:jc w:val="center"/>
              <w:rPr>
                <w:rFonts w:ascii="Tahoma" w:eastAsia="Times New Roman" w:hAnsi="Tahoma" w:cs="Tahoma"/>
                <w:b/>
                <w:bCs/>
                <w:color w:val="000000"/>
                <w:sz w:val="18"/>
                <w:szCs w:val="18"/>
                <w:lang w:eastAsia="en-GB"/>
              </w:rPr>
            </w:pPr>
            <w:r w:rsidRPr="00850534">
              <w:rPr>
                <w:rFonts w:ascii="Tahoma" w:eastAsia="Times New Roman" w:hAnsi="Tahoma" w:cs="Tahoma"/>
                <w:b/>
                <w:bCs/>
                <w:color w:val="000000"/>
                <w:sz w:val="18"/>
                <w:szCs w:val="18"/>
                <w:lang w:eastAsia="en-GB"/>
              </w:rPr>
              <w:t>Polyols</w:t>
            </w:r>
          </w:p>
        </w:tc>
      </w:tr>
      <w:tr w:rsidR="00AB72E5" w:rsidRPr="00850534" w14:paraId="2ECAF595" w14:textId="77777777" w:rsidTr="00172F42">
        <w:trPr>
          <w:trHeight w:val="690"/>
          <w:jc w:val="center"/>
        </w:trPr>
        <w:tc>
          <w:tcPr>
            <w:tcW w:w="2405" w:type="dxa"/>
            <w:tcBorders>
              <w:top w:val="nil"/>
              <w:left w:val="single" w:sz="4" w:space="0" w:color="auto"/>
              <w:bottom w:val="single" w:sz="8" w:space="0" w:color="auto"/>
              <w:right w:val="single" w:sz="4" w:space="0" w:color="auto"/>
            </w:tcBorders>
            <w:shd w:val="clear" w:color="auto" w:fill="C6E0B4"/>
            <w:vAlign w:val="center"/>
            <w:hideMark/>
          </w:tcPr>
          <w:p w14:paraId="447875FF" w14:textId="77777777" w:rsidR="00AB72E5" w:rsidRPr="00850534" w:rsidRDefault="00AB72E5">
            <w:pPr>
              <w:spacing w:after="0" w:line="240" w:lineRule="auto"/>
              <w:rPr>
                <w:rFonts w:ascii="Tahoma" w:eastAsia="Times New Roman" w:hAnsi="Tahoma" w:cs="Tahoma"/>
                <w:b/>
                <w:bCs/>
                <w:color w:val="000000"/>
                <w:sz w:val="18"/>
                <w:szCs w:val="18"/>
                <w:lang w:eastAsia="en-GB"/>
              </w:rPr>
            </w:pPr>
            <w:r w:rsidRPr="00850534">
              <w:rPr>
                <w:rFonts w:ascii="Tahoma" w:eastAsia="Times New Roman" w:hAnsi="Tahoma" w:cs="Tahoma"/>
                <w:b/>
                <w:bCs/>
                <w:color w:val="000000"/>
                <w:sz w:val="18"/>
                <w:szCs w:val="18"/>
                <w:lang w:eastAsia="en-GB"/>
              </w:rPr>
              <w:t xml:space="preserve">Food category </w:t>
            </w:r>
            <w:r>
              <w:rPr>
                <w:rFonts w:ascii="Tahoma" w:eastAsia="Times New Roman" w:hAnsi="Tahoma" w:cs="Tahoma"/>
                <w:b/>
                <w:bCs/>
                <w:color w:val="000000"/>
                <w:sz w:val="18"/>
                <w:szCs w:val="18"/>
                <w:lang w:eastAsia="en-GB"/>
              </w:rPr>
              <w:t xml:space="preserve">(FC) </w:t>
            </w:r>
            <w:r w:rsidRPr="00850534">
              <w:rPr>
                <w:rFonts w:ascii="Tahoma" w:eastAsia="Times New Roman" w:hAnsi="Tahoma" w:cs="Tahoma"/>
                <w:b/>
                <w:bCs/>
                <w:color w:val="000000"/>
                <w:sz w:val="18"/>
                <w:szCs w:val="18"/>
                <w:lang w:eastAsia="en-GB"/>
              </w:rPr>
              <w:t>example</w:t>
            </w:r>
          </w:p>
        </w:tc>
        <w:tc>
          <w:tcPr>
            <w:tcW w:w="2693" w:type="dxa"/>
            <w:tcBorders>
              <w:top w:val="nil"/>
              <w:left w:val="nil"/>
              <w:bottom w:val="single" w:sz="8" w:space="0" w:color="auto"/>
              <w:right w:val="single" w:sz="4" w:space="0" w:color="auto"/>
            </w:tcBorders>
            <w:shd w:val="clear" w:color="auto" w:fill="C6E0B4"/>
            <w:noWrap/>
            <w:vAlign w:val="center"/>
            <w:hideMark/>
          </w:tcPr>
          <w:p w14:paraId="5C53869C" w14:textId="77777777" w:rsidR="00AB72E5" w:rsidRPr="00850534" w:rsidRDefault="00AB72E5">
            <w:pPr>
              <w:spacing w:after="0" w:line="240" w:lineRule="auto"/>
              <w:jc w:val="center"/>
              <w:rPr>
                <w:rFonts w:ascii="Tahoma" w:eastAsia="Times New Roman" w:hAnsi="Tahoma" w:cs="Tahoma"/>
                <w:b/>
                <w:bCs/>
                <w:color w:val="000000"/>
                <w:sz w:val="18"/>
                <w:szCs w:val="18"/>
                <w:lang w:eastAsia="en-GB"/>
              </w:rPr>
            </w:pPr>
            <w:r w:rsidRPr="00850534">
              <w:rPr>
                <w:rFonts w:ascii="Tahoma" w:eastAsia="Times New Roman" w:hAnsi="Tahoma" w:cs="Tahoma"/>
                <w:b/>
                <w:bCs/>
                <w:color w:val="000000"/>
                <w:sz w:val="18"/>
                <w:szCs w:val="18"/>
                <w:lang w:eastAsia="en-GB"/>
              </w:rPr>
              <w:t xml:space="preserve">REGULATORY </w:t>
            </w:r>
            <w:r>
              <w:rPr>
                <w:rFonts w:ascii="Tahoma" w:eastAsia="Times New Roman" w:hAnsi="Tahoma" w:cs="Tahoma"/>
                <w:b/>
                <w:bCs/>
                <w:color w:val="000000"/>
                <w:sz w:val="18"/>
                <w:szCs w:val="18"/>
                <w:lang w:eastAsia="en-GB"/>
              </w:rPr>
              <w:t>MAXIMUM LEVEL</w:t>
            </w:r>
          </w:p>
        </w:tc>
        <w:tc>
          <w:tcPr>
            <w:tcW w:w="2694" w:type="dxa"/>
            <w:tcBorders>
              <w:top w:val="nil"/>
              <w:left w:val="nil"/>
              <w:bottom w:val="single" w:sz="8" w:space="0" w:color="auto"/>
              <w:right w:val="single" w:sz="4" w:space="0" w:color="auto"/>
            </w:tcBorders>
            <w:shd w:val="clear" w:color="auto" w:fill="C6E0B4"/>
            <w:noWrap/>
            <w:vAlign w:val="center"/>
            <w:hideMark/>
          </w:tcPr>
          <w:p w14:paraId="0B5FF9BF" w14:textId="77777777" w:rsidR="00AB72E5" w:rsidRPr="00850534" w:rsidRDefault="00AB72E5">
            <w:pPr>
              <w:spacing w:after="0" w:line="240" w:lineRule="auto"/>
              <w:jc w:val="center"/>
              <w:rPr>
                <w:rFonts w:ascii="Tahoma" w:eastAsia="Times New Roman" w:hAnsi="Tahoma" w:cs="Tahoma"/>
                <w:b/>
                <w:bCs/>
                <w:color w:val="000000"/>
                <w:sz w:val="18"/>
                <w:szCs w:val="18"/>
                <w:lang w:eastAsia="en-GB"/>
              </w:rPr>
            </w:pPr>
            <w:r w:rsidRPr="00850534">
              <w:rPr>
                <w:rFonts w:ascii="Tahoma" w:eastAsia="Times New Roman" w:hAnsi="Tahoma" w:cs="Tahoma"/>
                <w:b/>
                <w:bCs/>
                <w:color w:val="000000"/>
                <w:sz w:val="18"/>
                <w:szCs w:val="18"/>
                <w:lang w:eastAsia="en-GB"/>
              </w:rPr>
              <w:t xml:space="preserve">REFINED </w:t>
            </w:r>
            <w:r>
              <w:rPr>
                <w:rFonts w:ascii="Tahoma" w:eastAsia="Times New Roman" w:hAnsi="Tahoma" w:cs="Tahoma"/>
                <w:b/>
                <w:bCs/>
                <w:color w:val="000000"/>
                <w:sz w:val="18"/>
                <w:szCs w:val="18"/>
                <w:lang w:eastAsia="en-GB"/>
              </w:rPr>
              <w:t xml:space="preserve">MAXIMUM LEVEL </w:t>
            </w:r>
            <w:r w:rsidRPr="00850534">
              <w:rPr>
                <w:rFonts w:ascii="Tahoma" w:eastAsia="Times New Roman" w:hAnsi="Tahoma" w:cs="Tahoma"/>
                <w:b/>
                <w:bCs/>
                <w:color w:val="000000"/>
                <w:sz w:val="18"/>
                <w:szCs w:val="18"/>
                <w:lang w:eastAsia="en-GB"/>
              </w:rPr>
              <w:t>and BRAND LOYAL</w:t>
            </w:r>
          </w:p>
        </w:tc>
        <w:tc>
          <w:tcPr>
            <w:tcW w:w="2693" w:type="dxa"/>
            <w:tcBorders>
              <w:top w:val="nil"/>
              <w:left w:val="nil"/>
              <w:bottom w:val="single" w:sz="8" w:space="0" w:color="auto"/>
              <w:right w:val="single" w:sz="4" w:space="0" w:color="auto"/>
            </w:tcBorders>
            <w:shd w:val="clear" w:color="auto" w:fill="C6E0B4"/>
            <w:vAlign w:val="center"/>
            <w:hideMark/>
          </w:tcPr>
          <w:p w14:paraId="7BFCDD83" w14:textId="77777777" w:rsidR="00AB72E5" w:rsidRPr="00850534" w:rsidRDefault="00AB72E5">
            <w:pPr>
              <w:spacing w:after="0" w:line="240" w:lineRule="auto"/>
              <w:jc w:val="center"/>
              <w:rPr>
                <w:rFonts w:ascii="Tahoma" w:eastAsia="Times New Roman" w:hAnsi="Tahoma" w:cs="Tahoma"/>
                <w:b/>
                <w:bCs/>
                <w:color w:val="000000"/>
                <w:sz w:val="18"/>
                <w:szCs w:val="18"/>
                <w:lang w:eastAsia="en-GB"/>
              </w:rPr>
            </w:pPr>
            <w:r>
              <w:rPr>
                <w:rFonts w:ascii="Tahoma" w:eastAsia="Times New Roman" w:hAnsi="Tahoma" w:cs="Tahoma"/>
                <w:b/>
                <w:bCs/>
                <w:color w:val="000000"/>
                <w:sz w:val="18"/>
                <w:szCs w:val="18"/>
                <w:lang w:eastAsia="en-GB"/>
              </w:rPr>
              <w:t>G</w:t>
            </w:r>
            <w:r w:rsidRPr="00850534">
              <w:rPr>
                <w:rFonts w:ascii="Tahoma" w:eastAsia="Times New Roman" w:hAnsi="Tahoma" w:cs="Tahoma"/>
                <w:b/>
                <w:bCs/>
                <w:color w:val="000000"/>
                <w:sz w:val="18"/>
                <w:szCs w:val="18"/>
                <w:lang w:eastAsia="en-GB"/>
              </w:rPr>
              <w:t xml:space="preserve">eneral scenario for chronic and acute scenarios (regulatory </w:t>
            </w:r>
            <w:r>
              <w:rPr>
                <w:rFonts w:ascii="Tahoma" w:eastAsia="Times New Roman" w:hAnsi="Tahoma" w:cs="Tahoma"/>
                <w:b/>
                <w:bCs/>
                <w:color w:val="000000"/>
                <w:sz w:val="18"/>
                <w:szCs w:val="18"/>
                <w:lang w:eastAsia="en-GB"/>
              </w:rPr>
              <w:t>maximum level</w:t>
            </w:r>
            <w:r w:rsidRPr="00850534">
              <w:rPr>
                <w:rFonts w:ascii="Tahoma" w:eastAsia="Times New Roman" w:hAnsi="Tahoma" w:cs="Tahoma"/>
                <w:b/>
                <w:bCs/>
                <w:color w:val="000000"/>
                <w:sz w:val="18"/>
                <w:szCs w:val="18"/>
                <w:lang w:eastAsia="en-GB"/>
              </w:rPr>
              <w:t xml:space="preserve"> and refined </w:t>
            </w:r>
            <w:r>
              <w:rPr>
                <w:rFonts w:ascii="Tahoma" w:eastAsia="Times New Roman" w:hAnsi="Tahoma" w:cs="Tahoma"/>
                <w:b/>
                <w:bCs/>
                <w:color w:val="000000"/>
                <w:sz w:val="18"/>
                <w:szCs w:val="18"/>
                <w:lang w:eastAsia="en-GB"/>
              </w:rPr>
              <w:t>maximum level</w:t>
            </w:r>
            <w:r w:rsidRPr="00850534">
              <w:rPr>
                <w:rFonts w:ascii="Tahoma" w:eastAsia="Times New Roman" w:hAnsi="Tahoma" w:cs="Tahoma"/>
                <w:b/>
                <w:bCs/>
                <w:color w:val="000000"/>
                <w:sz w:val="18"/>
                <w:szCs w:val="18"/>
                <w:lang w:eastAsia="en-GB"/>
              </w:rPr>
              <w:t xml:space="preserve"> and </w:t>
            </w:r>
            <w:r>
              <w:rPr>
                <w:rFonts w:ascii="Tahoma" w:eastAsia="Times New Roman" w:hAnsi="Tahoma" w:cs="Tahoma"/>
                <w:b/>
                <w:bCs/>
                <w:color w:val="000000"/>
                <w:sz w:val="18"/>
                <w:szCs w:val="18"/>
                <w:lang w:eastAsia="en-GB"/>
              </w:rPr>
              <w:t>brand loyal)</w:t>
            </w:r>
            <w:r w:rsidRPr="00850534">
              <w:rPr>
                <w:rFonts w:ascii="Tahoma" w:eastAsia="Times New Roman" w:hAnsi="Tahoma" w:cs="Tahoma"/>
                <w:b/>
                <w:bCs/>
                <w:color w:val="000000"/>
                <w:sz w:val="18"/>
                <w:szCs w:val="18"/>
                <w:lang w:eastAsia="en-GB"/>
              </w:rPr>
              <w:t xml:space="preserve"> </w:t>
            </w:r>
          </w:p>
        </w:tc>
      </w:tr>
      <w:tr w:rsidR="00AB72E5" w:rsidRPr="00850534" w14:paraId="14C4E0D6" w14:textId="77777777" w:rsidTr="00172F42">
        <w:trPr>
          <w:trHeight w:val="18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3B3C2CDF" w14:textId="77777777" w:rsidR="00AB72E5" w:rsidRPr="00850534" w:rsidRDefault="00AB72E5">
            <w:pPr>
              <w:spacing w:after="0" w:line="240" w:lineRule="auto"/>
              <w:rPr>
                <w:rFonts w:ascii="Tahoma" w:eastAsia="Times New Roman" w:hAnsi="Tahoma" w:cs="Tahoma"/>
                <w:color w:val="000000"/>
                <w:sz w:val="18"/>
                <w:szCs w:val="18"/>
                <w:lang w:eastAsia="en-GB"/>
              </w:rPr>
            </w:pPr>
            <w:r w:rsidRPr="00850534">
              <w:rPr>
                <w:rFonts w:ascii="Tahoma" w:eastAsia="Times New Roman" w:hAnsi="Tahoma" w:cs="Tahoma"/>
                <w:color w:val="000000"/>
                <w:sz w:val="18"/>
                <w:szCs w:val="18"/>
                <w:lang w:eastAsia="en-GB"/>
              </w:rPr>
              <w:t> </w:t>
            </w:r>
          </w:p>
        </w:tc>
        <w:tc>
          <w:tcPr>
            <w:tcW w:w="2693" w:type="dxa"/>
            <w:tcBorders>
              <w:top w:val="nil"/>
              <w:left w:val="nil"/>
              <w:bottom w:val="single" w:sz="4" w:space="0" w:color="auto"/>
              <w:right w:val="single" w:sz="4" w:space="0" w:color="auto"/>
            </w:tcBorders>
            <w:shd w:val="clear" w:color="auto" w:fill="auto"/>
            <w:vAlign w:val="center"/>
            <w:hideMark/>
          </w:tcPr>
          <w:p w14:paraId="0E923564"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sidRPr="5EC9CA25">
              <w:rPr>
                <w:rFonts w:ascii="Tahoma" w:eastAsia="Times New Roman" w:hAnsi="Tahoma" w:cs="Tahoma"/>
                <w:b/>
                <w:color w:val="000000" w:themeColor="text1"/>
                <w:sz w:val="18"/>
                <w:szCs w:val="18"/>
                <w:lang w:eastAsia="en-GB"/>
              </w:rPr>
              <w:t>The principle of conservativism</w:t>
            </w:r>
            <w:r w:rsidRPr="5EC9CA25">
              <w:rPr>
                <w:rFonts w:ascii="Tahoma" w:eastAsia="Times New Roman" w:hAnsi="Tahoma" w:cs="Tahoma"/>
                <w:color w:val="000000" w:themeColor="text1"/>
                <w:sz w:val="18"/>
                <w:szCs w:val="18"/>
                <w:lang w:eastAsia="en-GB"/>
              </w:rPr>
              <w:t xml:space="preserve"> is respected and therefore all authorised food categories are taken without facets unless the restriction</w:t>
            </w:r>
            <w:r>
              <w:rPr>
                <w:rFonts w:ascii="Tahoma" w:eastAsia="Times New Roman" w:hAnsi="Tahoma" w:cs="Tahoma"/>
                <w:color w:val="000000" w:themeColor="text1"/>
                <w:sz w:val="18"/>
                <w:szCs w:val="18"/>
                <w:lang w:eastAsia="en-GB"/>
              </w:rPr>
              <w:t>/exception</w:t>
            </w:r>
            <w:r w:rsidRPr="5EC9CA25">
              <w:rPr>
                <w:rFonts w:ascii="Tahoma" w:eastAsia="Times New Roman" w:hAnsi="Tahoma" w:cs="Tahoma"/>
                <w:color w:val="000000" w:themeColor="text1"/>
                <w:sz w:val="18"/>
                <w:szCs w:val="18"/>
                <w:lang w:eastAsia="en-GB"/>
              </w:rPr>
              <w:t xml:space="preserve"> indicates, 'only energy-reduced or with no added sugar'</w:t>
            </w:r>
          </w:p>
        </w:tc>
        <w:tc>
          <w:tcPr>
            <w:tcW w:w="2694" w:type="dxa"/>
            <w:tcBorders>
              <w:top w:val="nil"/>
              <w:left w:val="nil"/>
              <w:bottom w:val="single" w:sz="4" w:space="0" w:color="auto"/>
              <w:right w:val="single" w:sz="4" w:space="0" w:color="auto"/>
            </w:tcBorders>
            <w:shd w:val="clear" w:color="auto" w:fill="auto"/>
            <w:vAlign w:val="center"/>
            <w:hideMark/>
          </w:tcPr>
          <w:p w14:paraId="1A16F0A8"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sidRPr="00850534">
              <w:rPr>
                <w:rFonts w:ascii="Tahoma" w:eastAsia="Times New Roman" w:hAnsi="Tahoma" w:cs="Tahoma"/>
                <w:b/>
                <w:bCs/>
                <w:color w:val="000000"/>
                <w:sz w:val="18"/>
                <w:szCs w:val="18"/>
                <w:lang w:eastAsia="en-GB"/>
              </w:rPr>
              <w:t>The principle of refinemen</w:t>
            </w:r>
            <w:r w:rsidRPr="00850534">
              <w:rPr>
                <w:rFonts w:ascii="Tahoma" w:eastAsia="Times New Roman" w:hAnsi="Tahoma" w:cs="Tahoma"/>
                <w:color w:val="000000"/>
                <w:sz w:val="18"/>
                <w:szCs w:val="18"/>
                <w:lang w:eastAsia="en-GB"/>
              </w:rPr>
              <w:t>t is respected and performed through using the facets, with exception of five food categories: gum drops, chewing gum, table</w:t>
            </w:r>
            <w:r>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top sweeteners, energy drinks and vitamin and mineral supplements (for which it is assumed that they always contain the sweetener and therefore no facets are applied)</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D1B20C3" w14:textId="57B6EA1A"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C</w:t>
            </w:r>
            <w:r w:rsidRPr="00850534">
              <w:rPr>
                <w:rFonts w:ascii="Tahoma" w:eastAsia="Times New Roman" w:hAnsi="Tahoma" w:cs="Tahoma"/>
                <w:color w:val="000000"/>
                <w:sz w:val="18"/>
                <w:szCs w:val="18"/>
                <w:lang w:eastAsia="en-GB"/>
              </w:rPr>
              <w:t xml:space="preserve">onsidering the facets for a food category </w:t>
            </w:r>
            <w:r>
              <w:rPr>
                <w:rFonts w:ascii="Tahoma" w:eastAsia="Times New Roman" w:hAnsi="Tahoma" w:cs="Tahoma"/>
                <w:color w:val="000000"/>
                <w:sz w:val="18"/>
                <w:szCs w:val="18"/>
                <w:lang w:eastAsia="en-GB"/>
              </w:rPr>
              <w:t>with restriction/exception ‘</w:t>
            </w:r>
            <w:r w:rsidR="00C01EFF">
              <w:rPr>
                <w:rFonts w:ascii="Tahoma" w:eastAsia="Times New Roman" w:hAnsi="Tahoma" w:cs="Tahoma"/>
                <w:color w:val="000000"/>
                <w:sz w:val="18"/>
                <w:szCs w:val="18"/>
                <w:lang w:eastAsia="en-GB"/>
              </w:rPr>
              <w:t xml:space="preserve">only </w:t>
            </w:r>
            <w:r w:rsidRPr="00850534">
              <w:rPr>
                <w:rFonts w:ascii="Tahoma" w:eastAsia="Times New Roman" w:hAnsi="Tahoma" w:cs="Tahoma"/>
                <w:color w:val="000000"/>
                <w:sz w:val="18"/>
                <w:szCs w:val="18"/>
                <w:lang w:eastAsia="en-GB"/>
              </w:rPr>
              <w:t>energy</w:t>
            </w:r>
            <w:r w:rsidR="00682535">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reduced or with no added sugar</w:t>
            </w:r>
            <w:r>
              <w:rPr>
                <w:rFonts w:ascii="Tahoma" w:eastAsia="Times New Roman" w:hAnsi="Tahoma" w:cs="Tahoma"/>
                <w:color w:val="000000"/>
                <w:sz w:val="18"/>
                <w:szCs w:val="18"/>
                <w:lang w:eastAsia="en-GB"/>
              </w:rPr>
              <w:t>’</w:t>
            </w:r>
          </w:p>
        </w:tc>
      </w:tr>
      <w:tr w:rsidR="00AB72E5" w:rsidRPr="00850534" w14:paraId="67A5DDB2" w14:textId="77777777" w:rsidTr="00172F42">
        <w:trPr>
          <w:trHeight w:val="285"/>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FF23F4B" w14:textId="77777777" w:rsidR="00AB72E5" w:rsidRPr="00850534" w:rsidRDefault="00AB72E5">
            <w:pPr>
              <w:spacing w:after="0" w:line="240" w:lineRule="auto"/>
              <w:rPr>
                <w:rFonts w:ascii="Tahoma" w:eastAsia="Times New Roman" w:hAnsi="Tahoma" w:cs="Tahoma"/>
                <w:color w:val="000000"/>
                <w:sz w:val="18"/>
                <w:szCs w:val="18"/>
                <w:lang w:eastAsia="en-GB"/>
              </w:rPr>
            </w:pPr>
            <w:r w:rsidRPr="00850534">
              <w:rPr>
                <w:rFonts w:ascii="Tahoma" w:eastAsia="Times New Roman" w:hAnsi="Tahoma" w:cs="Tahoma"/>
                <w:color w:val="000000"/>
                <w:sz w:val="18"/>
                <w:szCs w:val="18"/>
                <w:lang w:eastAsia="en-GB"/>
              </w:rPr>
              <w:t xml:space="preserve">Any FC without restriction (e.g., </w:t>
            </w:r>
            <w:r>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12.6 Sauce</w:t>
            </w:r>
            <w:r>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w:t>
            </w:r>
          </w:p>
        </w:tc>
        <w:tc>
          <w:tcPr>
            <w:tcW w:w="2693" w:type="dxa"/>
            <w:tcBorders>
              <w:top w:val="nil"/>
              <w:left w:val="nil"/>
              <w:bottom w:val="single" w:sz="4" w:space="0" w:color="auto"/>
              <w:right w:val="single" w:sz="4" w:space="0" w:color="auto"/>
            </w:tcBorders>
            <w:shd w:val="clear" w:color="auto" w:fill="auto"/>
            <w:vAlign w:val="center"/>
            <w:hideMark/>
          </w:tcPr>
          <w:p w14:paraId="6B72FA02"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c>
          <w:tcPr>
            <w:tcW w:w="2694" w:type="dxa"/>
            <w:tcBorders>
              <w:top w:val="nil"/>
              <w:left w:val="nil"/>
              <w:bottom w:val="single" w:sz="4" w:space="0" w:color="auto"/>
              <w:right w:val="single" w:sz="4" w:space="0" w:color="auto"/>
            </w:tcBorders>
            <w:shd w:val="clear" w:color="auto" w:fill="auto"/>
            <w:vAlign w:val="center"/>
            <w:hideMark/>
          </w:tcPr>
          <w:p w14:paraId="34EE0FCB"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F</w:t>
            </w:r>
            <w:r w:rsidRPr="00850534">
              <w:rPr>
                <w:rFonts w:ascii="Tahoma" w:eastAsia="Times New Roman" w:hAnsi="Tahoma" w:cs="Tahoma"/>
                <w:color w:val="000000"/>
                <w:sz w:val="18"/>
                <w:szCs w:val="18"/>
                <w:lang w:eastAsia="en-GB"/>
              </w:rPr>
              <w:t>acets applied</w:t>
            </w:r>
          </w:p>
        </w:tc>
        <w:tc>
          <w:tcPr>
            <w:tcW w:w="2693" w:type="dxa"/>
            <w:tcBorders>
              <w:top w:val="nil"/>
              <w:left w:val="nil"/>
              <w:bottom w:val="single" w:sz="4" w:space="0" w:color="auto"/>
              <w:right w:val="single" w:sz="4" w:space="0" w:color="auto"/>
            </w:tcBorders>
            <w:shd w:val="clear" w:color="auto" w:fill="auto"/>
            <w:vAlign w:val="center"/>
            <w:hideMark/>
          </w:tcPr>
          <w:p w14:paraId="2BE0BC55"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r>
      <w:tr w:rsidR="00AB72E5" w:rsidRPr="00850534" w14:paraId="02BA769F" w14:textId="77777777" w:rsidTr="00172F42">
        <w:trPr>
          <w:trHeight w:val="675"/>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6136E72E" w14:textId="77777777" w:rsidR="00AB72E5" w:rsidRPr="00850534" w:rsidRDefault="00AB72E5">
            <w:pPr>
              <w:spacing w:after="0" w:line="240" w:lineRule="auto"/>
              <w:rPr>
                <w:rFonts w:ascii="Tahoma" w:eastAsia="Times New Roman" w:hAnsi="Tahoma" w:cs="Tahoma"/>
                <w:color w:val="000000"/>
                <w:sz w:val="18"/>
                <w:szCs w:val="18"/>
                <w:lang w:eastAsia="en-GB"/>
              </w:rPr>
            </w:pPr>
            <w:r w:rsidRPr="00850534">
              <w:rPr>
                <w:rFonts w:ascii="Tahoma" w:eastAsia="Times New Roman" w:hAnsi="Tahoma" w:cs="Tahoma"/>
                <w:color w:val="000000"/>
                <w:sz w:val="18"/>
                <w:szCs w:val="18"/>
                <w:lang w:eastAsia="en-GB"/>
              </w:rPr>
              <w:t>Any FC with restriction (e.g., "12.6 Sauce" + restriction "only energy-reduced or with no added sugar")</w:t>
            </w:r>
          </w:p>
        </w:tc>
        <w:tc>
          <w:tcPr>
            <w:tcW w:w="2693" w:type="dxa"/>
            <w:tcBorders>
              <w:top w:val="nil"/>
              <w:left w:val="nil"/>
              <w:bottom w:val="single" w:sz="4" w:space="0" w:color="auto"/>
              <w:right w:val="single" w:sz="4" w:space="0" w:color="auto"/>
            </w:tcBorders>
            <w:shd w:val="clear" w:color="auto" w:fill="auto"/>
            <w:vAlign w:val="center"/>
            <w:hideMark/>
          </w:tcPr>
          <w:p w14:paraId="124FB0AC"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F</w:t>
            </w:r>
            <w:r w:rsidRPr="00850534">
              <w:rPr>
                <w:rFonts w:ascii="Tahoma" w:eastAsia="Times New Roman" w:hAnsi="Tahoma" w:cs="Tahoma"/>
                <w:color w:val="000000"/>
                <w:sz w:val="18"/>
                <w:szCs w:val="18"/>
                <w:lang w:eastAsia="en-GB"/>
              </w:rPr>
              <w:t>acets applied</w:t>
            </w:r>
          </w:p>
        </w:tc>
        <w:tc>
          <w:tcPr>
            <w:tcW w:w="2694" w:type="dxa"/>
            <w:tcBorders>
              <w:top w:val="nil"/>
              <w:left w:val="nil"/>
              <w:bottom w:val="single" w:sz="4" w:space="0" w:color="auto"/>
              <w:right w:val="single" w:sz="4" w:space="0" w:color="auto"/>
            </w:tcBorders>
            <w:shd w:val="clear" w:color="auto" w:fill="auto"/>
            <w:vAlign w:val="center"/>
            <w:hideMark/>
          </w:tcPr>
          <w:p w14:paraId="16396B9D"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F</w:t>
            </w:r>
            <w:r w:rsidRPr="00850534">
              <w:rPr>
                <w:rFonts w:ascii="Tahoma" w:eastAsia="Times New Roman" w:hAnsi="Tahoma" w:cs="Tahoma"/>
                <w:color w:val="000000"/>
                <w:sz w:val="18"/>
                <w:szCs w:val="18"/>
                <w:lang w:eastAsia="en-GB"/>
              </w:rPr>
              <w:t>acets applied</w:t>
            </w:r>
          </w:p>
        </w:tc>
        <w:tc>
          <w:tcPr>
            <w:tcW w:w="2693" w:type="dxa"/>
            <w:tcBorders>
              <w:top w:val="nil"/>
              <w:left w:val="nil"/>
              <w:bottom w:val="single" w:sz="4" w:space="0" w:color="auto"/>
              <w:right w:val="single" w:sz="4" w:space="0" w:color="auto"/>
            </w:tcBorders>
            <w:shd w:val="clear" w:color="auto" w:fill="auto"/>
            <w:vAlign w:val="center"/>
            <w:hideMark/>
          </w:tcPr>
          <w:p w14:paraId="33E21132"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F</w:t>
            </w:r>
            <w:r w:rsidRPr="00850534">
              <w:rPr>
                <w:rFonts w:ascii="Tahoma" w:eastAsia="Times New Roman" w:hAnsi="Tahoma" w:cs="Tahoma"/>
                <w:color w:val="000000"/>
                <w:sz w:val="18"/>
                <w:szCs w:val="18"/>
                <w:lang w:eastAsia="en-GB"/>
              </w:rPr>
              <w:t>acets applied</w:t>
            </w:r>
          </w:p>
        </w:tc>
      </w:tr>
      <w:tr w:rsidR="00AB72E5" w:rsidRPr="00850534" w14:paraId="7722A153" w14:textId="77777777" w:rsidTr="00172F42">
        <w:trPr>
          <w:trHeight w:val="675"/>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466561DE" w14:textId="77777777" w:rsidR="00AB72E5" w:rsidRPr="00850534" w:rsidRDefault="00AB72E5">
            <w:pPr>
              <w:spacing w:after="0" w:line="240" w:lineRule="auto"/>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G</w:t>
            </w:r>
            <w:r w:rsidRPr="00850534">
              <w:rPr>
                <w:rFonts w:ascii="Tahoma" w:eastAsia="Times New Roman" w:hAnsi="Tahoma" w:cs="Tahoma"/>
                <w:color w:val="000000"/>
                <w:sz w:val="18"/>
                <w:szCs w:val="18"/>
                <w:lang w:eastAsia="en-GB"/>
              </w:rPr>
              <w:t>um drops, chewing gum, table</w:t>
            </w:r>
            <w:r>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top sweeteners, energy drinks and food supplements in solid form (no restriction)</w:t>
            </w:r>
          </w:p>
        </w:tc>
        <w:tc>
          <w:tcPr>
            <w:tcW w:w="2693" w:type="dxa"/>
            <w:tcBorders>
              <w:top w:val="nil"/>
              <w:left w:val="nil"/>
              <w:bottom w:val="single" w:sz="4" w:space="0" w:color="auto"/>
              <w:right w:val="single" w:sz="4" w:space="0" w:color="auto"/>
            </w:tcBorders>
            <w:shd w:val="clear" w:color="auto" w:fill="auto"/>
            <w:vAlign w:val="center"/>
            <w:hideMark/>
          </w:tcPr>
          <w:p w14:paraId="3A684CA8"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c>
          <w:tcPr>
            <w:tcW w:w="2694" w:type="dxa"/>
            <w:tcBorders>
              <w:top w:val="nil"/>
              <w:left w:val="nil"/>
              <w:bottom w:val="single" w:sz="4" w:space="0" w:color="auto"/>
              <w:right w:val="single" w:sz="4" w:space="0" w:color="auto"/>
            </w:tcBorders>
            <w:shd w:val="clear" w:color="auto" w:fill="auto"/>
            <w:vAlign w:val="center"/>
            <w:hideMark/>
          </w:tcPr>
          <w:p w14:paraId="4E518CB1"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c>
          <w:tcPr>
            <w:tcW w:w="2693" w:type="dxa"/>
            <w:tcBorders>
              <w:top w:val="nil"/>
              <w:left w:val="nil"/>
              <w:bottom w:val="single" w:sz="4" w:space="0" w:color="auto"/>
              <w:right w:val="single" w:sz="4" w:space="0" w:color="auto"/>
            </w:tcBorders>
            <w:shd w:val="clear" w:color="auto" w:fill="auto"/>
            <w:vAlign w:val="center"/>
            <w:hideMark/>
          </w:tcPr>
          <w:p w14:paraId="298F3CF7"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r>
      <w:tr w:rsidR="00AB72E5" w:rsidRPr="00850534" w14:paraId="544B2947" w14:textId="77777777" w:rsidTr="00172F42">
        <w:trPr>
          <w:trHeight w:val="9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0693E5F1" w14:textId="77777777" w:rsidR="00AB72E5" w:rsidRPr="00850534" w:rsidRDefault="00AB72E5">
            <w:pPr>
              <w:spacing w:after="0" w:line="240" w:lineRule="auto"/>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G</w:t>
            </w:r>
            <w:r w:rsidRPr="00850534">
              <w:rPr>
                <w:rFonts w:ascii="Tahoma" w:eastAsia="Times New Roman" w:hAnsi="Tahoma" w:cs="Tahoma"/>
                <w:color w:val="000000"/>
                <w:sz w:val="18"/>
                <w:szCs w:val="18"/>
                <w:lang w:eastAsia="en-GB"/>
              </w:rPr>
              <w:t>um drops, chewing gum, table</w:t>
            </w:r>
            <w:r>
              <w:rPr>
                <w:rFonts w:ascii="Tahoma" w:eastAsia="Times New Roman" w:hAnsi="Tahoma" w:cs="Tahoma"/>
                <w:color w:val="000000"/>
                <w:sz w:val="18"/>
                <w:szCs w:val="18"/>
                <w:lang w:eastAsia="en-GB"/>
              </w:rPr>
              <w:t>-</w:t>
            </w:r>
            <w:r w:rsidRPr="00850534">
              <w:rPr>
                <w:rFonts w:ascii="Tahoma" w:eastAsia="Times New Roman" w:hAnsi="Tahoma" w:cs="Tahoma"/>
                <w:color w:val="000000"/>
                <w:sz w:val="18"/>
                <w:szCs w:val="18"/>
                <w:lang w:eastAsia="en-GB"/>
              </w:rPr>
              <w:t>top sweeteners, energy drinks and food supplements in solid form + restriction 'with no added sugar'</w:t>
            </w:r>
          </w:p>
        </w:tc>
        <w:tc>
          <w:tcPr>
            <w:tcW w:w="2693" w:type="dxa"/>
            <w:tcBorders>
              <w:top w:val="nil"/>
              <w:left w:val="nil"/>
              <w:bottom w:val="single" w:sz="4" w:space="0" w:color="auto"/>
              <w:right w:val="single" w:sz="4" w:space="0" w:color="auto"/>
            </w:tcBorders>
            <w:shd w:val="clear" w:color="auto" w:fill="auto"/>
            <w:noWrap/>
            <w:vAlign w:val="center"/>
            <w:hideMark/>
          </w:tcPr>
          <w:p w14:paraId="72E8FA88"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 xml:space="preserve">o facets applied </w:t>
            </w:r>
          </w:p>
        </w:tc>
        <w:tc>
          <w:tcPr>
            <w:tcW w:w="2694" w:type="dxa"/>
            <w:tcBorders>
              <w:top w:val="nil"/>
              <w:left w:val="nil"/>
              <w:bottom w:val="single" w:sz="4" w:space="0" w:color="auto"/>
              <w:right w:val="single" w:sz="4" w:space="0" w:color="auto"/>
            </w:tcBorders>
            <w:shd w:val="clear" w:color="auto" w:fill="auto"/>
            <w:vAlign w:val="center"/>
            <w:hideMark/>
          </w:tcPr>
          <w:p w14:paraId="6EE02525"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c>
          <w:tcPr>
            <w:tcW w:w="2693" w:type="dxa"/>
            <w:tcBorders>
              <w:top w:val="nil"/>
              <w:left w:val="nil"/>
              <w:bottom w:val="single" w:sz="4" w:space="0" w:color="auto"/>
              <w:right w:val="single" w:sz="4" w:space="0" w:color="auto"/>
            </w:tcBorders>
            <w:shd w:val="clear" w:color="auto" w:fill="auto"/>
            <w:vAlign w:val="center"/>
            <w:hideMark/>
          </w:tcPr>
          <w:p w14:paraId="27FDF275" w14:textId="77777777" w:rsidR="00AB72E5" w:rsidRPr="00850534" w:rsidRDefault="00AB72E5">
            <w:pPr>
              <w:spacing w:after="0" w:line="240" w:lineRule="auto"/>
              <w:jc w:val="center"/>
              <w:rPr>
                <w:rFonts w:ascii="Tahoma" w:eastAsia="Times New Roman" w:hAnsi="Tahoma" w:cs="Tahoma"/>
                <w:color w:val="000000"/>
                <w:sz w:val="18"/>
                <w:szCs w:val="18"/>
                <w:lang w:eastAsia="en-GB"/>
              </w:rPr>
            </w:pPr>
            <w:r>
              <w:rPr>
                <w:rFonts w:ascii="Tahoma" w:eastAsia="Times New Roman" w:hAnsi="Tahoma" w:cs="Tahoma"/>
                <w:color w:val="000000"/>
                <w:sz w:val="18"/>
                <w:szCs w:val="18"/>
                <w:lang w:eastAsia="en-GB"/>
              </w:rPr>
              <w:t>N</w:t>
            </w:r>
            <w:r w:rsidRPr="00850534">
              <w:rPr>
                <w:rFonts w:ascii="Tahoma" w:eastAsia="Times New Roman" w:hAnsi="Tahoma" w:cs="Tahoma"/>
                <w:color w:val="000000"/>
                <w:sz w:val="18"/>
                <w:szCs w:val="18"/>
                <w:lang w:eastAsia="en-GB"/>
              </w:rPr>
              <w:t>o facets applied</w:t>
            </w:r>
          </w:p>
        </w:tc>
      </w:tr>
    </w:tbl>
    <w:p w14:paraId="3CA78570" w14:textId="77777777" w:rsidR="00AB72E5" w:rsidRPr="00F76107" w:rsidRDefault="00AB72E5" w:rsidP="00F76107">
      <w:pPr>
        <w:pStyle w:val="EFSABodytext"/>
        <w:rPr>
          <w:color w:val="0070C0"/>
        </w:rPr>
      </w:pPr>
    </w:p>
    <w:p w14:paraId="5BDECD6A" w14:textId="77777777" w:rsidR="00A00E6D" w:rsidRPr="00EF7C44" w:rsidRDefault="00A00E6D" w:rsidP="00A00E6D">
      <w:pPr>
        <w:pStyle w:val="EFSAHeading4"/>
      </w:pPr>
      <w:bookmarkStart w:id="49" w:name="_Toc485822950"/>
      <w:bookmarkStart w:id="50" w:name="_Toc181606793"/>
      <w:r w:rsidRPr="00EF7C44">
        <w:t>Other exposure assessment scenarios</w:t>
      </w:r>
      <w:bookmarkEnd w:id="49"/>
      <w:bookmarkEnd w:id="50"/>
    </w:p>
    <w:p w14:paraId="5AF317C7" w14:textId="07AC68C6" w:rsidR="003D3CC4" w:rsidRDefault="00CA5499" w:rsidP="00A00E6D">
      <w:pPr>
        <w:pStyle w:val="EFSABodytext"/>
      </w:pPr>
      <w:r>
        <w:t>I</w:t>
      </w:r>
      <w:r w:rsidR="005B5E71">
        <w:t xml:space="preserve">f </w:t>
      </w:r>
      <w:r w:rsidR="00A00E6D">
        <w:t xml:space="preserve">concentration levels are made available to EFSA </w:t>
      </w:r>
      <w:r w:rsidR="00F80E00">
        <w:t xml:space="preserve">for </w:t>
      </w:r>
      <w:r w:rsidR="00A00E6D">
        <w:t>food categories which are not authorised according to Annex II to Regulation No 1333/2008</w:t>
      </w:r>
      <w:r w:rsidR="003F7628">
        <w:t xml:space="preserve"> and</w:t>
      </w:r>
      <w:r w:rsidR="00A00E6D">
        <w:t xml:space="preserve"> </w:t>
      </w:r>
      <w:r w:rsidR="003F7628">
        <w:t>i</w:t>
      </w:r>
      <w:r w:rsidR="00A00E6D">
        <w:t xml:space="preserve">n order to consider the presence of </w:t>
      </w:r>
      <w:r w:rsidR="00F54773">
        <w:t>sweeteners</w:t>
      </w:r>
      <w:r w:rsidR="00A00E6D">
        <w:t xml:space="preserve"> due to carry-over </w:t>
      </w:r>
      <w:r w:rsidR="00C53452">
        <w:t xml:space="preserve">(Annex </w:t>
      </w:r>
      <w:r w:rsidR="00587475">
        <w:t>III</w:t>
      </w:r>
      <w:r w:rsidR="00C53452">
        <w:t xml:space="preserve"> to Regulation No 1333/2008) </w:t>
      </w:r>
      <w:r w:rsidR="00A00E6D">
        <w:t>or due to natural occurrence</w:t>
      </w:r>
      <w:r w:rsidR="00B5307B">
        <w:t xml:space="preserve"> (relevant only for polyols)</w:t>
      </w:r>
      <w:r w:rsidR="00A00E6D">
        <w:t xml:space="preserve">, additional exposure scenarios </w:t>
      </w:r>
      <w:r w:rsidR="005B5E71">
        <w:t xml:space="preserve">may </w:t>
      </w:r>
      <w:r w:rsidR="00A00E6D">
        <w:t xml:space="preserve">be performed </w:t>
      </w:r>
      <w:r w:rsidR="00826087">
        <w:t>considering</w:t>
      </w:r>
      <w:r w:rsidR="00A00E6D">
        <w:t xml:space="preserve"> the availab</w:t>
      </w:r>
      <w:r w:rsidR="00C951D7">
        <w:t>ility of data</w:t>
      </w:r>
      <w:r w:rsidR="00A00E6D">
        <w:t xml:space="preserve">. </w:t>
      </w:r>
    </w:p>
    <w:p w14:paraId="73321DC0" w14:textId="77777777" w:rsidR="003D3CC4" w:rsidRDefault="003D3CC4" w:rsidP="00A00E6D">
      <w:pPr>
        <w:pStyle w:val="EFSABodytext"/>
      </w:pPr>
    </w:p>
    <w:p w14:paraId="3331D84F" w14:textId="6C992918" w:rsidR="00C85AEC" w:rsidRPr="007B2AEB" w:rsidRDefault="00C85AEC" w:rsidP="00C85AEC">
      <w:pPr>
        <w:pStyle w:val="EFSAHeading3"/>
        <w:rPr>
          <w:color w:val="0070C0"/>
        </w:rPr>
      </w:pPr>
      <w:bookmarkStart w:id="51" w:name="_Toc181606794"/>
      <w:r w:rsidRPr="007B2AEB">
        <w:rPr>
          <w:color w:val="0070C0"/>
        </w:rPr>
        <w:t>Acute exposure assessment of sweeteners under re-evaluation</w:t>
      </w:r>
      <w:bookmarkEnd w:id="51"/>
    </w:p>
    <w:p w14:paraId="3438CD9B" w14:textId="46866228" w:rsidR="00D233FE" w:rsidRPr="007B2AEB" w:rsidRDefault="00F264EF" w:rsidP="005430BD">
      <w:pPr>
        <w:pStyle w:val="EFSABodytext"/>
        <w:rPr>
          <w:color w:val="0070C0"/>
        </w:rPr>
      </w:pPr>
      <w:r w:rsidRPr="007B2AEB">
        <w:rPr>
          <w:color w:val="0070C0"/>
        </w:rPr>
        <w:t>I</w:t>
      </w:r>
      <w:r w:rsidR="00E95C32" w:rsidRPr="007B2AEB">
        <w:rPr>
          <w:color w:val="0070C0"/>
        </w:rPr>
        <w:t xml:space="preserve">f </w:t>
      </w:r>
      <w:r w:rsidR="003C06F0" w:rsidRPr="007B2AEB">
        <w:rPr>
          <w:color w:val="0070C0"/>
        </w:rPr>
        <w:t>acute effect</w:t>
      </w:r>
      <w:r w:rsidR="0050347A" w:rsidRPr="007B2AEB">
        <w:rPr>
          <w:color w:val="0070C0"/>
        </w:rPr>
        <w:t>s</w:t>
      </w:r>
      <w:r w:rsidR="00B208E1" w:rsidRPr="007B2AEB">
        <w:rPr>
          <w:color w:val="0070C0"/>
        </w:rPr>
        <w:t xml:space="preserve"> </w:t>
      </w:r>
      <w:r w:rsidR="00E95C32" w:rsidRPr="007B2AEB">
        <w:rPr>
          <w:color w:val="0070C0"/>
        </w:rPr>
        <w:t>are</w:t>
      </w:r>
      <w:r w:rsidR="00B208E1" w:rsidRPr="007B2AEB">
        <w:rPr>
          <w:color w:val="0070C0"/>
        </w:rPr>
        <w:t xml:space="preserve"> </w:t>
      </w:r>
      <w:r w:rsidR="00E95C32" w:rsidRPr="007B2AEB">
        <w:rPr>
          <w:color w:val="0070C0"/>
        </w:rPr>
        <w:t xml:space="preserve">considered to be </w:t>
      </w:r>
      <w:r w:rsidR="00B208E1" w:rsidRPr="007B2AEB">
        <w:rPr>
          <w:color w:val="0070C0"/>
        </w:rPr>
        <w:t>relevant</w:t>
      </w:r>
      <w:r w:rsidR="00E95C32" w:rsidRPr="007B2AEB">
        <w:rPr>
          <w:color w:val="0070C0"/>
        </w:rPr>
        <w:t xml:space="preserve"> for specific sweeteners</w:t>
      </w:r>
      <w:r w:rsidR="003C06F0" w:rsidRPr="007B2AEB">
        <w:rPr>
          <w:color w:val="0070C0"/>
        </w:rPr>
        <w:t xml:space="preserve">, </w:t>
      </w:r>
      <w:r w:rsidR="002213C4" w:rsidRPr="007B2AEB">
        <w:rPr>
          <w:color w:val="0070C0"/>
        </w:rPr>
        <w:t xml:space="preserve">the Panel </w:t>
      </w:r>
      <w:r w:rsidR="00F02944" w:rsidRPr="007B2AEB">
        <w:rPr>
          <w:color w:val="0070C0"/>
        </w:rPr>
        <w:t>will</w:t>
      </w:r>
      <w:r w:rsidR="002213C4" w:rsidRPr="007B2AEB">
        <w:rPr>
          <w:color w:val="0070C0"/>
        </w:rPr>
        <w:t xml:space="preserve"> </w:t>
      </w:r>
      <w:r w:rsidR="00923035" w:rsidRPr="007B2AEB">
        <w:rPr>
          <w:color w:val="0070C0"/>
        </w:rPr>
        <w:t xml:space="preserve">estimate </w:t>
      </w:r>
      <w:r w:rsidR="00631C79" w:rsidRPr="007B2AEB">
        <w:rPr>
          <w:color w:val="0070C0"/>
        </w:rPr>
        <w:t xml:space="preserve">acute </w:t>
      </w:r>
      <w:r w:rsidR="003C06F0" w:rsidRPr="007B2AEB">
        <w:rPr>
          <w:color w:val="0070C0"/>
        </w:rPr>
        <w:t>dietary exposure</w:t>
      </w:r>
      <w:r w:rsidR="000E176B" w:rsidRPr="007B2AEB">
        <w:rPr>
          <w:color w:val="0070C0"/>
        </w:rPr>
        <w:t xml:space="preserve"> (</w:t>
      </w:r>
      <w:r w:rsidR="00631C79" w:rsidRPr="007B2AEB">
        <w:rPr>
          <w:color w:val="0070C0"/>
        </w:rPr>
        <w:t xml:space="preserve">short-term </w:t>
      </w:r>
      <w:r w:rsidR="0090712E" w:rsidRPr="007B2AEB">
        <w:rPr>
          <w:color w:val="0070C0"/>
        </w:rPr>
        <w:t>exposure)</w:t>
      </w:r>
      <w:r w:rsidR="0068349F" w:rsidRPr="007B2AEB">
        <w:rPr>
          <w:color w:val="0070C0"/>
        </w:rPr>
        <w:t xml:space="preserve"> per </w:t>
      </w:r>
      <w:r w:rsidR="001C76D4" w:rsidRPr="007B2AEB">
        <w:rPr>
          <w:color w:val="0070C0"/>
        </w:rPr>
        <w:t xml:space="preserve">single day </w:t>
      </w:r>
      <w:r w:rsidR="00B86BB5" w:rsidRPr="007B2AEB">
        <w:rPr>
          <w:color w:val="0070C0"/>
        </w:rPr>
        <w:t>and/</w:t>
      </w:r>
      <w:r w:rsidR="001F0711" w:rsidRPr="007B2AEB">
        <w:rPr>
          <w:color w:val="0070C0"/>
        </w:rPr>
        <w:t xml:space="preserve">or </w:t>
      </w:r>
      <w:r w:rsidR="0068349F" w:rsidRPr="007B2AEB">
        <w:rPr>
          <w:color w:val="0070C0"/>
        </w:rPr>
        <w:t xml:space="preserve">per </w:t>
      </w:r>
      <w:r w:rsidR="001C76D4" w:rsidRPr="007B2AEB">
        <w:rPr>
          <w:color w:val="0070C0"/>
        </w:rPr>
        <w:t>meal</w:t>
      </w:r>
      <w:r w:rsidR="0068349F" w:rsidRPr="007B2AEB">
        <w:rPr>
          <w:color w:val="0070C0"/>
        </w:rPr>
        <w:t>.</w:t>
      </w:r>
      <w:r w:rsidR="00A1213A" w:rsidRPr="007B2AEB">
        <w:rPr>
          <w:color w:val="0070C0"/>
        </w:rPr>
        <w:t xml:space="preserve"> </w:t>
      </w:r>
      <w:r w:rsidR="00CA79BF" w:rsidRPr="007B2AEB">
        <w:rPr>
          <w:color w:val="0070C0"/>
        </w:rPr>
        <w:t>C</w:t>
      </w:r>
      <w:r w:rsidR="00A1213A" w:rsidRPr="007B2AEB">
        <w:rPr>
          <w:color w:val="0070C0"/>
        </w:rPr>
        <w:t xml:space="preserve">oncentration data </w:t>
      </w:r>
      <w:r w:rsidR="00CA79BF" w:rsidRPr="007B2AEB">
        <w:rPr>
          <w:color w:val="0070C0"/>
        </w:rPr>
        <w:t>used to assess the acute exposure are the same as</w:t>
      </w:r>
      <w:r w:rsidR="00915C0E" w:rsidRPr="007B2AEB">
        <w:rPr>
          <w:color w:val="0070C0"/>
        </w:rPr>
        <w:t xml:space="preserve"> those used in the </w:t>
      </w:r>
      <w:r w:rsidR="00B746FF" w:rsidRPr="007B2AEB">
        <w:rPr>
          <w:color w:val="0070C0"/>
        </w:rPr>
        <w:t xml:space="preserve">refined </w:t>
      </w:r>
      <w:r w:rsidR="00CA79BF" w:rsidRPr="007B2AEB">
        <w:rPr>
          <w:color w:val="0070C0"/>
        </w:rPr>
        <w:t>chronic exposure assessment</w:t>
      </w:r>
      <w:r w:rsidR="00915C0E" w:rsidRPr="007B2AEB">
        <w:rPr>
          <w:color w:val="0070C0"/>
        </w:rPr>
        <w:t xml:space="preserve"> </w:t>
      </w:r>
      <w:r w:rsidR="00B746FF" w:rsidRPr="007B2AEB">
        <w:rPr>
          <w:color w:val="0070C0"/>
        </w:rPr>
        <w:t xml:space="preserve">scenarios </w:t>
      </w:r>
      <w:r w:rsidR="00915C0E" w:rsidRPr="007B2AEB">
        <w:rPr>
          <w:color w:val="0070C0"/>
        </w:rPr>
        <w:t>(see Section 5.2.3.2</w:t>
      </w:r>
      <w:r w:rsidR="00F93023" w:rsidRPr="007B2AEB">
        <w:rPr>
          <w:color w:val="0070C0"/>
        </w:rPr>
        <w:t>).</w:t>
      </w:r>
      <w:r w:rsidR="00BF4024" w:rsidRPr="007B2AEB">
        <w:rPr>
          <w:color w:val="0070C0"/>
        </w:rPr>
        <w:t xml:space="preserve"> </w:t>
      </w:r>
    </w:p>
    <w:p w14:paraId="062969AC" w14:textId="7630471F" w:rsidR="00565A41" w:rsidRPr="007B2AEB" w:rsidRDefault="003C06F0" w:rsidP="0068349F">
      <w:pPr>
        <w:pStyle w:val="EFSABodytext"/>
        <w:rPr>
          <w:color w:val="0070C0"/>
        </w:rPr>
      </w:pPr>
      <w:r w:rsidRPr="007B2AEB">
        <w:rPr>
          <w:color w:val="0070C0"/>
        </w:rPr>
        <w:t xml:space="preserve">Acute exposure per day </w:t>
      </w:r>
      <w:r w:rsidR="0068349F" w:rsidRPr="007B2AEB">
        <w:rPr>
          <w:color w:val="0070C0"/>
        </w:rPr>
        <w:t>will be</w:t>
      </w:r>
      <w:r w:rsidRPr="007B2AEB">
        <w:rPr>
          <w:color w:val="0070C0"/>
        </w:rPr>
        <w:t xml:space="preserve"> assessed for each reporting day by multiplying </w:t>
      </w:r>
      <w:r w:rsidRPr="009D0021">
        <w:rPr>
          <w:color w:val="0070C0"/>
        </w:rPr>
        <w:t>the total daily consumed amount</w:t>
      </w:r>
      <w:r w:rsidRPr="007B2AEB">
        <w:rPr>
          <w:color w:val="0070C0"/>
        </w:rPr>
        <w:t xml:space="preserve"> for each relevant food by its concentration. </w:t>
      </w:r>
      <w:r w:rsidR="00AC2F96" w:rsidRPr="007B2AEB">
        <w:rPr>
          <w:color w:val="0070C0"/>
        </w:rPr>
        <w:t>First, t</w:t>
      </w:r>
      <w:r w:rsidR="00110AA7" w:rsidRPr="007B2AEB">
        <w:rPr>
          <w:color w:val="0070C0"/>
        </w:rPr>
        <w:t>he mean concentration</w:t>
      </w:r>
      <w:r w:rsidR="009E71FF" w:rsidRPr="007B2AEB">
        <w:rPr>
          <w:color w:val="0070C0"/>
        </w:rPr>
        <w:t>s</w:t>
      </w:r>
      <w:r w:rsidR="00110AA7" w:rsidRPr="007B2AEB">
        <w:rPr>
          <w:color w:val="0070C0"/>
        </w:rPr>
        <w:t xml:space="preserve"> </w:t>
      </w:r>
      <w:r w:rsidR="00134442" w:rsidRPr="007B2AEB">
        <w:rPr>
          <w:color w:val="0070C0"/>
        </w:rPr>
        <w:t>will be</w:t>
      </w:r>
      <w:r w:rsidR="00110AA7" w:rsidRPr="007B2AEB">
        <w:rPr>
          <w:color w:val="0070C0"/>
        </w:rPr>
        <w:t xml:space="preserve"> used to determine the </w:t>
      </w:r>
      <w:r w:rsidR="00AE74D7" w:rsidRPr="007B2AEB">
        <w:rPr>
          <w:color w:val="0070C0"/>
        </w:rPr>
        <w:t xml:space="preserve">two food categories contributing most to the exposure for a single day. Then, </w:t>
      </w:r>
      <w:r w:rsidRPr="007B2AEB">
        <w:rPr>
          <w:color w:val="0070C0"/>
        </w:rPr>
        <w:t>the maximum use level/</w:t>
      </w:r>
      <w:r w:rsidR="00246091" w:rsidRPr="007B2AEB">
        <w:rPr>
          <w:rFonts w:eastAsia="Calibri"/>
          <w:color w:val="0070C0"/>
        </w:rPr>
        <w:t>highest reliable percentile</w:t>
      </w:r>
      <w:r w:rsidR="002A1A42" w:rsidRPr="007B2AEB">
        <w:rPr>
          <w:color w:val="0070C0"/>
        </w:rPr>
        <w:t xml:space="preserve"> for these two food categories</w:t>
      </w:r>
      <w:r w:rsidR="00F420A6" w:rsidRPr="007B2AEB">
        <w:rPr>
          <w:color w:val="0070C0"/>
        </w:rPr>
        <w:t>, and the mean</w:t>
      </w:r>
      <w:r w:rsidR="00A737AF" w:rsidRPr="007B2AEB">
        <w:rPr>
          <w:color w:val="0070C0"/>
        </w:rPr>
        <w:t>/median</w:t>
      </w:r>
      <w:r w:rsidR="00F420A6" w:rsidRPr="007B2AEB">
        <w:rPr>
          <w:color w:val="0070C0"/>
        </w:rPr>
        <w:t xml:space="preserve"> </w:t>
      </w:r>
      <w:r w:rsidR="009E57B1" w:rsidRPr="007B2AEB">
        <w:rPr>
          <w:color w:val="0070C0"/>
        </w:rPr>
        <w:t>concentration</w:t>
      </w:r>
      <w:r w:rsidR="00DD05EF" w:rsidRPr="007B2AEB">
        <w:rPr>
          <w:color w:val="0070C0"/>
        </w:rPr>
        <w:t>s</w:t>
      </w:r>
      <w:r w:rsidR="00F420A6" w:rsidRPr="007B2AEB">
        <w:rPr>
          <w:color w:val="0070C0"/>
        </w:rPr>
        <w:t xml:space="preserve"> for</w:t>
      </w:r>
      <w:r w:rsidRPr="007B2AEB">
        <w:rPr>
          <w:color w:val="0070C0"/>
        </w:rPr>
        <w:t xml:space="preserve"> the remaining food categories</w:t>
      </w:r>
      <w:r w:rsidR="00F420A6" w:rsidRPr="007B2AEB">
        <w:rPr>
          <w:color w:val="0070C0"/>
        </w:rPr>
        <w:t xml:space="preserve"> </w:t>
      </w:r>
      <w:r w:rsidR="00134442" w:rsidRPr="007B2AEB">
        <w:rPr>
          <w:color w:val="0070C0"/>
        </w:rPr>
        <w:t>will be</w:t>
      </w:r>
      <w:r w:rsidR="002874F2" w:rsidRPr="007B2AEB">
        <w:rPr>
          <w:color w:val="0070C0"/>
        </w:rPr>
        <w:t xml:space="preserve"> used </w:t>
      </w:r>
      <w:r w:rsidR="00F420A6" w:rsidRPr="007B2AEB">
        <w:rPr>
          <w:color w:val="0070C0"/>
        </w:rPr>
        <w:t xml:space="preserve">to estimate </w:t>
      </w:r>
      <w:r w:rsidR="002874F2" w:rsidRPr="007B2AEB">
        <w:rPr>
          <w:color w:val="0070C0"/>
        </w:rPr>
        <w:t>the acute exposure</w:t>
      </w:r>
      <w:r w:rsidRPr="007B2AEB">
        <w:rPr>
          <w:color w:val="0070C0"/>
        </w:rPr>
        <w:t xml:space="preserve">. </w:t>
      </w:r>
      <w:r w:rsidR="3F50568B" w:rsidRPr="007B2AEB">
        <w:rPr>
          <w:color w:val="0070C0"/>
        </w:rPr>
        <w:t xml:space="preserve">This approach considers that </w:t>
      </w:r>
      <w:r w:rsidR="27236B13" w:rsidRPr="007B2AEB">
        <w:rPr>
          <w:color w:val="0070C0"/>
        </w:rPr>
        <w:t>f</w:t>
      </w:r>
      <w:r w:rsidRPr="007B2AEB">
        <w:rPr>
          <w:color w:val="0070C0"/>
        </w:rPr>
        <w:t xml:space="preserve">or the acute exposure, it is likely that the same person </w:t>
      </w:r>
      <w:r w:rsidR="00E94A3B" w:rsidRPr="007B2AEB">
        <w:rPr>
          <w:color w:val="0070C0"/>
        </w:rPr>
        <w:t xml:space="preserve">will </w:t>
      </w:r>
      <w:r w:rsidRPr="007B2AEB">
        <w:rPr>
          <w:color w:val="0070C0"/>
        </w:rPr>
        <w:t>consume foods from more than one food category with the highest</w:t>
      </w:r>
      <w:r w:rsidR="00C93A2E" w:rsidRPr="007B2AEB">
        <w:rPr>
          <w:color w:val="0070C0"/>
        </w:rPr>
        <w:t xml:space="preserve"> concentration</w:t>
      </w:r>
      <w:r w:rsidRPr="007B2AEB">
        <w:rPr>
          <w:color w:val="0070C0"/>
        </w:rPr>
        <w:t xml:space="preserve"> of sweetener on a single day</w:t>
      </w:r>
      <w:r w:rsidR="33D163C9" w:rsidRPr="007B2AEB">
        <w:rPr>
          <w:color w:val="0070C0"/>
        </w:rPr>
        <w:t xml:space="preserve"> especially </w:t>
      </w:r>
      <w:r w:rsidR="75E05808" w:rsidRPr="007B2AEB">
        <w:rPr>
          <w:color w:val="0070C0"/>
        </w:rPr>
        <w:t>consumers following dietary restrictions</w:t>
      </w:r>
      <w:r w:rsidRPr="007B2AEB">
        <w:rPr>
          <w:color w:val="0070C0"/>
        </w:rPr>
        <w:t xml:space="preserve">. The exposures </w:t>
      </w:r>
      <w:r w:rsidR="09B8EA84" w:rsidRPr="5EC9CA25">
        <w:rPr>
          <w:color w:val="0070C0"/>
        </w:rPr>
        <w:t>from</w:t>
      </w:r>
      <w:r w:rsidR="00C02953" w:rsidRPr="007B2AEB">
        <w:rPr>
          <w:color w:val="0070C0"/>
        </w:rPr>
        <w:t xml:space="preserve"> all </w:t>
      </w:r>
      <w:r w:rsidRPr="007B2AEB">
        <w:rPr>
          <w:color w:val="0070C0"/>
        </w:rPr>
        <w:t>food</w:t>
      </w:r>
      <w:r w:rsidR="00F66115" w:rsidRPr="007B2AEB">
        <w:rPr>
          <w:color w:val="0070C0"/>
        </w:rPr>
        <w:t>s</w:t>
      </w:r>
      <w:r w:rsidRPr="007B2AEB">
        <w:rPr>
          <w:color w:val="0070C0"/>
        </w:rPr>
        <w:t xml:space="preserve"> w</w:t>
      </w:r>
      <w:r w:rsidR="00A84922" w:rsidRPr="007B2AEB">
        <w:rPr>
          <w:color w:val="0070C0"/>
        </w:rPr>
        <w:t xml:space="preserve">ill </w:t>
      </w:r>
      <w:r w:rsidR="00F66115" w:rsidRPr="007B2AEB">
        <w:rPr>
          <w:color w:val="0070C0"/>
        </w:rPr>
        <w:t xml:space="preserve">then </w:t>
      </w:r>
      <w:r w:rsidR="00A84922" w:rsidRPr="007B2AEB">
        <w:rPr>
          <w:color w:val="0070C0"/>
        </w:rPr>
        <w:t>be</w:t>
      </w:r>
      <w:r w:rsidRPr="007B2AEB">
        <w:rPr>
          <w:color w:val="0070C0"/>
        </w:rPr>
        <w:t xml:space="preserve"> summed </w:t>
      </w:r>
      <w:r w:rsidR="00FA6E2E" w:rsidRPr="007B2AEB">
        <w:rPr>
          <w:color w:val="0070C0"/>
        </w:rPr>
        <w:t xml:space="preserve">up </w:t>
      </w:r>
      <w:r w:rsidR="00C74088" w:rsidRPr="007B2AEB">
        <w:rPr>
          <w:color w:val="0070C0"/>
        </w:rPr>
        <w:t xml:space="preserve">and either reported </w:t>
      </w:r>
      <w:r w:rsidR="00C14EE8" w:rsidRPr="007B2AEB">
        <w:rPr>
          <w:color w:val="0070C0"/>
        </w:rPr>
        <w:t xml:space="preserve">as </w:t>
      </w:r>
      <w:r w:rsidR="00425E07" w:rsidRPr="007B2AEB">
        <w:rPr>
          <w:color w:val="0070C0"/>
        </w:rPr>
        <w:t xml:space="preserve">mg </w:t>
      </w:r>
      <w:r w:rsidR="00C74088" w:rsidRPr="007B2AEB">
        <w:rPr>
          <w:color w:val="0070C0"/>
        </w:rPr>
        <w:t xml:space="preserve">per person </w:t>
      </w:r>
      <w:r w:rsidRPr="007B2AEB">
        <w:rPr>
          <w:color w:val="0070C0"/>
        </w:rPr>
        <w:t xml:space="preserve">per day </w:t>
      </w:r>
      <w:r w:rsidR="007A47D8" w:rsidRPr="007B2AEB">
        <w:rPr>
          <w:color w:val="0070C0"/>
        </w:rPr>
        <w:t>and/</w:t>
      </w:r>
      <w:r w:rsidR="00C14EE8" w:rsidRPr="007B2AEB">
        <w:rPr>
          <w:color w:val="0070C0"/>
        </w:rPr>
        <w:t>or</w:t>
      </w:r>
      <w:r w:rsidRPr="007B2AEB">
        <w:rPr>
          <w:color w:val="0070C0"/>
        </w:rPr>
        <w:t xml:space="preserve"> </w:t>
      </w:r>
      <w:r w:rsidR="00774B05" w:rsidRPr="007B2AEB">
        <w:rPr>
          <w:color w:val="0070C0"/>
        </w:rPr>
        <w:t>as</w:t>
      </w:r>
      <w:r w:rsidRPr="007B2AEB">
        <w:rPr>
          <w:color w:val="0070C0"/>
        </w:rPr>
        <w:t xml:space="preserve"> mg</w:t>
      </w:r>
      <w:r w:rsidR="00C615B8" w:rsidRPr="007B2AEB">
        <w:rPr>
          <w:color w:val="0070C0"/>
        </w:rPr>
        <w:t xml:space="preserve"> per </w:t>
      </w:r>
      <w:r w:rsidRPr="007B2AEB">
        <w:rPr>
          <w:color w:val="0070C0"/>
        </w:rPr>
        <w:t>kg b</w:t>
      </w:r>
      <w:r w:rsidR="00C615B8" w:rsidRPr="007B2AEB">
        <w:rPr>
          <w:color w:val="0070C0"/>
        </w:rPr>
        <w:t xml:space="preserve">ody </w:t>
      </w:r>
      <w:r w:rsidRPr="007B2AEB">
        <w:rPr>
          <w:color w:val="0070C0"/>
        </w:rPr>
        <w:t>w</w:t>
      </w:r>
      <w:r w:rsidR="00C615B8" w:rsidRPr="007B2AEB">
        <w:rPr>
          <w:color w:val="0070C0"/>
        </w:rPr>
        <w:t>eight</w:t>
      </w:r>
      <w:r w:rsidRPr="007B2AEB">
        <w:rPr>
          <w:color w:val="0070C0"/>
        </w:rPr>
        <w:t xml:space="preserve"> per day</w:t>
      </w:r>
      <w:r w:rsidR="00EA28CB" w:rsidRPr="007B2AEB">
        <w:rPr>
          <w:color w:val="0070C0"/>
        </w:rPr>
        <w:t xml:space="preserve">, using </w:t>
      </w:r>
      <w:r w:rsidR="007304AD" w:rsidRPr="007B2AEB">
        <w:rPr>
          <w:color w:val="0070C0"/>
        </w:rPr>
        <w:t xml:space="preserve">the </w:t>
      </w:r>
      <w:r w:rsidR="00A7516D" w:rsidRPr="007B2AEB">
        <w:rPr>
          <w:color w:val="0070C0"/>
        </w:rPr>
        <w:t xml:space="preserve">individual </w:t>
      </w:r>
      <w:r w:rsidR="00B60FF2" w:rsidRPr="007B2AEB">
        <w:rPr>
          <w:color w:val="0070C0"/>
        </w:rPr>
        <w:t>body weights</w:t>
      </w:r>
      <w:r w:rsidR="00EA28CB" w:rsidRPr="007B2AEB">
        <w:rPr>
          <w:color w:val="0070C0"/>
        </w:rPr>
        <w:t xml:space="preserve"> from the </w:t>
      </w:r>
      <w:r w:rsidR="00D320B0" w:rsidRPr="007B2AEB">
        <w:rPr>
          <w:color w:val="0070C0"/>
        </w:rPr>
        <w:t>EFSA Comprehensive database</w:t>
      </w:r>
      <w:r w:rsidR="007304AD" w:rsidRPr="007B2AEB">
        <w:rPr>
          <w:color w:val="0070C0"/>
        </w:rPr>
        <w:t>.</w:t>
      </w:r>
      <w:r w:rsidRPr="007B2AEB">
        <w:rPr>
          <w:color w:val="0070C0"/>
        </w:rPr>
        <w:t xml:space="preserve"> </w:t>
      </w:r>
    </w:p>
    <w:p w14:paraId="01FAAC53" w14:textId="52C0C31D" w:rsidR="003C06F0" w:rsidRPr="007B2AEB" w:rsidRDefault="00DE5992" w:rsidP="00D8528C">
      <w:pPr>
        <w:pStyle w:val="EFSABodytext"/>
        <w:rPr>
          <w:color w:val="0070C0"/>
        </w:rPr>
      </w:pPr>
      <w:r w:rsidRPr="007B2AEB">
        <w:rPr>
          <w:color w:val="0070C0"/>
        </w:rPr>
        <w:t xml:space="preserve">Acute exposure per meal will be assessed </w:t>
      </w:r>
      <w:r w:rsidR="00565A41" w:rsidRPr="007B2AEB">
        <w:rPr>
          <w:color w:val="0070C0"/>
        </w:rPr>
        <w:t>similarly</w:t>
      </w:r>
      <w:r w:rsidR="00DF0EF5" w:rsidRPr="007B2AEB">
        <w:rPr>
          <w:color w:val="0070C0"/>
        </w:rPr>
        <w:t xml:space="preserve">. </w:t>
      </w:r>
      <w:r w:rsidR="007F53B3" w:rsidRPr="007B2AEB">
        <w:rPr>
          <w:color w:val="0070C0"/>
        </w:rPr>
        <w:t>Meal</w:t>
      </w:r>
      <w:r w:rsidR="005344CA" w:rsidRPr="007B2AEB">
        <w:rPr>
          <w:color w:val="0070C0"/>
        </w:rPr>
        <w:t>s</w:t>
      </w:r>
      <w:r w:rsidR="007F53B3" w:rsidRPr="007B2AEB">
        <w:rPr>
          <w:color w:val="0070C0"/>
        </w:rPr>
        <w:t xml:space="preserve"> in the </w:t>
      </w:r>
      <w:r w:rsidR="00D34117" w:rsidRPr="007B2AEB">
        <w:rPr>
          <w:color w:val="0070C0"/>
        </w:rPr>
        <w:t xml:space="preserve">Comprehensive </w:t>
      </w:r>
      <w:r w:rsidR="00221E86" w:rsidRPr="007B2AEB">
        <w:rPr>
          <w:color w:val="0070C0"/>
        </w:rPr>
        <w:t xml:space="preserve">database </w:t>
      </w:r>
      <w:r w:rsidR="005344CA" w:rsidRPr="007B2AEB">
        <w:rPr>
          <w:color w:val="0070C0"/>
        </w:rPr>
        <w:t>are</w:t>
      </w:r>
      <w:r w:rsidR="00221E86" w:rsidRPr="007B2AEB">
        <w:rPr>
          <w:color w:val="0070C0"/>
        </w:rPr>
        <w:t xml:space="preserve"> defined as</w:t>
      </w:r>
      <w:r w:rsidR="005344CA" w:rsidRPr="007B2AEB">
        <w:rPr>
          <w:color w:val="0070C0"/>
        </w:rPr>
        <w:t xml:space="preserve"> breakfast, lunch, din</w:t>
      </w:r>
      <w:r w:rsidR="00221E86" w:rsidRPr="007B2AEB">
        <w:rPr>
          <w:color w:val="0070C0"/>
        </w:rPr>
        <w:t>n</w:t>
      </w:r>
      <w:r w:rsidR="005344CA" w:rsidRPr="007B2AEB">
        <w:rPr>
          <w:color w:val="0070C0"/>
        </w:rPr>
        <w:t>er, and snacks in between.</w:t>
      </w:r>
      <w:r w:rsidR="007F53B3" w:rsidRPr="007B2AEB">
        <w:rPr>
          <w:color w:val="0070C0"/>
        </w:rPr>
        <w:t xml:space="preserve"> </w:t>
      </w:r>
      <w:r w:rsidR="007B727F" w:rsidRPr="007B2AEB">
        <w:rPr>
          <w:color w:val="0070C0"/>
        </w:rPr>
        <w:t>‘</w:t>
      </w:r>
      <w:r w:rsidR="005344CA" w:rsidRPr="007B2AEB">
        <w:rPr>
          <w:color w:val="0070C0"/>
        </w:rPr>
        <w:t>Unclassified</w:t>
      </w:r>
      <w:r w:rsidR="007B727F" w:rsidRPr="007B2AEB">
        <w:rPr>
          <w:color w:val="0070C0"/>
        </w:rPr>
        <w:t>’</w:t>
      </w:r>
      <w:r w:rsidR="005344CA" w:rsidRPr="007B2AEB">
        <w:rPr>
          <w:color w:val="0070C0"/>
        </w:rPr>
        <w:t xml:space="preserve"> </w:t>
      </w:r>
      <w:r w:rsidR="1C75E2E3" w:rsidRPr="56A7FAB9">
        <w:rPr>
          <w:color w:val="0070C0"/>
        </w:rPr>
        <w:t>eating events</w:t>
      </w:r>
      <w:r w:rsidR="005344CA" w:rsidRPr="007B2AEB">
        <w:rPr>
          <w:color w:val="0070C0"/>
        </w:rPr>
        <w:t xml:space="preserve"> are those </w:t>
      </w:r>
      <w:r w:rsidR="00F15976" w:rsidRPr="007B2AEB">
        <w:rPr>
          <w:color w:val="0070C0"/>
        </w:rPr>
        <w:t>that are not assign</w:t>
      </w:r>
      <w:r w:rsidR="00FB4757" w:rsidRPr="007B2AEB">
        <w:rPr>
          <w:color w:val="0070C0"/>
        </w:rPr>
        <w:t>ed</w:t>
      </w:r>
      <w:r w:rsidR="00F15976" w:rsidRPr="007B2AEB">
        <w:rPr>
          <w:color w:val="0070C0"/>
        </w:rPr>
        <w:t xml:space="preserve"> to any meal </w:t>
      </w:r>
      <w:r w:rsidR="005015B7" w:rsidRPr="007B2AEB">
        <w:rPr>
          <w:color w:val="0070C0"/>
        </w:rPr>
        <w:t>during</w:t>
      </w:r>
      <w:r w:rsidR="00CB5E3E" w:rsidRPr="007B2AEB">
        <w:rPr>
          <w:color w:val="0070C0"/>
        </w:rPr>
        <w:t xml:space="preserve"> a day</w:t>
      </w:r>
      <w:r w:rsidR="00F15976" w:rsidRPr="007B2AEB">
        <w:rPr>
          <w:color w:val="0070C0"/>
        </w:rPr>
        <w:t>.</w:t>
      </w:r>
      <w:r w:rsidR="00D8528C" w:rsidRPr="007B2AEB">
        <w:rPr>
          <w:color w:val="0070C0"/>
        </w:rPr>
        <w:t xml:space="preserve"> </w:t>
      </w:r>
      <w:r w:rsidR="00986919" w:rsidRPr="007B2AEB">
        <w:rPr>
          <w:color w:val="0070C0"/>
        </w:rPr>
        <w:t>The e</w:t>
      </w:r>
      <w:r w:rsidR="003C06F0" w:rsidRPr="007B2AEB">
        <w:rPr>
          <w:color w:val="0070C0"/>
        </w:rPr>
        <w:t xml:space="preserve">xposure from these ‘unclassified’ </w:t>
      </w:r>
      <w:r w:rsidR="003C06F0" w:rsidRPr="00CF6085">
        <w:rPr>
          <w:color w:val="0070C0"/>
        </w:rPr>
        <w:t>foods</w:t>
      </w:r>
      <w:r w:rsidR="003C06F0" w:rsidRPr="007B2AEB">
        <w:rPr>
          <w:color w:val="0070C0"/>
        </w:rPr>
        <w:t xml:space="preserve"> </w:t>
      </w:r>
      <w:r w:rsidR="006650B4" w:rsidRPr="007B2AEB">
        <w:rPr>
          <w:color w:val="0070C0"/>
        </w:rPr>
        <w:t>are</w:t>
      </w:r>
      <w:r w:rsidR="003C06F0" w:rsidRPr="007B2AEB">
        <w:rPr>
          <w:color w:val="0070C0"/>
        </w:rPr>
        <w:t xml:space="preserve"> added to the meal having the highest exposure</w:t>
      </w:r>
      <w:r w:rsidR="00CB5E3E" w:rsidRPr="007B2AEB">
        <w:rPr>
          <w:color w:val="0070C0"/>
        </w:rPr>
        <w:t xml:space="preserve"> </w:t>
      </w:r>
      <w:r w:rsidR="00810A5A" w:rsidRPr="007B2AEB">
        <w:rPr>
          <w:color w:val="0070C0"/>
        </w:rPr>
        <w:t>on</w:t>
      </w:r>
      <w:r w:rsidR="00CB5E3E" w:rsidRPr="007B2AEB">
        <w:rPr>
          <w:color w:val="0070C0"/>
        </w:rPr>
        <w:t xml:space="preserve"> that day</w:t>
      </w:r>
      <w:r w:rsidR="003C06F0" w:rsidRPr="007B2AEB">
        <w:rPr>
          <w:color w:val="0070C0"/>
        </w:rPr>
        <w:t xml:space="preserve">. After this, the two main food categories contributing to the exposure </w:t>
      </w:r>
      <w:r w:rsidR="00AB7F12" w:rsidRPr="007B2AEB">
        <w:rPr>
          <w:color w:val="0070C0"/>
        </w:rPr>
        <w:t xml:space="preserve">for a meal </w:t>
      </w:r>
      <w:r w:rsidR="00376ECC" w:rsidRPr="007B2AEB">
        <w:rPr>
          <w:color w:val="0070C0"/>
        </w:rPr>
        <w:t>are</w:t>
      </w:r>
      <w:r w:rsidR="003C06F0" w:rsidRPr="007B2AEB">
        <w:rPr>
          <w:color w:val="0070C0"/>
        </w:rPr>
        <w:t xml:space="preserve"> </w:t>
      </w:r>
      <w:r w:rsidR="39689B7C" w:rsidRPr="56A7FAB9">
        <w:rPr>
          <w:color w:val="0070C0"/>
        </w:rPr>
        <w:t xml:space="preserve">identified </w:t>
      </w:r>
      <w:r w:rsidR="003C06F0" w:rsidRPr="56A7FAB9">
        <w:rPr>
          <w:color w:val="0070C0"/>
        </w:rPr>
        <w:t>as described above.</w:t>
      </w:r>
      <w:r w:rsidR="68F1BE95" w:rsidRPr="56A7FAB9">
        <w:rPr>
          <w:color w:val="0070C0"/>
        </w:rPr>
        <w:t xml:space="preserve"> Then, the maximum</w:t>
      </w:r>
      <w:r w:rsidR="00F13957">
        <w:rPr>
          <w:color w:val="0070C0"/>
        </w:rPr>
        <w:t xml:space="preserve"> reported</w:t>
      </w:r>
      <w:r w:rsidR="68F1BE95" w:rsidRPr="56A7FAB9">
        <w:rPr>
          <w:color w:val="0070C0"/>
        </w:rPr>
        <w:t xml:space="preserve"> use level/highest reliable percentile</w:t>
      </w:r>
      <w:r w:rsidR="00871989">
        <w:rPr>
          <w:color w:val="0070C0"/>
        </w:rPr>
        <w:t xml:space="preserve"> of analytical data</w:t>
      </w:r>
      <w:r w:rsidR="68F1BE95" w:rsidRPr="56A7FAB9">
        <w:rPr>
          <w:color w:val="0070C0"/>
        </w:rPr>
        <w:t xml:space="preserve"> for these two food categories, and the mean/median concentrations for the remaining food categories will be used to estimate the acute exposure.</w:t>
      </w:r>
      <w:r w:rsidR="003C06F0" w:rsidRPr="007B2AEB">
        <w:rPr>
          <w:color w:val="0070C0"/>
        </w:rPr>
        <w:t xml:space="preserve"> When no information on </w:t>
      </w:r>
      <w:r w:rsidR="00703005" w:rsidRPr="007B2AEB">
        <w:rPr>
          <w:color w:val="0070C0"/>
        </w:rPr>
        <w:t xml:space="preserve">any </w:t>
      </w:r>
      <w:r w:rsidR="003C06F0" w:rsidRPr="007B2AEB">
        <w:rPr>
          <w:color w:val="0070C0"/>
        </w:rPr>
        <w:t xml:space="preserve">meals </w:t>
      </w:r>
      <w:r w:rsidR="00376ECC" w:rsidRPr="007B2AEB">
        <w:rPr>
          <w:color w:val="0070C0"/>
        </w:rPr>
        <w:t>is</w:t>
      </w:r>
      <w:r w:rsidR="003C06F0" w:rsidRPr="007B2AEB">
        <w:rPr>
          <w:color w:val="0070C0"/>
        </w:rPr>
        <w:t xml:space="preserve"> available for a certain day, the consumption of the foods reported on that day </w:t>
      </w:r>
      <w:r w:rsidR="00376ECC" w:rsidRPr="007B2AEB">
        <w:rPr>
          <w:color w:val="0070C0"/>
        </w:rPr>
        <w:t>is</w:t>
      </w:r>
      <w:r w:rsidR="003C06F0" w:rsidRPr="007B2AEB">
        <w:rPr>
          <w:color w:val="0070C0"/>
        </w:rPr>
        <w:t xml:space="preserve"> not taken into consideration.</w:t>
      </w:r>
    </w:p>
    <w:p w14:paraId="27016434" w14:textId="397B3C17" w:rsidR="00A808B8" w:rsidRPr="007B2AEB" w:rsidRDefault="003C06F0" w:rsidP="0068349F">
      <w:pPr>
        <w:pStyle w:val="EFSABodytext"/>
        <w:rPr>
          <w:rStyle w:val="ui-provider"/>
          <w:color w:val="0070C0"/>
          <w:highlight w:val="yellow"/>
        </w:rPr>
      </w:pPr>
      <w:r w:rsidRPr="007B2AEB">
        <w:rPr>
          <w:color w:val="0070C0"/>
        </w:rPr>
        <w:t xml:space="preserve">The 95th, 97.5th and 99th percentiles of exposure per day and meal </w:t>
      </w:r>
      <w:r w:rsidR="00376ECC" w:rsidRPr="007B2AEB">
        <w:rPr>
          <w:color w:val="0070C0"/>
        </w:rPr>
        <w:t>will be</w:t>
      </w:r>
      <w:r w:rsidRPr="007B2AEB">
        <w:rPr>
          <w:color w:val="0070C0"/>
        </w:rPr>
        <w:t xml:space="preserve"> calculated to express a high level of acute exposure</w:t>
      </w:r>
      <w:r w:rsidR="00376ECC" w:rsidRPr="007B2AEB">
        <w:rPr>
          <w:color w:val="0070C0"/>
        </w:rPr>
        <w:t>.</w:t>
      </w:r>
      <w:r w:rsidR="001F5966" w:rsidRPr="007B2AEB">
        <w:rPr>
          <w:color w:val="0070C0"/>
        </w:rPr>
        <w:t xml:space="preserve"> </w:t>
      </w:r>
      <w:r w:rsidR="00A808B8" w:rsidRPr="007B2AEB">
        <w:rPr>
          <w:rStyle w:val="ui-provider"/>
          <w:color w:val="0070C0"/>
        </w:rPr>
        <w:t xml:space="preserve">The food categories having the most important contribution to the acute dietary exposure to </w:t>
      </w:r>
      <w:r w:rsidR="00994BE5" w:rsidRPr="007B2AEB">
        <w:rPr>
          <w:rStyle w:val="ui-provider"/>
          <w:color w:val="0070C0"/>
        </w:rPr>
        <w:t xml:space="preserve">sweeteners </w:t>
      </w:r>
      <w:r w:rsidR="00822772" w:rsidRPr="007B2AEB">
        <w:rPr>
          <w:rStyle w:val="ui-provider"/>
          <w:color w:val="0070C0"/>
        </w:rPr>
        <w:t xml:space="preserve">will be </w:t>
      </w:r>
      <w:r w:rsidR="00A808B8" w:rsidRPr="007B2AEB">
        <w:rPr>
          <w:rStyle w:val="ui-provider"/>
          <w:color w:val="0070C0"/>
        </w:rPr>
        <w:t xml:space="preserve">determined across age classes and dietary surveys based on the </w:t>
      </w:r>
      <w:r w:rsidR="00603DB7" w:rsidRPr="007B2AEB">
        <w:rPr>
          <w:rStyle w:val="ui-provider"/>
          <w:color w:val="0070C0"/>
        </w:rPr>
        <w:t xml:space="preserve">high </w:t>
      </w:r>
      <w:r w:rsidR="00A808B8" w:rsidRPr="007B2AEB">
        <w:rPr>
          <w:rStyle w:val="ui-provider"/>
          <w:color w:val="0070C0"/>
        </w:rPr>
        <w:t>percentile</w:t>
      </w:r>
      <w:r w:rsidR="000B6A15" w:rsidRPr="007B2AEB">
        <w:rPr>
          <w:rStyle w:val="ui-provider"/>
          <w:color w:val="0070C0"/>
        </w:rPr>
        <w:t>s of</w:t>
      </w:r>
      <w:r w:rsidR="00A808B8" w:rsidRPr="007B2AEB">
        <w:rPr>
          <w:rStyle w:val="ui-provider"/>
          <w:color w:val="0070C0"/>
        </w:rPr>
        <w:t xml:space="preserve"> exposure.</w:t>
      </w:r>
    </w:p>
    <w:p w14:paraId="00EA535D" w14:textId="3CC4296D" w:rsidR="00242AA1" w:rsidRPr="007B2AEB" w:rsidRDefault="00242AA1" w:rsidP="00242AA1">
      <w:pPr>
        <w:pStyle w:val="EFSABodytext"/>
        <w:rPr>
          <w:color w:val="0070C0"/>
        </w:rPr>
      </w:pPr>
      <w:r w:rsidRPr="007B2AEB">
        <w:rPr>
          <w:color w:val="0070C0"/>
        </w:rPr>
        <w:t>These percentiles are only statistically robust if based on a sufficiently large number of observations</w:t>
      </w:r>
      <w:r w:rsidR="00E26F0B" w:rsidRPr="007B2AEB">
        <w:rPr>
          <w:color w:val="0070C0"/>
        </w:rPr>
        <w:t xml:space="preserve"> (EFSA, 2011)</w:t>
      </w:r>
      <w:r w:rsidRPr="007B2AEB">
        <w:rPr>
          <w:color w:val="0070C0"/>
        </w:rPr>
        <w:t xml:space="preserve">, thus it will not be possible to calculate these percentiles for all surveys. </w:t>
      </w:r>
    </w:p>
    <w:p w14:paraId="54275222" w14:textId="0AD92F5F" w:rsidR="00B04919" w:rsidRPr="007B2AEB" w:rsidRDefault="005440CA" w:rsidP="00B04919">
      <w:pPr>
        <w:pStyle w:val="EFSABodytext"/>
        <w:rPr>
          <w:color w:val="0070C0"/>
        </w:rPr>
      </w:pPr>
      <w:r>
        <w:rPr>
          <w:color w:val="0070C0"/>
        </w:rPr>
        <w:t>A</w:t>
      </w:r>
      <w:r w:rsidR="005B697B" w:rsidRPr="007B2AEB">
        <w:rPr>
          <w:color w:val="0070C0"/>
        </w:rPr>
        <w:t xml:space="preserve">cute </w:t>
      </w:r>
      <w:r w:rsidR="00B04919" w:rsidRPr="007B2AEB">
        <w:rPr>
          <w:color w:val="0070C0"/>
        </w:rPr>
        <w:t xml:space="preserve">exposure </w:t>
      </w:r>
      <w:r w:rsidR="005B697B" w:rsidRPr="007B2AEB">
        <w:rPr>
          <w:color w:val="0070C0"/>
        </w:rPr>
        <w:t>assessment</w:t>
      </w:r>
      <w:r w:rsidR="00B04919" w:rsidRPr="007B2AEB">
        <w:rPr>
          <w:color w:val="0070C0"/>
        </w:rPr>
        <w:t xml:space="preserve"> refer</w:t>
      </w:r>
      <w:r w:rsidR="00E772CA" w:rsidRPr="007B2AEB">
        <w:rPr>
          <w:color w:val="0070C0"/>
        </w:rPr>
        <w:t>s</w:t>
      </w:r>
      <w:r w:rsidR="00B04919" w:rsidRPr="007B2AEB">
        <w:rPr>
          <w:color w:val="0070C0"/>
        </w:rPr>
        <w:t xml:space="preserve"> to consumers only of at least one food category containing the sweetener and will be reported for each dietary survey and population group. </w:t>
      </w:r>
    </w:p>
    <w:p w14:paraId="1CEFA5B1" w14:textId="2BEE2C03" w:rsidR="00C85AEC" w:rsidRPr="007B2AEB" w:rsidRDefault="00242AA1" w:rsidP="00A00E6D">
      <w:pPr>
        <w:pStyle w:val="EFSABodytext"/>
        <w:rPr>
          <w:color w:val="0070C0"/>
        </w:rPr>
      </w:pPr>
      <w:r w:rsidRPr="007B2AEB">
        <w:rPr>
          <w:color w:val="0070C0"/>
        </w:rPr>
        <w:t>Details of acute exposure assessment per survey</w:t>
      </w:r>
      <w:r w:rsidR="000C7B9E" w:rsidRPr="007B2AEB">
        <w:rPr>
          <w:color w:val="0070C0"/>
        </w:rPr>
        <w:t xml:space="preserve"> per meal </w:t>
      </w:r>
      <w:r w:rsidR="00CB1FFE" w:rsidRPr="007B2AEB">
        <w:rPr>
          <w:color w:val="0070C0"/>
        </w:rPr>
        <w:t xml:space="preserve">or </w:t>
      </w:r>
      <w:r w:rsidR="000C7B9E" w:rsidRPr="007B2AEB">
        <w:rPr>
          <w:color w:val="0070C0"/>
        </w:rPr>
        <w:t>per day will be made available in annexes</w:t>
      </w:r>
      <w:r w:rsidRPr="007B2AEB">
        <w:rPr>
          <w:color w:val="0070C0"/>
        </w:rPr>
        <w:t xml:space="preserve">. </w:t>
      </w:r>
    </w:p>
    <w:p w14:paraId="12CA19AD" w14:textId="77777777" w:rsidR="00C85AEC" w:rsidRPr="007B2AEB" w:rsidRDefault="00C85AEC" w:rsidP="00A00E6D">
      <w:pPr>
        <w:pStyle w:val="EFSABodytext"/>
        <w:rPr>
          <w:color w:val="0070C0"/>
        </w:rPr>
      </w:pPr>
    </w:p>
    <w:p w14:paraId="7F9E479A" w14:textId="387BC007" w:rsidR="00214C6C" w:rsidRDefault="00A00E6D" w:rsidP="00A00E6D">
      <w:pPr>
        <w:pStyle w:val="EFSAHeading3"/>
      </w:pPr>
      <w:bookmarkStart w:id="52" w:name="_Toc181606795"/>
      <w:r>
        <w:t>Uncertainty analysis</w:t>
      </w:r>
      <w:bookmarkEnd w:id="52"/>
    </w:p>
    <w:p w14:paraId="762DDCF9" w14:textId="35B510A5" w:rsidR="00A00E6D" w:rsidRPr="00A8738C" w:rsidRDefault="00A00E6D" w:rsidP="00A00E6D">
      <w:pPr>
        <w:pStyle w:val="EFSABodytext"/>
      </w:pPr>
      <w:r>
        <w:t>In accordance with the guidance provided in the EFSA opinion related to uncertainties in dietary exposure assessment (EFSA, 200</w:t>
      </w:r>
      <w:r w:rsidR="00C9555E">
        <w:t>7</w:t>
      </w:r>
      <w:r>
        <w:t>), the sources of uncertainties considered are summarised in each opinion in a table</w:t>
      </w:r>
      <w:r w:rsidR="45A49DEF">
        <w:t xml:space="preserve"> in the uncertainty section</w:t>
      </w:r>
      <w:r>
        <w:t xml:space="preserve">. They are related to the food consumption data and </w:t>
      </w:r>
      <w:r w:rsidR="00C951D7">
        <w:t xml:space="preserve">to </w:t>
      </w:r>
      <w:r>
        <w:t>the concentration data (use</w:t>
      </w:r>
      <w:r w:rsidR="29A35814">
        <w:t xml:space="preserve"> levels</w:t>
      </w:r>
      <w:r>
        <w:t xml:space="preserve"> or analytical data) used, and to the </w:t>
      </w:r>
      <w:r w:rsidR="6F0F46D8">
        <w:t xml:space="preserve">dietary exposure assessment </w:t>
      </w:r>
      <w:r>
        <w:t xml:space="preserve">scenarios presented in the opinions. </w:t>
      </w:r>
    </w:p>
    <w:p w14:paraId="58832A60" w14:textId="100B0035" w:rsidR="00A00E6D" w:rsidRDefault="00A00E6D" w:rsidP="00A00E6D">
      <w:pPr>
        <w:pStyle w:val="EFSABodytext"/>
      </w:pPr>
      <w:r>
        <w:t>An uncertainty paragraph summarise</w:t>
      </w:r>
      <w:r w:rsidR="0FBFFFFA">
        <w:t>s</w:t>
      </w:r>
      <w:r>
        <w:t xml:space="preserve"> the uncertainties and indicate</w:t>
      </w:r>
      <w:r w:rsidR="72618BE9">
        <w:t>s</w:t>
      </w:r>
      <w:r>
        <w:t xml:space="preserve"> whether the exposure estimates can be considered as under- or overestimations of the true exposure.</w:t>
      </w:r>
    </w:p>
    <w:p w14:paraId="78CD0F28" w14:textId="293E6B0E" w:rsidR="000D2E66" w:rsidRDefault="00526A47" w:rsidP="00A00E6D">
      <w:pPr>
        <w:pStyle w:val="EFSABodytext"/>
      </w:pPr>
      <w:bookmarkStart w:id="53" w:name="_Hlk11398909"/>
      <w:r>
        <w:t xml:space="preserve">In order to </w:t>
      </w:r>
      <w:r w:rsidR="008A3D25">
        <w:t xml:space="preserve">evaluate </w:t>
      </w:r>
      <w:r w:rsidR="47A8E8F8">
        <w:t xml:space="preserve">a </w:t>
      </w:r>
      <w:r w:rsidR="008A3D25">
        <w:t xml:space="preserve">possible maximum underestimation </w:t>
      </w:r>
      <w:r>
        <w:t>related to the use of the FoodEx2 facets</w:t>
      </w:r>
      <w:r w:rsidR="00D271AB">
        <w:t>,</w:t>
      </w:r>
      <w:r>
        <w:t xml:space="preserve"> a</w:t>
      </w:r>
      <w:r w:rsidR="000D2E66">
        <w:t>n additional</w:t>
      </w:r>
      <w:r w:rsidR="008A3D25">
        <w:t xml:space="preserve"> refined</w:t>
      </w:r>
      <w:r w:rsidR="000D2E66">
        <w:t xml:space="preserve"> exposure scenario</w:t>
      </w:r>
      <w:r w:rsidR="00E64DF6">
        <w:t xml:space="preserve"> </w:t>
      </w:r>
      <w:r w:rsidR="179D57CF">
        <w:t>is</w:t>
      </w:r>
      <w:r w:rsidR="005376E9">
        <w:t xml:space="preserve"> </w:t>
      </w:r>
      <w:r w:rsidR="79B92228">
        <w:t xml:space="preserve">performed </w:t>
      </w:r>
      <w:r w:rsidR="005376E9">
        <w:t>and reported in the uncertaint</w:t>
      </w:r>
      <w:r w:rsidR="006B4D45">
        <w:t>y</w:t>
      </w:r>
      <w:r w:rsidR="005376E9">
        <w:t xml:space="preserve"> section</w:t>
      </w:r>
      <w:r w:rsidR="004D3EB7">
        <w:t>. It follow</w:t>
      </w:r>
      <w:r w:rsidR="007C6B6E">
        <w:t>s</w:t>
      </w:r>
      <w:r w:rsidR="004D3EB7">
        <w:t xml:space="preserve"> the same methodology described in section 5.2.3, but </w:t>
      </w:r>
      <w:r w:rsidR="4A1F845F">
        <w:t xml:space="preserve">it </w:t>
      </w:r>
      <w:r w:rsidR="004D3EB7">
        <w:t xml:space="preserve">will </w:t>
      </w:r>
      <w:r w:rsidR="09DD9BB8">
        <w:t xml:space="preserve">include </w:t>
      </w:r>
      <w:r w:rsidR="22128685">
        <w:t xml:space="preserve">all </w:t>
      </w:r>
      <w:r w:rsidR="47C7D12F">
        <w:t>eating events of</w:t>
      </w:r>
      <w:r w:rsidR="00E64DF6">
        <w:t xml:space="preserve"> foods authorised to contain</w:t>
      </w:r>
      <w:r w:rsidR="000D2E66">
        <w:t xml:space="preserve"> </w:t>
      </w:r>
      <w:r w:rsidR="00E64DF6">
        <w:t>a sweetener</w:t>
      </w:r>
      <w:r w:rsidR="21DAE3F2">
        <w:t xml:space="preserve"> </w:t>
      </w:r>
      <w:r w:rsidR="7AF64DB8">
        <w:t>irrespective of the facets</w:t>
      </w:r>
      <w:r>
        <w:t xml:space="preserve">. </w:t>
      </w:r>
    </w:p>
    <w:bookmarkEnd w:id="53"/>
    <w:p w14:paraId="3342D47E" w14:textId="6A88742E" w:rsidR="00643C76" w:rsidRPr="009F70D0" w:rsidRDefault="00E875FA" w:rsidP="00643C76">
      <w:pPr>
        <w:pStyle w:val="EFSABodytext"/>
      </w:pPr>
      <w:r>
        <w:t>T</w:t>
      </w:r>
      <w:r w:rsidR="00643C76">
        <w:t xml:space="preserve">he GNPD </w:t>
      </w:r>
      <w:r>
        <w:t xml:space="preserve">will be used </w:t>
      </w:r>
      <w:r w:rsidR="00643C76">
        <w:t>as a qualitative tool to evaluate the uncertainty related to the available use</w:t>
      </w:r>
      <w:r w:rsidR="0D664F22">
        <w:t xml:space="preserve"> levels</w:t>
      </w:r>
      <w:r w:rsidR="00643C76">
        <w:t>/analytical data</w:t>
      </w:r>
      <w:r w:rsidR="00A07C55">
        <w:t>.</w:t>
      </w:r>
      <w:r w:rsidR="00643C76">
        <w:t xml:space="preserve"> </w:t>
      </w:r>
      <w:r w:rsidR="0049426A">
        <w:t xml:space="preserve">As mentioned in </w:t>
      </w:r>
      <w:r w:rsidR="00C53C21">
        <w:t>s</w:t>
      </w:r>
      <w:r w:rsidR="0049426A">
        <w:t xml:space="preserve">ection </w:t>
      </w:r>
      <w:r w:rsidR="005C6042">
        <w:t>5</w:t>
      </w:r>
      <w:r w:rsidR="0049426A">
        <w:t>.1.3, f</w:t>
      </w:r>
      <w:r w:rsidR="00643C76">
        <w:t>or each specific sweetener</w:t>
      </w:r>
      <w:r w:rsidR="00A07C55">
        <w:t>,</w:t>
      </w:r>
      <w:r w:rsidR="00643C76">
        <w:t xml:space="preserve"> a table will be produced listing the number</w:t>
      </w:r>
      <w:r w:rsidR="000A7A45">
        <w:t>s</w:t>
      </w:r>
      <w:r w:rsidR="00643C76">
        <w:t xml:space="preserve"> and percentages of products </w:t>
      </w:r>
      <w:r w:rsidR="2AE7ADE4">
        <w:t xml:space="preserve">labelled to contain </w:t>
      </w:r>
      <w:r w:rsidR="00643C76">
        <w:t xml:space="preserve">the sweetener per food sub-category according to the GNPD food classification and </w:t>
      </w:r>
      <w:r w:rsidR="00F7639B">
        <w:t xml:space="preserve">in total </w:t>
      </w:r>
      <w:r w:rsidR="30CA1226">
        <w:t xml:space="preserve">across </w:t>
      </w:r>
      <w:r w:rsidR="00643C76">
        <w:t xml:space="preserve">all food </w:t>
      </w:r>
      <w:r w:rsidR="00E153F3">
        <w:t>sub</w:t>
      </w:r>
      <w:r w:rsidR="00DC33BC">
        <w:t>-</w:t>
      </w:r>
      <w:r w:rsidR="00643C76">
        <w:t>categories.</w:t>
      </w:r>
      <w:r w:rsidR="00734035">
        <w:t xml:space="preserve"> This should </w:t>
      </w:r>
      <w:r w:rsidR="000B178A">
        <w:t xml:space="preserve">give information on the </w:t>
      </w:r>
      <w:r w:rsidR="003E24E1">
        <w:t xml:space="preserve">use of </w:t>
      </w:r>
      <w:r w:rsidR="002F6BA3">
        <w:t>sweeten</w:t>
      </w:r>
      <w:r w:rsidR="00546CE6">
        <w:t>ers in products as available in the mar</w:t>
      </w:r>
      <w:r w:rsidR="00A74882">
        <w:t>ket.</w:t>
      </w:r>
      <w:r w:rsidR="00734035">
        <w:t xml:space="preserve"> </w:t>
      </w:r>
      <w:r w:rsidR="0017122A">
        <w:t>Based on this information, the following observations are possible:</w:t>
      </w:r>
    </w:p>
    <w:p w14:paraId="25DEC648" w14:textId="1F7A13E4" w:rsidR="00643C76" w:rsidRPr="009F70D0" w:rsidRDefault="00643C76" w:rsidP="00643C76">
      <w:pPr>
        <w:pStyle w:val="EFSABullet1"/>
      </w:pPr>
      <w:r>
        <w:t xml:space="preserve">There </w:t>
      </w:r>
      <w:r w:rsidR="00C87439">
        <w:t>is</w:t>
      </w:r>
      <w:r w:rsidR="003A4512">
        <w:t xml:space="preserve"> consistency between</w:t>
      </w:r>
      <w:r w:rsidR="00C87439">
        <w:t xml:space="preserve"> </w:t>
      </w:r>
      <w:r w:rsidR="003A4512">
        <w:t xml:space="preserve">the </w:t>
      </w:r>
      <w:r w:rsidR="00551589">
        <w:t xml:space="preserve">reported </w:t>
      </w:r>
      <w:r>
        <w:t>use</w:t>
      </w:r>
      <w:r w:rsidR="193950C0">
        <w:t xml:space="preserve"> levels</w:t>
      </w:r>
      <w:r>
        <w:t xml:space="preserve">/analytical data </w:t>
      </w:r>
      <w:r w:rsidR="006023CA">
        <w:t>for</w:t>
      </w:r>
      <w:r w:rsidR="0086627A">
        <w:t xml:space="preserve"> food</w:t>
      </w:r>
      <w:r w:rsidR="006023CA">
        <w:t>s</w:t>
      </w:r>
      <w:r w:rsidR="0086627A">
        <w:t xml:space="preserve"> and beverage</w:t>
      </w:r>
      <w:r w:rsidR="006023CA">
        <w:t>s</w:t>
      </w:r>
      <w:r w:rsidR="0086627A">
        <w:t xml:space="preserve"> </w:t>
      </w:r>
      <w:r w:rsidR="000E08BD">
        <w:t xml:space="preserve">with </w:t>
      </w:r>
      <w:r w:rsidR="00906141">
        <w:t xml:space="preserve">presence </w:t>
      </w:r>
      <w:r w:rsidR="000E08BD">
        <w:t>information</w:t>
      </w:r>
      <w:r w:rsidR="0022448D">
        <w:t xml:space="preserve"> from the</w:t>
      </w:r>
      <w:r>
        <w:t xml:space="preserve"> GNPD: </w:t>
      </w:r>
      <w:r w:rsidR="0094796C">
        <w:t>low uncertainty</w:t>
      </w:r>
      <w:r>
        <w:t>.</w:t>
      </w:r>
    </w:p>
    <w:p w14:paraId="33F62202" w14:textId="4C62F62F" w:rsidR="003A4512" w:rsidRPr="009F70D0" w:rsidRDefault="003A4512" w:rsidP="003A4512">
      <w:pPr>
        <w:pStyle w:val="EFSABullet1"/>
      </w:pPr>
      <w:r>
        <w:t xml:space="preserve">There is no consistency between </w:t>
      </w:r>
      <w:r w:rsidR="00551589">
        <w:t xml:space="preserve">reported </w:t>
      </w:r>
      <w:r>
        <w:t>use</w:t>
      </w:r>
      <w:r w:rsidR="5A946B8E">
        <w:t xml:space="preserve"> levels</w:t>
      </w:r>
      <w:r>
        <w:t xml:space="preserve">/analytical data for foods and beverages with </w:t>
      </w:r>
      <w:r w:rsidR="00906141">
        <w:t xml:space="preserve">presence </w:t>
      </w:r>
      <w:r>
        <w:t>information from the GNPD: high uncertainty.</w:t>
      </w:r>
    </w:p>
    <w:p w14:paraId="3CC1103F" w14:textId="03F2A2F2" w:rsidR="00800B00" w:rsidRDefault="00162F8F" w:rsidP="00A00E6D">
      <w:pPr>
        <w:pStyle w:val="EFSABodytext"/>
      </w:pPr>
      <w:r>
        <w:t>The approach</w:t>
      </w:r>
      <w:r w:rsidR="0079588D">
        <w:t xml:space="preserve"> </w:t>
      </w:r>
      <w:r w:rsidR="00543457">
        <w:t xml:space="preserve">on how </w:t>
      </w:r>
      <w:r w:rsidR="0079588D">
        <w:t>to include the food categories</w:t>
      </w:r>
      <w:r w:rsidR="00FF1803">
        <w:t xml:space="preserve"> with or without </w:t>
      </w:r>
      <w:r w:rsidR="00664D19">
        <w:t xml:space="preserve">facets </w:t>
      </w:r>
      <w:r w:rsidR="00FF1803">
        <w:t>(see</w:t>
      </w:r>
      <w:r>
        <w:t xml:space="preserve"> </w:t>
      </w:r>
      <w:r w:rsidR="00C53C21">
        <w:t>s</w:t>
      </w:r>
      <w:r>
        <w:t xml:space="preserve">ection </w:t>
      </w:r>
      <w:r w:rsidR="005C6042">
        <w:t>5</w:t>
      </w:r>
      <w:r>
        <w:t>.2.</w:t>
      </w:r>
      <w:r w:rsidR="007E5B96">
        <w:t>2</w:t>
      </w:r>
      <w:r w:rsidR="00B04E25">
        <w:t>.</w:t>
      </w:r>
      <w:r w:rsidR="00FF1803">
        <w:t>)</w:t>
      </w:r>
      <w:r>
        <w:t xml:space="preserve"> </w:t>
      </w:r>
      <w:r w:rsidR="00800B00">
        <w:t xml:space="preserve">could </w:t>
      </w:r>
      <w:r>
        <w:t xml:space="preserve">introduce </w:t>
      </w:r>
      <w:r w:rsidR="00800B00">
        <w:t xml:space="preserve">the following </w:t>
      </w:r>
      <w:r w:rsidR="00463011">
        <w:t>uncertainties:</w:t>
      </w:r>
    </w:p>
    <w:p w14:paraId="7B6DC9EB" w14:textId="41384ACD" w:rsidR="001D1018" w:rsidRDefault="001D1018" w:rsidP="004436E0">
      <w:pPr>
        <w:pStyle w:val="EFSABodytext"/>
      </w:pPr>
      <w:proofErr w:type="spellStart"/>
      <w:r>
        <w:t>i</w:t>
      </w:r>
      <w:proofErr w:type="spellEnd"/>
      <w:r>
        <w:t>)</w:t>
      </w:r>
      <w:r>
        <w:tab/>
      </w:r>
      <w:r w:rsidR="111BB704">
        <w:t xml:space="preserve">For </w:t>
      </w:r>
      <w:r w:rsidR="4B0FF125">
        <w:t>f</w:t>
      </w:r>
      <w:r w:rsidR="29A1FF8B">
        <w:t>ood</w:t>
      </w:r>
      <w:r w:rsidR="00E63368">
        <w:t xml:space="preserve"> </w:t>
      </w:r>
      <w:r w:rsidR="00436D85">
        <w:t>categories for which a</w:t>
      </w:r>
      <w:r w:rsidR="00E63368">
        <w:t xml:space="preserve">ll </w:t>
      </w:r>
      <w:r w:rsidR="00F945BB" w:rsidRPr="7ECD763C">
        <w:rPr>
          <w:rFonts w:eastAsiaTheme="minorEastAsia"/>
        </w:rPr>
        <w:t xml:space="preserve">eating occasions </w:t>
      </w:r>
      <w:r>
        <w:t>are</w:t>
      </w:r>
      <w:r w:rsidR="007014E2">
        <w:t xml:space="preserve"> </w:t>
      </w:r>
      <w:r w:rsidR="00BC22BE">
        <w:t>assumed to contain the sweetener</w:t>
      </w:r>
      <w:r w:rsidR="00490D0E">
        <w:t xml:space="preserve"> (without </w:t>
      </w:r>
      <w:r w:rsidR="00E57F16">
        <w:t xml:space="preserve">considering </w:t>
      </w:r>
      <w:r w:rsidR="00CB7B03">
        <w:t xml:space="preserve">FoodEx2 </w:t>
      </w:r>
      <w:r w:rsidR="00490D0E">
        <w:t>facets)</w:t>
      </w:r>
      <w:r>
        <w:t xml:space="preserve">: </w:t>
      </w:r>
      <w:r w:rsidR="003D4681">
        <w:t xml:space="preserve">from low to high uncertainty depending on the </w:t>
      </w:r>
      <w:r w:rsidR="001F6E27">
        <w:t>sweetener</w:t>
      </w:r>
      <w:r w:rsidR="004436E0">
        <w:t xml:space="preserve">. </w:t>
      </w:r>
      <w:r w:rsidR="00964E0E">
        <w:t>The uncertainty section should acknowledge</w:t>
      </w:r>
      <w:r w:rsidR="00202977">
        <w:t xml:space="preserve"> </w:t>
      </w:r>
      <w:r w:rsidR="037C3C99">
        <w:t>a</w:t>
      </w:r>
      <w:r w:rsidR="00964E0E">
        <w:t xml:space="preserve"> possible overestimation of the exposure</w:t>
      </w:r>
      <w:r w:rsidR="001F6E27">
        <w:t xml:space="preserve"> if relevant</w:t>
      </w:r>
      <w:r w:rsidR="00964E0E">
        <w:t>.</w:t>
      </w:r>
      <w:r w:rsidR="00240D65">
        <w:t xml:space="preserve"> </w:t>
      </w:r>
    </w:p>
    <w:p w14:paraId="6D2763C6" w14:textId="5DAF7331" w:rsidR="00463011" w:rsidRDefault="001D1018" w:rsidP="008F2315">
      <w:pPr>
        <w:pStyle w:val="EFSABodytext"/>
      </w:pPr>
      <w:r>
        <w:t>ii)</w:t>
      </w:r>
      <w:r>
        <w:tab/>
      </w:r>
      <w:r w:rsidR="00F27425">
        <w:t>F</w:t>
      </w:r>
      <w:r w:rsidR="00DC70F2">
        <w:t>or f</w:t>
      </w:r>
      <w:r w:rsidR="00F27425">
        <w:t xml:space="preserve">ood </w:t>
      </w:r>
      <w:r w:rsidR="00AE1FDA">
        <w:t>categories</w:t>
      </w:r>
      <w:r w:rsidR="00F27425">
        <w:t xml:space="preserve"> </w:t>
      </w:r>
      <w:r w:rsidR="00DC70F2">
        <w:t>for which</w:t>
      </w:r>
      <w:r w:rsidR="00AE1FDA">
        <w:t xml:space="preserve"> </w:t>
      </w:r>
      <w:r w:rsidR="00EA3637">
        <w:t xml:space="preserve">FoodEx2 facets are used to identify eating occasions of foods containing </w:t>
      </w:r>
      <w:r w:rsidR="001E1601">
        <w:t xml:space="preserve">a </w:t>
      </w:r>
      <w:r w:rsidR="00EA3637">
        <w:t>sweetener</w:t>
      </w:r>
      <w:r w:rsidR="00DC70F2">
        <w:t xml:space="preserve">, the direction and magnitude of the uncertainty </w:t>
      </w:r>
      <w:r w:rsidR="00EB252F">
        <w:t>depends on the quality of the dietary survey</w:t>
      </w:r>
      <w:r w:rsidR="00786C59">
        <w:t xml:space="preserve"> and can hardly be assessed</w:t>
      </w:r>
      <w:r w:rsidR="00982160">
        <w:t xml:space="preserve">. </w:t>
      </w:r>
      <w:r w:rsidR="00C726CA">
        <w:t>However, t</w:t>
      </w:r>
      <w:r w:rsidR="00982160">
        <w:t xml:space="preserve">he uncertainty </w:t>
      </w:r>
      <w:r w:rsidR="00C726CA">
        <w:t>will be</w:t>
      </w:r>
      <w:r w:rsidR="00982160">
        <w:t xml:space="preserve"> acknowledge</w:t>
      </w:r>
      <w:r w:rsidR="00C726CA">
        <w:t>d</w:t>
      </w:r>
      <w:r w:rsidR="00A050FC">
        <w:t xml:space="preserve"> in the opinion</w:t>
      </w:r>
      <w:r w:rsidR="00FD12D9">
        <w:t xml:space="preserve">. </w:t>
      </w:r>
    </w:p>
    <w:p w14:paraId="38E25446" w14:textId="77B62091" w:rsidR="00606671" w:rsidRPr="00E21404" w:rsidRDefault="00A41580" w:rsidP="00606671">
      <w:pPr>
        <w:pStyle w:val="EFSABodytext"/>
      </w:pPr>
      <w:r>
        <w:t xml:space="preserve">As indicated in </w:t>
      </w:r>
      <w:r w:rsidR="00C53C21">
        <w:t>s</w:t>
      </w:r>
      <w:r>
        <w:t xml:space="preserve">ection </w:t>
      </w:r>
      <w:r w:rsidR="00287BEE">
        <w:t>5.2.2</w:t>
      </w:r>
      <w:r w:rsidR="00A07A3A">
        <w:t>,</w:t>
      </w:r>
      <w:r w:rsidR="00287BEE">
        <w:t xml:space="preserve"> </w:t>
      </w:r>
      <w:r w:rsidR="001B69EE">
        <w:t xml:space="preserve">some of the sweeteners </w:t>
      </w:r>
      <w:r w:rsidR="009C335D">
        <w:t>are</w:t>
      </w:r>
      <w:r w:rsidR="001B69EE">
        <w:t xml:space="preserve"> </w:t>
      </w:r>
      <w:r w:rsidR="2E3990CD">
        <w:t>also</w:t>
      </w:r>
      <w:r w:rsidR="001B69EE">
        <w:t xml:space="preserve"> authorised as flavour enhancer (e.g. neotame and thaumatin in FC 12.6 sauces and FC 15.1 snacks)</w:t>
      </w:r>
      <w:r w:rsidR="365528E8">
        <w:t xml:space="preserve">. This </w:t>
      </w:r>
      <w:r w:rsidR="001B69EE">
        <w:t>use might not be captured in the consumption data with FoodEx2 facets</w:t>
      </w:r>
      <w:r w:rsidR="57049038">
        <w:t xml:space="preserve"> and </w:t>
      </w:r>
      <w:r w:rsidR="001B69EE">
        <w:t>might lead to a</w:t>
      </w:r>
      <w:r w:rsidR="004A27E5">
        <w:t>n</w:t>
      </w:r>
      <w:r w:rsidR="001B69EE">
        <w:t xml:space="preserve"> underestimation of exposure</w:t>
      </w:r>
      <w:r w:rsidR="3C378D2A">
        <w:t>. This</w:t>
      </w:r>
      <w:r w:rsidR="4C7D2A4E">
        <w:t xml:space="preserve"> </w:t>
      </w:r>
      <w:r w:rsidR="3EE71F8E">
        <w:t>will</w:t>
      </w:r>
      <w:r w:rsidR="3C378D2A">
        <w:t xml:space="preserve"> </w:t>
      </w:r>
      <w:r w:rsidR="001B69EE">
        <w:t xml:space="preserve">be considered in the </w:t>
      </w:r>
      <w:r w:rsidR="00161489">
        <w:t>uncertainty</w:t>
      </w:r>
      <w:r w:rsidR="001B69EE">
        <w:t xml:space="preserve"> section</w:t>
      </w:r>
      <w:r w:rsidR="019E4AF9">
        <w:t>, if relevant</w:t>
      </w:r>
      <w:r w:rsidR="001B69EE">
        <w:t>.</w:t>
      </w:r>
    </w:p>
    <w:p w14:paraId="1EAF2D09" w14:textId="77777777" w:rsidR="00900E44" w:rsidRDefault="00900E44" w:rsidP="00BE3776">
      <w:pPr>
        <w:pStyle w:val="EFSAHeading2"/>
      </w:pPr>
      <w:bookmarkStart w:id="54" w:name="_Toc181606796"/>
      <w:bookmarkStart w:id="55" w:name="_Toc399503964"/>
      <w:bookmarkStart w:id="56" w:name="_Toc399850651"/>
      <w:bookmarkStart w:id="57" w:name="_Toc405560713"/>
      <w:r>
        <w:t>Comparison with human urinary biomonitoring studies</w:t>
      </w:r>
      <w:bookmarkEnd w:id="54"/>
    </w:p>
    <w:p w14:paraId="415F8451" w14:textId="4EE77105" w:rsidR="00900E44" w:rsidRDefault="00900E44" w:rsidP="00900E44">
      <w:pPr>
        <w:pStyle w:val="EFSABodytext"/>
      </w:pPr>
      <w:r>
        <w:t xml:space="preserve">Exposure estimates from published human urinary biomonitoring studies </w:t>
      </w:r>
      <w:r w:rsidR="00C32666">
        <w:t xml:space="preserve">may </w:t>
      </w:r>
      <w:r>
        <w:t>be used as a cross-check of the estimates made using the scenarios described above</w:t>
      </w:r>
      <w:r w:rsidR="00E822E4">
        <w:t>, as well as for estimating external exposure</w:t>
      </w:r>
      <w:r>
        <w:t xml:space="preserve">. </w:t>
      </w:r>
    </w:p>
    <w:p w14:paraId="0863ED4C" w14:textId="34D4BC60" w:rsidR="00900E44" w:rsidRDefault="00900E44" w:rsidP="00900E44">
      <w:pPr>
        <w:pStyle w:val="EFSABodytext"/>
      </w:pPr>
      <w:r>
        <w:t>Some of the sweeteners are either not metabolised or are metabolised only poorly. So they are excreted completely or almost completely unchanged in the urine. Examples are acesulfame-K, saccharin and cyclamates</w:t>
      </w:r>
      <w:r w:rsidR="00B25F10">
        <w:t xml:space="preserve"> (</w:t>
      </w:r>
      <w:r w:rsidR="00144690" w:rsidRPr="00BB1FB1">
        <w:t xml:space="preserve">as reviewed in Lewis &amp; </w:t>
      </w:r>
      <w:proofErr w:type="spellStart"/>
      <w:r w:rsidR="00144690" w:rsidRPr="00BB1FB1">
        <w:t>Tzilivakis</w:t>
      </w:r>
      <w:proofErr w:type="spellEnd"/>
      <w:r w:rsidR="00144690" w:rsidRPr="00BB1FB1">
        <w:t>, 2021</w:t>
      </w:r>
      <w:r w:rsidR="00B25F10">
        <w:t>)</w:t>
      </w:r>
      <w:r>
        <w:t xml:space="preserve">. This gives the possibility to estimate exposure to sweeteners using human urinary biomonitoring, whereby the concentration in urine can be used to estimate the exposure of that person in the relevant period of time prior to urine collection. </w:t>
      </w:r>
    </w:p>
    <w:p w14:paraId="7C93363A" w14:textId="77777777" w:rsidR="00900E44" w:rsidRDefault="00900E44" w:rsidP="00900E44">
      <w:pPr>
        <w:pStyle w:val="EFSABodytext"/>
      </w:pPr>
      <w:r>
        <w:t xml:space="preserve">It may also be the case that even if metabolism is extensive, the metabolites of a sweetener may be unique and could be ascribed to the parent substance. In such a case, if the molar fraction of the urinary excreted metabolite can be related to the parent substance without too much uncertainty (e.g. inter- or intra-person variability), then measurements of the metabolite(s) could be used to derive estimates of exposure to the parent sweetener. </w:t>
      </w:r>
    </w:p>
    <w:p w14:paraId="3694430F" w14:textId="6C1A60D2" w:rsidR="00900E44" w:rsidRDefault="00900E44" w:rsidP="00900E44">
      <w:pPr>
        <w:pStyle w:val="EFSABodytext"/>
      </w:pPr>
      <w:r>
        <w:t xml:space="preserve">This would require that the biomonitoring data available are suitable and kinetic models are available to allow the conversion of biomonitoring data </w:t>
      </w:r>
      <w:r w:rsidR="6CA929EF">
        <w:t xml:space="preserve">(internal exposure) </w:t>
      </w:r>
      <w:r>
        <w:t xml:space="preserve">into </w:t>
      </w:r>
      <w:r w:rsidR="3FB2A1E2">
        <w:t>external exposure</w:t>
      </w:r>
      <w:r>
        <w:t xml:space="preserve">. </w:t>
      </w:r>
    </w:p>
    <w:p w14:paraId="70DD772E" w14:textId="4F26BEFB" w:rsidR="00900E44" w:rsidRDefault="00900E44" w:rsidP="00900E44">
      <w:pPr>
        <w:pStyle w:val="EFSABodytext"/>
      </w:pPr>
      <w:r>
        <w:t>Human biomonitoring data comprises a picture of the tested individual(s) at the moment/period of measurement and their use is based on extrapolation of the derived results to the general population. Human biomonitoring also captures exposure to a substance from all sources, not only dietary. For these reasons</w:t>
      </w:r>
      <w:r w:rsidR="692AA30D">
        <w:t>,</w:t>
      </w:r>
      <w:r>
        <w:t xml:space="preserve"> the cross-checking shall be performed to look for a general alignment of the different estimates of exposure rather than requiring any exact agreement. This shall be described in a narrative approach.</w:t>
      </w:r>
    </w:p>
    <w:p w14:paraId="7B320CA7" w14:textId="77777777" w:rsidR="00900E44" w:rsidRDefault="00900E44" w:rsidP="00900E44">
      <w:pPr>
        <w:pStyle w:val="EFSABodytext"/>
      </w:pPr>
    </w:p>
    <w:p w14:paraId="3AFD90B3" w14:textId="7BD29371" w:rsidR="00214C6C" w:rsidRPr="00012974" w:rsidRDefault="00214C6C" w:rsidP="00214C6C">
      <w:pPr>
        <w:pStyle w:val="EFSAHeading1nonumber"/>
      </w:pPr>
      <w:bookmarkStart w:id="58" w:name="_Toc181606797"/>
      <w:r w:rsidRPr="00012974">
        <w:t>References</w:t>
      </w:r>
      <w:bookmarkEnd w:id="55"/>
      <w:bookmarkEnd w:id="56"/>
      <w:bookmarkEnd w:id="57"/>
      <w:bookmarkEnd w:id="58"/>
    </w:p>
    <w:p w14:paraId="1FCA27FA" w14:textId="77777777" w:rsidR="00383FBA" w:rsidRDefault="00383FBA" w:rsidP="00383FBA">
      <w:pPr>
        <w:pStyle w:val="EFSAReferences"/>
      </w:pPr>
      <w:bookmarkStart w:id="59" w:name="_Toc399503965"/>
      <w:proofErr w:type="spellStart"/>
      <w:r w:rsidRPr="00012974">
        <w:t>Arcella</w:t>
      </w:r>
      <w:proofErr w:type="spellEnd"/>
      <w:r w:rsidRPr="00012974">
        <w:t xml:space="preserve">, D et al., 2004. </w:t>
      </w:r>
      <w:r w:rsidRPr="00383FBA">
        <w:t xml:space="preserve">Dietary estimated intake of intense sweeteners by Italian teenagers. Present levels and projections derived from the INRAN-RM-2001 food survey. </w:t>
      </w:r>
      <w:r w:rsidRPr="004D668E">
        <w:t>Food and Chemical Toxicology</w:t>
      </w:r>
      <w:r>
        <w:t>,</w:t>
      </w:r>
      <w:r w:rsidRPr="004D668E">
        <w:t xml:space="preserve"> </w:t>
      </w:r>
      <w:r>
        <w:t>42(4)</w:t>
      </w:r>
      <w:r w:rsidRPr="004D668E">
        <w:t xml:space="preserve">, </w:t>
      </w:r>
      <w:r>
        <w:t>677</w:t>
      </w:r>
      <w:r w:rsidRPr="004D668E">
        <w:t>-</w:t>
      </w:r>
      <w:r>
        <w:t>685.</w:t>
      </w:r>
    </w:p>
    <w:p w14:paraId="2DC0541F" w14:textId="356B54E2" w:rsidR="00F810DE" w:rsidRPr="00F810DE" w:rsidRDefault="00F810DE" w:rsidP="00383FBA">
      <w:pPr>
        <w:pStyle w:val="EFSAReferences"/>
        <w:rPr>
          <w:lang w:val="x-none"/>
        </w:rPr>
      </w:pPr>
      <w:r w:rsidRPr="00F810DE">
        <w:t>EC (Commission of the European Communities), 2001. Report from the Commission on dietary food additive intake in the European Union (542 final).</w:t>
      </w:r>
      <w:r>
        <w:t xml:space="preserve"> </w:t>
      </w:r>
    </w:p>
    <w:p w14:paraId="2CA4E51E" w14:textId="74D88EC5" w:rsidR="00AD7601" w:rsidRPr="00967962" w:rsidRDefault="00AD7601" w:rsidP="00AD7601">
      <w:pPr>
        <w:pStyle w:val="EFSAReferences"/>
      </w:pPr>
      <w:r w:rsidRPr="00967962">
        <w:t xml:space="preserve">EFSA </w:t>
      </w:r>
      <w:r w:rsidR="0088592C">
        <w:t>(</w:t>
      </w:r>
      <w:r w:rsidRPr="00967962">
        <w:t>European Food Safety Authority), 2007. Scientific opinion of the Scientific Committee related to uncertainties in dietary exposure assessment. EFSA Journal 2007;5(1):438, 54 pp. doi:10.2903/j.efsa.2007.438</w:t>
      </w:r>
    </w:p>
    <w:p w14:paraId="7F097E40" w14:textId="101D65CE" w:rsidR="003844A4" w:rsidRPr="00967962" w:rsidRDefault="003844A4" w:rsidP="00AD7601">
      <w:pPr>
        <w:pStyle w:val="EFSAReferences"/>
      </w:pPr>
      <w:r w:rsidRPr="003844A4">
        <w:t>EFSA (European Food Safety Authority), 2010. Standard sample description for food and feed. EFSA Journal 2010; 8(1):1457, 54 pp. doi:10.2903/j.efsa.2010.1457.</w:t>
      </w:r>
    </w:p>
    <w:p w14:paraId="247FDDD7" w14:textId="486368A4" w:rsidR="00671F8F" w:rsidRDefault="00671F8F" w:rsidP="00671F8F">
      <w:pPr>
        <w:pStyle w:val="EFSAReferences"/>
      </w:pPr>
      <w:r w:rsidRPr="00DF2DB2">
        <w:t>EFSA (European Food Safety Authority), 2011. Use of the EFSA Comprehensive European Food Consumption Database in Exposure Assessment. EFSA Journal 2011;9(3):2097, 34 pp. doi:10.2903/j.efsa.2011.2097</w:t>
      </w:r>
    </w:p>
    <w:p w14:paraId="28B23A67" w14:textId="2A95B2F5" w:rsidR="00DB74C5" w:rsidRPr="00325FEB" w:rsidRDefault="00DB74C5" w:rsidP="00671F8F">
      <w:pPr>
        <w:pStyle w:val="EFSAReferences"/>
        <w:rPr>
          <w:lang w:val="fr-FR"/>
        </w:rPr>
      </w:pPr>
      <w:r w:rsidRPr="00DB74C5">
        <w:t xml:space="preserve">EFSA (European Food Safety Authority), 2013. </w:t>
      </w:r>
      <w:r w:rsidRPr="00325FEB">
        <w:rPr>
          <w:lang w:val="fr-FR"/>
        </w:rPr>
        <w:t xml:space="preserve">Standard </w:t>
      </w:r>
      <w:proofErr w:type="spellStart"/>
      <w:r w:rsidRPr="00325FEB">
        <w:rPr>
          <w:lang w:val="fr-FR"/>
        </w:rPr>
        <w:t>Sample</w:t>
      </w:r>
      <w:proofErr w:type="spellEnd"/>
      <w:r w:rsidRPr="00325FEB">
        <w:rPr>
          <w:lang w:val="fr-FR"/>
        </w:rPr>
        <w:t xml:space="preserve"> Description ver. 2.0. EFSA Journal 2013;11(10):3424, 114 pp., doi:10.2903/j.efsa.2013.3424</w:t>
      </w:r>
    </w:p>
    <w:p w14:paraId="1A5961F9" w14:textId="77777777" w:rsidR="00AD7601" w:rsidRPr="00AD7601" w:rsidRDefault="00AD7601" w:rsidP="00AD7601">
      <w:pPr>
        <w:pStyle w:val="EFSAReferences"/>
      </w:pPr>
      <w:r w:rsidRPr="00AD7601">
        <w:t>EFSA ANS Panel (EFSA Panel on Food Additives and Nutrient Sources), 2014. Statement on a conceptual framework for the risk assessment of certain food additives re-evaluated under Commission Regulation (EU) No 257/2010. EFSA Journal 2014;12(6):3697, 11 pp. doi:10.2903/j.efsa.2014.3697</w:t>
      </w:r>
    </w:p>
    <w:p w14:paraId="740828F6" w14:textId="380773F8" w:rsidR="00214C6C" w:rsidRDefault="00A94F95" w:rsidP="006B410A">
      <w:pPr>
        <w:pStyle w:val="EFSAReferences"/>
        <w:rPr>
          <w:rStyle w:val="Hyperlink"/>
        </w:rPr>
      </w:pPr>
      <w:r w:rsidRPr="006B410A">
        <w:t>EFSA ANS Panel (EFSA Panel on Food Additives and Nutrient Sources added to</w:t>
      </w:r>
      <w:r>
        <w:t xml:space="preserve"> </w:t>
      </w:r>
      <w:r w:rsidRPr="006B410A">
        <w:t>Food), 2017. Statement on approach followed for the refined exposure assessment as</w:t>
      </w:r>
      <w:r>
        <w:t xml:space="preserve"> </w:t>
      </w:r>
      <w:r w:rsidRPr="006B410A">
        <w:t>part of the safety assessment of food additives under re-evaluation. EFSA Journal 2017;15(10):5042,</w:t>
      </w:r>
      <w:r w:rsidR="006B410A">
        <w:t xml:space="preserve"> </w:t>
      </w:r>
      <w:r w:rsidRPr="006B410A">
        <w:t>9 pp.</w:t>
      </w:r>
      <w:r>
        <w:t xml:space="preserve"> </w:t>
      </w:r>
      <w:hyperlink r:id="rId25" w:history="1">
        <w:r w:rsidR="00444D27" w:rsidRPr="008675AD">
          <w:rPr>
            <w:rStyle w:val="Hyperlink"/>
          </w:rPr>
          <w:t>https://doi.org/10.2903/j.efsa.2017.5042</w:t>
        </w:r>
      </w:hyperlink>
    </w:p>
    <w:p w14:paraId="10F8C8B0" w14:textId="478627E1" w:rsidR="00D207EC" w:rsidRDefault="00D207EC" w:rsidP="000C43E4">
      <w:pPr>
        <w:pStyle w:val="EFSAReferences"/>
        <w:rPr>
          <w:rStyle w:val="Hyperlink"/>
        </w:rPr>
      </w:pPr>
      <w:r w:rsidRPr="00D207EC">
        <w:t>EFSA Scientific Committee, 201</w:t>
      </w:r>
      <w:r>
        <w:t>7</w:t>
      </w:r>
      <w:r w:rsidRPr="00D207EC">
        <w:t xml:space="preserve">. </w:t>
      </w:r>
      <w:r w:rsidR="000C43E4" w:rsidRPr="000C43E4">
        <w:t xml:space="preserve">Guidance on the risk assessment of substances present in food intended for infants below 16 weeks of age. EFSA Journal 2017;15(5):4849, 58 pp. </w:t>
      </w:r>
      <w:hyperlink r:id="rId26" w:history="1">
        <w:r w:rsidR="0088592C" w:rsidRPr="00AE00B2">
          <w:rPr>
            <w:rStyle w:val="Hyperlink"/>
          </w:rPr>
          <w:t>https://doi.org/10.2903/j.efsa.2017.4849</w:t>
        </w:r>
      </w:hyperlink>
    </w:p>
    <w:p w14:paraId="112A886E" w14:textId="199447FD" w:rsidR="0088592C" w:rsidRPr="0088592C" w:rsidRDefault="0088592C" w:rsidP="0088592C">
      <w:pPr>
        <w:pStyle w:val="EFSAReferences"/>
        <w:rPr>
          <w:rStyle w:val="Hyperlink"/>
        </w:rPr>
      </w:pPr>
      <w:r w:rsidRPr="0088592C">
        <w:t xml:space="preserve">EFSA Scientific Committee, 2018. Scientific Opinion on the principles and methods behind EFSA’s Guidance on Uncertainty Analysis in Scientific Assessment. EFSA Journal 2018;16(1):5122, 235 pp. </w:t>
      </w:r>
      <w:hyperlink r:id="rId27" w:history="1">
        <w:r w:rsidRPr="0088592C">
          <w:rPr>
            <w:rStyle w:val="Hyperlink"/>
          </w:rPr>
          <w:t>https://doi.org/10.2903/j.efsa.2018.5122</w:t>
        </w:r>
      </w:hyperlink>
    </w:p>
    <w:p w14:paraId="4F698EB2" w14:textId="7D63B636" w:rsidR="00444D27" w:rsidRDefault="00D42B0B" w:rsidP="006B410A">
      <w:pPr>
        <w:pStyle w:val="EFSAReferences"/>
      </w:pPr>
      <w:r w:rsidRPr="00D42B0B">
        <w:t>Garnier-</w:t>
      </w:r>
      <w:proofErr w:type="spellStart"/>
      <w:r w:rsidRPr="00D42B0B">
        <w:t>Sagne</w:t>
      </w:r>
      <w:proofErr w:type="spellEnd"/>
      <w:r w:rsidRPr="00D42B0B">
        <w:t xml:space="preserve"> I and al., 2001. </w:t>
      </w:r>
      <w:r w:rsidR="00444D27" w:rsidRPr="00D42B0B">
        <w:t>Calculation of the intake of three intense sweeteners</w:t>
      </w:r>
      <w:r>
        <w:t xml:space="preserve"> </w:t>
      </w:r>
      <w:r w:rsidR="00444D27" w:rsidRPr="00D42B0B">
        <w:t>in young insulin-dependent diabetics</w:t>
      </w:r>
      <w:r>
        <w:t xml:space="preserve">. </w:t>
      </w:r>
      <w:r w:rsidRPr="00383FBA">
        <w:t>Food and Chemical Toxicology</w:t>
      </w:r>
      <w:r>
        <w:t>,</w:t>
      </w:r>
      <w:r w:rsidRPr="00383FBA">
        <w:t xml:space="preserve"> 39, 745-749</w:t>
      </w:r>
      <w:r>
        <w:t>.</w:t>
      </w:r>
    </w:p>
    <w:p w14:paraId="75523F1C" w14:textId="7146F865" w:rsidR="00D42B0B" w:rsidRDefault="00D42B0B" w:rsidP="006B410A">
      <w:pPr>
        <w:pStyle w:val="EFSAReferences"/>
      </w:pPr>
      <w:proofErr w:type="spellStart"/>
      <w:r w:rsidRPr="00383FBA">
        <w:t>Ilback</w:t>
      </w:r>
      <w:proofErr w:type="spellEnd"/>
      <w:r w:rsidRPr="00383FBA">
        <w:t xml:space="preserve"> NG et al, 2003. Estimated intake of the artificial sweeteners acesulfame-K, aspartame, cyclamate and saccharin in a group of Swedish diabetics. Food </w:t>
      </w:r>
      <w:r w:rsidR="005273F2">
        <w:t>A</w:t>
      </w:r>
      <w:r w:rsidRPr="00383FBA">
        <w:t xml:space="preserve">dditives and </w:t>
      </w:r>
      <w:r w:rsidR="005273F2">
        <w:t>C</w:t>
      </w:r>
      <w:r w:rsidRPr="00383FBA">
        <w:t>ontaminants; 20(2), 99-114.</w:t>
      </w:r>
    </w:p>
    <w:p w14:paraId="69F8A2A4" w14:textId="6EE3C46A" w:rsidR="00D42B0B" w:rsidRDefault="00D42B0B" w:rsidP="006B410A">
      <w:pPr>
        <w:pStyle w:val="EFSAReferences"/>
      </w:pPr>
      <w:r w:rsidRPr="00020ECA">
        <w:t>Le Donne, C</w:t>
      </w:r>
      <w:r w:rsidR="00383FBA" w:rsidRPr="00020ECA">
        <w:t xml:space="preserve"> et al., 2017. </w:t>
      </w:r>
      <w:r w:rsidRPr="00383FBA">
        <w:t>Assessment of dietary intake of 10 intense sweeteners by the Italian population</w:t>
      </w:r>
      <w:r w:rsidR="00383FBA" w:rsidRPr="00383FBA">
        <w:t xml:space="preserve">. </w:t>
      </w:r>
      <w:r w:rsidR="00383FBA" w:rsidRPr="004D668E">
        <w:t>Food and Chemical Toxicology</w:t>
      </w:r>
      <w:r w:rsidR="00383FBA">
        <w:t>, 102</w:t>
      </w:r>
      <w:r w:rsidR="00383FBA" w:rsidRPr="004D668E">
        <w:t xml:space="preserve">, </w:t>
      </w:r>
      <w:r w:rsidR="00383FBA">
        <w:t>186</w:t>
      </w:r>
      <w:r w:rsidR="00383FBA" w:rsidRPr="004D668E">
        <w:t>-</w:t>
      </w:r>
      <w:r w:rsidR="00383FBA">
        <w:t xml:space="preserve">197. </w:t>
      </w:r>
    </w:p>
    <w:p w14:paraId="01B3D5F5" w14:textId="77777777" w:rsidR="00EF2360" w:rsidRPr="00FC08FA" w:rsidRDefault="00EF2360" w:rsidP="00EF2360">
      <w:pPr>
        <w:pStyle w:val="EFSAReferences"/>
        <w:rPr>
          <w:lang w:val="fr-FR"/>
        </w:rPr>
      </w:pPr>
      <w:r w:rsidRPr="00724D21">
        <w:t xml:space="preserve">Lewis </w:t>
      </w:r>
      <w:r>
        <w:t xml:space="preserve">KA and </w:t>
      </w:r>
      <w:proofErr w:type="spellStart"/>
      <w:r w:rsidRPr="00724D21">
        <w:t>Tzilivakis</w:t>
      </w:r>
      <w:proofErr w:type="spellEnd"/>
      <w:r>
        <w:t xml:space="preserve"> J, 2021</w:t>
      </w:r>
      <w:r w:rsidRPr="00724D21">
        <w:t xml:space="preserve">. Review and synthesis of data on the potential environmental impact of artificial sweeteners.  </w:t>
      </w:r>
      <w:r w:rsidRPr="00FC08FA">
        <w:rPr>
          <w:lang w:val="fr-FR"/>
        </w:rPr>
        <w:t xml:space="preserve">EFSA </w:t>
      </w:r>
      <w:proofErr w:type="spellStart"/>
      <w:r w:rsidRPr="00FC08FA">
        <w:rPr>
          <w:lang w:val="fr-FR"/>
        </w:rPr>
        <w:t>External</w:t>
      </w:r>
      <w:proofErr w:type="spellEnd"/>
      <w:r w:rsidRPr="00FC08FA">
        <w:rPr>
          <w:lang w:val="fr-FR"/>
        </w:rPr>
        <w:t xml:space="preserve"> Scientific Report, EFSA </w:t>
      </w:r>
      <w:proofErr w:type="spellStart"/>
      <w:r w:rsidRPr="00FC08FA">
        <w:rPr>
          <w:lang w:val="fr-FR"/>
        </w:rPr>
        <w:t>supporting</w:t>
      </w:r>
      <w:proofErr w:type="spellEnd"/>
      <w:r w:rsidRPr="00FC08FA">
        <w:rPr>
          <w:lang w:val="fr-FR"/>
        </w:rPr>
        <w:t xml:space="preserve"> publication 2021:EN-6918. 127 pp. doi:10.2903/sp.efsa.2021.EN-6918.</w:t>
      </w:r>
    </w:p>
    <w:p w14:paraId="1ED7E541" w14:textId="30F54A0F" w:rsidR="00383FBA" w:rsidRDefault="00383FBA" w:rsidP="00383FBA">
      <w:pPr>
        <w:pStyle w:val="EFSAReferences"/>
      </w:pPr>
      <w:r>
        <w:t>Vin K</w:t>
      </w:r>
      <w:r w:rsidRPr="004D668E">
        <w:t xml:space="preserve"> et al, 20</w:t>
      </w:r>
      <w:r>
        <w:t>1</w:t>
      </w:r>
      <w:r w:rsidRPr="004D668E">
        <w:t xml:space="preserve">3. </w:t>
      </w:r>
      <w:r w:rsidRPr="00383FBA">
        <w:t>Estimation of the dietary intake of 13 priority additives in France, Italy, the UK and Ireland as part of the FACET project</w:t>
      </w:r>
      <w:r w:rsidRPr="004D668E">
        <w:t xml:space="preserve">. Food </w:t>
      </w:r>
      <w:r w:rsidR="00984003">
        <w:t>A</w:t>
      </w:r>
      <w:r w:rsidRPr="004D668E">
        <w:t xml:space="preserve">dditives and </w:t>
      </w:r>
      <w:r w:rsidR="00984003">
        <w:t>C</w:t>
      </w:r>
      <w:r w:rsidRPr="004D668E">
        <w:t xml:space="preserve">ontaminants; </w:t>
      </w:r>
      <w:r>
        <w:t>3</w:t>
      </w:r>
      <w:r w:rsidRPr="004D668E">
        <w:t>0(</w:t>
      </w:r>
      <w:r>
        <w:t>1</w:t>
      </w:r>
      <w:r w:rsidRPr="004D668E">
        <w:t>2), 99-114.</w:t>
      </w:r>
    </w:p>
    <w:p w14:paraId="7BB24A50" w14:textId="1985911E" w:rsidR="00214C6C" w:rsidRPr="004E4D42" w:rsidRDefault="00214C6C" w:rsidP="00214C6C">
      <w:pPr>
        <w:pStyle w:val="EFSAHeading1nonumber"/>
        <w:pageBreakBefore/>
      </w:pPr>
      <w:bookmarkStart w:id="60" w:name="_Toc399503966"/>
      <w:bookmarkStart w:id="61" w:name="_Toc399850653"/>
      <w:bookmarkStart w:id="62" w:name="_Toc405560714"/>
      <w:bookmarkStart w:id="63" w:name="_Toc181606798"/>
      <w:bookmarkEnd w:id="59"/>
      <w:r w:rsidRPr="004E4D42">
        <w:t>Abbreviations</w:t>
      </w:r>
      <w:bookmarkEnd w:id="60"/>
      <w:bookmarkEnd w:id="61"/>
      <w:bookmarkEnd w:id="62"/>
      <w:bookmarkEnd w:id="63"/>
    </w:p>
    <w:tbl>
      <w:tblPr>
        <w:tblW w:w="5150" w:type="pct"/>
        <w:tblLook w:val="04A0" w:firstRow="1" w:lastRow="0" w:firstColumn="1" w:lastColumn="0" w:noHBand="0" w:noVBand="1"/>
      </w:tblPr>
      <w:tblGrid>
        <w:gridCol w:w="1213"/>
        <w:gridCol w:w="8131"/>
      </w:tblGrid>
      <w:tr w:rsidR="006166C0" w:rsidRPr="004E4D42" w14:paraId="63A87FCE" w14:textId="77777777" w:rsidTr="004E4D42">
        <w:tc>
          <w:tcPr>
            <w:tcW w:w="649" w:type="pct"/>
          </w:tcPr>
          <w:p w14:paraId="4E9365E7" w14:textId="77777777" w:rsidR="006166C0" w:rsidRDefault="006166C0" w:rsidP="00D72DE6">
            <w:pPr>
              <w:pStyle w:val="EFSABodytext"/>
            </w:pPr>
            <w:r>
              <w:t>EC</w:t>
            </w:r>
          </w:p>
        </w:tc>
        <w:tc>
          <w:tcPr>
            <w:tcW w:w="4351" w:type="pct"/>
          </w:tcPr>
          <w:p w14:paraId="07B91D5F" w14:textId="77777777" w:rsidR="006166C0" w:rsidRDefault="006166C0" w:rsidP="00D72DE6">
            <w:pPr>
              <w:pStyle w:val="EFSABodytext"/>
            </w:pPr>
            <w:r>
              <w:t>European Commission</w:t>
            </w:r>
          </w:p>
        </w:tc>
      </w:tr>
      <w:tr w:rsidR="004C117B" w:rsidRPr="004E4D42" w14:paraId="3B55B13C" w14:textId="77777777" w:rsidTr="004E4D42">
        <w:tc>
          <w:tcPr>
            <w:tcW w:w="649" w:type="pct"/>
          </w:tcPr>
          <w:p w14:paraId="2BBBE99C" w14:textId="105C8A01" w:rsidR="004C117B" w:rsidRDefault="004C117B" w:rsidP="00D72DE6">
            <w:pPr>
              <w:pStyle w:val="EFSABodytext"/>
            </w:pPr>
            <w:r>
              <w:t>EFSA</w:t>
            </w:r>
          </w:p>
        </w:tc>
        <w:tc>
          <w:tcPr>
            <w:tcW w:w="4351" w:type="pct"/>
          </w:tcPr>
          <w:p w14:paraId="62FDBD57" w14:textId="577DEB61" w:rsidR="004C117B" w:rsidRDefault="004C117B" w:rsidP="00D72DE6">
            <w:pPr>
              <w:pStyle w:val="EFSABodytext"/>
            </w:pPr>
            <w:r>
              <w:t>European Food Safety Authority</w:t>
            </w:r>
          </w:p>
        </w:tc>
      </w:tr>
      <w:tr w:rsidR="00716276" w:rsidRPr="004E4D42" w14:paraId="4F824AF3" w14:textId="77777777" w:rsidTr="004E4D42">
        <w:tc>
          <w:tcPr>
            <w:tcW w:w="649" w:type="pct"/>
          </w:tcPr>
          <w:p w14:paraId="5AFEBE08" w14:textId="126323A6" w:rsidR="00716276" w:rsidRDefault="00716276" w:rsidP="00D72DE6">
            <w:pPr>
              <w:pStyle w:val="EFSABodytext"/>
            </w:pPr>
            <w:r>
              <w:t>EU</w:t>
            </w:r>
          </w:p>
        </w:tc>
        <w:tc>
          <w:tcPr>
            <w:tcW w:w="4351" w:type="pct"/>
          </w:tcPr>
          <w:p w14:paraId="79CD2E9E" w14:textId="5F474C97" w:rsidR="00716276" w:rsidRDefault="00716276" w:rsidP="00D72DE6">
            <w:pPr>
              <w:pStyle w:val="EFSABodytext"/>
            </w:pPr>
            <w:r>
              <w:t>European Union</w:t>
            </w:r>
          </w:p>
        </w:tc>
      </w:tr>
      <w:tr w:rsidR="004C117B" w:rsidRPr="004E4D42" w14:paraId="5CC59B2C" w14:textId="77777777" w:rsidTr="004E4D42">
        <w:tc>
          <w:tcPr>
            <w:tcW w:w="649" w:type="pct"/>
          </w:tcPr>
          <w:p w14:paraId="5CE03ABE" w14:textId="7B3EF6C1" w:rsidR="004C117B" w:rsidRDefault="004C117B" w:rsidP="00D72DE6">
            <w:pPr>
              <w:pStyle w:val="EFSABodytext"/>
            </w:pPr>
            <w:r>
              <w:t xml:space="preserve">FAF Panel </w:t>
            </w:r>
          </w:p>
        </w:tc>
        <w:tc>
          <w:tcPr>
            <w:tcW w:w="4351" w:type="pct"/>
          </w:tcPr>
          <w:p w14:paraId="213A8323" w14:textId="50584BC2" w:rsidR="004C117B" w:rsidRDefault="004C117B" w:rsidP="00D72DE6">
            <w:pPr>
              <w:pStyle w:val="EFSABodytext"/>
            </w:pPr>
            <w:r w:rsidRPr="004C117B">
              <w:t>EFSA Panel on Food Additives and Flavourings</w:t>
            </w:r>
          </w:p>
        </w:tc>
      </w:tr>
      <w:tr w:rsidR="006166C0" w:rsidRPr="004E4D42" w14:paraId="27A4C2FF" w14:textId="77777777" w:rsidTr="004E4D42">
        <w:tc>
          <w:tcPr>
            <w:tcW w:w="649" w:type="pct"/>
          </w:tcPr>
          <w:p w14:paraId="523BE7D0" w14:textId="2ECBCEC7" w:rsidR="006166C0" w:rsidRDefault="006166C0" w:rsidP="00D72DE6">
            <w:pPr>
              <w:pStyle w:val="EFSABodytext"/>
            </w:pPr>
            <w:r>
              <w:t>FC</w:t>
            </w:r>
            <w:r w:rsidR="008F06E2">
              <w:t>s</w:t>
            </w:r>
          </w:p>
        </w:tc>
        <w:tc>
          <w:tcPr>
            <w:tcW w:w="4351" w:type="pct"/>
          </w:tcPr>
          <w:p w14:paraId="5F38F891" w14:textId="41BA8CA2" w:rsidR="006166C0" w:rsidRDefault="006166C0" w:rsidP="00D72DE6">
            <w:pPr>
              <w:pStyle w:val="EFSABodytext"/>
            </w:pPr>
            <w:r>
              <w:t>Food Categori</w:t>
            </w:r>
            <w:r w:rsidR="008F06E2">
              <w:t>es</w:t>
            </w:r>
          </w:p>
        </w:tc>
      </w:tr>
      <w:tr w:rsidR="008F06E2" w:rsidRPr="004E4D42" w14:paraId="372872D9" w14:textId="77777777" w:rsidTr="004E4D42">
        <w:tc>
          <w:tcPr>
            <w:tcW w:w="649" w:type="pct"/>
          </w:tcPr>
          <w:p w14:paraId="26B64662" w14:textId="4F85BD79" w:rsidR="008F06E2" w:rsidRDefault="008F06E2" w:rsidP="00D72DE6">
            <w:pPr>
              <w:pStyle w:val="EFSABodytext"/>
            </w:pPr>
            <w:r>
              <w:t>GNPD</w:t>
            </w:r>
          </w:p>
        </w:tc>
        <w:tc>
          <w:tcPr>
            <w:tcW w:w="4351" w:type="pct"/>
          </w:tcPr>
          <w:p w14:paraId="39B6DC26" w14:textId="31378B33" w:rsidR="008F06E2" w:rsidRDefault="008F06E2" w:rsidP="00D72DE6">
            <w:pPr>
              <w:pStyle w:val="EFSABodytext"/>
            </w:pPr>
            <w:r>
              <w:t>Global New Products Database</w:t>
            </w:r>
          </w:p>
        </w:tc>
      </w:tr>
      <w:tr w:rsidR="004E4D42" w:rsidRPr="004E4D42" w14:paraId="0165B716" w14:textId="77777777" w:rsidTr="004E4D42">
        <w:tc>
          <w:tcPr>
            <w:tcW w:w="649" w:type="pct"/>
          </w:tcPr>
          <w:p w14:paraId="76D96ED3" w14:textId="77777777" w:rsidR="004E4D42" w:rsidRDefault="004E4D42" w:rsidP="00D72DE6">
            <w:pPr>
              <w:pStyle w:val="EFSABodytext"/>
            </w:pPr>
            <w:r>
              <w:t>LOD</w:t>
            </w:r>
          </w:p>
        </w:tc>
        <w:tc>
          <w:tcPr>
            <w:tcW w:w="4351" w:type="pct"/>
          </w:tcPr>
          <w:p w14:paraId="0E7D8BB7" w14:textId="77777777" w:rsidR="004E4D42" w:rsidRDefault="006166C0" w:rsidP="00D72DE6">
            <w:pPr>
              <w:pStyle w:val="EFSABodytext"/>
            </w:pPr>
            <w:r>
              <w:t>Limit of detection</w:t>
            </w:r>
          </w:p>
        </w:tc>
      </w:tr>
      <w:tr w:rsidR="004E4D42" w:rsidRPr="004E4D42" w14:paraId="6744AB23" w14:textId="77777777" w:rsidTr="004E4D42">
        <w:tc>
          <w:tcPr>
            <w:tcW w:w="649" w:type="pct"/>
          </w:tcPr>
          <w:p w14:paraId="362D8509" w14:textId="77777777" w:rsidR="004E4D42" w:rsidRDefault="004E4D42" w:rsidP="00D72DE6">
            <w:pPr>
              <w:pStyle w:val="EFSABodytext"/>
            </w:pPr>
            <w:r>
              <w:t>LOQ</w:t>
            </w:r>
          </w:p>
        </w:tc>
        <w:tc>
          <w:tcPr>
            <w:tcW w:w="4351" w:type="pct"/>
          </w:tcPr>
          <w:p w14:paraId="0B556D09" w14:textId="77777777" w:rsidR="004E4D42" w:rsidRDefault="006166C0" w:rsidP="00D72DE6">
            <w:pPr>
              <w:pStyle w:val="EFSABodytext"/>
            </w:pPr>
            <w:r>
              <w:t>Limit of Quantification</w:t>
            </w:r>
          </w:p>
        </w:tc>
      </w:tr>
      <w:tr w:rsidR="00D328D7" w:rsidRPr="004E4D42" w14:paraId="18DF85BB" w14:textId="77777777" w:rsidTr="004E4D42">
        <w:tc>
          <w:tcPr>
            <w:tcW w:w="649" w:type="pct"/>
          </w:tcPr>
          <w:p w14:paraId="7BE6D775" w14:textId="258F61AD" w:rsidR="00D328D7" w:rsidRDefault="00D328D7" w:rsidP="00D72DE6">
            <w:pPr>
              <w:pStyle w:val="EFSABodytext"/>
            </w:pPr>
            <w:proofErr w:type="spellStart"/>
            <w:r>
              <w:t>MoA</w:t>
            </w:r>
            <w:proofErr w:type="spellEnd"/>
          </w:p>
        </w:tc>
        <w:tc>
          <w:tcPr>
            <w:tcW w:w="4351" w:type="pct"/>
          </w:tcPr>
          <w:p w14:paraId="61E492C5" w14:textId="2BBED122" w:rsidR="00D328D7" w:rsidRDefault="00D328D7" w:rsidP="00D72DE6">
            <w:pPr>
              <w:pStyle w:val="EFSABodytext"/>
            </w:pPr>
            <w:r>
              <w:t>Mode of Action</w:t>
            </w:r>
          </w:p>
        </w:tc>
      </w:tr>
      <w:tr w:rsidR="004E4D42" w:rsidRPr="004E4D42" w14:paraId="79E53EED" w14:textId="77777777" w:rsidTr="004E4D42">
        <w:tc>
          <w:tcPr>
            <w:tcW w:w="649" w:type="pct"/>
          </w:tcPr>
          <w:p w14:paraId="506658BF" w14:textId="77777777" w:rsidR="004E4D42" w:rsidRDefault="004E4D42" w:rsidP="00D72DE6">
            <w:pPr>
              <w:pStyle w:val="EFSABodytext"/>
            </w:pPr>
            <w:r>
              <w:t>MPL</w:t>
            </w:r>
          </w:p>
        </w:tc>
        <w:tc>
          <w:tcPr>
            <w:tcW w:w="4351" w:type="pct"/>
          </w:tcPr>
          <w:p w14:paraId="01677AF8" w14:textId="06549C82" w:rsidR="004E4D42" w:rsidRDefault="006166C0" w:rsidP="00D72DE6">
            <w:pPr>
              <w:pStyle w:val="EFSABodytext"/>
            </w:pPr>
            <w:r>
              <w:t xml:space="preserve">Maximum </w:t>
            </w:r>
            <w:r w:rsidR="004C117B">
              <w:t>P</w:t>
            </w:r>
            <w:r>
              <w:t xml:space="preserve">ermitted </w:t>
            </w:r>
            <w:r w:rsidR="004C117B">
              <w:t>L</w:t>
            </w:r>
            <w:r>
              <w:t>evel</w:t>
            </w:r>
          </w:p>
        </w:tc>
      </w:tr>
      <w:tr w:rsidR="00214C6C" w:rsidRPr="004E4D42" w14:paraId="7800FEF8" w14:textId="77777777" w:rsidTr="004E4D42">
        <w:tc>
          <w:tcPr>
            <w:tcW w:w="649" w:type="pct"/>
          </w:tcPr>
          <w:p w14:paraId="6AAC0B33" w14:textId="77777777" w:rsidR="00214C6C" w:rsidRPr="004E4D42" w:rsidRDefault="004E4D42" w:rsidP="00D72DE6">
            <w:pPr>
              <w:pStyle w:val="EFSABodytext"/>
            </w:pPr>
            <w:r>
              <w:t>MSs</w:t>
            </w:r>
          </w:p>
        </w:tc>
        <w:tc>
          <w:tcPr>
            <w:tcW w:w="4351" w:type="pct"/>
          </w:tcPr>
          <w:p w14:paraId="653687B4" w14:textId="77777777" w:rsidR="00214C6C" w:rsidRPr="004E4D42" w:rsidRDefault="004E4D42" w:rsidP="00D72DE6">
            <w:pPr>
              <w:pStyle w:val="EFSABodytext"/>
            </w:pPr>
            <w:r>
              <w:t>Member States</w:t>
            </w:r>
          </w:p>
        </w:tc>
      </w:tr>
      <w:tr w:rsidR="006166C0" w:rsidRPr="001759A7" w14:paraId="6BB8733B" w14:textId="77777777" w:rsidTr="004E4D42">
        <w:tc>
          <w:tcPr>
            <w:tcW w:w="649" w:type="pct"/>
          </w:tcPr>
          <w:p w14:paraId="59427697" w14:textId="77777777" w:rsidR="006166C0" w:rsidRPr="004E4D42" w:rsidRDefault="006166C0" w:rsidP="00D72DE6">
            <w:pPr>
              <w:pStyle w:val="EFSABodytext"/>
            </w:pPr>
            <w:r>
              <w:t>QS</w:t>
            </w:r>
          </w:p>
        </w:tc>
        <w:tc>
          <w:tcPr>
            <w:tcW w:w="4351" w:type="pct"/>
          </w:tcPr>
          <w:p w14:paraId="65CC5A7E" w14:textId="77777777" w:rsidR="006166C0" w:rsidRPr="004E4D42" w:rsidRDefault="006166C0" w:rsidP="00D72DE6">
            <w:pPr>
              <w:pStyle w:val="EFSABodytext"/>
            </w:pPr>
            <w:r>
              <w:t xml:space="preserve">Quantum </w:t>
            </w:r>
            <w:proofErr w:type="spellStart"/>
            <w:r>
              <w:t>satis</w:t>
            </w:r>
            <w:proofErr w:type="spellEnd"/>
          </w:p>
        </w:tc>
      </w:tr>
      <w:tr w:rsidR="004C117B" w:rsidRPr="001759A7" w14:paraId="402A5B60" w14:textId="77777777" w:rsidTr="004E4D42">
        <w:tc>
          <w:tcPr>
            <w:tcW w:w="649" w:type="pct"/>
          </w:tcPr>
          <w:p w14:paraId="7E172D09" w14:textId="5EF4111A" w:rsidR="004C117B" w:rsidRDefault="004C117B" w:rsidP="00D72DE6">
            <w:pPr>
              <w:pStyle w:val="EFSABodytext"/>
            </w:pPr>
            <w:r>
              <w:t>SOP</w:t>
            </w:r>
          </w:p>
        </w:tc>
        <w:tc>
          <w:tcPr>
            <w:tcW w:w="4351" w:type="pct"/>
          </w:tcPr>
          <w:p w14:paraId="5A27B3D2" w14:textId="416F8577" w:rsidR="004C117B" w:rsidRDefault="004C117B" w:rsidP="00D72DE6">
            <w:pPr>
              <w:pStyle w:val="EFSABodytext"/>
            </w:pPr>
            <w:r>
              <w:t>Standard Operating Procedure</w:t>
            </w:r>
          </w:p>
        </w:tc>
      </w:tr>
      <w:tr w:rsidR="004C117B" w:rsidRPr="001759A7" w14:paraId="7DA5E178" w14:textId="77777777" w:rsidTr="004E4D42">
        <w:tc>
          <w:tcPr>
            <w:tcW w:w="649" w:type="pct"/>
          </w:tcPr>
          <w:p w14:paraId="5FE9574A" w14:textId="67B767C1" w:rsidR="004C117B" w:rsidRDefault="004C117B" w:rsidP="00D72DE6">
            <w:pPr>
              <w:pStyle w:val="EFSABodytext"/>
            </w:pPr>
            <w:r>
              <w:t>SSD</w:t>
            </w:r>
          </w:p>
        </w:tc>
        <w:tc>
          <w:tcPr>
            <w:tcW w:w="4351" w:type="pct"/>
          </w:tcPr>
          <w:p w14:paraId="15C69098" w14:textId="763E8CDE" w:rsidR="004C117B" w:rsidRDefault="004C117B" w:rsidP="00D72DE6">
            <w:pPr>
              <w:pStyle w:val="EFSABodytext"/>
            </w:pPr>
            <w:r>
              <w:t>Standard Sample Description</w:t>
            </w:r>
          </w:p>
        </w:tc>
      </w:tr>
    </w:tbl>
    <w:p w14:paraId="7D1DD983" w14:textId="79D774DB" w:rsidR="00214C6C" w:rsidRDefault="00214C6C" w:rsidP="00214C6C">
      <w:pPr>
        <w:pStyle w:val="EFSABodytext"/>
      </w:pPr>
    </w:p>
    <w:p w14:paraId="59AAF130" w14:textId="71EDB6CB" w:rsidR="00CF2A83" w:rsidRDefault="00CF2A83">
      <w:pPr>
        <w:rPr>
          <w:rFonts w:ascii="Tahoma" w:hAnsi="Tahoma"/>
          <w:sz w:val="20"/>
          <w:szCs w:val="20"/>
        </w:rPr>
      </w:pPr>
      <w:r>
        <w:br w:type="page"/>
      </w:r>
    </w:p>
    <w:p w14:paraId="5B66A08B" w14:textId="2946AE58" w:rsidR="001B719A" w:rsidRPr="008D574F" w:rsidRDefault="008D574F" w:rsidP="001B719A">
      <w:pPr>
        <w:pStyle w:val="EFSAAppendixtitle"/>
        <w:numPr>
          <w:ilvl w:val="0"/>
          <w:numId w:val="1"/>
        </w:numPr>
      </w:pPr>
      <w:bookmarkStart w:id="64" w:name="_Toc405560715"/>
      <w:bookmarkStart w:id="65" w:name="_Toc445800924"/>
      <w:bookmarkStart w:id="66" w:name="_Toc181606799"/>
      <w:r w:rsidRPr="008D574F">
        <w:t>Link between the FoodEx2 classification system and the food sub-categories used in Mintel GNPD</w:t>
      </w:r>
      <w:bookmarkEnd w:id="64"/>
      <w:bookmarkEnd w:id="65"/>
      <w:bookmarkEnd w:id="66"/>
    </w:p>
    <w:p w14:paraId="7D36D967" w14:textId="7C775825" w:rsidR="00D97604" w:rsidRPr="008D574F" w:rsidRDefault="008D574F" w:rsidP="00D97604">
      <w:pPr>
        <w:pStyle w:val="EFSAAppendixtitle"/>
        <w:numPr>
          <w:ilvl w:val="0"/>
          <w:numId w:val="1"/>
        </w:numPr>
      </w:pPr>
      <w:bookmarkStart w:id="67" w:name="_Toc181606800"/>
      <w:r w:rsidRPr="008D574F">
        <w:t>Percentage of products within the food sub-categories used in Mintel GNPD labelled to contain at least one sweetener</w:t>
      </w:r>
      <w:bookmarkEnd w:id="67"/>
    </w:p>
    <w:p w14:paraId="345D273F" w14:textId="2DE5E6B8" w:rsidR="00D97604" w:rsidRPr="008D574F" w:rsidRDefault="008D574F" w:rsidP="00D97604">
      <w:pPr>
        <w:pStyle w:val="EFSAAppendixtitle"/>
        <w:numPr>
          <w:ilvl w:val="0"/>
          <w:numId w:val="1"/>
        </w:numPr>
      </w:pPr>
      <w:bookmarkStart w:id="68" w:name="_Toc181606801"/>
      <w:r w:rsidRPr="008D574F">
        <w:t>Food consumption statistics (consumers only) per country and age class (in g/day)</w:t>
      </w:r>
      <w:bookmarkEnd w:id="68"/>
    </w:p>
    <w:p w14:paraId="7824EA45" w14:textId="43F8692B" w:rsidR="008D574F" w:rsidRDefault="008D574F" w:rsidP="008D574F">
      <w:pPr>
        <w:pStyle w:val="EFSAAppendixtitle"/>
        <w:numPr>
          <w:ilvl w:val="0"/>
          <w:numId w:val="1"/>
        </w:numPr>
      </w:pPr>
      <w:bookmarkStart w:id="69" w:name="_Toc181606802"/>
      <w:r w:rsidRPr="008D574F">
        <w:t>Percentage of eating occasions and in quantity for which at least one relevant facet was reported</w:t>
      </w:r>
      <w:bookmarkEnd w:id="69"/>
    </w:p>
    <w:p w14:paraId="0A2D7A6A" w14:textId="77777777" w:rsidR="002D5A6A" w:rsidRPr="002D5A6A" w:rsidRDefault="002D5A6A" w:rsidP="002D5A6A">
      <w:pPr>
        <w:pStyle w:val="EFSABodytext"/>
        <w:rPr>
          <w:lang w:eastAsia="en-GB"/>
        </w:rPr>
      </w:pPr>
    </w:p>
    <w:p w14:paraId="3CAC0801" w14:textId="77777777" w:rsidR="00D97604" w:rsidRDefault="00D97604" w:rsidP="00214C6C">
      <w:pPr>
        <w:spacing w:after="0"/>
      </w:pPr>
    </w:p>
    <w:sectPr w:rsidR="00D97604" w:rsidSect="00172F42">
      <w:pgSz w:w="11906" w:h="16838" w:code="9"/>
      <w:pgMar w:top="1418" w:right="1416"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2C59" w14:textId="77777777" w:rsidR="00DD5C52" w:rsidRDefault="00DD5C52" w:rsidP="00214C6C">
      <w:pPr>
        <w:spacing w:after="0" w:line="240" w:lineRule="auto"/>
      </w:pPr>
      <w:r>
        <w:separator/>
      </w:r>
    </w:p>
  </w:endnote>
  <w:endnote w:type="continuationSeparator" w:id="0">
    <w:p w14:paraId="028713B3" w14:textId="77777777" w:rsidR="00DD5C52" w:rsidRDefault="00DD5C52" w:rsidP="00214C6C">
      <w:pPr>
        <w:spacing w:after="0" w:line="240" w:lineRule="auto"/>
      </w:pPr>
      <w:r>
        <w:continuationSeparator/>
      </w:r>
    </w:p>
  </w:endnote>
  <w:endnote w:type="continuationNotice" w:id="1">
    <w:p w14:paraId="39C7F047" w14:textId="77777777" w:rsidR="00DD5C52" w:rsidRDefault="00DD5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AC9A" w14:textId="77777777" w:rsidR="00A91331" w:rsidRDefault="00A91331">
    <w:pPr>
      <w:pStyle w:val="EFSAFooter"/>
    </w:pPr>
    <w:r>
      <w:t>www.efsa.europa.eu/efsajournal</w:t>
    </w:r>
    <w:r>
      <w:tab/>
      <w:t xml:space="preserve">EFSA Journal </w:t>
    </w:r>
    <w:r>
      <w:rPr>
        <w:shd w:val="clear" w:color="auto" w:fill="FFFF00"/>
      </w:rPr>
      <w:t>20XX: volume(issue):</w:t>
    </w:r>
    <w:proofErr w:type="spellStart"/>
    <w:r>
      <w:rPr>
        <w:shd w:val="clear" w:color="auto" w:fill="FFFF00"/>
      </w:rPr>
      <w:t>xxxx</w:t>
    </w:r>
    <w:proofErr w:type="spellEnd"/>
    <w:r>
      <w:rPr>
        <w:noProof/>
        <w:color w:val="2B579A"/>
        <w:shd w:val="clear" w:color="auto" w:fill="E6E6E6"/>
        <w:lang w:val="fr-FR" w:eastAsia="fr-FR"/>
      </w:rPr>
      <w:drawing>
        <wp:anchor distT="0" distB="0" distL="114300" distR="114300" simplePos="0" relativeHeight="251658240" behindDoc="1" locked="0" layoutInCell="1" allowOverlap="1" wp14:anchorId="693852C9" wp14:editId="38A90907">
          <wp:simplePos x="0" y="0"/>
          <wp:positionH relativeFrom="column">
            <wp:posOffset>-721360</wp:posOffset>
          </wp:positionH>
          <wp:positionV relativeFrom="paragraph">
            <wp:posOffset>-44450</wp:posOffset>
          </wp:positionV>
          <wp:extent cx="7559675" cy="35560"/>
          <wp:effectExtent l="0" t="0" r="3175" b="2540"/>
          <wp:wrapTight wrapText="bothSides">
            <wp:wrapPolygon edited="0">
              <wp:start x="0" y="0"/>
              <wp:lineTo x="0" y="11571"/>
              <wp:lineTo x="21555" y="11571"/>
              <wp:lineTo x="21555"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51215236"/>
      <w:docPartObj>
        <w:docPartGallery w:val="Page Numbers (Bottom of Page)"/>
        <w:docPartUnique/>
      </w:docPartObj>
    </w:sdtPr>
    <w:sdtEndPr>
      <w:rPr>
        <w:rFonts w:cs="Tahoma"/>
        <w:noProof/>
      </w:rPr>
    </w:sdtEndPr>
    <w:sdtContent>
      <w:p w14:paraId="61A2ADE4" w14:textId="77777777" w:rsidR="00A91331" w:rsidRPr="00CE56BE" w:rsidRDefault="00A91331">
        <w:pPr>
          <w:pStyle w:val="Footer"/>
          <w:jc w:val="right"/>
          <w:rPr>
            <w:rFonts w:cs="Tahoma"/>
            <w:sz w:val="18"/>
            <w:szCs w:val="18"/>
          </w:rPr>
        </w:pPr>
        <w:r w:rsidRPr="00CE56BE">
          <w:rPr>
            <w:rFonts w:cs="Tahoma"/>
            <w:color w:val="2B579A"/>
            <w:sz w:val="18"/>
            <w:szCs w:val="18"/>
            <w:shd w:val="clear" w:color="auto" w:fill="E6E6E6"/>
          </w:rPr>
          <w:fldChar w:fldCharType="begin"/>
        </w:r>
        <w:r w:rsidRPr="00CE56BE">
          <w:rPr>
            <w:rFonts w:cs="Tahoma"/>
            <w:sz w:val="18"/>
            <w:szCs w:val="18"/>
          </w:rPr>
          <w:instrText xml:space="preserve"> PAGE   \* MERGEFORMAT </w:instrText>
        </w:r>
        <w:r w:rsidRPr="00CE56BE">
          <w:rPr>
            <w:rFonts w:cs="Tahoma"/>
            <w:color w:val="2B579A"/>
            <w:sz w:val="18"/>
            <w:szCs w:val="18"/>
            <w:shd w:val="clear" w:color="auto" w:fill="E6E6E6"/>
          </w:rPr>
          <w:fldChar w:fldCharType="separate"/>
        </w:r>
        <w:r>
          <w:rPr>
            <w:rFonts w:cs="Tahoma"/>
            <w:noProof/>
            <w:sz w:val="18"/>
            <w:szCs w:val="18"/>
          </w:rPr>
          <w:t>5</w:t>
        </w:r>
        <w:r w:rsidRPr="00CE56BE">
          <w:rPr>
            <w:rFonts w:cs="Tahoma"/>
            <w:color w:val="2B579A"/>
            <w:sz w:val="18"/>
            <w:szCs w:val="18"/>
            <w:shd w:val="clear" w:color="auto" w:fill="E6E6E6"/>
          </w:rPr>
          <w:fldChar w:fldCharType="end"/>
        </w:r>
      </w:p>
    </w:sdtContent>
  </w:sdt>
  <w:p w14:paraId="38F5E742" w14:textId="77777777" w:rsidR="00A91331" w:rsidRPr="002623C1" w:rsidRDefault="00A91331" w:rsidP="002623C1">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2789"/>
      <w:gridCol w:w="3260"/>
    </w:tblGrid>
    <w:tr w:rsidR="0088145F" w:rsidRPr="00EA0C60" w14:paraId="63ADDD43" w14:textId="77777777" w:rsidTr="008D21BB">
      <w:trPr>
        <w:trHeight w:val="98"/>
      </w:trPr>
      <w:tc>
        <w:tcPr>
          <w:tcW w:w="5000" w:type="pct"/>
          <w:gridSpan w:val="3"/>
        </w:tcPr>
        <w:p w14:paraId="3A80363F" w14:textId="77777777" w:rsidR="0088145F" w:rsidRPr="002623C1" w:rsidRDefault="0088145F" w:rsidP="0088145F">
          <w:pPr>
            <w:pStyle w:val="EFSAFooter"/>
          </w:pPr>
        </w:p>
      </w:tc>
    </w:tr>
    <w:tr w:rsidR="0088145F" w:rsidRPr="00EA0C60" w14:paraId="68116D17" w14:textId="77777777" w:rsidTr="008D21BB">
      <w:trPr>
        <w:trHeight w:val="97"/>
      </w:trPr>
      <w:tc>
        <w:tcPr>
          <w:tcW w:w="1666" w:type="pct"/>
        </w:tcPr>
        <w:p w14:paraId="200E2D08" w14:textId="77777777" w:rsidR="0088145F" w:rsidRPr="002623C1" w:rsidRDefault="0088145F" w:rsidP="0088145F">
          <w:pPr>
            <w:pStyle w:val="EFSAFooter"/>
          </w:pPr>
          <w:r w:rsidRPr="0071228B">
            <w:rPr>
              <w:rFonts w:asciiTheme="minorHAnsi" w:eastAsiaTheme="minorEastAsia" w:hAnsiTheme="minorHAnsi" w:cstheme="minorBidi"/>
              <w:color w:val="1F497D" w:themeColor="text2"/>
              <w:sz w:val="14"/>
              <w:szCs w:val="14"/>
              <w:lang w:val="en-US" w:eastAsia="en-US"/>
            </w:rPr>
            <w:t>www.efsa.europa.eu/publications</w:t>
          </w:r>
        </w:p>
      </w:tc>
      <w:tc>
        <w:tcPr>
          <w:tcW w:w="1537" w:type="pct"/>
        </w:tcPr>
        <w:p w14:paraId="5AE24FA4" w14:textId="77777777" w:rsidR="0088145F" w:rsidRPr="00EA0C60" w:rsidRDefault="0088145F" w:rsidP="0088145F">
          <w:pPr>
            <w:pStyle w:val="EFSAFooter"/>
            <w:jc w:val="center"/>
          </w:pPr>
          <w:r w:rsidRPr="00EA0C60">
            <w:fldChar w:fldCharType="begin"/>
          </w:r>
          <w:r w:rsidRPr="00EA0C60">
            <w:instrText xml:space="preserve"> PAGE   \* MERGEFORMAT </w:instrText>
          </w:r>
          <w:r w:rsidRPr="00EA0C60">
            <w:fldChar w:fldCharType="separate"/>
          </w:r>
          <w:r>
            <w:t>33</w:t>
          </w:r>
          <w:r w:rsidRPr="00EA0C60">
            <w:fldChar w:fldCharType="end"/>
          </w:r>
        </w:p>
      </w:tc>
      <w:tc>
        <w:tcPr>
          <w:tcW w:w="1796" w:type="pct"/>
        </w:tcPr>
        <w:p w14:paraId="37162836" w14:textId="16F7BBBC" w:rsidR="0088145F" w:rsidRPr="002623C1" w:rsidRDefault="0088145F" w:rsidP="0088145F">
          <w:pPr>
            <w:pStyle w:val="EFSAFooter"/>
          </w:pPr>
          <w:r w:rsidRPr="0071228B">
            <w:rPr>
              <w:rFonts w:asciiTheme="minorHAnsi" w:eastAsiaTheme="minorEastAsia" w:hAnsiTheme="minorHAnsi" w:cstheme="minorBidi"/>
              <w:color w:val="1F497D" w:themeColor="text2"/>
              <w:sz w:val="14"/>
              <w:szCs w:val="14"/>
              <w:lang w:val="en-US" w:eastAsia="en-US"/>
            </w:rPr>
            <w:t>EFSA Supporting publication 2020:EN-1</w:t>
          </w:r>
          <w:r>
            <w:rPr>
              <w:rFonts w:asciiTheme="minorHAnsi" w:eastAsiaTheme="minorEastAsia" w:hAnsiTheme="minorHAnsi" w:cstheme="minorBidi"/>
              <w:color w:val="1F497D" w:themeColor="text2"/>
              <w:sz w:val="14"/>
              <w:szCs w:val="14"/>
              <w:lang w:val="en-US" w:eastAsia="en-US"/>
            </w:rPr>
            <w:t>91</w:t>
          </w:r>
          <w:r w:rsidRPr="0071228B">
            <w:rPr>
              <w:rFonts w:asciiTheme="minorHAnsi" w:eastAsiaTheme="minorEastAsia" w:hAnsiTheme="minorHAnsi" w:cstheme="minorBidi"/>
              <w:color w:val="1F497D" w:themeColor="text2"/>
              <w:sz w:val="14"/>
              <w:szCs w:val="14"/>
              <w:lang w:val="en-US" w:eastAsia="en-US"/>
            </w:rPr>
            <w:t>3</w:t>
          </w:r>
        </w:p>
      </w:tc>
    </w:tr>
  </w:tbl>
  <w:p w14:paraId="2194C2D7" w14:textId="77777777" w:rsidR="00A91331" w:rsidRPr="002623C1" w:rsidRDefault="00A91331" w:rsidP="007D4655">
    <w:pPr>
      <w:pStyle w:val="EFSA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B181" w14:textId="77777777" w:rsidR="00A91331" w:rsidRDefault="00A91331">
    <w:pPr>
      <w:pStyle w:val="EFSAFooter"/>
    </w:pPr>
    <w:r>
      <w:t>www.efsa.europa.eu/efsajournal</w:t>
    </w:r>
    <w:r>
      <w:tab/>
    </w:r>
    <w:r>
      <w:rPr>
        <w:color w:val="2B579A"/>
        <w:shd w:val="clear" w:color="auto" w:fill="E6E6E6"/>
      </w:rPr>
      <w:fldChar w:fldCharType="begin"/>
    </w:r>
    <w:r>
      <w:instrText xml:space="preserve"> PAGE </w:instrText>
    </w:r>
    <w:r>
      <w:rPr>
        <w:color w:val="2B579A"/>
        <w:shd w:val="clear" w:color="auto" w:fill="E6E6E6"/>
      </w:rPr>
      <w:fldChar w:fldCharType="separate"/>
    </w:r>
    <w:r>
      <w:rPr>
        <w:noProof/>
      </w:rPr>
      <w:t>10</w:t>
    </w:r>
    <w:r>
      <w:rPr>
        <w:color w:val="2B579A"/>
        <w:shd w:val="clear" w:color="auto" w:fill="E6E6E6"/>
      </w:rPr>
      <w:fldChar w:fldCharType="end"/>
    </w:r>
    <w:r>
      <w:tab/>
      <w:t xml:space="preserve">EFSA Journal </w:t>
    </w:r>
    <w:r>
      <w:rPr>
        <w:shd w:val="clear" w:color="auto" w:fill="FFFF00"/>
      </w:rPr>
      <w:t>20XX: volume(issue):</w:t>
    </w:r>
    <w:proofErr w:type="spellStart"/>
    <w:r>
      <w:rPr>
        <w:shd w:val="clear" w:color="auto" w:fill="FFFF00"/>
      </w:rPr>
      <w:t>xxxx</w:t>
    </w:r>
    <w:proofErr w:type="spellEnd"/>
    <w:r>
      <w:rPr>
        <w:noProof/>
        <w:color w:val="2B579A"/>
        <w:shd w:val="clear" w:color="auto" w:fill="E6E6E6"/>
        <w:lang w:val="fr-FR" w:eastAsia="fr-FR"/>
      </w:rPr>
      <w:drawing>
        <wp:inline distT="0" distB="0" distL="0" distR="0" wp14:anchorId="754C76CA" wp14:editId="5E1677AD">
          <wp:extent cx="8277225" cy="38100"/>
          <wp:effectExtent l="0" t="0" r="9525" b="0"/>
          <wp:docPr id="1331250173" name="Picture 133125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794085B1" wp14:editId="1EFA1253">
          <wp:extent cx="8277225" cy="38100"/>
          <wp:effectExtent l="0" t="0" r="9525" b="0"/>
          <wp:docPr id="722872710" name="Picture 72287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6553778A" wp14:editId="7A9DB1E5">
          <wp:extent cx="8277225" cy="38100"/>
          <wp:effectExtent l="0" t="0" r="9525" b="0"/>
          <wp:docPr id="779337748" name="Picture 779337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69B61AA2" wp14:editId="0EBEA3CB">
          <wp:extent cx="8277225" cy="38100"/>
          <wp:effectExtent l="0" t="0" r="9525" b="0"/>
          <wp:docPr id="1561813920" name="Picture 156181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5284B6FB" wp14:editId="429E5120">
          <wp:extent cx="8277225" cy="38100"/>
          <wp:effectExtent l="0" t="0" r="9525" b="0"/>
          <wp:docPr id="1443779731" name="Picture 144377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07CC024C" wp14:editId="4E9B232C">
          <wp:extent cx="8277225" cy="38100"/>
          <wp:effectExtent l="0" t="0" r="9525" b="0"/>
          <wp:docPr id="58220663" name="Picture 58220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3FE7F5EA" wp14:editId="30A13410">
          <wp:extent cx="8277225" cy="38100"/>
          <wp:effectExtent l="0" t="0" r="9525" b="0"/>
          <wp:docPr id="1888495716" name="Picture 188849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523D3F63" wp14:editId="335724ED">
          <wp:extent cx="8277225" cy="38100"/>
          <wp:effectExtent l="0" t="0" r="9525" b="0"/>
          <wp:docPr id="639657716" name="Picture 639657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5E5CF183" wp14:editId="31306D24">
          <wp:extent cx="8277225" cy="38100"/>
          <wp:effectExtent l="0" t="0" r="9525" b="0"/>
          <wp:docPr id="533768778" name="Picture 533768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4BB359E6" wp14:editId="29D7DE23">
          <wp:extent cx="8277225" cy="38100"/>
          <wp:effectExtent l="0" t="0" r="9525" b="0"/>
          <wp:docPr id="135075260" name="Picture 13507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43E8FF0F" wp14:editId="5971B94F">
          <wp:extent cx="8277225" cy="38100"/>
          <wp:effectExtent l="0" t="0" r="9525" b="0"/>
          <wp:docPr id="324293257" name="Picture 324293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428BEAEE" wp14:editId="7ADEE84F">
          <wp:extent cx="8277225" cy="38100"/>
          <wp:effectExtent l="0" t="0" r="9525" b="0"/>
          <wp:docPr id="1356563315" name="Picture 1356563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4E7785F7" wp14:editId="54830C05">
          <wp:extent cx="8277225" cy="38100"/>
          <wp:effectExtent l="0" t="0" r="9525" b="0"/>
          <wp:docPr id="899696393" name="Picture 89969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7A0A66B2" wp14:editId="4270F641">
          <wp:extent cx="8277225" cy="38100"/>
          <wp:effectExtent l="0" t="0" r="9525" b="0"/>
          <wp:docPr id="123704961" name="Picture 123704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741399C7" wp14:editId="02A3FEAC">
          <wp:extent cx="8277225" cy="38100"/>
          <wp:effectExtent l="0" t="0" r="9525" b="0"/>
          <wp:docPr id="1185381099" name="Picture 118538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inline distT="0" distB="0" distL="0" distR="0" wp14:anchorId="1446E683" wp14:editId="686DC4E7">
          <wp:extent cx="8277225" cy="38100"/>
          <wp:effectExtent l="0" t="0" r="9525" b="0"/>
          <wp:docPr id="628286033" name="Picture 628286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color w:val="2B579A"/>
        <w:shd w:val="clear" w:color="auto" w:fill="E6E6E6"/>
        <w:lang w:val="fr-FR" w:eastAsia="fr-FR"/>
      </w:rPr>
      <w:drawing>
        <wp:anchor distT="0" distB="0" distL="114300" distR="114300" simplePos="0" relativeHeight="251658243" behindDoc="0" locked="0" layoutInCell="1" allowOverlap="1" wp14:anchorId="20776E41" wp14:editId="5627C981">
          <wp:simplePos x="0" y="0"/>
          <wp:positionH relativeFrom="column">
            <wp:posOffset>-722630</wp:posOffset>
          </wp:positionH>
          <wp:positionV relativeFrom="paragraph">
            <wp:posOffset>-44450</wp:posOffset>
          </wp:positionV>
          <wp:extent cx="7559675" cy="35560"/>
          <wp:effectExtent l="0" t="0" r="3175" b="2540"/>
          <wp:wrapNone/>
          <wp:docPr id="1753176056" name="Picture 175317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51D7EEC" w14:textId="77777777" w:rsidR="00A91331" w:rsidRDefault="00A91331"/>
  <w:p w14:paraId="679B1480" w14:textId="77777777" w:rsidR="00A91331" w:rsidRDefault="00A91331"/>
  <w:p w14:paraId="436E5A80" w14:textId="77777777" w:rsidR="00A91331" w:rsidRDefault="00A9133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2789"/>
      <w:gridCol w:w="3260"/>
    </w:tblGrid>
    <w:tr w:rsidR="00845D46" w:rsidRPr="00EA0C60" w14:paraId="3A8F7FB8" w14:textId="77777777" w:rsidTr="008D21BB">
      <w:trPr>
        <w:trHeight w:val="98"/>
      </w:trPr>
      <w:tc>
        <w:tcPr>
          <w:tcW w:w="5000" w:type="pct"/>
          <w:gridSpan w:val="3"/>
        </w:tcPr>
        <w:p w14:paraId="22268380" w14:textId="77777777" w:rsidR="00845D46" w:rsidRPr="002623C1" w:rsidRDefault="00845D46" w:rsidP="00845D46">
          <w:pPr>
            <w:pStyle w:val="EFSAFooter"/>
          </w:pPr>
        </w:p>
      </w:tc>
    </w:tr>
    <w:tr w:rsidR="00845D46" w:rsidRPr="00EA0C60" w14:paraId="09EE6003" w14:textId="77777777" w:rsidTr="008D21BB">
      <w:trPr>
        <w:trHeight w:val="97"/>
      </w:trPr>
      <w:tc>
        <w:tcPr>
          <w:tcW w:w="1666" w:type="pct"/>
        </w:tcPr>
        <w:p w14:paraId="2E2394DB" w14:textId="77777777" w:rsidR="00845D46" w:rsidRPr="002623C1" w:rsidRDefault="00845D46" w:rsidP="00845D46">
          <w:pPr>
            <w:pStyle w:val="EFSAFooter"/>
          </w:pPr>
          <w:r w:rsidRPr="0071228B">
            <w:rPr>
              <w:rFonts w:asciiTheme="minorHAnsi" w:eastAsiaTheme="minorEastAsia" w:hAnsiTheme="minorHAnsi" w:cstheme="minorBidi"/>
              <w:color w:val="1F497D" w:themeColor="text2"/>
              <w:sz w:val="14"/>
              <w:szCs w:val="14"/>
              <w:lang w:val="en-US" w:eastAsia="en-US"/>
            </w:rPr>
            <w:t>www.efsa.europa.eu/publications</w:t>
          </w:r>
        </w:p>
      </w:tc>
      <w:tc>
        <w:tcPr>
          <w:tcW w:w="1537" w:type="pct"/>
        </w:tcPr>
        <w:p w14:paraId="26125553" w14:textId="77777777" w:rsidR="00845D46" w:rsidRPr="00EA0C60" w:rsidRDefault="00845D46" w:rsidP="00845D46">
          <w:pPr>
            <w:pStyle w:val="EFSAFooter"/>
            <w:jc w:val="center"/>
          </w:pPr>
          <w:r w:rsidRPr="00EA0C60">
            <w:fldChar w:fldCharType="begin"/>
          </w:r>
          <w:r w:rsidRPr="00EA0C60">
            <w:instrText xml:space="preserve"> PAGE   \* MERGEFORMAT </w:instrText>
          </w:r>
          <w:r w:rsidRPr="00EA0C60">
            <w:fldChar w:fldCharType="separate"/>
          </w:r>
          <w:r>
            <w:t>33</w:t>
          </w:r>
          <w:r w:rsidRPr="00EA0C60">
            <w:fldChar w:fldCharType="end"/>
          </w:r>
        </w:p>
      </w:tc>
      <w:tc>
        <w:tcPr>
          <w:tcW w:w="1796" w:type="pct"/>
        </w:tcPr>
        <w:p w14:paraId="28601ABC" w14:textId="5D64BDDB" w:rsidR="00845D46" w:rsidRPr="002623C1" w:rsidRDefault="00845D46" w:rsidP="00845D46">
          <w:pPr>
            <w:pStyle w:val="EFSAFooter"/>
          </w:pPr>
          <w:r w:rsidRPr="0071228B">
            <w:rPr>
              <w:rFonts w:asciiTheme="minorHAnsi" w:eastAsiaTheme="minorEastAsia" w:hAnsiTheme="minorHAnsi" w:cstheme="minorBidi"/>
              <w:color w:val="1F497D" w:themeColor="text2"/>
              <w:sz w:val="14"/>
              <w:szCs w:val="14"/>
              <w:lang w:val="en-US" w:eastAsia="en-US"/>
            </w:rPr>
            <w:t>EFSA Supporting publication 2020:EN-1</w:t>
          </w:r>
          <w:r>
            <w:rPr>
              <w:rFonts w:asciiTheme="minorHAnsi" w:eastAsiaTheme="minorEastAsia" w:hAnsiTheme="minorHAnsi" w:cstheme="minorBidi"/>
              <w:color w:val="1F497D" w:themeColor="text2"/>
              <w:sz w:val="14"/>
              <w:szCs w:val="14"/>
              <w:lang w:val="en-US" w:eastAsia="en-US"/>
            </w:rPr>
            <w:t>91</w:t>
          </w:r>
          <w:r w:rsidRPr="0071228B">
            <w:rPr>
              <w:rFonts w:asciiTheme="minorHAnsi" w:eastAsiaTheme="minorEastAsia" w:hAnsiTheme="minorHAnsi" w:cstheme="minorBidi"/>
              <w:color w:val="1F497D" w:themeColor="text2"/>
              <w:sz w:val="14"/>
              <w:szCs w:val="14"/>
              <w:lang w:val="en-US" w:eastAsia="en-US"/>
            </w:rPr>
            <w:t>3</w:t>
          </w:r>
        </w:p>
      </w:tc>
    </w:tr>
  </w:tbl>
  <w:p w14:paraId="64A9C96A" w14:textId="77777777" w:rsidR="00A91331" w:rsidRPr="00633AFB" w:rsidRDefault="00A91331" w:rsidP="00633AFB">
    <w:pPr>
      <w:pStyle w:val="Foote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DF72" w14:textId="77777777" w:rsidR="00A91331" w:rsidRDefault="00A913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8067D" w14:textId="77777777" w:rsidR="00DD5C52" w:rsidRDefault="00DD5C52" w:rsidP="00214C6C">
      <w:pPr>
        <w:spacing w:after="0" w:line="240" w:lineRule="auto"/>
      </w:pPr>
      <w:r>
        <w:separator/>
      </w:r>
    </w:p>
  </w:footnote>
  <w:footnote w:type="continuationSeparator" w:id="0">
    <w:p w14:paraId="2497C9B2" w14:textId="77777777" w:rsidR="00DD5C52" w:rsidRDefault="00DD5C52" w:rsidP="00214C6C">
      <w:pPr>
        <w:spacing w:after="0" w:line="240" w:lineRule="auto"/>
      </w:pPr>
      <w:r>
        <w:continuationSeparator/>
      </w:r>
    </w:p>
  </w:footnote>
  <w:footnote w:type="continuationNotice" w:id="1">
    <w:p w14:paraId="1622DA5C" w14:textId="77777777" w:rsidR="00DD5C52" w:rsidRDefault="00DD5C52">
      <w:pPr>
        <w:spacing w:after="0" w:line="240" w:lineRule="auto"/>
      </w:pPr>
    </w:p>
  </w:footnote>
  <w:footnote w:id="2">
    <w:p w14:paraId="71B528FD" w14:textId="77777777" w:rsidR="00A91331" w:rsidRDefault="00A91331" w:rsidP="00844F5C">
      <w:pPr>
        <w:pStyle w:val="FootnoteText"/>
      </w:pPr>
      <w:r>
        <w:rPr>
          <w:rStyle w:val="FootnoteReference"/>
        </w:rPr>
        <w:footnoteRef/>
      </w:r>
      <w:r>
        <w:t xml:space="preserve"> </w:t>
      </w:r>
      <w:r w:rsidRPr="0048537A">
        <w:rPr>
          <w:rFonts w:ascii="Tahoma" w:hAnsi="Tahoma" w:cs="Tahoma"/>
          <w:sz w:val="16"/>
          <w:szCs w:val="16"/>
        </w:rPr>
        <w:t>Sweeteners may be evaluated individually or in group.</w:t>
      </w:r>
    </w:p>
  </w:footnote>
  <w:footnote w:id="3">
    <w:p w14:paraId="171AB0AD" w14:textId="77777777" w:rsidR="00A91331" w:rsidRPr="00182BCF" w:rsidRDefault="00A91331" w:rsidP="00752FE7">
      <w:pPr>
        <w:pStyle w:val="FootnoteText"/>
        <w:rPr>
          <w:rFonts w:ascii="Tahoma" w:hAnsi="Tahoma" w:cs="Tahoma"/>
          <w:sz w:val="16"/>
          <w:szCs w:val="16"/>
        </w:rPr>
      </w:pPr>
      <w:r w:rsidRPr="00182BCF">
        <w:rPr>
          <w:rStyle w:val="FootnoteReference"/>
          <w:rFonts w:ascii="Tahoma" w:hAnsi="Tahoma" w:cs="Tahoma"/>
          <w:sz w:val="16"/>
          <w:szCs w:val="16"/>
        </w:rPr>
        <w:footnoteRef/>
      </w:r>
      <w:r w:rsidRPr="00182BCF">
        <w:rPr>
          <w:rFonts w:ascii="Tahoma" w:hAnsi="Tahoma" w:cs="Tahoma"/>
          <w:sz w:val="16"/>
          <w:szCs w:val="16"/>
        </w:rPr>
        <w:t xml:space="preserve"> Commission Regulation (EU) No 257/2010 of 25 March 2010 setting up a programme for the re-evaluation of approved food additives in accordance with Regulation (EC) No 1333/2008 of the European Parliament and of the Council on food additives. OJ L 80, 26.3.2010, p. 19–27</w:t>
      </w:r>
    </w:p>
  </w:footnote>
  <w:footnote w:id="4">
    <w:p w14:paraId="656E403C" w14:textId="77777777" w:rsidR="00A91331" w:rsidRPr="00A733F2" w:rsidRDefault="00A91331" w:rsidP="00A94F95">
      <w:pPr>
        <w:pStyle w:val="EFSAFootnote"/>
      </w:pPr>
      <w:r>
        <w:rPr>
          <w:rStyle w:val="FootnoteReference"/>
        </w:rPr>
        <w:footnoteRef/>
      </w:r>
      <w:r>
        <w:t xml:space="preserve"> </w:t>
      </w:r>
      <w:r w:rsidRPr="006020D7">
        <w:t xml:space="preserve">Regulation (EC) No 1333/2008 of the European Parliament and of the Council of 16 December 2008 on food additives. </w:t>
      </w:r>
      <w:r w:rsidRPr="00A733F2">
        <w:t>OJ L 354, 31.12.2008, p. 16–33.</w:t>
      </w:r>
    </w:p>
  </w:footnote>
  <w:footnote w:id="5">
    <w:p w14:paraId="7A6145E3" w14:textId="77777777" w:rsidR="00A91331" w:rsidRPr="00711A3F" w:rsidRDefault="00A91331">
      <w:pPr>
        <w:pStyle w:val="FootnoteText"/>
        <w:rPr>
          <w:lang w:val="nl-NL"/>
        </w:rPr>
      </w:pPr>
      <w:r>
        <w:rPr>
          <w:rStyle w:val="FootnoteReference"/>
        </w:rPr>
        <w:footnoteRef/>
      </w:r>
      <w:r w:rsidRPr="00711A3F">
        <w:rPr>
          <w:lang w:val="nl-NL"/>
        </w:rPr>
        <w:t xml:space="preserve"> </w:t>
      </w:r>
      <w:r w:rsidRPr="00711A3F">
        <w:rPr>
          <w:rFonts w:ascii="Tahoma" w:hAnsi="Tahoma"/>
          <w:sz w:val="16"/>
          <w:lang w:val="nl-NL"/>
        </w:rPr>
        <w:t>http://www.efsa.europa.eu/en/calls/data</w:t>
      </w:r>
    </w:p>
  </w:footnote>
  <w:footnote w:id="6">
    <w:p w14:paraId="136A1B12" w14:textId="71F90A00" w:rsidR="00A91331" w:rsidRPr="00711A3F" w:rsidRDefault="00A91331">
      <w:pPr>
        <w:pStyle w:val="FootnoteText"/>
        <w:rPr>
          <w:lang w:val="nl-NL"/>
        </w:rPr>
      </w:pPr>
      <w:r>
        <w:rPr>
          <w:rStyle w:val="FootnoteReference"/>
        </w:rPr>
        <w:footnoteRef/>
      </w:r>
      <w:r w:rsidRPr="00711A3F">
        <w:rPr>
          <w:rStyle w:val="EFSAFootnoteChar"/>
          <w:lang w:val="nl-NL"/>
        </w:rPr>
        <w:t xml:space="preserve"> https://www.efsa.europa.eu/en/consultations/call/180122</w:t>
      </w:r>
    </w:p>
  </w:footnote>
  <w:footnote w:id="7">
    <w:p w14:paraId="2F53C9B3" w14:textId="07DC9171" w:rsidR="00734CCD" w:rsidRPr="00B0735E" w:rsidRDefault="00734CCD">
      <w:pPr>
        <w:pStyle w:val="FootnoteText"/>
        <w:rPr>
          <w:rStyle w:val="EFSAFootnoteChar"/>
          <w:lang w:val="nl-NL"/>
        </w:rPr>
      </w:pPr>
      <w:r>
        <w:rPr>
          <w:rStyle w:val="FootnoteReference"/>
        </w:rPr>
        <w:footnoteRef/>
      </w:r>
      <w:r w:rsidRPr="008939E1">
        <w:rPr>
          <w:lang w:val="nl-NL"/>
        </w:rPr>
        <w:t xml:space="preserve"> </w:t>
      </w:r>
      <w:r w:rsidR="00B0735E" w:rsidRPr="00B0735E">
        <w:rPr>
          <w:rStyle w:val="EFSAFootnoteChar"/>
          <w:lang w:val="nl-NL"/>
        </w:rPr>
        <w:t>https://www.efsa.europa.eu/sites/default/files/consultation/callsfordata/Call_for_data_on_food_additives_2020.pdf</w:t>
      </w:r>
    </w:p>
  </w:footnote>
  <w:footnote w:id="8">
    <w:p w14:paraId="5B8A267B" w14:textId="0DB2DF8B" w:rsidR="00A91331" w:rsidRPr="00831EF7" w:rsidRDefault="00A91331">
      <w:pPr>
        <w:pStyle w:val="FootnoteText"/>
      </w:pPr>
      <w:r>
        <w:rPr>
          <w:rStyle w:val="FootnoteReference"/>
        </w:rPr>
        <w:footnoteRef/>
      </w:r>
      <w:r w:rsidRPr="00831EF7">
        <w:rPr>
          <w:rStyle w:val="EFSAFootnoteChar"/>
        </w:rPr>
        <w:t xml:space="preserve"> Standard operating procedure </w:t>
      </w:r>
      <w:r>
        <w:rPr>
          <w:rStyle w:val="EFSAFootnoteChar"/>
        </w:rPr>
        <w:t xml:space="preserve">008 </w:t>
      </w:r>
      <w:r w:rsidRPr="00831EF7">
        <w:rPr>
          <w:rStyle w:val="EFSAFootnoteChar"/>
        </w:rPr>
        <w:t>for the data collection and validation</w:t>
      </w:r>
      <w:r>
        <w:rPr>
          <w:rStyle w:val="EFSAFootnoteChar"/>
        </w:rPr>
        <w:t xml:space="preserve">: </w:t>
      </w:r>
      <w:hyperlink r:id="rId1" w:history="1">
        <w:r w:rsidRPr="00B239D1">
          <w:rPr>
            <w:rStyle w:val="EFSAFootnoteChar"/>
          </w:rPr>
          <w:t>https://www.efsa.europa.eu/en/corporate/pub/sops</w:t>
        </w:r>
      </w:hyperlink>
      <w:r w:rsidRPr="00831EF7">
        <w:rPr>
          <w:rStyle w:val="EFSAFootnoteChar"/>
        </w:rPr>
        <w:t xml:space="preserve"> </w:t>
      </w:r>
    </w:p>
  </w:footnote>
  <w:footnote w:id="9">
    <w:p w14:paraId="37CE8A5D" w14:textId="50937BAF" w:rsidR="00A91331" w:rsidRDefault="00A91331">
      <w:pPr>
        <w:pStyle w:val="FootnoteText"/>
      </w:pPr>
      <w:r>
        <w:rPr>
          <w:rStyle w:val="FootnoteReference"/>
        </w:rPr>
        <w:footnoteRef/>
      </w:r>
      <w:r w:rsidRPr="00846EFA">
        <w:rPr>
          <w:rStyle w:val="EFSAFootnoteChar"/>
        </w:rPr>
        <w:t xml:space="preserve"> See EFSA statement: </w:t>
      </w:r>
      <w:hyperlink r:id="rId2" w:history="1">
        <w:r w:rsidRPr="00846EFA">
          <w:rPr>
            <w:rStyle w:val="EFSAFootnoteChar"/>
          </w:rPr>
          <w:t>https://efsa.onlinelibrary.wiley.com/doi/epdf/10.2903/j.efsa.2017.5042</w:t>
        </w:r>
      </w:hyperlink>
    </w:p>
  </w:footnote>
  <w:footnote w:id="10">
    <w:p w14:paraId="020F1559" w14:textId="6DA32577" w:rsidR="00BB33A5" w:rsidRPr="003F2EA2" w:rsidRDefault="00BB33A5">
      <w:pPr>
        <w:pStyle w:val="FootnoteText"/>
        <w:rPr>
          <w:rStyle w:val="EFSAFootnoteChar"/>
        </w:rPr>
      </w:pPr>
      <w:r w:rsidRPr="003F2EA2">
        <w:rPr>
          <w:rStyle w:val="EFSAFootnoteChar"/>
          <w:vertAlign w:val="superscript"/>
        </w:rPr>
        <w:footnoteRef/>
      </w:r>
      <w:r w:rsidRPr="003F2EA2">
        <w:rPr>
          <w:rStyle w:val="EFSAFootnoteChar"/>
        </w:rPr>
        <w:t xml:space="preserve"> </w:t>
      </w:r>
      <w:r w:rsidR="000C6E01" w:rsidRPr="003F2EA2">
        <w:rPr>
          <w:rStyle w:val="EFSAFootnoteChar"/>
        </w:rPr>
        <w:t>See EFSA webpage:</w:t>
      </w:r>
      <w:r w:rsidR="003F2EA2" w:rsidRPr="003F2EA2">
        <w:rPr>
          <w:rStyle w:val="EFSAFootnoteChar"/>
        </w:rPr>
        <w:t xml:space="preserve"> https://www.efsa.europa.eu/en/data-report/food-consumption-data</w:t>
      </w:r>
    </w:p>
  </w:footnote>
  <w:footnote w:id="11">
    <w:p w14:paraId="53A76BEC" w14:textId="4B970574" w:rsidR="00A91331" w:rsidRPr="00FB3212" w:rsidRDefault="00A91331">
      <w:pPr>
        <w:pStyle w:val="FootnoteText"/>
      </w:pPr>
      <w:r>
        <w:rPr>
          <w:rStyle w:val="FootnoteReference"/>
        </w:rPr>
        <w:footnoteRef/>
      </w:r>
      <w:r w:rsidRPr="00846EFA">
        <w:rPr>
          <w:rStyle w:val="EFSAFootnoteChar"/>
        </w:rPr>
        <w:t xml:space="preserve"> </w:t>
      </w:r>
      <w:hyperlink r:id="rId3" w:history="1">
        <w:r w:rsidRPr="00846EFA">
          <w:rPr>
            <w:rStyle w:val="EFSAFootnoteChar"/>
          </w:rPr>
          <w:t>http://www.efsa.europa.eu/en/food-consumption/comprehensive-database</w:t>
        </w:r>
      </w:hyperlink>
      <w:r w:rsidRPr="00846EFA">
        <w:rPr>
          <w:rStyle w:val="EFSAFootnoteChar"/>
        </w:rPr>
        <w:t xml:space="preserve"> </w:t>
      </w:r>
    </w:p>
  </w:footnote>
  <w:footnote w:id="12">
    <w:p w14:paraId="00C3154C" w14:textId="77777777" w:rsidR="00A91331" w:rsidRPr="00FB3212" w:rsidRDefault="00A91331">
      <w:pPr>
        <w:pStyle w:val="FootnoteText"/>
      </w:pPr>
      <w:r>
        <w:rPr>
          <w:rStyle w:val="FootnoteReference"/>
        </w:rPr>
        <w:footnoteRef/>
      </w:r>
      <w:r w:rsidRPr="00FB3212">
        <w:t xml:space="preserve"> </w:t>
      </w:r>
      <w:r w:rsidRPr="00FB3212">
        <w:rPr>
          <w:rFonts w:ascii="Tahoma" w:hAnsi="Tahoma"/>
          <w:sz w:val="16"/>
        </w:rPr>
        <w:t>http://www.gnpd.com/sinatra/home/</w:t>
      </w:r>
    </w:p>
  </w:footnote>
  <w:footnote w:id="13">
    <w:p w14:paraId="5714B397" w14:textId="6FBBC707" w:rsidR="00A91331" w:rsidRPr="006A03F6" w:rsidRDefault="00A91331">
      <w:pPr>
        <w:pStyle w:val="FootnoteText"/>
      </w:pPr>
      <w:r>
        <w:rPr>
          <w:rStyle w:val="FootnoteReference"/>
        </w:rPr>
        <w:footnoteRef/>
      </w:r>
      <w:r w:rsidRPr="006A03F6">
        <w:t xml:space="preserve"> </w:t>
      </w:r>
      <w:r w:rsidRPr="006A03F6">
        <w:rPr>
          <w:rFonts w:ascii="Tahoma" w:hAnsi="Tahoma"/>
          <w:sz w:val="16"/>
        </w:rPr>
        <w:t xml:space="preserve">Missing Cyprus, Luxembourg </w:t>
      </w:r>
      <w:r>
        <w:rPr>
          <w:rFonts w:ascii="Tahoma" w:hAnsi="Tahoma"/>
          <w:sz w:val="16"/>
        </w:rPr>
        <w:t>and</w:t>
      </w:r>
      <w:r w:rsidRPr="006A03F6">
        <w:rPr>
          <w:rFonts w:ascii="Tahoma" w:hAnsi="Tahoma"/>
          <w:sz w:val="16"/>
        </w:rPr>
        <w:t xml:space="preserve"> Malta.</w:t>
      </w:r>
    </w:p>
  </w:footnote>
  <w:footnote w:id="14">
    <w:p w14:paraId="1BB198D5" w14:textId="5F9EE136" w:rsidR="00713A84" w:rsidRPr="003A43CD" w:rsidRDefault="00713A84" w:rsidP="00CD2307">
      <w:pPr>
        <w:pStyle w:val="FootnoteText"/>
        <w:jc w:val="both"/>
        <w:rPr>
          <w:rStyle w:val="EFSAFootnoteChar"/>
        </w:rPr>
      </w:pPr>
      <w:r>
        <w:rPr>
          <w:rStyle w:val="FootnoteReference"/>
        </w:rPr>
        <w:footnoteRef/>
      </w:r>
      <w:r>
        <w:t xml:space="preserve"> </w:t>
      </w:r>
      <w:r w:rsidR="00C32643" w:rsidRPr="00C32643">
        <w:rPr>
          <w:rStyle w:val="EFSAFootnoteChar"/>
        </w:rPr>
        <w:t>For the 99</w:t>
      </w:r>
      <w:r w:rsidR="003A43CD" w:rsidRPr="003A43CD">
        <w:rPr>
          <w:rStyle w:val="EFSAFootnoteChar"/>
          <w:vertAlign w:val="superscript"/>
        </w:rPr>
        <w:t>th</w:t>
      </w:r>
      <w:r w:rsidR="003A43CD">
        <w:rPr>
          <w:rStyle w:val="EFSAFootnoteChar"/>
        </w:rPr>
        <w:t xml:space="preserve"> </w:t>
      </w:r>
      <w:r w:rsidR="00C32643" w:rsidRPr="003A43CD">
        <w:rPr>
          <w:rStyle w:val="EFSAFootnoteChar"/>
        </w:rPr>
        <w:t>percentile, the minimum number of observations is 298; for the 95</w:t>
      </w:r>
      <w:r w:rsidR="003A43CD" w:rsidRPr="00517840">
        <w:rPr>
          <w:rStyle w:val="EFSAFootnoteChar"/>
          <w:vertAlign w:val="superscript"/>
        </w:rPr>
        <w:t>th</w:t>
      </w:r>
      <w:r w:rsidR="003A43CD">
        <w:rPr>
          <w:rStyle w:val="EFSAFootnoteChar"/>
        </w:rPr>
        <w:t xml:space="preserve"> </w:t>
      </w:r>
      <w:r w:rsidR="00C32643" w:rsidRPr="00C32643">
        <w:rPr>
          <w:rStyle w:val="EFSAFootnoteChar"/>
        </w:rPr>
        <w:t xml:space="preserve">percentile, the minimum number of observations is 118; </w:t>
      </w:r>
      <w:r w:rsidR="00401590">
        <w:rPr>
          <w:rStyle w:val="EFSAFootnoteChar"/>
        </w:rPr>
        <w:t>f</w:t>
      </w:r>
      <w:r w:rsidR="00C32643" w:rsidRPr="00C32643">
        <w:rPr>
          <w:rStyle w:val="EFSAFootnoteChar"/>
        </w:rPr>
        <w:t>or the 95</w:t>
      </w:r>
      <w:r w:rsidR="003A43CD" w:rsidRPr="003A43CD">
        <w:rPr>
          <w:rStyle w:val="EFSAFootnoteChar"/>
          <w:vertAlign w:val="superscript"/>
        </w:rPr>
        <w:t>th</w:t>
      </w:r>
      <w:r w:rsidR="003A43CD">
        <w:rPr>
          <w:rStyle w:val="EFSAFootnoteChar"/>
        </w:rPr>
        <w:t xml:space="preserve"> </w:t>
      </w:r>
      <w:r w:rsidR="00C32643" w:rsidRPr="003A43CD">
        <w:rPr>
          <w:rStyle w:val="EFSAFootnoteChar"/>
        </w:rPr>
        <w:t>percentile, the minimum number of observations is 59; for 90</w:t>
      </w:r>
      <w:r w:rsidR="00517840" w:rsidRPr="00517840">
        <w:rPr>
          <w:rStyle w:val="EFSAFootnoteChar"/>
          <w:vertAlign w:val="superscript"/>
        </w:rPr>
        <w:t>th</w:t>
      </w:r>
      <w:r w:rsidR="00517840">
        <w:rPr>
          <w:rStyle w:val="EFSAFootnoteChar"/>
        </w:rPr>
        <w:t xml:space="preserve"> </w:t>
      </w:r>
      <w:r w:rsidR="00C32643" w:rsidRPr="003A43CD">
        <w:rPr>
          <w:rStyle w:val="EFSAFootnoteChar"/>
        </w:rPr>
        <w:t xml:space="preserve">percentile, the minimum number of observations is 29; for the </w:t>
      </w:r>
      <w:r w:rsidR="00B068EC">
        <w:rPr>
          <w:rStyle w:val="EFSAFootnoteChar"/>
        </w:rPr>
        <w:t>7</w:t>
      </w:r>
      <w:r w:rsidR="0000743C">
        <w:rPr>
          <w:rStyle w:val="EFSAFootnoteChar"/>
        </w:rPr>
        <w:t>5</w:t>
      </w:r>
      <w:r w:rsidR="0000743C" w:rsidRPr="00C66B9D">
        <w:rPr>
          <w:rStyle w:val="EFSAFootnoteChar"/>
          <w:vertAlign w:val="superscript"/>
        </w:rPr>
        <w:t>th</w:t>
      </w:r>
      <w:r w:rsidR="0000743C">
        <w:rPr>
          <w:rStyle w:val="EFSAFootnoteChar"/>
        </w:rPr>
        <w:t xml:space="preserve"> percentile, the minimum number of observations is 11;</w:t>
      </w:r>
      <w:r w:rsidR="00C32643" w:rsidRPr="003A43CD">
        <w:rPr>
          <w:rStyle w:val="EFSAFootnoteChar"/>
        </w:rPr>
        <w:t xml:space="preserve"> for the 50</w:t>
      </w:r>
      <w:r w:rsidR="003A43CD" w:rsidRPr="003A43CD">
        <w:rPr>
          <w:rStyle w:val="EFSAFootnoteChar"/>
          <w:vertAlign w:val="superscript"/>
        </w:rPr>
        <w:t>th</w:t>
      </w:r>
      <w:r w:rsidR="003A43CD">
        <w:rPr>
          <w:rStyle w:val="EFSAFootnoteChar"/>
        </w:rPr>
        <w:t xml:space="preserve"> </w:t>
      </w:r>
      <w:r w:rsidR="00C32643" w:rsidRPr="003A43CD">
        <w:rPr>
          <w:rStyle w:val="EFSAFootnoteChar"/>
        </w:rPr>
        <w:t>percentile (median), the minimum number of observations is 5.</w:t>
      </w:r>
      <w:r w:rsidR="00AD4BB1" w:rsidRPr="003A43CD">
        <w:rPr>
          <w:rStyle w:val="EFSAFootnoteCh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0012" w14:textId="77777777" w:rsidR="00A91331" w:rsidRDefault="00A91331">
    <w:pPr>
      <w:pStyle w:val="Header"/>
    </w:pPr>
    <w:r>
      <w:rPr>
        <w:noProof/>
        <w:color w:val="2B579A"/>
        <w:shd w:val="clear" w:color="auto" w:fill="E6E6E6"/>
        <w:lang w:val="fr-FR" w:eastAsia="fr-FR"/>
      </w:rPr>
      <w:drawing>
        <wp:anchor distT="0" distB="0" distL="114300" distR="114300" simplePos="0" relativeHeight="251658241" behindDoc="1" locked="0" layoutInCell="1" allowOverlap="1" wp14:anchorId="13B09635" wp14:editId="4E1C1645">
          <wp:simplePos x="0" y="0"/>
          <wp:positionH relativeFrom="column">
            <wp:posOffset>5147310</wp:posOffset>
          </wp:positionH>
          <wp:positionV relativeFrom="paragraph">
            <wp:posOffset>-397510</wp:posOffset>
          </wp:positionV>
          <wp:extent cx="1389380" cy="718820"/>
          <wp:effectExtent l="0" t="0" r="1270" b="5080"/>
          <wp:wrapTight wrapText="bothSides">
            <wp:wrapPolygon edited="0">
              <wp:start x="0" y="0"/>
              <wp:lineTo x="0" y="21180"/>
              <wp:lineTo x="21324" y="21180"/>
              <wp:lineTo x="21324"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380" cy="7188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1CD8628" w14:textId="77777777" w:rsidR="00A91331" w:rsidRDefault="00A91331">
    <w:pPr>
      <w:pStyle w:val="Header"/>
    </w:pPr>
    <w:r>
      <w:rPr>
        <w:noProof/>
        <w:color w:val="2B579A"/>
        <w:shd w:val="clear" w:color="auto" w:fill="E6E6E6"/>
        <w:lang w:val="fr-FR" w:eastAsia="fr-FR"/>
      </w:rPr>
      <w:drawing>
        <wp:anchor distT="0" distB="0" distL="114300" distR="114300" simplePos="0" relativeHeight="251658242" behindDoc="1" locked="0" layoutInCell="1" allowOverlap="1" wp14:anchorId="3FA0BA66" wp14:editId="268F41B7">
          <wp:simplePos x="0" y="0"/>
          <wp:positionH relativeFrom="column">
            <wp:posOffset>-360045</wp:posOffset>
          </wp:positionH>
          <wp:positionV relativeFrom="paragraph">
            <wp:posOffset>144145</wp:posOffset>
          </wp:positionV>
          <wp:extent cx="7559675" cy="35560"/>
          <wp:effectExtent l="0" t="0" r="3175" b="254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4A0A1A5" w14:textId="77777777" w:rsidR="00A91331" w:rsidRDefault="00A91331">
    <w:pPr>
      <w:pStyle w:val="Header"/>
      <w:tabs>
        <w:tab w:val="clear" w:pos="4513"/>
        <w:tab w:val="clear" w:pos="9026"/>
        <w:tab w:val="center" w:pos="4962"/>
        <w:tab w:val="right" w:pos="10206"/>
      </w:tabs>
      <w:rPr>
        <w:rStyle w:val="SubtleEmphasis"/>
        <w:rFonts w:ascii="Calibri" w:hAnsi="Calibri"/>
        <w:sz w:val="18"/>
      </w:rPr>
    </w:pPr>
    <w:r>
      <w:rPr>
        <w:rFonts w:ascii="Calibri" w:hAnsi="Calibri"/>
        <w:sz w:val="18"/>
      </w:rPr>
      <w:t xml:space="preserve">ADOPTION: </w:t>
    </w:r>
    <w:r>
      <w:rPr>
        <w:rFonts w:ascii="Calibri" w:hAnsi="Calibri"/>
        <w:sz w:val="18"/>
        <w:shd w:val="clear" w:color="auto" w:fill="FFFF00"/>
      </w:rPr>
      <w:t>dd/mm/</w:t>
    </w:r>
    <w:proofErr w:type="spellStart"/>
    <w:r>
      <w:rPr>
        <w:rFonts w:ascii="Calibri" w:hAnsi="Calibri"/>
        <w:sz w:val="18"/>
        <w:shd w:val="clear" w:color="auto" w:fill="FFFF00"/>
      </w:rPr>
      <w:t>yyyy</w:t>
    </w:r>
    <w:proofErr w:type="spellEnd"/>
    <w:r>
      <w:rPr>
        <w:rFonts w:ascii="Calibri" w:hAnsi="Calibri"/>
        <w:sz w:val="18"/>
      </w:rPr>
      <w:tab/>
      <w:t xml:space="preserve">PUBLICATION: </w:t>
    </w:r>
    <w:r>
      <w:rPr>
        <w:rFonts w:ascii="Calibri" w:hAnsi="Calibri"/>
        <w:sz w:val="18"/>
        <w:shd w:val="clear" w:color="auto" w:fill="FFFF00"/>
      </w:rPr>
      <w:t>dd/mm/</w:t>
    </w:r>
    <w:proofErr w:type="spellStart"/>
    <w:r>
      <w:rPr>
        <w:rFonts w:ascii="Calibri" w:hAnsi="Calibri"/>
        <w:sz w:val="18"/>
        <w:shd w:val="clear" w:color="auto" w:fill="FFFF00"/>
      </w:rPr>
      <w:t>yyyy</w:t>
    </w:r>
    <w:proofErr w:type="spellEnd"/>
    <w:r>
      <w:rPr>
        <w:rFonts w:ascii="Calibri" w:hAnsi="Calibri"/>
        <w:sz w:val="18"/>
      </w:rPr>
      <w:tab/>
      <w:t xml:space="preserve">REVISION: </w:t>
    </w:r>
    <w:r>
      <w:rPr>
        <w:rFonts w:ascii="Calibri" w:hAnsi="Calibri"/>
        <w:sz w:val="18"/>
        <w:shd w:val="clear" w:color="auto" w:fill="FFFF00"/>
      </w:rPr>
      <w:t>dd/mm/</w:t>
    </w:r>
    <w:proofErr w:type="spellStart"/>
    <w:r>
      <w:rPr>
        <w:rFonts w:ascii="Calibri" w:hAnsi="Calibri"/>
        <w:sz w:val="18"/>
        <w:shd w:val="clear" w:color="auto" w:fill="FFFF00"/>
      </w:rPr>
      <w:t>yyyy</w:t>
    </w:r>
    <w:proofErr w:type="spellEnd"/>
  </w:p>
  <w:p w14:paraId="41660D1C" w14:textId="77777777" w:rsidR="00A91331" w:rsidRDefault="00A91331">
    <w:pPr>
      <w:pStyle w:val="Header"/>
      <w:tabs>
        <w:tab w:val="clear" w:pos="4513"/>
        <w:tab w:val="clear" w:pos="9026"/>
        <w:tab w:val="center" w:pos="4962"/>
        <w:tab w:val="right" w:pos="10206"/>
      </w:tabs>
    </w:pPr>
    <w:proofErr w:type="spellStart"/>
    <w:r>
      <w:rPr>
        <w:rStyle w:val="SubtleEmphasis"/>
        <w:rFonts w:ascii="Calibri" w:hAnsi="Calibri"/>
        <w:sz w:val="18"/>
      </w:rPr>
      <w:t>doi</w:t>
    </w:r>
    <w:proofErr w:type="spellEnd"/>
    <w:r>
      <w:rPr>
        <w:rStyle w:val="SubtleEmphasis"/>
        <w:rFonts w:ascii="Calibri" w:hAnsi="Calibri"/>
        <w:sz w:val="18"/>
      </w:rPr>
      <w:t>: 10.2903/j.efsa.2014.</w:t>
    </w:r>
    <w:r>
      <w:rPr>
        <w:rStyle w:val="SubtleEmphasis"/>
        <w:rFonts w:ascii="Calibri" w:hAnsi="Calibri"/>
        <w:sz w:val="18"/>
        <w:shd w:val="clear" w:color="auto" w:fill="FFFF00"/>
      </w:rPr>
      <w:t>xxxx</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tblGrid>
    <w:tr w:rsidR="00A91331" w:rsidRPr="00EA0C60" w14:paraId="6D847592" w14:textId="77777777" w:rsidTr="00A44CA2">
      <w:trPr>
        <w:trHeight w:val="109"/>
      </w:trPr>
      <w:tc>
        <w:tcPr>
          <w:tcW w:w="0" w:type="auto"/>
        </w:tcPr>
        <w:p w14:paraId="5B191D43" w14:textId="28B5A367" w:rsidR="00A91331" w:rsidRPr="000A3A44" w:rsidRDefault="00A91331" w:rsidP="000A3A44">
          <w:pPr>
            <w:pStyle w:val="EFSAShorttitle"/>
          </w:pPr>
          <w:r w:rsidRPr="000A3A44">
            <w:rPr>
              <w:noProof/>
              <w:color w:val="2B579A"/>
              <w:shd w:val="clear" w:color="auto" w:fill="E6E6E6"/>
              <w:lang w:val="fr-FR" w:eastAsia="fr-FR"/>
            </w:rPr>
            <w:drawing>
              <wp:anchor distT="0" distB="0" distL="114300" distR="114300" simplePos="0" relativeHeight="251658251" behindDoc="0" locked="0" layoutInCell="1" allowOverlap="1" wp14:anchorId="07AC7336" wp14:editId="60D8CB7E">
                <wp:simplePos x="0" y="0"/>
                <wp:positionH relativeFrom="column">
                  <wp:posOffset>5071362</wp:posOffset>
                </wp:positionH>
                <wp:positionV relativeFrom="paragraph">
                  <wp:posOffset>-267970</wp:posOffset>
                </wp:positionV>
                <wp:extent cx="729669" cy="396000"/>
                <wp:effectExtent l="0" t="0" r="0" b="444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_logo_templates_300dpi.jpg"/>
                        <pic:cNvPicPr/>
                      </pic:nvPicPr>
                      <pic:blipFill rotWithShape="1">
                        <a:blip r:embed="rId1" cstate="print">
                          <a:extLst>
                            <a:ext uri="{28A0092B-C50C-407E-A947-70E740481C1C}">
                              <a14:useLocalDpi xmlns:a14="http://schemas.microsoft.com/office/drawing/2010/main" val="0"/>
                            </a:ext>
                          </a:extLst>
                        </a:blip>
                        <a:srcRect b="7537"/>
                        <a:stretch/>
                      </pic:blipFill>
                      <pic:spPr bwMode="auto">
                        <a:xfrm>
                          <a:off x="0" y="0"/>
                          <a:ext cx="729669" cy="39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Draft Protocol for the exposure assessment of sweeteners </w:t>
          </w:r>
        </w:p>
      </w:tc>
    </w:tr>
    <w:tr w:rsidR="00A91331" w:rsidRPr="00EA0C60" w14:paraId="34FC081E" w14:textId="77777777" w:rsidTr="00A44CA2">
      <w:trPr>
        <w:trHeight w:val="109"/>
      </w:trPr>
      <w:tc>
        <w:tcPr>
          <w:tcW w:w="0" w:type="auto"/>
        </w:tcPr>
        <w:p w14:paraId="0D9F57E8" w14:textId="77777777" w:rsidR="00A91331" w:rsidRPr="00EA0C60" w:rsidRDefault="00A91331" w:rsidP="00A44CA2">
          <w:pPr>
            <w:pStyle w:val="EFSAShorttitle"/>
            <w:rPr>
              <w:noProof/>
              <w:sz w:val="2"/>
              <w:szCs w:val="2"/>
            </w:rPr>
          </w:pPr>
          <w:r w:rsidRPr="00EA0C60">
            <w:rPr>
              <w:noProof/>
              <w:color w:val="2B579A"/>
              <w:sz w:val="2"/>
              <w:szCs w:val="2"/>
              <w:shd w:val="clear" w:color="auto" w:fill="E6E6E6"/>
              <w:lang w:val="fr-FR" w:eastAsia="fr-FR"/>
            </w:rPr>
            <w:drawing>
              <wp:anchor distT="0" distB="0" distL="114300" distR="114300" simplePos="0" relativeHeight="251658250" behindDoc="0" locked="0" layoutInCell="1" allowOverlap="1" wp14:anchorId="2A194AE5" wp14:editId="78037B95">
                <wp:simplePos x="0" y="0"/>
                <wp:positionH relativeFrom="margin">
                  <wp:posOffset>76</wp:posOffset>
                </wp:positionH>
                <wp:positionV relativeFrom="paragraph">
                  <wp:posOffset>15875</wp:posOffset>
                </wp:positionV>
                <wp:extent cx="5759450" cy="35560"/>
                <wp:effectExtent l="0" t="0" r="0" b="254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14:paraId="43D04083" w14:textId="77777777" w:rsidR="00A91331" w:rsidRDefault="00A9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3414" w14:textId="4ADBD563" w:rsidR="00E462E7" w:rsidRPr="004B4F5D" w:rsidRDefault="00E462E7" w:rsidP="00E462E7">
    <w:pPr>
      <w:pStyle w:val="Header"/>
      <w:rPr>
        <w:rFonts w:asciiTheme="minorHAnsi" w:eastAsiaTheme="minorEastAsia" w:hAnsiTheme="minorHAnsi" w:cstheme="minorBidi"/>
        <w:color w:val="000000" w:themeColor="text1"/>
        <w:lang w:val="en-US" w:eastAsia="en-US"/>
      </w:rPr>
    </w:pPr>
    <w:r w:rsidRPr="009F053A">
      <w:rPr>
        <w:rFonts w:asciiTheme="minorHAnsi" w:eastAsiaTheme="minorEastAsia" w:hAnsiTheme="minorHAnsi" w:cstheme="minorBidi"/>
        <w:noProof/>
        <w:color w:val="000000" w:themeColor="text1"/>
        <w:lang w:val="en-US" w:eastAsia="en-US"/>
      </w:rPr>
      <w:drawing>
        <wp:anchor distT="0" distB="0" distL="114300" distR="114300" simplePos="0" relativeHeight="251662347" behindDoc="0" locked="0" layoutInCell="1" allowOverlap="1" wp14:anchorId="18A9C832" wp14:editId="4471F36A">
          <wp:simplePos x="0" y="0"/>
          <wp:positionH relativeFrom="column">
            <wp:posOffset>3883231</wp:posOffset>
          </wp:positionH>
          <wp:positionV relativeFrom="paragraph">
            <wp:posOffset>-368770</wp:posOffset>
          </wp:positionV>
          <wp:extent cx="2514600" cy="835660"/>
          <wp:effectExtent l="0" t="0" r="0" b="0"/>
          <wp:wrapNone/>
          <wp:docPr id="1088576984" name="Picture 1088576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835660"/>
                  </a:xfrm>
                  <a:prstGeom prst="rect">
                    <a:avLst/>
                  </a:prstGeom>
                  <a:noFill/>
                  <a:ln>
                    <a:noFill/>
                  </a:ln>
                </pic:spPr>
              </pic:pic>
            </a:graphicData>
          </a:graphic>
        </wp:anchor>
      </w:drawing>
    </w:r>
    <w:r w:rsidRPr="004B4F5D">
      <w:rPr>
        <w:rFonts w:asciiTheme="minorHAnsi" w:eastAsiaTheme="minorEastAsia" w:hAnsiTheme="minorHAnsi" w:cstheme="minorBidi"/>
        <w:color w:val="000000" w:themeColor="text1"/>
        <w:lang w:val="en-US" w:eastAsia="en-US"/>
      </w:rPr>
      <w:t xml:space="preserve">Protocol </w:t>
    </w:r>
    <w:r w:rsidR="009F053A">
      <w:rPr>
        <w:rFonts w:asciiTheme="minorHAnsi" w:eastAsiaTheme="minorEastAsia" w:hAnsiTheme="minorHAnsi" w:cstheme="minorBidi"/>
        <w:color w:val="000000" w:themeColor="text1"/>
        <w:lang w:val="en-US" w:eastAsia="en-US"/>
      </w:rPr>
      <w:t>on</w:t>
    </w:r>
    <w:r w:rsidR="009F053A" w:rsidRPr="009F053A">
      <w:rPr>
        <w:rFonts w:asciiTheme="minorHAnsi" w:eastAsiaTheme="minorEastAsia" w:hAnsiTheme="minorHAnsi" w:cstheme="minorBidi"/>
        <w:color w:val="000000" w:themeColor="text1"/>
        <w:lang w:val="en-US" w:eastAsia="en-US"/>
      </w:rPr>
      <w:t xml:space="preserve"> the exposure assessment of sweeteners</w:t>
    </w:r>
  </w:p>
  <w:p w14:paraId="6905340F" w14:textId="363A5753" w:rsidR="00A91331" w:rsidRPr="00856117" w:rsidRDefault="000E4D35" w:rsidP="00856117">
    <w:pPr>
      <w:rPr>
        <w:sz w:val="2"/>
        <w:szCs w:val="2"/>
      </w:rPr>
    </w:pPr>
    <w:r w:rsidRPr="00E46C36">
      <w:rPr>
        <w:b/>
        <w:bCs/>
        <w:noProof/>
        <w:sz w:val="16"/>
        <w:szCs w:val="16"/>
      </w:rPr>
      <w:drawing>
        <wp:anchor distT="0" distB="0" distL="114300" distR="114300" simplePos="0" relativeHeight="251660299" behindDoc="0" locked="0" layoutInCell="1" allowOverlap="1" wp14:anchorId="0190AA91" wp14:editId="10FC1379">
          <wp:simplePos x="0" y="0"/>
          <wp:positionH relativeFrom="column">
            <wp:posOffset>3745230</wp:posOffset>
          </wp:positionH>
          <wp:positionV relativeFrom="paragraph">
            <wp:posOffset>-1528445</wp:posOffset>
          </wp:positionV>
          <wp:extent cx="2514600" cy="8356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83566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F41F9" w14:textId="77777777" w:rsidR="00A91331" w:rsidRDefault="00A91331">
    <w:pPr>
      <w:pStyle w:val="EFSAShorttitle"/>
    </w:pPr>
    <w:r>
      <w:rPr>
        <w:shd w:val="clear" w:color="auto" w:fill="FFFF00"/>
      </w:rPr>
      <w:t>Short title</w:t>
    </w:r>
    <w:r>
      <w:t xml:space="preserve"> </w:t>
    </w:r>
    <w:r>
      <w:rPr>
        <w:noProof/>
        <w:color w:val="2B579A"/>
        <w:shd w:val="clear" w:color="auto" w:fill="E6E6E6"/>
        <w:lang w:val="fr-FR" w:eastAsia="fr-FR"/>
      </w:rPr>
      <w:drawing>
        <wp:anchor distT="0" distB="0" distL="114300" distR="114300" simplePos="0" relativeHeight="251658244" behindDoc="1" locked="0" layoutInCell="1" allowOverlap="1" wp14:anchorId="1F727FE7" wp14:editId="365D14E4">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117243662" name="Picture 117243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color w:val="2B579A"/>
        <w:shd w:val="clear" w:color="auto" w:fill="E6E6E6"/>
        <w:lang w:val="fr-FR" w:eastAsia="fr-FR"/>
      </w:rPr>
      <w:drawing>
        <wp:anchor distT="0" distB="0" distL="114300" distR="114300" simplePos="0" relativeHeight="251658245" behindDoc="1" locked="0" layoutInCell="1" allowOverlap="1" wp14:anchorId="7DC1186B" wp14:editId="2BF751CF">
          <wp:simplePos x="0" y="0"/>
          <wp:positionH relativeFrom="column">
            <wp:posOffset>-360045</wp:posOffset>
          </wp:positionH>
          <wp:positionV relativeFrom="paragraph">
            <wp:posOffset>144145</wp:posOffset>
          </wp:positionV>
          <wp:extent cx="7559675" cy="35560"/>
          <wp:effectExtent l="0" t="0" r="3175" b="2540"/>
          <wp:wrapSquare wrapText="bothSides"/>
          <wp:docPr id="1098992758" name="Picture 1098992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432CC65" w14:textId="77777777" w:rsidR="00A91331" w:rsidRDefault="00A91331"/>
  <w:p w14:paraId="7BD7F77C" w14:textId="77777777" w:rsidR="00A91331" w:rsidRDefault="00A91331"/>
  <w:p w14:paraId="273E441D" w14:textId="77777777" w:rsidR="00A91331" w:rsidRDefault="00A9133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6"/>
    </w:tblGrid>
    <w:tr w:rsidR="00207F2C" w:rsidRPr="00EA0C60" w14:paraId="4FD6795C" w14:textId="77777777" w:rsidTr="008D21BB">
      <w:trPr>
        <w:trHeight w:val="109"/>
      </w:trPr>
      <w:tc>
        <w:tcPr>
          <w:tcW w:w="5000" w:type="pct"/>
        </w:tcPr>
        <w:p w14:paraId="09A3112C" w14:textId="75C5ACD8" w:rsidR="00207F2C" w:rsidRDefault="00207F2C" w:rsidP="00207F2C">
          <w:pPr>
            <w:pStyle w:val="EFSAShorttitle"/>
            <w:ind w:left="-112"/>
            <w:rPr>
              <w:highlight w:val="yellow"/>
            </w:rPr>
          </w:pPr>
          <w:r w:rsidRPr="005E7247">
            <w:rPr>
              <w:rFonts w:asciiTheme="minorHAnsi" w:eastAsiaTheme="minorEastAsia" w:hAnsiTheme="minorHAnsi" w:cstheme="minorBidi"/>
              <w:b w:val="0"/>
              <w:iCs w:val="0"/>
              <w:color w:val="000000" w:themeColor="text1"/>
              <w:sz w:val="20"/>
              <w:szCs w:val="20"/>
              <w:lang w:val="en-US" w:eastAsia="en-US"/>
            </w:rPr>
            <w:t xml:space="preserve">Protocol on </w:t>
          </w:r>
          <w:r>
            <w:rPr>
              <w:rFonts w:asciiTheme="minorHAnsi" w:eastAsiaTheme="minorEastAsia" w:hAnsiTheme="minorHAnsi" w:cstheme="minorBidi"/>
              <w:b w:val="0"/>
              <w:iCs w:val="0"/>
              <w:color w:val="000000" w:themeColor="text1"/>
              <w:sz w:val="20"/>
              <w:szCs w:val="20"/>
              <w:lang w:val="en-US" w:eastAsia="en-US"/>
            </w:rPr>
            <w:t xml:space="preserve">exposure assessment </w:t>
          </w:r>
          <w:r w:rsidRPr="005E7247">
            <w:rPr>
              <w:rFonts w:asciiTheme="minorHAnsi" w:eastAsiaTheme="minorEastAsia" w:hAnsiTheme="minorHAnsi" w:cstheme="minorBidi"/>
              <w:b w:val="0"/>
              <w:iCs w:val="0"/>
              <w:color w:val="000000" w:themeColor="text1"/>
              <w:sz w:val="20"/>
              <w:szCs w:val="20"/>
              <w:lang w:val="en-US" w:eastAsia="en-US"/>
            </w:rPr>
            <w:t>of sweeteners</w:t>
          </w:r>
          <w:r>
            <w:rPr>
              <w:noProof/>
              <w:color w:val="1F497D" w:themeColor="text2"/>
            </w:rPr>
            <w:t xml:space="preserve"> </w:t>
          </w:r>
          <w:r>
            <w:rPr>
              <w:noProof/>
              <w:color w:val="1F497D" w:themeColor="text2"/>
            </w:rPr>
            <w:drawing>
              <wp:anchor distT="0" distB="0" distL="114300" distR="114300" simplePos="0" relativeHeight="251664395" behindDoc="0" locked="0" layoutInCell="1" allowOverlap="1" wp14:anchorId="6C4F8869" wp14:editId="42311955">
                <wp:simplePos x="0" y="0"/>
                <wp:positionH relativeFrom="margin">
                  <wp:posOffset>5112327</wp:posOffset>
                </wp:positionH>
                <wp:positionV relativeFrom="paragraph">
                  <wp:posOffset>-232204</wp:posOffset>
                </wp:positionV>
                <wp:extent cx="561378" cy="59055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1378" cy="590550"/>
                        </a:xfrm>
                        <a:prstGeom prst="rect">
                          <a:avLst/>
                        </a:prstGeom>
                      </pic:spPr>
                    </pic:pic>
                  </a:graphicData>
                </a:graphic>
                <wp14:sizeRelH relativeFrom="page">
                  <wp14:pctWidth>0</wp14:pctWidth>
                </wp14:sizeRelH>
                <wp14:sizeRelV relativeFrom="page">
                  <wp14:pctHeight>0</wp14:pctHeight>
                </wp14:sizeRelV>
              </wp:anchor>
            </w:drawing>
          </w:r>
        </w:p>
      </w:tc>
    </w:tr>
    <w:tr w:rsidR="00207F2C" w:rsidRPr="00EA0C60" w14:paraId="357F3636" w14:textId="77777777" w:rsidTr="008D21BB">
      <w:trPr>
        <w:trHeight w:val="109"/>
      </w:trPr>
      <w:tc>
        <w:tcPr>
          <w:tcW w:w="5000" w:type="pct"/>
        </w:tcPr>
        <w:p w14:paraId="71FA96FC" w14:textId="77777777" w:rsidR="00207F2C" w:rsidRPr="00EA0C60" w:rsidRDefault="00207F2C" w:rsidP="00207F2C">
          <w:pPr>
            <w:pStyle w:val="EFSAShorttitle"/>
            <w:rPr>
              <w:noProof/>
              <w:sz w:val="2"/>
              <w:szCs w:val="2"/>
            </w:rPr>
          </w:pPr>
        </w:p>
      </w:tc>
    </w:tr>
  </w:tbl>
  <w:p w14:paraId="26E7F246" w14:textId="77777777" w:rsidR="00A91331" w:rsidRPr="002623C1" w:rsidRDefault="00A91331" w:rsidP="000A3A44">
    <w:pPr>
      <w:rPr>
        <w:sz w:val="2"/>
        <w:szCs w:val="2"/>
      </w:rPr>
    </w:pPr>
  </w:p>
  <w:p w14:paraId="2B46258C" w14:textId="77777777" w:rsidR="00A91331" w:rsidRPr="002623C1" w:rsidRDefault="00A91331" w:rsidP="00EA0C60">
    <w:pPr>
      <w:pStyle w:val="Header"/>
      <w:suppressLineNumbers w:val="0"/>
      <w:suppressAutoHyphens w:val="0"/>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44D57" w14:textId="77777777" w:rsidR="00A91331" w:rsidRDefault="00A9133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2D35"/>
    <w:multiLevelType w:val="hybridMultilevel"/>
    <w:tmpl w:val="856E7160"/>
    <w:lvl w:ilvl="0" w:tplc="92263CC4">
      <w:start w:val="2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 w15:restartNumberingAfterBreak="0">
    <w:nsid w:val="1BBC3FD0"/>
    <w:multiLevelType w:val="hybridMultilevel"/>
    <w:tmpl w:val="659A63B6"/>
    <w:lvl w:ilvl="0" w:tplc="91BA39F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9403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E4588C"/>
    <w:multiLevelType w:val="multilevel"/>
    <w:tmpl w:val="756C11F0"/>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5" w15:restartNumberingAfterBreak="0">
    <w:nsid w:val="24F44C43"/>
    <w:multiLevelType w:val="hybridMultilevel"/>
    <w:tmpl w:val="18920E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4046"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C6700"/>
    <w:multiLevelType w:val="hybridMultilevel"/>
    <w:tmpl w:val="3DBA7FEA"/>
    <w:lvl w:ilvl="0" w:tplc="5F943E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26A728"/>
    <w:multiLevelType w:val="multilevel"/>
    <w:tmpl w:val="3620E22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A4073"/>
    <w:multiLevelType w:val="hybridMultilevel"/>
    <w:tmpl w:val="80A00A8C"/>
    <w:lvl w:ilvl="0" w:tplc="61986726">
      <w:start w:val="1"/>
      <w:numFmt w:val="bullet"/>
      <w:lvlText w:val="-"/>
      <w:lvlJc w:val="left"/>
      <w:pPr>
        <w:ind w:left="1512" w:hanging="360"/>
      </w:pPr>
      <w:rPr>
        <w:rFonts w:ascii="Calibri" w:hAnsi="Calibri" w:cs="Times New Roman" w:hint="default"/>
      </w:rPr>
    </w:lvl>
    <w:lvl w:ilvl="1" w:tplc="08090003">
      <w:start w:val="1"/>
      <w:numFmt w:val="bullet"/>
      <w:lvlText w:val="o"/>
      <w:lvlJc w:val="left"/>
      <w:pPr>
        <w:ind w:left="2232" w:hanging="360"/>
      </w:pPr>
      <w:rPr>
        <w:rFonts w:ascii="Courier New" w:hAnsi="Courier New" w:cs="Courier New" w:hint="default"/>
      </w:rPr>
    </w:lvl>
    <w:lvl w:ilvl="2" w:tplc="08090005">
      <w:start w:val="1"/>
      <w:numFmt w:val="bullet"/>
      <w:lvlText w:val=""/>
      <w:lvlJc w:val="left"/>
      <w:pPr>
        <w:ind w:left="2952" w:hanging="360"/>
      </w:pPr>
      <w:rPr>
        <w:rFonts w:ascii="Wingdings" w:hAnsi="Wingdings" w:hint="default"/>
      </w:rPr>
    </w:lvl>
    <w:lvl w:ilvl="3" w:tplc="08090001">
      <w:start w:val="1"/>
      <w:numFmt w:val="bullet"/>
      <w:lvlText w:val=""/>
      <w:lvlJc w:val="left"/>
      <w:pPr>
        <w:ind w:left="3672" w:hanging="360"/>
      </w:pPr>
      <w:rPr>
        <w:rFonts w:ascii="Symbol" w:hAnsi="Symbol" w:hint="default"/>
      </w:rPr>
    </w:lvl>
    <w:lvl w:ilvl="4" w:tplc="08090003">
      <w:start w:val="1"/>
      <w:numFmt w:val="bullet"/>
      <w:lvlText w:val="o"/>
      <w:lvlJc w:val="left"/>
      <w:pPr>
        <w:ind w:left="4392" w:hanging="360"/>
      </w:pPr>
      <w:rPr>
        <w:rFonts w:ascii="Courier New" w:hAnsi="Courier New" w:cs="Courier New" w:hint="default"/>
      </w:rPr>
    </w:lvl>
    <w:lvl w:ilvl="5" w:tplc="08090005">
      <w:start w:val="1"/>
      <w:numFmt w:val="bullet"/>
      <w:lvlText w:val=""/>
      <w:lvlJc w:val="left"/>
      <w:pPr>
        <w:ind w:left="5112" w:hanging="360"/>
      </w:pPr>
      <w:rPr>
        <w:rFonts w:ascii="Wingdings" w:hAnsi="Wingdings" w:hint="default"/>
      </w:rPr>
    </w:lvl>
    <w:lvl w:ilvl="6" w:tplc="08090001">
      <w:start w:val="1"/>
      <w:numFmt w:val="bullet"/>
      <w:lvlText w:val=""/>
      <w:lvlJc w:val="left"/>
      <w:pPr>
        <w:ind w:left="5832" w:hanging="360"/>
      </w:pPr>
      <w:rPr>
        <w:rFonts w:ascii="Symbol" w:hAnsi="Symbol" w:hint="default"/>
      </w:rPr>
    </w:lvl>
    <w:lvl w:ilvl="7" w:tplc="08090003">
      <w:start w:val="1"/>
      <w:numFmt w:val="bullet"/>
      <w:lvlText w:val="o"/>
      <w:lvlJc w:val="left"/>
      <w:pPr>
        <w:ind w:left="6552" w:hanging="360"/>
      </w:pPr>
      <w:rPr>
        <w:rFonts w:ascii="Courier New" w:hAnsi="Courier New" w:cs="Courier New" w:hint="default"/>
      </w:rPr>
    </w:lvl>
    <w:lvl w:ilvl="8" w:tplc="08090005">
      <w:start w:val="1"/>
      <w:numFmt w:val="bullet"/>
      <w:lvlText w:val=""/>
      <w:lvlJc w:val="left"/>
      <w:pPr>
        <w:ind w:left="7272" w:hanging="360"/>
      </w:pPr>
      <w:rPr>
        <w:rFonts w:ascii="Wingdings" w:hAnsi="Wingdings" w:hint="default"/>
      </w:rPr>
    </w:lvl>
  </w:abstractNum>
  <w:abstractNum w:abstractNumId="9" w15:restartNumberingAfterBreak="0">
    <w:nsid w:val="28E76A47"/>
    <w:multiLevelType w:val="multilevel"/>
    <w:tmpl w:val="74207EA0"/>
    <w:numStyleLink w:val="EFSAheadinglist"/>
  </w:abstractNum>
  <w:abstractNum w:abstractNumId="10" w15:restartNumberingAfterBreak="0">
    <w:nsid w:val="31BA6F0F"/>
    <w:multiLevelType w:val="hybridMultilevel"/>
    <w:tmpl w:val="E408CA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540F58"/>
    <w:multiLevelType w:val="multilevel"/>
    <w:tmpl w:val="CBF8626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13" w15:restartNumberingAfterBreak="0">
    <w:nsid w:val="41755F91"/>
    <w:multiLevelType w:val="hybridMultilevel"/>
    <w:tmpl w:val="490A8C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7FB29C3"/>
    <w:multiLevelType w:val="multilevel"/>
    <w:tmpl w:val="CA605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3777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BD6523"/>
    <w:multiLevelType w:val="hybridMultilevel"/>
    <w:tmpl w:val="F47CC1CE"/>
    <w:lvl w:ilvl="0" w:tplc="AE06941E">
      <w:start w:val="1"/>
      <w:numFmt w:val="upperLetter"/>
      <w:lvlText w:val="Appendix %1 –"/>
      <w:lvlJc w:val="left"/>
      <w:pPr>
        <w:ind w:left="360" w:hanging="360"/>
      </w:pPr>
      <w:rPr>
        <w:rFonts w:ascii="Tahoma" w:hAnsi="Tahoma" w:hint="default"/>
        <w:b/>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8" w15:restartNumberingAfterBreak="0">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50C734B1"/>
    <w:multiLevelType w:val="multilevel"/>
    <w:tmpl w:val="05725942"/>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0" w15:restartNumberingAfterBreak="0">
    <w:nsid w:val="511569E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3C02C5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0A3F43"/>
    <w:multiLevelType w:val="hybridMultilevel"/>
    <w:tmpl w:val="08EECF8C"/>
    <w:lvl w:ilvl="0" w:tplc="39C4800E">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5002F8"/>
    <w:multiLevelType w:val="hybridMultilevel"/>
    <w:tmpl w:val="1F4038FE"/>
    <w:lvl w:ilvl="0" w:tplc="56BE28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C45CB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F53D11"/>
    <w:multiLevelType w:val="hybridMultilevel"/>
    <w:tmpl w:val="91E2347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79C24798"/>
    <w:multiLevelType w:val="hybridMultilevel"/>
    <w:tmpl w:val="64DA7824"/>
    <w:lvl w:ilvl="0" w:tplc="9D60DA34">
      <w:start w:val="1"/>
      <w:numFmt w:val="decimal"/>
      <w:pStyle w:val="EFSATabletitle"/>
      <w:lvlText w:val="Table %1: "/>
      <w:lvlJc w:val="left"/>
      <w:pPr>
        <w:ind w:left="2912"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31" w15:restartNumberingAfterBreak="0">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32" w15:restartNumberingAfterBreak="0">
    <w:nsid w:val="7F9A1068"/>
    <w:multiLevelType w:val="hybridMultilevel"/>
    <w:tmpl w:val="40B823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2893803">
    <w:abstractNumId w:val="17"/>
  </w:num>
  <w:num w:numId="2" w16cid:durableId="1499692546">
    <w:abstractNumId w:val="31"/>
  </w:num>
  <w:num w:numId="3" w16cid:durableId="2076003274">
    <w:abstractNumId w:val="31"/>
  </w:num>
  <w:num w:numId="4" w16cid:durableId="388264727">
    <w:abstractNumId w:val="14"/>
  </w:num>
  <w:num w:numId="5" w16cid:durableId="539318331">
    <w:abstractNumId w:val="24"/>
  </w:num>
  <w:num w:numId="6" w16cid:durableId="323440843">
    <w:abstractNumId w:val="22"/>
  </w:num>
  <w:num w:numId="7" w16cid:durableId="1159155816">
    <w:abstractNumId w:val="19"/>
  </w:num>
  <w:num w:numId="8" w16cid:durableId="1842692551">
    <w:abstractNumId w:val="19"/>
  </w:num>
  <w:num w:numId="9" w16cid:durableId="1526480404">
    <w:abstractNumId w:val="19"/>
  </w:num>
  <w:num w:numId="10" w16cid:durableId="139199955">
    <w:abstractNumId w:val="12"/>
  </w:num>
  <w:num w:numId="11" w16cid:durableId="926235674">
    <w:abstractNumId w:val="25"/>
  </w:num>
  <w:num w:numId="12" w16cid:durableId="1835607925">
    <w:abstractNumId w:val="30"/>
  </w:num>
  <w:num w:numId="13" w16cid:durableId="805970778">
    <w:abstractNumId w:val="24"/>
    <w:lvlOverride w:ilvl="0">
      <w:startOverride w:val="1"/>
    </w:lvlOverride>
  </w:num>
  <w:num w:numId="14" w16cid:durableId="363871920">
    <w:abstractNumId w:val="26"/>
  </w:num>
  <w:num w:numId="15" w16cid:durableId="1483233344">
    <w:abstractNumId w:val="4"/>
  </w:num>
  <w:num w:numId="16" w16cid:durableId="1656183968">
    <w:abstractNumId w:val="3"/>
  </w:num>
  <w:num w:numId="17" w16cid:durableId="1173758378">
    <w:abstractNumId w:val="1"/>
  </w:num>
  <w:num w:numId="18" w16cid:durableId="20832183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2796256">
    <w:abstractNumId w:val="9"/>
  </w:num>
  <w:num w:numId="20" w16cid:durableId="1935168705">
    <w:abstractNumId w:val="18"/>
  </w:num>
  <w:num w:numId="21" w16cid:durableId="294991433">
    <w:abstractNumId w:val="18"/>
  </w:num>
  <w:num w:numId="22" w16cid:durableId="1556889874">
    <w:abstractNumId w:val="18"/>
  </w:num>
  <w:num w:numId="23" w16cid:durableId="987593950">
    <w:abstractNumId w:val="11"/>
  </w:num>
  <w:num w:numId="24" w16cid:durableId="1870023480">
    <w:abstractNumId w:val="20"/>
  </w:num>
  <w:num w:numId="25" w16cid:durableId="676200764">
    <w:abstractNumId w:val="16"/>
  </w:num>
  <w:num w:numId="26" w16cid:durableId="634526781">
    <w:abstractNumId w:val="29"/>
  </w:num>
  <w:num w:numId="27" w16cid:durableId="316956116">
    <w:abstractNumId w:val="9"/>
  </w:num>
  <w:num w:numId="28" w16cid:durableId="77990694">
    <w:abstractNumId w:val="21"/>
  </w:num>
  <w:num w:numId="29" w16cid:durableId="754941062">
    <w:abstractNumId w:val="32"/>
  </w:num>
  <w:num w:numId="30" w16cid:durableId="796797520">
    <w:abstractNumId w:val="25"/>
  </w:num>
  <w:num w:numId="31" w16cid:durableId="892928722">
    <w:abstractNumId w:val="27"/>
  </w:num>
  <w:num w:numId="32" w16cid:durableId="1435056090">
    <w:abstractNumId w:val="9"/>
  </w:num>
  <w:num w:numId="33" w16cid:durableId="121968135">
    <w:abstractNumId w:val="9"/>
  </w:num>
  <w:num w:numId="34" w16cid:durableId="176620101">
    <w:abstractNumId w:val="9"/>
  </w:num>
  <w:num w:numId="35" w16cid:durableId="2033336315">
    <w:abstractNumId w:val="9"/>
  </w:num>
  <w:num w:numId="36" w16cid:durableId="863635525">
    <w:abstractNumId w:val="23"/>
  </w:num>
  <w:num w:numId="37" w16cid:durableId="1463693939">
    <w:abstractNumId w:val="6"/>
  </w:num>
  <w:num w:numId="38" w16cid:durableId="2026206670">
    <w:abstractNumId w:val="15"/>
  </w:num>
  <w:num w:numId="39" w16cid:durableId="1687903378">
    <w:abstractNumId w:val="25"/>
  </w:num>
  <w:num w:numId="40" w16cid:durableId="840701148">
    <w:abstractNumId w:val="28"/>
  </w:num>
  <w:num w:numId="41" w16cid:durableId="1292056831">
    <w:abstractNumId w:val="9"/>
  </w:num>
  <w:num w:numId="42" w16cid:durableId="640811997">
    <w:abstractNumId w:val="0"/>
  </w:num>
  <w:num w:numId="43" w16cid:durableId="1185051002">
    <w:abstractNumId w:val="13"/>
  </w:num>
  <w:num w:numId="44" w16cid:durableId="2146848258">
    <w:abstractNumId w:val="9"/>
  </w:num>
  <w:num w:numId="45" w16cid:durableId="487092112">
    <w:abstractNumId w:val="8"/>
  </w:num>
  <w:num w:numId="46" w16cid:durableId="941692613">
    <w:abstractNumId w:val="18"/>
  </w:num>
  <w:num w:numId="47" w16cid:durableId="1658991895">
    <w:abstractNumId w:val="9"/>
  </w:num>
  <w:num w:numId="48" w16cid:durableId="776174328">
    <w:abstractNumId w:val="2"/>
  </w:num>
  <w:num w:numId="49" w16cid:durableId="821846050">
    <w:abstractNumId w:val="5"/>
  </w:num>
  <w:num w:numId="50" w16cid:durableId="1999110948">
    <w:abstractNumId w:val="10"/>
  </w:num>
  <w:num w:numId="51" w16cid:durableId="1188905429">
    <w:abstractNumId w:val="30"/>
  </w:num>
  <w:num w:numId="52" w16cid:durableId="1678538367">
    <w:abstractNumId w:val="7"/>
  </w:num>
  <w:num w:numId="53" w16cid:durableId="1498766206">
    <w:abstractNumId w:val="30"/>
    <w:lvlOverride w:ilvl="0">
      <w:startOverride w:val="1"/>
    </w:lvlOverride>
  </w:num>
  <w:num w:numId="54" w16cid:durableId="339815519">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159"/>
    <w:rsid w:val="000001D5"/>
    <w:rsid w:val="00000867"/>
    <w:rsid w:val="00000900"/>
    <w:rsid w:val="00001D68"/>
    <w:rsid w:val="00002E5E"/>
    <w:rsid w:val="00003145"/>
    <w:rsid w:val="00003D24"/>
    <w:rsid w:val="000047E0"/>
    <w:rsid w:val="0000496D"/>
    <w:rsid w:val="00004B8F"/>
    <w:rsid w:val="00004ED2"/>
    <w:rsid w:val="000056D8"/>
    <w:rsid w:val="00005FBF"/>
    <w:rsid w:val="000061DA"/>
    <w:rsid w:val="0000698F"/>
    <w:rsid w:val="0000743C"/>
    <w:rsid w:val="00007660"/>
    <w:rsid w:val="000076AA"/>
    <w:rsid w:val="00007FD4"/>
    <w:rsid w:val="000109E5"/>
    <w:rsid w:val="000116A4"/>
    <w:rsid w:val="00012454"/>
    <w:rsid w:val="000125C7"/>
    <w:rsid w:val="000128FF"/>
    <w:rsid w:val="00012974"/>
    <w:rsid w:val="00012C72"/>
    <w:rsid w:val="00013231"/>
    <w:rsid w:val="0001334E"/>
    <w:rsid w:val="000139CA"/>
    <w:rsid w:val="00013E79"/>
    <w:rsid w:val="00014858"/>
    <w:rsid w:val="00014F5D"/>
    <w:rsid w:val="00015AA2"/>
    <w:rsid w:val="00015F95"/>
    <w:rsid w:val="0001629F"/>
    <w:rsid w:val="00016464"/>
    <w:rsid w:val="000164EA"/>
    <w:rsid w:val="0001678D"/>
    <w:rsid w:val="00016FA0"/>
    <w:rsid w:val="0001724A"/>
    <w:rsid w:val="00020064"/>
    <w:rsid w:val="00020ECA"/>
    <w:rsid w:val="000213FF"/>
    <w:rsid w:val="000215B0"/>
    <w:rsid w:val="00021E9F"/>
    <w:rsid w:val="000226CF"/>
    <w:rsid w:val="00023BE8"/>
    <w:rsid w:val="00023D5C"/>
    <w:rsid w:val="000247CA"/>
    <w:rsid w:val="00024895"/>
    <w:rsid w:val="0002597A"/>
    <w:rsid w:val="000268DD"/>
    <w:rsid w:val="00027239"/>
    <w:rsid w:val="00027B31"/>
    <w:rsid w:val="0002F3B1"/>
    <w:rsid w:val="00030524"/>
    <w:rsid w:val="0003102A"/>
    <w:rsid w:val="00031FDC"/>
    <w:rsid w:val="000320F4"/>
    <w:rsid w:val="00032302"/>
    <w:rsid w:val="000328CD"/>
    <w:rsid w:val="00032EB8"/>
    <w:rsid w:val="000344EA"/>
    <w:rsid w:val="00034A28"/>
    <w:rsid w:val="00034C0A"/>
    <w:rsid w:val="00035872"/>
    <w:rsid w:val="000358BB"/>
    <w:rsid w:val="00036188"/>
    <w:rsid w:val="00036D64"/>
    <w:rsid w:val="00037178"/>
    <w:rsid w:val="000373EA"/>
    <w:rsid w:val="0003786B"/>
    <w:rsid w:val="00037A58"/>
    <w:rsid w:val="000401FE"/>
    <w:rsid w:val="00040367"/>
    <w:rsid w:val="000409CC"/>
    <w:rsid w:val="000414DA"/>
    <w:rsid w:val="000415ED"/>
    <w:rsid w:val="000440C8"/>
    <w:rsid w:val="00044319"/>
    <w:rsid w:val="00044DA4"/>
    <w:rsid w:val="000460B3"/>
    <w:rsid w:val="00046C2A"/>
    <w:rsid w:val="00046D46"/>
    <w:rsid w:val="000474A7"/>
    <w:rsid w:val="00050E71"/>
    <w:rsid w:val="000512EF"/>
    <w:rsid w:val="00051421"/>
    <w:rsid w:val="000514EF"/>
    <w:rsid w:val="0005168D"/>
    <w:rsid w:val="00051CED"/>
    <w:rsid w:val="00052C01"/>
    <w:rsid w:val="0005474F"/>
    <w:rsid w:val="00054FDA"/>
    <w:rsid w:val="000553D6"/>
    <w:rsid w:val="0005635C"/>
    <w:rsid w:val="00056E4F"/>
    <w:rsid w:val="00057CDE"/>
    <w:rsid w:val="00060F12"/>
    <w:rsid w:val="00061445"/>
    <w:rsid w:val="00061925"/>
    <w:rsid w:val="00061F0F"/>
    <w:rsid w:val="00061FDE"/>
    <w:rsid w:val="00062253"/>
    <w:rsid w:val="00062514"/>
    <w:rsid w:val="00063A36"/>
    <w:rsid w:val="00064181"/>
    <w:rsid w:val="00064D24"/>
    <w:rsid w:val="0006566B"/>
    <w:rsid w:val="0006586B"/>
    <w:rsid w:val="00065D44"/>
    <w:rsid w:val="00066695"/>
    <w:rsid w:val="00066D2F"/>
    <w:rsid w:val="000674D0"/>
    <w:rsid w:val="00070FA0"/>
    <w:rsid w:val="000712BE"/>
    <w:rsid w:val="00072EE2"/>
    <w:rsid w:val="000753DC"/>
    <w:rsid w:val="000754EF"/>
    <w:rsid w:val="00075A1B"/>
    <w:rsid w:val="000768DE"/>
    <w:rsid w:val="00076956"/>
    <w:rsid w:val="00076B1C"/>
    <w:rsid w:val="00080B90"/>
    <w:rsid w:val="00080BAD"/>
    <w:rsid w:val="00081089"/>
    <w:rsid w:val="00081AF1"/>
    <w:rsid w:val="00081EFA"/>
    <w:rsid w:val="00082B10"/>
    <w:rsid w:val="00082E7C"/>
    <w:rsid w:val="00083461"/>
    <w:rsid w:val="00083C14"/>
    <w:rsid w:val="00083CF4"/>
    <w:rsid w:val="00083EA5"/>
    <w:rsid w:val="00083F09"/>
    <w:rsid w:val="00084AB4"/>
    <w:rsid w:val="00084BBA"/>
    <w:rsid w:val="00086CBA"/>
    <w:rsid w:val="0008773B"/>
    <w:rsid w:val="00090002"/>
    <w:rsid w:val="000903B2"/>
    <w:rsid w:val="000905F1"/>
    <w:rsid w:val="00090D31"/>
    <w:rsid w:val="000916F8"/>
    <w:rsid w:val="00092B4B"/>
    <w:rsid w:val="00094DFA"/>
    <w:rsid w:val="000950E3"/>
    <w:rsid w:val="000960F3"/>
    <w:rsid w:val="00096B67"/>
    <w:rsid w:val="00097765"/>
    <w:rsid w:val="00097C71"/>
    <w:rsid w:val="000A0653"/>
    <w:rsid w:val="000A087E"/>
    <w:rsid w:val="000A08D8"/>
    <w:rsid w:val="000A12AE"/>
    <w:rsid w:val="000A17B6"/>
    <w:rsid w:val="000A19A9"/>
    <w:rsid w:val="000A1D2B"/>
    <w:rsid w:val="000A3A44"/>
    <w:rsid w:val="000A3DD9"/>
    <w:rsid w:val="000A3E07"/>
    <w:rsid w:val="000A3FA5"/>
    <w:rsid w:val="000A4213"/>
    <w:rsid w:val="000A4CCB"/>
    <w:rsid w:val="000A5E5F"/>
    <w:rsid w:val="000A61AF"/>
    <w:rsid w:val="000A6CC8"/>
    <w:rsid w:val="000A6D50"/>
    <w:rsid w:val="000A76C2"/>
    <w:rsid w:val="000A76CB"/>
    <w:rsid w:val="000A78F1"/>
    <w:rsid w:val="000A7A45"/>
    <w:rsid w:val="000B06E9"/>
    <w:rsid w:val="000B11C3"/>
    <w:rsid w:val="000B138F"/>
    <w:rsid w:val="000B14CC"/>
    <w:rsid w:val="000B178A"/>
    <w:rsid w:val="000B25B3"/>
    <w:rsid w:val="000B3B74"/>
    <w:rsid w:val="000B3D17"/>
    <w:rsid w:val="000B3E1B"/>
    <w:rsid w:val="000B4088"/>
    <w:rsid w:val="000B4B84"/>
    <w:rsid w:val="000B52D3"/>
    <w:rsid w:val="000B56AF"/>
    <w:rsid w:val="000B5F12"/>
    <w:rsid w:val="000B649A"/>
    <w:rsid w:val="000B658B"/>
    <w:rsid w:val="000B681A"/>
    <w:rsid w:val="000B6A15"/>
    <w:rsid w:val="000C0100"/>
    <w:rsid w:val="000C0163"/>
    <w:rsid w:val="000C0FE8"/>
    <w:rsid w:val="000C240B"/>
    <w:rsid w:val="000C265C"/>
    <w:rsid w:val="000C2BE7"/>
    <w:rsid w:val="000C2D14"/>
    <w:rsid w:val="000C30D7"/>
    <w:rsid w:val="000C3B52"/>
    <w:rsid w:val="000C43E4"/>
    <w:rsid w:val="000C48D0"/>
    <w:rsid w:val="000C5756"/>
    <w:rsid w:val="000C5E78"/>
    <w:rsid w:val="000C60C5"/>
    <w:rsid w:val="000C6DED"/>
    <w:rsid w:val="000C6E01"/>
    <w:rsid w:val="000C6E51"/>
    <w:rsid w:val="000C730A"/>
    <w:rsid w:val="000C7B2D"/>
    <w:rsid w:val="000C7B9E"/>
    <w:rsid w:val="000D04F4"/>
    <w:rsid w:val="000D0A55"/>
    <w:rsid w:val="000D0B0F"/>
    <w:rsid w:val="000D107B"/>
    <w:rsid w:val="000D1361"/>
    <w:rsid w:val="000D18A2"/>
    <w:rsid w:val="000D1D58"/>
    <w:rsid w:val="000D2E66"/>
    <w:rsid w:val="000D2F1D"/>
    <w:rsid w:val="000D3B52"/>
    <w:rsid w:val="000D3F1E"/>
    <w:rsid w:val="000D479C"/>
    <w:rsid w:val="000D47B3"/>
    <w:rsid w:val="000D4C54"/>
    <w:rsid w:val="000D584B"/>
    <w:rsid w:val="000D60E7"/>
    <w:rsid w:val="000D6137"/>
    <w:rsid w:val="000D6908"/>
    <w:rsid w:val="000D6C9A"/>
    <w:rsid w:val="000D6EF8"/>
    <w:rsid w:val="000D70CD"/>
    <w:rsid w:val="000D71AE"/>
    <w:rsid w:val="000D7CC7"/>
    <w:rsid w:val="000D7D0F"/>
    <w:rsid w:val="000E0323"/>
    <w:rsid w:val="000E08BD"/>
    <w:rsid w:val="000E135A"/>
    <w:rsid w:val="000E13D5"/>
    <w:rsid w:val="000E1431"/>
    <w:rsid w:val="000E176B"/>
    <w:rsid w:val="000E1820"/>
    <w:rsid w:val="000E1D7E"/>
    <w:rsid w:val="000E1E78"/>
    <w:rsid w:val="000E274D"/>
    <w:rsid w:val="000E2756"/>
    <w:rsid w:val="000E40D4"/>
    <w:rsid w:val="000E42EB"/>
    <w:rsid w:val="000E4D35"/>
    <w:rsid w:val="000E5C67"/>
    <w:rsid w:val="000E66E5"/>
    <w:rsid w:val="000E6A60"/>
    <w:rsid w:val="000E764B"/>
    <w:rsid w:val="000E7A69"/>
    <w:rsid w:val="000F0DC6"/>
    <w:rsid w:val="000F13D2"/>
    <w:rsid w:val="000F17D2"/>
    <w:rsid w:val="000F2218"/>
    <w:rsid w:val="000F265F"/>
    <w:rsid w:val="000F2B1C"/>
    <w:rsid w:val="000F442C"/>
    <w:rsid w:val="000F5373"/>
    <w:rsid w:val="000F539A"/>
    <w:rsid w:val="000F5D66"/>
    <w:rsid w:val="000F5ED1"/>
    <w:rsid w:val="000F6EC4"/>
    <w:rsid w:val="000F7817"/>
    <w:rsid w:val="000F7E27"/>
    <w:rsid w:val="00100C2E"/>
    <w:rsid w:val="001025E1"/>
    <w:rsid w:val="00102639"/>
    <w:rsid w:val="001049B6"/>
    <w:rsid w:val="00104EE6"/>
    <w:rsid w:val="001051A3"/>
    <w:rsid w:val="00106A23"/>
    <w:rsid w:val="00106D3E"/>
    <w:rsid w:val="00107AD4"/>
    <w:rsid w:val="00110AA7"/>
    <w:rsid w:val="0011212C"/>
    <w:rsid w:val="0011334B"/>
    <w:rsid w:val="00113DB6"/>
    <w:rsid w:val="00114508"/>
    <w:rsid w:val="00116B40"/>
    <w:rsid w:val="00116D38"/>
    <w:rsid w:val="001179B5"/>
    <w:rsid w:val="00117B6A"/>
    <w:rsid w:val="001202D7"/>
    <w:rsid w:val="00120F8F"/>
    <w:rsid w:val="001219D4"/>
    <w:rsid w:val="00121F5A"/>
    <w:rsid w:val="00122349"/>
    <w:rsid w:val="0012281A"/>
    <w:rsid w:val="00122B51"/>
    <w:rsid w:val="00122DA5"/>
    <w:rsid w:val="0012440F"/>
    <w:rsid w:val="00124C48"/>
    <w:rsid w:val="00124D35"/>
    <w:rsid w:val="00124DD2"/>
    <w:rsid w:val="00124E15"/>
    <w:rsid w:val="0012519C"/>
    <w:rsid w:val="00125F65"/>
    <w:rsid w:val="00126200"/>
    <w:rsid w:val="00126494"/>
    <w:rsid w:val="001273A2"/>
    <w:rsid w:val="00127497"/>
    <w:rsid w:val="001274AF"/>
    <w:rsid w:val="0013023B"/>
    <w:rsid w:val="00130A9F"/>
    <w:rsid w:val="00130F27"/>
    <w:rsid w:val="00131071"/>
    <w:rsid w:val="00131544"/>
    <w:rsid w:val="0013227E"/>
    <w:rsid w:val="00132700"/>
    <w:rsid w:val="0013292B"/>
    <w:rsid w:val="00132FED"/>
    <w:rsid w:val="001330BC"/>
    <w:rsid w:val="001330DE"/>
    <w:rsid w:val="00133459"/>
    <w:rsid w:val="00133941"/>
    <w:rsid w:val="00133D0E"/>
    <w:rsid w:val="00134442"/>
    <w:rsid w:val="0013446F"/>
    <w:rsid w:val="00134B7A"/>
    <w:rsid w:val="00135AD1"/>
    <w:rsid w:val="00136466"/>
    <w:rsid w:val="00136709"/>
    <w:rsid w:val="00136FF5"/>
    <w:rsid w:val="001370AF"/>
    <w:rsid w:val="00137529"/>
    <w:rsid w:val="00137A16"/>
    <w:rsid w:val="00137CE9"/>
    <w:rsid w:val="00140C37"/>
    <w:rsid w:val="001424A1"/>
    <w:rsid w:val="001425F7"/>
    <w:rsid w:val="0014275D"/>
    <w:rsid w:val="00142D4D"/>
    <w:rsid w:val="00142F13"/>
    <w:rsid w:val="00142F61"/>
    <w:rsid w:val="00143DF0"/>
    <w:rsid w:val="00144690"/>
    <w:rsid w:val="001447EB"/>
    <w:rsid w:val="001452D7"/>
    <w:rsid w:val="001453C8"/>
    <w:rsid w:val="00145858"/>
    <w:rsid w:val="0014625C"/>
    <w:rsid w:val="001462E2"/>
    <w:rsid w:val="00146693"/>
    <w:rsid w:val="00146DB3"/>
    <w:rsid w:val="00147B82"/>
    <w:rsid w:val="00151773"/>
    <w:rsid w:val="00151A03"/>
    <w:rsid w:val="00152250"/>
    <w:rsid w:val="00152CC3"/>
    <w:rsid w:val="00153639"/>
    <w:rsid w:val="001538D3"/>
    <w:rsid w:val="00153A49"/>
    <w:rsid w:val="00156723"/>
    <w:rsid w:val="00156B22"/>
    <w:rsid w:val="0015722B"/>
    <w:rsid w:val="001604BC"/>
    <w:rsid w:val="00160722"/>
    <w:rsid w:val="00160760"/>
    <w:rsid w:val="0016087D"/>
    <w:rsid w:val="00161489"/>
    <w:rsid w:val="0016153A"/>
    <w:rsid w:val="001618D6"/>
    <w:rsid w:val="0016191D"/>
    <w:rsid w:val="00162198"/>
    <w:rsid w:val="001629B3"/>
    <w:rsid w:val="00162F1A"/>
    <w:rsid w:val="00162F8F"/>
    <w:rsid w:val="001630B5"/>
    <w:rsid w:val="001640B3"/>
    <w:rsid w:val="00164C60"/>
    <w:rsid w:val="00165234"/>
    <w:rsid w:val="001655BB"/>
    <w:rsid w:val="00165F92"/>
    <w:rsid w:val="001665C5"/>
    <w:rsid w:val="0016666B"/>
    <w:rsid w:val="0016679A"/>
    <w:rsid w:val="00166E20"/>
    <w:rsid w:val="00167BC8"/>
    <w:rsid w:val="00170BCE"/>
    <w:rsid w:val="0017122A"/>
    <w:rsid w:val="00171515"/>
    <w:rsid w:val="00172703"/>
    <w:rsid w:val="00172F42"/>
    <w:rsid w:val="001733BE"/>
    <w:rsid w:val="00173CDF"/>
    <w:rsid w:val="00174B7B"/>
    <w:rsid w:val="00174D8A"/>
    <w:rsid w:val="00174E40"/>
    <w:rsid w:val="00175D7B"/>
    <w:rsid w:val="00176B87"/>
    <w:rsid w:val="00177CDC"/>
    <w:rsid w:val="00180141"/>
    <w:rsid w:val="00180AE2"/>
    <w:rsid w:val="00180CB8"/>
    <w:rsid w:val="00180DC2"/>
    <w:rsid w:val="00180FF0"/>
    <w:rsid w:val="001812DC"/>
    <w:rsid w:val="001813A9"/>
    <w:rsid w:val="00181523"/>
    <w:rsid w:val="00183513"/>
    <w:rsid w:val="00183EB7"/>
    <w:rsid w:val="00184195"/>
    <w:rsid w:val="00184213"/>
    <w:rsid w:val="001847A7"/>
    <w:rsid w:val="00184AB3"/>
    <w:rsid w:val="0018556B"/>
    <w:rsid w:val="001858CC"/>
    <w:rsid w:val="00185F89"/>
    <w:rsid w:val="001877CA"/>
    <w:rsid w:val="00190EC6"/>
    <w:rsid w:val="001913FB"/>
    <w:rsid w:val="001917DB"/>
    <w:rsid w:val="00191AB4"/>
    <w:rsid w:val="00192976"/>
    <w:rsid w:val="00192D42"/>
    <w:rsid w:val="00192DD4"/>
    <w:rsid w:val="00193968"/>
    <w:rsid w:val="00193AA7"/>
    <w:rsid w:val="00193D8C"/>
    <w:rsid w:val="00194C6C"/>
    <w:rsid w:val="00194D33"/>
    <w:rsid w:val="00194F17"/>
    <w:rsid w:val="0019500B"/>
    <w:rsid w:val="001951D2"/>
    <w:rsid w:val="0019570D"/>
    <w:rsid w:val="00195EB3"/>
    <w:rsid w:val="00196574"/>
    <w:rsid w:val="00197356"/>
    <w:rsid w:val="00197A19"/>
    <w:rsid w:val="00197D9E"/>
    <w:rsid w:val="001A00C2"/>
    <w:rsid w:val="001A0229"/>
    <w:rsid w:val="001A0CB7"/>
    <w:rsid w:val="001A10E7"/>
    <w:rsid w:val="001A1295"/>
    <w:rsid w:val="001A1FEB"/>
    <w:rsid w:val="001A2AE6"/>
    <w:rsid w:val="001A5013"/>
    <w:rsid w:val="001A61E7"/>
    <w:rsid w:val="001B044C"/>
    <w:rsid w:val="001B04D5"/>
    <w:rsid w:val="001B134E"/>
    <w:rsid w:val="001B1C08"/>
    <w:rsid w:val="001B22AC"/>
    <w:rsid w:val="001B245E"/>
    <w:rsid w:val="001B2843"/>
    <w:rsid w:val="001B2AB9"/>
    <w:rsid w:val="001B30FA"/>
    <w:rsid w:val="001B35D7"/>
    <w:rsid w:val="001B38ED"/>
    <w:rsid w:val="001B3AEE"/>
    <w:rsid w:val="001B4257"/>
    <w:rsid w:val="001B44C8"/>
    <w:rsid w:val="001B48C1"/>
    <w:rsid w:val="001B4B95"/>
    <w:rsid w:val="001B4D53"/>
    <w:rsid w:val="001B5BC8"/>
    <w:rsid w:val="001B69EE"/>
    <w:rsid w:val="001B719A"/>
    <w:rsid w:val="001B767A"/>
    <w:rsid w:val="001B7D09"/>
    <w:rsid w:val="001C069C"/>
    <w:rsid w:val="001C1921"/>
    <w:rsid w:val="001C2419"/>
    <w:rsid w:val="001C27DF"/>
    <w:rsid w:val="001C2C3D"/>
    <w:rsid w:val="001C30F9"/>
    <w:rsid w:val="001C37EF"/>
    <w:rsid w:val="001C45F3"/>
    <w:rsid w:val="001C471E"/>
    <w:rsid w:val="001C48A2"/>
    <w:rsid w:val="001C5629"/>
    <w:rsid w:val="001C5989"/>
    <w:rsid w:val="001C6103"/>
    <w:rsid w:val="001C6373"/>
    <w:rsid w:val="001C697E"/>
    <w:rsid w:val="001C6E3B"/>
    <w:rsid w:val="001C76D4"/>
    <w:rsid w:val="001D01D2"/>
    <w:rsid w:val="001D094D"/>
    <w:rsid w:val="001D0BA2"/>
    <w:rsid w:val="001D0C86"/>
    <w:rsid w:val="001D1018"/>
    <w:rsid w:val="001D2803"/>
    <w:rsid w:val="001D340D"/>
    <w:rsid w:val="001D35C1"/>
    <w:rsid w:val="001D370A"/>
    <w:rsid w:val="001D3B4C"/>
    <w:rsid w:val="001D4F4A"/>
    <w:rsid w:val="001D63EC"/>
    <w:rsid w:val="001D7B42"/>
    <w:rsid w:val="001E0331"/>
    <w:rsid w:val="001E1504"/>
    <w:rsid w:val="001E1601"/>
    <w:rsid w:val="001E1A6E"/>
    <w:rsid w:val="001E1A6F"/>
    <w:rsid w:val="001E1C36"/>
    <w:rsid w:val="001E2795"/>
    <w:rsid w:val="001E315C"/>
    <w:rsid w:val="001E395D"/>
    <w:rsid w:val="001E3DDC"/>
    <w:rsid w:val="001E434A"/>
    <w:rsid w:val="001E4F81"/>
    <w:rsid w:val="001E5133"/>
    <w:rsid w:val="001E56BD"/>
    <w:rsid w:val="001E633C"/>
    <w:rsid w:val="001E69DE"/>
    <w:rsid w:val="001E7057"/>
    <w:rsid w:val="001E7968"/>
    <w:rsid w:val="001E7B98"/>
    <w:rsid w:val="001F0711"/>
    <w:rsid w:val="001F0846"/>
    <w:rsid w:val="001F0976"/>
    <w:rsid w:val="001F0CAC"/>
    <w:rsid w:val="001F12F9"/>
    <w:rsid w:val="001F1B99"/>
    <w:rsid w:val="001F2E58"/>
    <w:rsid w:val="001F383B"/>
    <w:rsid w:val="001F3D64"/>
    <w:rsid w:val="001F3F48"/>
    <w:rsid w:val="001F4045"/>
    <w:rsid w:val="001F4382"/>
    <w:rsid w:val="001F43AA"/>
    <w:rsid w:val="001F44D9"/>
    <w:rsid w:val="001F5966"/>
    <w:rsid w:val="001F5B33"/>
    <w:rsid w:val="001F5E9A"/>
    <w:rsid w:val="001F641D"/>
    <w:rsid w:val="001F6A17"/>
    <w:rsid w:val="001F6DD3"/>
    <w:rsid w:val="001F6E27"/>
    <w:rsid w:val="001F7546"/>
    <w:rsid w:val="001F7C06"/>
    <w:rsid w:val="001F7E8D"/>
    <w:rsid w:val="00200423"/>
    <w:rsid w:val="00200D83"/>
    <w:rsid w:val="002014D0"/>
    <w:rsid w:val="00201543"/>
    <w:rsid w:val="002021D8"/>
    <w:rsid w:val="002021EE"/>
    <w:rsid w:val="00202977"/>
    <w:rsid w:val="00203366"/>
    <w:rsid w:val="0020383B"/>
    <w:rsid w:val="002039CD"/>
    <w:rsid w:val="00205375"/>
    <w:rsid w:val="00206479"/>
    <w:rsid w:val="002069D5"/>
    <w:rsid w:val="00206BE3"/>
    <w:rsid w:val="00206D0C"/>
    <w:rsid w:val="00206E9C"/>
    <w:rsid w:val="0020784E"/>
    <w:rsid w:val="00207C5D"/>
    <w:rsid w:val="00207F2C"/>
    <w:rsid w:val="00210280"/>
    <w:rsid w:val="00212316"/>
    <w:rsid w:val="00213014"/>
    <w:rsid w:val="00213440"/>
    <w:rsid w:val="00213D47"/>
    <w:rsid w:val="00214C6C"/>
    <w:rsid w:val="002153F3"/>
    <w:rsid w:val="0021562D"/>
    <w:rsid w:val="00215A6A"/>
    <w:rsid w:val="00215E0D"/>
    <w:rsid w:val="0021722F"/>
    <w:rsid w:val="00217431"/>
    <w:rsid w:val="00217B1C"/>
    <w:rsid w:val="002213C4"/>
    <w:rsid w:val="00221B96"/>
    <w:rsid w:val="00221E86"/>
    <w:rsid w:val="002223F7"/>
    <w:rsid w:val="00222CA0"/>
    <w:rsid w:val="00223493"/>
    <w:rsid w:val="0022385D"/>
    <w:rsid w:val="0022448D"/>
    <w:rsid w:val="002245A3"/>
    <w:rsid w:val="0022634A"/>
    <w:rsid w:val="00227478"/>
    <w:rsid w:val="00227797"/>
    <w:rsid w:val="00229BC9"/>
    <w:rsid w:val="00231073"/>
    <w:rsid w:val="002328E3"/>
    <w:rsid w:val="00234A85"/>
    <w:rsid w:val="00234EF9"/>
    <w:rsid w:val="002357DF"/>
    <w:rsid w:val="00235AAE"/>
    <w:rsid w:val="002361FD"/>
    <w:rsid w:val="002365FB"/>
    <w:rsid w:val="00236A06"/>
    <w:rsid w:val="00240700"/>
    <w:rsid w:val="00240D65"/>
    <w:rsid w:val="00240F25"/>
    <w:rsid w:val="00241489"/>
    <w:rsid w:val="00241E1B"/>
    <w:rsid w:val="002420B8"/>
    <w:rsid w:val="00242AA1"/>
    <w:rsid w:val="002435DB"/>
    <w:rsid w:val="00243D0A"/>
    <w:rsid w:val="00243EA0"/>
    <w:rsid w:val="002442A1"/>
    <w:rsid w:val="00245243"/>
    <w:rsid w:val="002457CD"/>
    <w:rsid w:val="00245849"/>
    <w:rsid w:val="00245D45"/>
    <w:rsid w:val="00245E39"/>
    <w:rsid w:val="00246091"/>
    <w:rsid w:val="002465D4"/>
    <w:rsid w:val="00247665"/>
    <w:rsid w:val="002476ED"/>
    <w:rsid w:val="0024778C"/>
    <w:rsid w:val="002478C6"/>
    <w:rsid w:val="00247AA9"/>
    <w:rsid w:val="00247C70"/>
    <w:rsid w:val="00247EBE"/>
    <w:rsid w:val="002508AB"/>
    <w:rsid w:val="00250EE5"/>
    <w:rsid w:val="00251D6E"/>
    <w:rsid w:val="00252727"/>
    <w:rsid w:val="0025281A"/>
    <w:rsid w:val="00253DE4"/>
    <w:rsid w:val="00253E2A"/>
    <w:rsid w:val="00254006"/>
    <w:rsid w:val="00254635"/>
    <w:rsid w:val="00254928"/>
    <w:rsid w:val="00254B55"/>
    <w:rsid w:val="0025571F"/>
    <w:rsid w:val="00255F9B"/>
    <w:rsid w:val="00256088"/>
    <w:rsid w:val="00256261"/>
    <w:rsid w:val="002564BF"/>
    <w:rsid w:val="0025673D"/>
    <w:rsid w:val="00257291"/>
    <w:rsid w:val="0026049E"/>
    <w:rsid w:val="00260770"/>
    <w:rsid w:val="00260F29"/>
    <w:rsid w:val="00261067"/>
    <w:rsid w:val="0026197A"/>
    <w:rsid w:val="00261991"/>
    <w:rsid w:val="002623C1"/>
    <w:rsid w:val="00262AE2"/>
    <w:rsid w:val="00264642"/>
    <w:rsid w:val="0026488B"/>
    <w:rsid w:val="002648FD"/>
    <w:rsid w:val="00267E3A"/>
    <w:rsid w:val="00270B9F"/>
    <w:rsid w:val="002723D7"/>
    <w:rsid w:val="0027284D"/>
    <w:rsid w:val="002734C3"/>
    <w:rsid w:val="00273581"/>
    <w:rsid w:val="00273880"/>
    <w:rsid w:val="00273D04"/>
    <w:rsid w:val="00273EBF"/>
    <w:rsid w:val="00273FEE"/>
    <w:rsid w:val="002747A2"/>
    <w:rsid w:val="00274C3B"/>
    <w:rsid w:val="002767CB"/>
    <w:rsid w:val="002771E3"/>
    <w:rsid w:val="002773C8"/>
    <w:rsid w:val="00277B79"/>
    <w:rsid w:val="0028074D"/>
    <w:rsid w:val="00280C9E"/>
    <w:rsid w:val="00280CFE"/>
    <w:rsid w:val="00280E20"/>
    <w:rsid w:val="002817A4"/>
    <w:rsid w:val="0028209B"/>
    <w:rsid w:val="0028246E"/>
    <w:rsid w:val="00284F90"/>
    <w:rsid w:val="002851BD"/>
    <w:rsid w:val="0028551E"/>
    <w:rsid w:val="0028626E"/>
    <w:rsid w:val="00286404"/>
    <w:rsid w:val="002866E4"/>
    <w:rsid w:val="00287480"/>
    <w:rsid w:val="002874F2"/>
    <w:rsid w:val="00287773"/>
    <w:rsid w:val="00287AC5"/>
    <w:rsid w:val="00287BEE"/>
    <w:rsid w:val="00290F48"/>
    <w:rsid w:val="0029132F"/>
    <w:rsid w:val="0029147D"/>
    <w:rsid w:val="00291899"/>
    <w:rsid w:val="00292526"/>
    <w:rsid w:val="002930CF"/>
    <w:rsid w:val="002932F4"/>
    <w:rsid w:val="00294B39"/>
    <w:rsid w:val="00295AEA"/>
    <w:rsid w:val="00296321"/>
    <w:rsid w:val="002967DC"/>
    <w:rsid w:val="00296CC1"/>
    <w:rsid w:val="00296DC7"/>
    <w:rsid w:val="00296DFA"/>
    <w:rsid w:val="002970E7"/>
    <w:rsid w:val="00297D3D"/>
    <w:rsid w:val="002A1599"/>
    <w:rsid w:val="002A15A3"/>
    <w:rsid w:val="002A1A42"/>
    <w:rsid w:val="002A2157"/>
    <w:rsid w:val="002A3D6E"/>
    <w:rsid w:val="002A43C2"/>
    <w:rsid w:val="002A4787"/>
    <w:rsid w:val="002A4912"/>
    <w:rsid w:val="002A4E16"/>
    <w:rsid w:val="002A5675"/>
    <w:rsid w:val="002A616E"/>
    <w:rsid w:val="002A62F9"/>
    <w:rsid w:val="002A6350"/>
    <w:rsid w:val="002A643D"/>
    <w:rsid w:val="002A65B7"/>
    <w:rsid w:val="002A6736"/>
    <w:rsid w:val="002A6933"/>
    <w:rsid w:val="002A799E"/>
    <w:rsid w:val="002A7EE5"/>
    <w:rsid w:val="002B02BB"/>
    <w:rsid w:val="002B0AF4"/>
    <w:rsid w:val="002B0C73"/>
    <w:rsid w:val="002B13A8"/>
    <w:rsid w:val="002B23E6"/>
    <w:rsid w:val="002B288D"/>
    <w:rsid w:val="002B36F6"/>
    <w:rsid w:val="002B3844"/>
    <w:rsid w:val="002B39DC"/>
    <w:rsid w:val="002B3D9F"/>
    <w:rsid w:val="002B3DE3"/>
    <w:rsid w:val="002B3DF7"/>
    <w:rsid w:val="002B4912"/>
    <w:rsid w:val="002B4ECD"/>
    <w:rsid w:val="002B5259"/>
    <w:rsid w:val="002B5EDB"/>
    <w:rsid w:val="002B6404"/>
    <w:rsid w:val="002B6AF9"/>
    <w:rsid w:val="002B6DCE"/>
    <w:rsid w:val="002B6E60"/>
    <w:rsid w:val="002C0153"/>
    <w:rsid w:val="002C036B"/>
    <w:rsid w:val="002C0950"/>
    <w:rsid w:val="002C1585"/>
    <w:rsid w:val="002C18CD"/>
    <w:rsid w:val="002C23A7"/>
    <w:rsid w:val="002C2B82"/>
    <w:rsid w:val="002C31F7"/>
    <w:rsid w:val="002C3D46"/>
    <w:rsid w:val="002C3EC0"/>
    <w:rsid w:val="002C424B"/>
    <w:rsid w:val="002C5A9D"/>
    <w:rsid w:val="002C6D70"/>
    <w:rsid w:val="002C78E8"/>
    <w:rsid w:val="002C7C56"/>
    <w:rsid w:val="002C7E7C"/>
    <w:rsid w:val="002D07AF"/>
    <w:rsid w:val="002D0C45"/>
    <w:rsid w:val="002D0D01"/>
    <w:rsid w:val="002D1CD4"/>
    <w:rsid w:val="002D2C49"/>
    <w:rsid w:val="002D2E24"/>
    <w:rsid w:val="002D31CB"/>
    <w:rsid w:val="002D36B2"/>
    <w:rsid w:val="002D5A6A"/>
    <w:rsid w:val="002D5F99"/>
    <w:rsid w:val="002D6004"/>
    <w:rsid w:val="002D67A5"/>
    <w:rsid w:val="002D6D9E"/>
    <w:rsid w:val="002E044B"/>
    <w:rsid w:val="002E091D"/>
    <w:rsid w:val="002E2640"/>
    <w:rsid w:val="002E334F"/>
    <w:rsid w:val="002E426E"/>
    <w:rsid w:val="002E4C9A"/>
    <w:rsid w:val="002E5592"/>
    <w:rsid w:val="002E6018"/>
    <w:rsid w:val="002E6B2F"/>
    <w:rsid w:val="002F1022"/>
    <w:rsid w:val="002F114A"/>
    <w:rsid w:val="002F13E9"/>
    <w:rsid w:val="002F18B1"/>
    <w:rsid w:val="002F2450"/>
    <w:rsid w:val="002F3419"/>
    <w:rsid w:val="002F4CCE"/>
    <w:rsid w:val="002F5B74"/>
    <w:rsid w:val="002F6BA3"/>
    <w:rsid w:val="002F6C83"/>
    <w:rsid w:val="002F6D4C"/>
    <w:rsid w:val="002F7F20"/>
    <w:rsid w:val="002FE114"/>
    <w:rsid w:val="00300F80"/>
    <w:rsid w:val="003024EA"/>
    <w:rsid w:val="00302AA0"/>
    <w:rsid w:val="003032EF"/>
    <w:rsid w:val="00303A7A"/>
    <w:rsid w:val="00304165"/>
    <w:rsid w:val="003045C3"/>
    <w:rsid w:val="0030609B"/>
    <w:rsid w:val="003071A2"/>
    <w:rsid w:val="00307F99"/>
    <w:rsid w:val="00310D5F"/>
    <w:rsid w:val="00310F9F"/>
    <w:rsid w:val="00311BD5"/>
    <w:rsid w:val="00311C60"/>
    <w:rsid w:val="00311E54"/>
    <w:rsid w:val="00312167"/>
    <w:rsid w:val="003129FD"/>
    <w:rsid w:val="00313115"/>
    <w:rsid w:val="003137DC"/>
    <w:rsid w:val="00313F3E"/>
    <w:rsid w:val="00314432"/>
    <w:rsid w:val="003151BA"/>
    <w:rsid w:val="00315599"/>
    <w:rsid w:val="00315C46"/>
    <w:rsid w:val="00315C8C"/>
    <w:rsid w:val="00315F98"/>
    <w:rsid w:val="003160B8"/>
    <w:rsid w:val="003163A7"/>
    <w:rsid w:val="00316523"/>
    <w:rsid w:val="00316C6A"/>
    <w:rsid w:val="00317FFA"/>
    <w:rsid w:val="003211E3"/>
    <w:rsid w:val="00321D22"/>
    <w:rsid w:val="00321E1F"/>
    <w:rsid w:val="00322247"/>
    <w:rsid w:val="00323040"/>
    <w:rsid w:val="003234C2"/>
    <w:rsid w:val="003236CC"/>
    <w:rsid w:val="003243FB"/>
    <w:rsid w:val="00324461"/>
    <w:rsid w:val="00324631"/>
    <w:rsid w:val="00324B5F"/>
    <w:rsid w:val="00324CBB"/>
    <w:rsid w:val="00324F83"/>
    <w:rsid w:val="003255FD"/>
    <w:rsid w:val="00325FEB"/>
    <w:rsid w:val="003261BE"/>
    <w:rsid w:val="00326CE5"/>
    <w:rsid w:val="003303E4"/>
    <w:rsid w:val="00330FCF"/>
    <w:rsid w:val="00331868"/>
    <w:rsid w:val="00331A48"/>
    <w:rsid w:val="00331D68"/>
    <w:rsid w:val="00332177"/>
    <w:rsid w:val="00333058"/>
    <w:rsid w:val="00333ADD"/>
    <w:rsid w:val="00333D03"/>
    <w:rsid w:val="00334632"/>
    <w:rsid w:val="0033519E"/>
    <w:rsid w:val="00335B4F"/>
    <w:rsid w:val="00336D3B"/>
    <w:rsid w:val="00337128"/>
    <w:rsid w:val="00337135"/>
    <w:rsid w:val="003374B6"/>
    <w:rsid w:val="003375A4"/>
    <w:rsid w:val="00337C60"/>
    <w:rsid w:val="00337C66"/>
    <w:rsid w:val="00337E10"/>
    <w:rsid w:val="00337EA0"/>
    <w:rsid w:val="00340C29"/>
    <w:rsid w:val="00342ABA"/>
    <w:rsid w:val="00342EFD"/>
    <w:rsid w:val="00343568"/>
    <w:rsid w:val="00343653"/>
    <w:rsid w:val="00343C5D"/>
    <w:rsid w:val="00344B10"/>
    <w:rsid w:val="00345E1F"/>
    <w:rsid w:val="00346C1F"/>
    <w:rsid w:val="00347022"/>
    <w:rsid w:val="00347123"/>
    <w:rsid w:val="00347697"/>
    <w:rsid w:val="003477CB"/>
    <w:rsid w:val="00351651"/>
    <w:rsid w:val="00352BD6"/>
    <w:rsid w:val="00352D1D"/>
    <w:rsid w:val="0035348A"/>
    <w:rsid w:val="003541BA"/>
    <w:rsid w:val="00355431"/>
    <w:rsid w:val="00355878"/>
    <w:rsid w:val="00356CB1"/>
    <w:rsid w:val="003573B1"/>
    <w:rsid w:val="00360E64"/>
    <w:rsid w:val="003617AA"/>
    <w:rsid w:val="00363246"/>
    <w:rsid w:val="003646C5"/>
    <w:rsid w:val="00364748"/>
    <w:rsid w:val="003651C0"/>
    <w:rsid w:val="003656FA"/>
    <w:rsid w:val="00365837"/>
    <w:rsid w:val="003666AD"/>
    <w:rsid w:val="003669D8"/>
    <w:rsid w:val="00366CCD"/>
    <w:rsid w:val="003671DB"/>
    <w:rsid w:val="003675CC"/>
    <w:rsid w:val="0037054F"/>
    <w:rsid w:val="00371E01"/>
    <w:rsid w:val="00372B82"/>
    <w:rsid w:val="00373437"/>
    <w:rsid w:val="003739A9"/>
    <w:rsid w:val="00373B6A"/>
    <w:rsid w:val="00374CE5"/>
    <w:rsid w:val="00375096"/>
    <w:rsid w:val="003750C4"/>
    <w:rsid w:val="00375F20"/>
    <w:rsid w:val="00376ECC"/>
    <w:rsid w:val="0037775A"/>
    <w:rsid w:val="003778C1"/>
    <w:rsid w:val="00377959"/>
    <w:rsid w:val="00377CC2"/>
    <w:rsid w:val="003804D4"/>
    <w:rsid w:val="00380608"/>
    <w:rsid w:val="00382568"/>
    <w:rsid w:val="0038266E"/>
    <w:rsid w:val="00382C23"/>
    <w:rsid w:val="003831A1"/>
    <w:rsid w:val="003834CB"/>
    <w:rsid w:val="00383805"/>
    <w:rsid w:val="00383CAA"/>
    <w:rsid w:val="00383DCC"/>
    <w:rsid w:val="00383FBA"/>
    <w:rsid w:val="003844A4"/>
    <w:rsid w:val="00387798"/>
    <w:rsid w:val="00390009"/>
    <w:rsid w:val="0039044A"/>
    <w:rsid w:val="003912E1"/>
    <w:rsid w:val="003914C9"/>
    <w:rsid w:val="003918CD"/>
    <w:rsid w:val="00391923"/>
    <w:rsid w:val="003922B1"/>
    <w:rsid w:val="0039259B"/>
    <w:rsid w:val="00392B22"/>
    <w:rsid w:val="00392B98"/>
    <w:rsid w:val="00392D3F"/>
    <w:rsid w:val="00394291"/>
    <w:rsid w:val="00395180"/>
    <w:rsid w:val="00395500"/>
    <w:rsid w:val="00395A1A"/>
    <w:rsid w:val="00395FA2"/>
    <w:rsid w:val="00396379"/>
    <w:rsid w:val="003969A7"/>
    <w:rsid w:val="00397408"/>
    <w:rsid w:val="003979A2"/>
    <w:rsid w:val="00397AEC"/>
    <w:rsid w:val="00397E75"/>
    <w:rsid w:val="003A058D"/>
    <w:rsid w:val="003A0D4A"/>
    <w:rsid w:val="003A0EBB"/>
    <w:rsid w:val="003A11BC"/>
    <w:rsid w:val="003A1742"/>
    <w:rsid w:val="003A2750"/>
    <w:rsid w:val="003A2C11"/>
    <w:rsid w:val="003A2D5E"/>
    <w:rsid w:val="003A2F16"/>
    <w:rsid w:val="003A31F6"/>
    <w:rsid w:val="003A3597"/>
    <w:rsid w:val="003A3D0C"/>
    <w:rsid w:val="003A3DA2"/>
    <w:rsid w:val="003A40EC"/>
    <w:rsid w:val="003A423B"/>
    <w:rsid w:val="003A43CD"/>
    <w:rsid w:val="003A4512"/>
    <w:rsid w:val="003A4A0E"/>
    <w:rsid w:val="003A5307"/>
    <w:rsid w:val="003A5BCB"/>
    <w:rsid w:val="003A6456"/>
    <w:rsid w:val="003A6592"/>
    <w:rsid w:val="003A679C"/>
    <w:rsid w:val="003A6A93"/>
    <w:rsid w:val="003A6B58"/>
    <w:rsid w:val="003A7740"/>
    <w:rsid w:val="003A7CA1"/>
    <w:rsid w:val="003B1D8C"/>
    <w:rsid w:val="003B1E2C"/>
    <w:rsid w:val="003B206E"/>
    <w:rsid w:val="003B435C"/>
    <w:rsid w:val="003B52DB"/>
    <w:rsid w:val="003B6113"/>
    <w:rsid w:val="003B72AB"/>
    <w:rsid w:val="003B7742"/>
    <w:rsid w:val="003B77F5"/>
    <w:rsid w:val="003C0162"/>
    <w:rsid w:val="003C01F3"/>
    <w:rsid w:val="003C050A"/>
    <w:rsid w:val="003C06F0"/>
    <w:rsid w:val="003C0D27"/>
    <w:rsid w:val="003C0FC2"/>
    <w:rsid w:val="003C184F"/>
    <w:rsid w:val="003C25B0"/>
    <w:rsid w:val="003C3FB9"/>
    <w:rsid w:val="003C434F"/>
    <w:rsid w:val="003C5DE5"/>
    <w:rsid w:val="003C623F"/>
    <w:rsid w:val="003C686F"/>
    <w:rsid w:val="003C6909"/>
    <w:rsid w:val="003C6E2B"/>
    <w:rsid w:val="003D06BA"/>
    <w:rsid w:val="003D1147"/>
    <w:rsid w:val="003D2C02"/>
    <w:rsid w:val="003D2CC1"/>
    <w:rsid w:val="003D3CC4"/>
    <w:rsid w:val="003D454F"/>
    <w:rsid w:val="003D4681"/>
    <w:rsid w:val="003D5348"/>
    <w:rsid w:val="003D5F1C"/>
    <w:rsid w:val="003D6036"/>
    <w:rsid w:val="003D61E9"/>
    <w:rsid w:val="003D6330"/>
    <w:rsid w:val="003D6688"/>
    <w:rsid w:val="003D736C"/>
    <w:rsid w:val="003D79B5"/>
    <w:rsid w:val="003E0311"/>
    <w:rsid w:val="003E03B0"/>
    <w:rsid w:val="003E0DC6"/>
    <w:rsid w:val="003E1842"/>
    <w:rsid w:val="003E24E1"/>
    <w:rsid w:val="003E263F"/>
    <w:rsid w:val="003E3428"/>
    <w:rsid w:val="003E3BD5"/>
    <w:rsid w:val="003E519E"/>
    <w:rsid w:val="003E550F"/>
    <w:rsid w:val="003E5BA8"/>
    <w:rsid w:val="003E5C8D"/>
    <w:rsid w:val="003E5DCC"/>
    <w:rsid w:val="003E5FFD"/>
    <w:rsid w:val="003E6537"/>
    <w:rsid w:val="003E672E"/>
    <w:rsid w:val="003E76B9"/>
    <w:rsid w:val="003E7DAA"/>
    <w:rsid w:val="003E7F86"/>
    <w:rsid w:val="003F1216"/>
    <w:rsid w:val="003F1687"/>
    <w:rsid w:val="003F18BB"/>
    <w:rsid w:val="003F199C"/>
    <w:rsid w:val="003F2A11"/>
    <w:rsid w:val="003F2EA2"/>
    <w:rsid w:val="003F3477"/>
    <w:rsid w:val="003F3AAE"/>
    <w:rsid w:val="003F3E7E"/>
    <w:rsid w:val="003F3EA1"/>
    <w:rsid w:val="003F523A"/>
    <w:rsid w:val="003F668F"/>
    <w:rsid w:val="003F69D1"/>
    <w:rsid w:val="003F7628"/>
    <w:rsid w:val="003F7F21"/>
    <w:rsid w:val="0040032E"/>
    <w:rsid w:val="00400B9E"/>
    <w:rsid w:val="00401590"/>
    <w:rsid w:val="00402172"/>
    <w:rsid w:val="004028E9"/>
    <w:rsid w:val="0040452B"/>
    <w:rsid w:val="004045A0"/>
    <w:rsid w:val="004061BA"/>
    <w:rsid w:val="0040650B"/>
    <w:rsid w:val="0040652C"/>
    <w:rsid w:val="00406DB5"/>
    <w:rsid w:val="00407548"/>
    <w:rsid w:val="0040798C"/>
    <w:rsid w:val="00410192"/>
    <w:rsid w:val="00410E25"/>
    <w:rsid w:val="004112A9"/>
    <w:rsid w:val="00412E5D"/>
    <w:rsid w:val="00413286"/>
    <w:rsid w:val="004135EB"/>
    <w:rsid w:val="0041361A"/>
    <w:rsid w:val="00414410"/>
    <w:rsid w:val="0041474F"/>
    <w:rsid w:val="00415C56"/>
    <w:rsid w:val="00415CF7"/>
    <w:rsid w:val="004169D3"/>
    <w:rsid w:val="00417431"/>
    <w:rsid w:val="00420D62"/>
    <w:rsid w:val="004220AD"/>
    <w:rsid w:val="00422201"/>
    <w:rsid w:val="00422619"/>
    <w:rsid w:val="00422E84"/>
    <w:rsid w:val="00422F1A"/>
    <w:rsid w:val="00423121"/>
    <w:rsid w:val="00423311"/>
    <w:rsid w:val="00423869"/>
    <w:rsid w:val="00423A6C"/>
    <w:rsid w:val="00423A99"/>
    <w:rsid w:val="00423D52"/>
    <w:rsid w:val="00424181"/>
    <w:rsid w:val="004241EF"/>
    <w:rsid w:val="00425157"/>
    <w:rsid w:val="00425E07"/>
    <w:rsid w:val="00426754"/>
    <w:rsid w:val="004270AD"/>
    <w:rsid w:val="0042758B"/>
    <w:rsid w:val="00427590"/>
    <w:rsid w:val="00427BD2"/>
    <w:rsid w:val="0043024D"/>
    <w:rsid w:val="004309E7"/>
    <w:rsid w:val="00430E12"/>
    <w:rsid w:val="0043159C"/>
    <w:rsid w:val="004316E8"/>
    <w:rsid w:val="004319F8"/>
    <w:rsid w:val="0043205C"/>
    <w:rsid w:val="0043231C"/>
    <w:rsid w:val="004326E8"/>
    <w:rsid w:val="00432F9E"/>
    <w:rsid w:val="00433235"/>
    <w:rsid w:val="00433438"/>
    <w:rsid w:val="00433BF4"/>
    <w:rsid w:val="004344A6"/>
    <w:rsid w:val="00434CAF"/>
    <w:rsid w:val="0043526C"/>
    <w:rsid w:val="0043587E"/>
    <w:rsid w:val="00435B06"/>
    <w:rsid w:val="0043641A"/>
    <w:rsid w:val="004368A5"/>
    <w:rsid w:val="0043694A"/>
    <w:rsid w:val="00436D85"/>
    <w:rsid w:val="00437B47"/>
    <w:rsid w:val="00437BA7"/>
    <w:rsid w:val="004414A8"/>
    <w:rsid w:val="004419CE"/>
    <w:rsid w:val="00441CA8"/>
    <w:rsid w:val="00441D26"/>
    <w:rsid w:val="00441F3C"/>
    <w:rsid w:val="00442AB0"/>
    <w:rsid w:val="00443068"/>
    <w:rsid w:val="004435A1"/>
    <w:rsid w:val="004436E0"/>
    <w:rsid w:val="004449DC"/>
    <w:rsid w:val="00444D27"/>
    <w:rsid w:val="00445CA4"/>
    <w:rsid w:val="00445F0D"/>
    <w:rsid w:val="004501B9"/>
    <w:rsid w:val="004501C2"/>
    <w:rsid w:val="00450225"/>
    <w:rsid w:val="00450747"/>
    <w:rsid w:val="00450781"/>
    <w:rsid w:val="00450843"/>
    <w:rsid w:val="00450A22"/>
    <w:rsid w:val="004512E2"/>
    <w:rsid w:val="00451576"/>
    <w:rsid w:val="004518E3"/>
    <w:rsid w:val="00451E6D"/>
    <w:rsid w:val="004522FF"/>
    <w:rsid w:val="004536A0"/>
    <w:rsid w:val="004554D0"/>
    <w:rsid w:val="00455904"/>
    <w:rsid w:val="00455B02"/>
    <w:rsid w:val="00455DCE"/>
    <w:rsid w:val="00455E54"/>
    <w:rsid w:val="00456388"/>
    <w:rsid w:val="00456911"/>
    <w:rsid w:val="00456B2B"/>
    <w:rsid w:val="00456DB9"/>
    <w:rsid w:val="00456EAC"/>
    <w:rsid w:val="00457FDD"/>
    <w:rsid w:val="00461B0B"/>
    <w:rsid w:val="00461C0C"/>
    <w:rsid w:val="00461F84"/>
    <w:rsid w:val="004626C3"/>
    <w:rsid w:val="00463011"/>
    <w:rsid w:val="004632B1"/>
    <w:rsid w:val="00463598"/>
    <w:rsid w:val="00463C54"/>
    <w:rsid w:val="004656FF"/>
    <w:rsid w:val="0046653C"/>
    <w:rsid w:val="00466B8C"/>
    <w:rsid w:val="00470012"/>
    <w:rsid w:val="00470261"/>
    <w:rsid w:val="00470629"/>
    <w:rsid w:val="0047081A"/>
    <w:rsid w:val="00470B59"/>
    <w:rsid w:val="00471083"/>
    <w:rsid w:val="004711C0"/>
    <w:rsid w:val="00471718"/>
    <w:rsid w:val="00471861"/>
    <w:rsid w:val="00471E7A"/>
    <w:rsid w:val="00472EBB"/>
    <w:rsid w:val="004733E6"/>
    <w:rsid w:val="00473D3A"/>
    <w:rsid w:val="00473F76"/>
    <w:rsid w:val="00476771"/>
    <w:rsid w:val="004771DE"/>
    <w:rsid w:val="0047752F"/>
    <w:rsid w:val="00477FD9"/>
    <w:rsid w:val="0048109E"/>
    <w:rsid w:val="004814C1"/>
    <w:rsid w:val="00481570"/>
    <w:rsid w:val="00481A5C"/>
    <w:rsid w:val="00481D83"/>
    <w:rsid w:val="00482C65"/>
    <w:rsid w:val="00483DE5"/>
    <w:rsid w:val="0048503C"/>
    <w:rsid w:val="0048567D"/>
    <w:rsid w:val="004858DA"/>
    <w:rsid w:val="00485D08"/>
    <w:rsid w:val="004861BE"/>
    <w:rsid w:val="0048673C"/>
    <w:rsid w:val="0048737B"/>
    <w:rsid w:val="00487DF1"/>
    <w:rsid w:val="00490D0E"/>
    <w:rsid w:val="00491043"/>
    <w:rsid w:val="0049135C"/>
    <w:rsid w:val="00491C4A"/>
    <w:rsid w:val="004924D3"/>
    <w:rsid w:val="00492E4D"/>
    <w:rsid w:val="0049426A"/>
    <w:rsid w:val="0049428E"/>
    <w:rsid w:val="00494B20"/>
    <w:rsid w:val="00494C5B"/>
    <w:rsid w:val="00496163"/>
    <w:rsid w:val="004965EA"/>
    <w:rsid w:val="00496BF0"/>
    <w:rsid w:val="00497979"/>
    <w:rsid w:val="00497E86"/>
    <w:rsid w:val="00497FF2"/>
    <w:rsid w:val="004A01A3"/>
    <w:rsid w:val="004A07E4"/>
    <w:rsid w:val="004A093D"/>
    <w:rsid w:val="004A0ABB"/>
    <w:rsid w:val="004A0FC5"/>
    <w:rsid w:val="004A1D59"/>
    <w:rsid w:val="004A22CD"/>
    <w:rsid w:val="004A27E5"/>
    <w:rsid w:val="004A31E7"/>
    <w:rsid w:val="004A3738"/>
    <w:rsid w:val="004A39B6"/>
    <w:rsid w:val="004A3C40"/>
    <w:rsid w:val="004A46B3"/>
    <w:rsid w:val="004A4CDE"/>
    <w:rsid w:val="004A57AD"/>
    <w:rsid w:val="004A5AF7"/>
    <w:rsid w:val="004A60F2"/>
    <w:rsid w:val="004A6263"/>
    <w:rsid w:val="004A66FC"/>
    <w:rsid w:val="004A6784"/>
    <w:rsid w:val="004A6BEB"/>
    <w:rsid w:val="004A6CD9"/>
    <w:rsid w:val="004B26F5"/>
    <w:rsid w:val="004B2F57"/>
    <w:rsid w:val="004B3AFD"/>
    <w:rsid w:val="004B5108"/>
    <w:rsid w:val="004B5F74"/>
    <w:rsid w:val="004B6301"/>
    <w:rsid w:val="004B6645"/>
    <w:rsid w:val="004B70EF"/>
    <w:rsid w:val="004B7D75"/>
    <w:rsid w:val="004C117B"/>
    <w:rsid w:val="004C1664"/>
    <w:rsid w:val="004C17B5"/>
    <w:rsid w:val="004C252B"/>
    <w:rsid w:val="004C27DA"/>
    <w:rsid w:val="004C296D"/>
    <w:rsid w:val="004C3615"/>
    <w:rsid w:val="004C4804"/>
    <w:rsid w:val="004C56FF"/>
    <w:rsid w:val="004C624D"/>
    <w:rsid w:val="004C6EF4"/>
    <w:rsid w:val="004C76D8"/>
    <w:rsid w:val="004C7A2A"/>
    <w:rsid w:val="004C7BD5"/>
    <w:rsid w:val="004D0459"/>
    <w:rsid w:val="004D0806"/>
    <w:rsid w:val="004D1124"/>
    <w:rsid w:val="004D22CF"/>
    <w:rsid w:val="004D2748"/>
    <w:rsid w:val="004D359A"/>
    <w:rsid w:val="004D373F"/>
    <w:rsid w:val="004D3DEE"/>
    <w:rsid w:val="004D3EB7"/>
    <w:rsid w:val="004D4D95"/>
    <w:rsid w:val="004D4E43"/>
    <w:rsid w:val="004D4E8C"/>
    <w:rsid w:val="004D54A6"/>
    <w:rsid w:val="004D68EB"/>
    <w:rsid w:val="004D6B3C"/>
    <w:rsid w:val="004D7557"/>
    <w:rsid w:val="004D796D"/>
    <w:rsid w:val="004D7AE7"/>
    <w:rsid w:val="004E0C8B"/>
    <w:rsid w:val="004E2051"/>
    <w:rsid w:val="004E3C1D"/>
    <w:rsid w:val="004E439C"/>
    <w:rsid w:val="004E44F6"/>
    <w:rsid w:val="004E49C6"/>
    <w:rsid w:val="004E4D42"/>
    <w:rsid w:val="004E53BA"/>
    <w:rsid w:val="004E613C"/>
    <w:rsid w:val="004E627C"/>
    <w:rsid w:val="004E62EF"/>
    <w:rsid w:val="004E6437"/>
    <w:rsid w:val="004E6AE9"/>
    <w:rsid w:val="004E6C31"/>
    <w:rsid w:val="004E6FE8"/>
    <w:rsid w:val="004E7E9B"/>
    <w:rsid w:val="004E7EC7"/>
    <w:rsid w:val="004E7F65"/>
    <w:rsid w:val="004F2E2F"/>
    <w:rsid w:val="004F32AD"/>
    <w:rsid w:val="004F3454"/>
    <w:rsid w:val="004F3C21"/>
    <w:rsid w:val="004F3C93"/>
    <w:rsid w:val="004F4C7D"/>
    <w:rsid w:val="004F4CFC"/>
    <w:rsid w:val="004F580E"/>
    <w:rsid w:val="004F5901"/>
    <w:rsid w:val="004F6275"/>
    <w:rsid w:val="004F65A3"/>
    <w:rsid w:val="004F6A51"/>
    <w:rsid w:val="004F7397"/>
    <w:rsid w:val="00501313"/>
    <w:rsid w:val="00501428"/>
    <w:rsid w:val="005015B7"/>
    <w:rsid w:val="005017DB"/>
    <w:rsid w:val="005018C1"/>
    <w:rsid w:val="00501B58"/>
    <w:rsid w:val="00502CD8"/>
    <w:rsid w:val="0050301B"/>
    <w:rsid w:val="005030C2"/>
    <w:rsid w:val="0050347A"/>
    <w:rsid w:val="00503744"/>
    <w:rsid w:val="00503DDB"/>
    <w:rsid w:val="005056E8"/>
    <w:rsid w:val="005057FF"/>
    <w:rsid w:val="00505910"/>
    <w:rsid w:val="00506679"/>
    <w:rsid w:val="00506808"/>
    <w:rsid w:val="005070BF"/>
    <w:rsid w:val="00507385"/>
    <w:rsid w:val="00507574"/>
    <w:rsid w:val="00510700"/>
    <w:rsid w:val="0051071C"/>
    <w:rsid w:val="0051094E"/>
    <w:rsid w:val="00511FD6"/>
    <w:rsid w:val="005122E8"/>
    <w:rsid w:val="0051450D"/>
    <w:rsid w:val="00514D53"/>
    <w:rsid w:val="00515A7A"/>
    <w:rsid w:val="00515FEE"/>
    <w:rsid w:val="00516113"/>
    <w:rsid w:val="00517840"/>
    <w:rsid w:val="00521224"/>
    <w:rsid w:val="005217AA"/>
    <w:rsid w:val="00522040"/>
    <w:rsid w:val="00522185"/>
    <w:rsid w:val="00522B9C"/>
    <w:rsid w:val="005245D4"/>
    <w:rsid w:val="005249E6"/>
    <w:rsid w:val="00524D62"/>
    <w:rsid w:val="0052588E"/>
    <w:rsid w:val="005259DD"/>
    <w:rsid w:val="00525A16"/>
    <w:rsid w:val="005265DD"/>
    <w:rsid w:val="00526A47"/>
    <w:rsid w:val="005273F2"/>
    <w:rsid w:val="0052761B"/>
    <w:rsid w:val="0053143B"/>
    <w:rsid w:val="005314D0"/>
    <w:rsid w:val="005319DB"/>
    <w:rsid w:val="00532C9A"/>
    <w:rsid w:val="00533A39"/>
    <w:rsid w:val="0053438E"/>
    <w:rsid w:val="005344CA"/>
    <w:rsid w:val="00534979"/>
    <w:rsid w:val="005349C2"/>
    <w:rsid w:val="00534AF2"/>
    <w:rsid w:val="005351C4"/>
    <w:rsid w:val="00535572"/>
    <w:rsid w:val="00535D90"/>
    <w:rsid w:val="0053618C"/>
    <w:rsid w:val="005363A2"/>
    <w:rsid w:val="0053695E"/>
    <w:rsid w:val="005372D2"/>
    <w:rsid w:val="005376E9"/>
    <w:rsid w:val="00537A4F"/>
    <w:rsid w:val="00537B95"/>
    <w:rsid w:val="005412A6"/>
    <w:rsid w:val="0054229B"/>
    <w:rsid w:val="005427F1"/>
    <w:rsid w:val="00542EF0"/>
    <w:rsid w:val="005430BD"/>
    <w:rsid w:val="00543457"/>
    <w:rsid w:val="005440CA"/>
    <w:rsid w:val="00544A71"/>
    <w:rsid w:val="00544ED0"/>
    <w:rsid w:val="005460AE"/>
    <w:rsid w:val="00546CE6"/>
    <w:rsid w:val="00546F64"/>
    <w:rsid w:val="0055057B"/>
    <w:rsid w:val="0055075B"/>
    <w:rsid w:val="005507F1"/>
    <w:rsid w:val="0055124C"/>
    <w:rsid w:val="00551589"/>
    <w:rsid w:val="00551840"/>
    <w:rsid w:val="00551A70"/>
    <w:rsid w:val="00552325"/>
    <w:rsid w:val="00553381"/>
    <w:rsid w:val="00555184"/>
    <w:rsid w:val="00555336"/>
    <w:rsid w:val="00555551"/>
    <w:rsid w:val="00555658"/>
    <w:rsid w:val="0055576C"/>
    <w:rsid w:val="00555EFF"/>
    <w:rsid w:val="00555F80"/>
    <w:rsid w:val="005564FD"/>
    <w:rsid w:val="0055677C"/>
    <w:rsid w:val="00556CB2"/>
    <w:rsid w:val="00557F9C"/>
    <w:rsid w:val="0056067B"/>
    <w:rsid w:val="00560EAB"/>
    <w:rsid w:val="005619BA"/>
    <w:rsid w:val="00561EF0"/>
    <w:rsid w:val="0056227B"/>
    <w:rsid w:val="00562A25"/>
    <w:rsid w:val="00562BE2"/>
    <w:rsid w:val="00564564"/>
    <w:rsid w:val="00564687"/>
    <w:rsid w:val="00564999"/>
    <w:rsid w:val="005653E6"/>
    <w:rsid w:val="00565748"/>
    <w:rsid w:val="005659C3"/>
    <w:rsid w:val="00565A41"/>
    <w:rsid w:val="005678C3"/>
    <w:rsid w:val="00567D82"/>
    <w:rsid w:val="00570E09"/>
    <w:rsid w:val="00570F9E"/>
    <w:rsid w:val="0057101D"/>
    <w:rsid w:val="005711BE"/>
    <w:rsid w:val="005716C6"/>
    <w:rsid w:val="00572634"/>
    <w:rsid w:val="005732F3"/>
    <w:rsid w:val="00573D4F"/>
    <w:rsid w:val="00573F5D"/>
    <w:rsid w:val="005743B2"/>
    <w:rsid w:val="00574650"/>
    <w:rsid w:val="00574F72"/>
    <w:rsid w:val="005769C5"/>
    <w:rsid w:val="0057790D"/>
    <w:rsid w:val="00580D64"/>
    <w:rsid w:val="005811B5"/>
    <w:rsid w:val="00581C3E"/>
    <w:rsid w:val="00581D38"/>
    <w:rsid w:val="00581E75"/>
    <w:rsid w:val="0058259B"/>
    <w:rsid w:val="005840AE"/>
    <w:rsid w:val="00584375"/>
    <w:rsid w:val="00584B89"/>
    <w:rsid w:val="00584FA3"/>
    <w:rsid w:val="00585B3B"/>
    <w:rsid w:val="00585E32"/>
    <w:rsid w:val="00585F97"/>
    <w:rsid w:val="005871E1"/>
    <w:rsid w:val="00587475"/>
    <w:rsid w:val="0058781D"/>
    <w:rsid w:val="00587A29"/>
    <w:rsid w:val="005901FD"/>
    <w:rsid w:val="0059032B"/>
    <w:rsid w:val="00591324"/>
    <w:rsid w:val="00591FFE"/>
    <w:rsid w:val="00592076"/>
    <w:rsid w:val="005921FB"/>
    <w:rsid w:val="005924D5"/>
    <w:rsid w:val="005925FB"/>
    <w:rsid w:val="00592AE2"/>
    <w:rsid w:val="00592C67"/>
    <w:rsid w:val="005934AE"/>
    <w:rsid w:val="005942CF"/>
    <w:rsid w:val="00594EAA"/>
    <w:rsid w:val="00595345"/>
    <w:rsid w:val="00596532"/>
    <w:rsid w:val="005966C5"/>
    <w:rsid w:val="00596872"/>
    <w:rsid w:val="00597420"/>
    <w:rsid w:val="00597549"/>
    <w:rsid w:val="005976BB"/>
    <w:rsid w:val="00597A1B"/>
    <w:rsid w:val="005A0266"/>
    <w:rsid w:val="005A0CEE"/>
    <w:rsid w:val="005A106E"/>
    <w:rsid w:val="005A195E"/>
    <w:rsid w:val="005A1F32"/>
    <w:rsid w:val="005A2384"/>
    <w:rsid w:val="005A24E3"/>
    <w:rsid w:val="005A2AB9"/>
    <w:rsid w:val="005A2DDE"/>
    <w:rsid w:val="005A3310"/>
    <w:rsid w:val="005A3E8C"/>
    <w:rsid w:val="005A479E"/>
    <w:rsid w:val="005A5DB0"/>
    <w:rsid w:val="005A62E5"/>
    <w:rsid w:val="005A631F"/>
    <w:rsid w:val="005A67A2"/>
    <w:rsid w:val="005A7F3F"/>
    <w:rsid w:val="005B009E"/>
    <w:rsid w:val="005B11C4"/>
    <w:rsid w:val="005B14BD"/>
    <w:rsid w:val="005B23F8"/>
    <w:rsid w:val="005B2C05"/>
    <w:rsid w:val="005B316A"/>
    <w:rsid w:val="005B3376"/>
    <w:rsid w:val="005B3DAE"/>
    <w:rsid w:val="005B3E26"/>
    <w:rsid w:val="005B49E8"/>
    <w:rsid w:val="005B512D"/>
    <w:rsid w:val="005B5188"/>
    <w:rsid w:val="005B5880"/>
    <w:rsid w:val="005B5E71"/>
    <w:rsid w:val="005B697B"/>
    <w:rsid w:val="005B708E"/>
    <w:rsid w:val="005C019A"/>
    <w:rsid w:val="005C0A1B"/>
    <w:rsid w:val="005C16A7"/>
    <w:rsid w:val="005C1A93"/>
    <w:rsid w:val="005C2383"/>
    <w:rsid w:val="005C2E30"/>
    <w:rsid w:val="005C3A55"/>
    <w:rsid w:val="005C3D0F"/>
    <w:rsid w:val="005C515F"/>
    <w:rsid w:val="005C6042"/>
    <w:rsid w:val="005C716E"/>
    <w:rsid w:val="005D0257"/>
    <w:rsid w:val="005D03FD"/>
    <w:rsid w:val="005D07FC"/>
    <w:rsid w:val="005D085A"/>
    <w:rsid w:val="005D09EA"/>
    <w:rsid w:val="005D1044"/>
    <w:rsid w:val="005D1107"/>
    <w:rsid w:val="005D1451"/>
    <w:rsid w:val="005D163C"/>
    <w:rsid w:val="005D1A3E"/>
    <w:rsid w:val="005D223B"/>
    <w:rsid w:val="005D268D"/>
    <w:rsid w:val="005D30B0"/>
    <w:rsid w:val="005D55BC"/>
    <w:rsid w:val="005D60FF"/>
    <w:rsid w:val="005D6556"/>
    <w:rsid w:val="005D6AF1"/>
    <w:rsid w:val="005D6D13"/>
    <w:rsid w:val="005D6EC4"/>
    <w:rsid w:val="005D7081"/>
    <w:rsid w:val="005D7377"/>
    <w:rsid w:val="005D76F8"/>
    <w:rsid w:val="005E05AD"/>
    <w:rsid w:val="005E0B3C"/>
    <w:rsid w:val="005E11EC"/>
    <w:rsid w:val="005E2013"/>
    <w:rsid w:val="005E2F03"/>
    <w:rsid w:val="005E3113"/>
    <w:rsid w:val="005E384A"/>
    <w:rsid w:val="005E51F8"/>
    <w:rsid w:val="005E526A"/>
    <w:rsid w:val="005E583B"/>
    <w:rsid w:val="005E58A4"/>
    <w:rsid w:val="005E76E0"/>
    <w:rsid w:val="005E7A86"/>
    <w:rsid w:val="005F081A"/>
    <w:rsid w:val="005F146A"/>
    <w:rsid w:val="005F24E3"/>
    <w:rsid w:val="005F2E80"/>
    <w:rsid w:val="005F336E"/>
    <w:rsid w:val="005F3AB4"/>
    <w:rsid w:val="005F4C0A"/>
    <w:rsid w:val="005F4EBB"/>
    <w:rsid w:val="005F57E3"/>
    <w:rsid w:val="005F63AF"/>
    <w:rsid w:val="00600695"/>
    <w:rsid w:val="0060142A"/>
    <w:rsid w:val="006017F1"/>
    <w:rsid w:val="00601833"/>
    <w:rsid w:val="006023CA"/>
    <w:rsid w:val="00602D1A"/>
    <w:rsid w:val="006039BB"/>
    <w:rsid w:val="00603DB7"/>
    <w:rsid w:val="00604693"/>
    <w:rsid w:val="006050D3"/>
    <w:rsid w:val="0060525F"/>
    <w:rsid w:val="006056DA"/>
    <w:rsid w:val="00605CD3"/>
    <w:rsid w:val="00606671"/>
    <w:rsid w:val="00607674"/>
    <w:rsid w:val="00607A34"/>
    <w:rsid w:val="00610D83"/>
    <w:rsid w:val="006115D5"/>
    <w:rsid w:val="00611CC4"/>
    <w:rsid w:val="0061318F"/>
    <w:rsid w:val="00613C5D"/>
    <w:rsid w:val="006149E8"/>
    <w:rsid w:val="006154ED"/>
    <w:rsid w:val="00616047"/>
    <w:rsid w:val="0061618C"/>
    <w:rsid w:val="0061623F"/>
    <w:rsid w:val="006166C0"/>
    <w:rsid w:val="00617213"/>
    <w:rsid w:val="006177FB"/>
    <w:rsid w:val="00617CD1"/>
    <w:rsid w:val="00617D66"/>
    <w:rsid w:val="00620EF5"/>
    <w:rsid w:val="00621051"/>
    <w:rsid w:val="006212BF"/>
    <w:rsid w:val="00621669"/>
    <w:rsid w:val="0062252A"/>
    <w:rsid w:val="00622BB0"/>
    <w:rsid w:val="00622FE2"/>
    <w:rsid w:val="00623E9C"/>
    <w:rsid w:val="006242A3"/>
    <w:rsid w:val="00624A31"/>
    <w:rsid w:val="00624C2E"/>
    <w:rsid w:val="00625207"/>
    <w:rsid w:val="00625A6A"/>
    <w:rsid w:val="00627435"/>
    <w:rsid w:val="00630088"/>
    <w:rsid w:val="00630329"/>
    <w:rsid w:val="006313A8"/>
    <w:rsid w:val="00631C79"/>
    <w:rsid w:val="006321AD"/>
    <w:rsid w:val="00632DEC"/>
    <w:rsid w:val="00632E1F"/>
    <w:rsid w:val="00633AFB"/>
    <w:rsid w:val="006342A7"/>
    <w:rsid w:val="00634D69"/>
    <w:rsid w:val="00635BA6"/>
    <w:rsid w:val="00636C25"/>
    <w:rsid w:val="00640520"/>
    <w:rsid w:val="00642301"/>
    <w:rsid w:val="00642BCA"/>
    <w:rsid w:val="0064364A"/>
    <w:rsid w:val="00643BF3"/>
    <w:rsid w:val="00643C76"/>
    <w:rsid w:val="00644408"/>
    <w:rsid w:val="00646303"/>
    <w:rsid w:val="0064709A"/>
    <w:rsid w:val="00651B89"/>
    <w:rsid w:val="00651C23"/>
    <w:rsid w:val="00653228"/>
    <w:rsid w:val="00653739"/>
    <w:rsid w:val="006540D9"/>
    <w:rsid w:val="006543F9"/>
    <w:rsid w:val="00655532"/>
    <w:rsid w:val="006572FB"/>
    <w:rsid w:val="00657857"/>
    <w:rsid w:val="00660EF4"/>
    <w:rsid w:val="00661628"/>
    <w:rsid w:val="006620AF"/>
    <w:rsid w:val="006621FC"/>
    <w:rsid w:val="006622DE"/>
    <w:rsid w:val="0066237B"/>
    <w:rsid w:val="00663758"/>
    <w:rsid w:val="00663956"/>
    <w:rsid w:val="0066468B"/>
    <w:rsid w:val="006648D5"/>
    <w:rsid w:val="00664D19"/>
    <w:rsid w:val="00664E73"/>
    <w:rsid w:val="006650B4"/>
    <w:rsid w:val="00665B1B"/>
    <w:rsid w:val="00666389"/>
    <w:rsid w:val="006668FA"/>
    <w:rsid w:val="00666A1F"/>
    <w:rsid w:val="00666D79"/>
    <w:rsid w:val="0066738B"/>
    <w:rsid w:val="00667CA3"/>
    <w:rsid w:val="00670369"/>
    <w:rsid w:val="00670493"/>
    <w:rsid w:val="006704B9"/>
    <w:rsid w:val="0067067D"/>
    <w:rsid w:val="00670793"/>
    <w:rsid w:val="00670BB2"/>
    <w:rsid w:val="006715B6"/>
    <w:rsid w:val="00671876"/>
    <w:rsid w:val="006719BF"/>
    <w:rsid w:val="00671EDD"/>
    <w:rsid w:val="00671F2C"/>
    <w:rsid w:val="00671F8F"/>
    <w:rsid w:val="0067238E"/>
    <w:rsid w:val="006727D9"/>
    <w:rsid w:val="00672EE3"/>
    <w:rsid w:val="00673807"/>
    <w:rsid w:val="00673CE2"/>
    <w:rsid w:val="006749BB"/>
    <w:rsid w:val="0067566A"/>
    <w:rsid w:val="00676B7E"/>
    <w:rsid w:val="00676BA2"/>
    <w:rsid w:val="006773FA"/>
    <w:rsid w:val="0067755C"/>
    <w:rsid w:val="00680F47"/>
    <w:rsid w:val="00681187"/>
    <w:rsid w:val="006815F5"/>
    <w:rsid w:val="00682352"/>
    <w:rsid w:val="00682535"/>
    <w:rsid w:val="0068349F"/>
    <w:rsid w:val="0068447D"/>
    <w:rsid w:val="00684AC5"/>
    <w:rsid w:val="00684AFB"/>
    <w:rsid w:val="00684D85"/>
    <w:rsid w:val="00685669"/>
    <w:rsid w:val="00686C24"/>
    <w:rsid w:val="00686FCF"/>
    <w:rsid w:val="00687287"/>
    <w:rsid w:val="00687486"/>
    <w:rsid w:val="00687AA4"/>
    <w:rsid w:val="00690358"/>
    <w:rsid w:val="00691325"/>
    <w:rsid w:val="0069162F"/>
    <w:rsid w:val="00691AF8"/>
    <w:rsid w:val="00691CB9"/>
    <w:rsid w:val="00692335"/>
    <w:rsid w:val="0069320A"/>
    <w:rsid w:val="006938E5"/>
    <w:rsid w:val="006951FD"/>
    <w:rsid w:val="0069524F"/>
    <w:rsid w:val="00695523"/>
    <w:rsid w:val="00695589"/>
    <w:rsid w:val="00695770"/>
    <w:rsid w:val="006958D8"/>
    <w:rsid w:val="00695BFC"/>
    <w:rsid w:val="006962FC"/>
    <w:rsid w:val="006965AB"/>
    <w:rsid w:val="00697D7F"/>
    <w:rsid w:val="006A0218"/>
    <w:rsid w:val="006A03F6"/>
    <w:rsid w:val="006A1A0E"/>
    <w:rsid w:val="006A2911"/>
    <w:rsid w:val="006A29B9"/>
    <w:rsid w:val="006A3986"/>
    <w:rsid w:val="006A405F"/>
    <w:rsid w:val="006A41BA"/>
    <w:rsid w:val="006A4AB3"/>
    <w:rsid w:val="006A5ED0"/>
    <w:rsid w:val="006A6B8E"/>
    <w:rsid w:val="006A7494"/>
    <w:rsid w:val="006A7504"/>
    <w:rsid w:val="006A7738"/>
    <w:rsid w:val="006A7C7E"/>
    <w:rsid w:val="006A7F8E"/>
    <w:rsid w:val="006B0003"/>
    <w:rsid w:val="006B0572"/>
    <w:rsid w:val="006B0687"/>
    <w:rsid w:val="006B150F"/>
    <w:rsid w:val="006B3475"/>
    <w:rsid w:val="006B410A"/>
    <w:rsid w:val="006B42EC"/>
    <w:rsid w:val="006B47D2"/>
    <w:rsid w:val="006B4D45"/>
    <w:rsid w:val="006B4E62"/>
    <w:rsid w:val="006B541E"/>
    <w:rsid w:val="006B57A9"/>
    <w:rsid w:val="006B6037"/>
    <w:rsid w:val="006B64CC"/>
    <w:rsid w:val="006B6AC6"/>
    <w:rsid w:val="006B6B2E"/>
    <w:rsid w:val="006C0274"/>
    <w:rsid w:val="006C0320"/>
    <w:rsid w:val="006C1408"/>
    <w:rsid w:val="006C24D6"/>
    <w:rsid w:val="006C27F9"/>
    <w:rsid w:val="006C2E71"/>
    <w:rsid w:val="006C4113"/>
    <w:rsid w:val="006C475B"/>
    <w:rsid w:val="006C5183"/>
    <w:rsid w:val="006C52E0"/>
    <w:rsid w:val="006C7043"/>
    <w:rsid w:val="006C78B8"/>
    <w:rsid w:val="006C78C8"/>
    <w:rsid w:val="006C79EB"/>
    <w:rsid w:val="006C7EC3"/>
    <w:rsid w:val="006D06AE"/>
    <w:rsid w:val="006D07F4"/>
    <w:rsid w:val="006D1099"/>
    <w:rsid w:val="006D1A81"/>
    <w:rsid w:val="006D1AC4"/>
    <w:rsid w:val="006D2569"/>
    <w:rsid w:val="006D30E2"/>
    <w:rsid w:val="006D4870"/>
    <w:rsid w:val="006D4E0C"/>
    <w:rsid w:val="006D562E"/>
    <w:rsid w:val="006D56D4"/>
    <w:rsid w:val="006D60E6"/>
    <w:rsid w:val="006D652E"/>
    <w:rsid w:val="006D6BF2"/>
    <w:rsid w:val="006D74CA"/>
    <w:rsid w:val="006E1A75"/>
    <w:rsid w:val="006E2CC8"/>
    <w:rsid w:val="006E2F37"/>
    <w:rsid w:val="006E39E9"/>
    <w:rsid w:val="006E48D0"/>
    <w:rsid w:val="006E4E52"/>
    <w:rsid w:val="006E5439"/>
    <w:rsid w:val="006E56BB"/>
    <w:rsid w:val="006E5B87"/>
    <w:rsid w:val="006E6F94"/>
    <w:rsid w:val="006E7346"/>
    <w:rsid w:val="006F0459"/>
    <w:rsid w:val="006F0AD8"/>
    <w:rsid w:val="006F2207"/>
    <w:rsid w:val="006F253E"/>
    <w:rsid w:val="006F3537"/>
    <w:rsid w:val="006F3F4E"/>
    <w:rsid w:val="006F4140"/>
    <w:rsid w:val="006F4D2E"/>
    <w:rsid w:val="006F4D88"/>
    <w:rsid w:val="006F4EA4"/>
    <w:rsid w:val="006F4F3A"/>
    <w:rsid w:val="006F51B3"/>
    <w:rsid w:val="006F51DF"/>
    <w:rsid w:val="006F66BB"/>
    <w:rsid w:val="006F6738"/>
    <w:rsid w:val="006F6895"/>
    <w:rsid w:val="006F7A61"/>
    <w:rsid w:val="006F7B1A"/>
    <w:rsid w:val="006F7B88"/>
    <w:rsid w:val="006F7C96"/>
    <w:rsid w:val="006F7DCE"/>
    <w:rsid w:val="00700AC7"/>
    <w:rsid w:val="00701125"/>
    <w:rsid w:val="007014E2"/>
    <w:rsid w:val="00701C8E"/>
    <w:rsid w:val="00702D51"/>
    <w:rsid w:val="00703005"/>
    <w:rsid w:val="007036E6"/>
    <w:rsid w:val="007038D1"/>
    <w:rsid w:val="00704466"/>
    <w:rsid w:val="0070469C"/>
    <w:rsid w:val="007052FC"/>
    <w:rsid w:val="00705640"/>
    <w:rsid w:val="0070634B"/>
    <w:rsid w:val="007064C6"/>
    <w:rsid w:val="00706924"/>
    <w:rsid w:val="00706F33"/>
    <w:rsid w:val="00707A0D"/>
    <w:rsid w:val="00707BBA"/>
    <w:rsid w:val="00707CED"/>
    <w:rsid w:val="00710450"/>
    <w:rsid w:val="0071046E"/>
    <w:rsid w:val="007105DB"/>
    <w:rsid w:val="00711335"/>
    <w:rsid w:val="00711A3F"/>
    <w:rsid w:val="00711BDA"/>
    <w:rsid w:val="0071239F"/>
    <w:rsid w:val="007124AE"/>
    <w:rsid w:val="00713187"/>
    <w:rsid w:val="00713A84"/>
    <w:rsid w:val="00714004"/>
    <w:rsid w:val="007145DB"/>
    <w:rsid w:val="00715CD3"/>
    <w:rsid w:val="00715FBE"/>
    <w:rsid w:val="00716276"/>
    <w:rsid w:val="00716E22"/>
    <w:rsid w:val="0071735D"/>
    <w:rsid w:val="00717E53"/>
    <w:rsid w:val="00720F90"/>
    <w:rsid w:val="00721891"/>
    <w:rsid w:val="00721DB7"/>
    <w:rsid w:val="00722BCF"/>
    <w:rsid w:val="00723F76"/>
    <w:rsid w:val="00725F65"/>
    <w:rsid w:val="00726371"/>
    <w:rsid w:val="00726818"/>
    <w:rsid w:val="00727E65"/>
    <w:rsid w:val="007300A6"/>
    <w:rsid w:val="007304AD"/>
    <w:rsid w:val="007305CC"/>
    <w:rsid w:val="0073062D"/>
    <w:rsid w:val="007308FE"/>
    <w:rsid w:val="00730C51"/>
    <w:rsid w:val="00731167"/>
    <w:rsid w:val="007313DB"/>
    <w:rsid w:val="0073151D"/>
    <w:rsid w:val="007315B4"/>
    <w:rsid w:val="0073187A"/>
    <w:rsid w:val="0073208C"/>
    <w:rsid w:val="0073247F"/>
    <w:rsid w:val="00732604"/>
    <w:rsid w:val="0073265A"/>
    <w:rsid w:val="007326D9"/>
    <w:rsid w:val="00732721"/>
    <w:rsid w:val="00733B5B"/>
    <w:rsid w:val="00733B6A"/>
    <w:rsid w:val="00734035"/>
    <w:rsid w:val="00734639"/>
    <w:rsid w:val="0073489A"/>
    <w:rsid w:val="00734CCD"/>
    <w:rsid w:val="00734E2E"/>
    <w:rsid w:val="00735D56"/>
    <w:rsid w:val="00735DD5"/>
    <w:rsid w:val="007360B3"/>
    <w:rsid w:val="0073799A"/>
    <w:rsid w:val="00737A68"/>
    <w:rsid w:val="0074056F"/>
    <w:rsid w:val="00740C34"/>
    <w:rsid w:val="00741121"/>
    <w:rsid w:val="007426C1"/>
    <w:rsid w:val="00742B84"/>
    <w:rsid w:val="00742BAA"/>
    <w:rsid w:val="00742C48"/>
    <w:rsid w:val="00743CCD"/>
    <w:rsid w:val="0074505D"/>
    <w:rsid w:val="007451DF"/>
    <w:rsid w:val="00745BC3"/>
    <w:rsid w:val="00745DD5"/>
    <w:rsid w:val="00747033"/>
    <w:rsid w:val="007478DD"/>
    <w:rsid w:val="007520CD"/>
    <w:rsid w:val="00752B9F"/>
    <w:rsid w:val="00752FE7"/>
    <w:rsid w:val="00753B18"/>
    <w:rsid w:val="007545A0"/>
    <w:rsid w:val="00756DB0"/>
    <w:rsid w:val="00756FC0"/>
    <w:rsid w:val="00757698"/>
    <w:rsid w:val="007578D1"/>
    <w:rsid w:val="00757B1A"/>
    <w:rsid w:val="00757E0F"/>
    <w:rsid w:val="007610F3"/>
    <w:rsid w:val="007613DD"/>
    <w:rsid w:val="007622AB"/>
    <w:rsid w:val="00763E7A"/>
    <w:rsid w:val="007644E3"/>
    <w:rsid w:val="007648F9"/>
    <w:rsid w:val="00764945"/>
    <w:rsid w:val="007652AB"/>
    <w:rsid w:val="0076618E"/>
    <w:rsid w:val="007665CC"/>
    <w:rsid w:val="007667E7"/>
    <w:rsid w:val="00767104"/>
    <w:rsid w:val="00767F38"/>
    <w:rsid w:val="0077044F"/>
    <w:rsid w:val="0077171D"/>
    <w:rsid w:val="007718CC"/>
    <w:rsid w:val="0077229C"/>
    <w:rsid w:val="00772370"/>
    <w:rsid w:val="007727EA"/>
    <w:rsid w:val="007728B6"/>
    <w:rsid w:val="00773189"/>
    <w:rsid w:val="00773846"/>
    <w:rsid w:val="00773C62"/>
    <w:rsid w:val="00774490"/>
    <w:rsid w:val="007748A3"/>
    <w:rsid w:val="00774B05"/>
    <w:rsid w:val="00774D8D"/>
    <w:rsid w:val="00775098"/>
    <w:rsid w:val="0077784A"/>
    <w:rsid w:val="00777E08"/>
    <w:rsid w:val="00777EA2"/>
    <w:rsid w:val="0078065E"/>
    <w:rsid w:val="007815EB"/>
    <w:rsid w:val="007819FC"/>
    <w:rsid w:val="00781B09"/>
    <w:rsid w:val="00782042"/>
    <w:rsid w:val="00783B82"/>
    <w:rsid w:val="00783DC2"/>
    <w:rsid w:val="00785C9C"/>
    <w:rsid w:val="00785F4F"/>
    <w:rsid w:val="00786297"/>
    <w:rsid w:val="007863DB"/>
    <w:rsid w:val="00786C59"/>
    <w:rsid w:val="00787CB8"/>
    <w:rsid w:val="00790153"/>
    <w:rsid w:val="00790795"/>
    <w:rsid w:val="00790B43"/>
    <w:rsid w:val="00791488"/>
    <w:rsid w:val="0079199A"/>
    <w:rsid w:val="00791DDC"/>
    <w:rsid w:val="00792901"/>
    <w:rsid w:val="00793482"/>
    <w:rsid w:val="007935E8"/>
    <w:rsid w:val="00793760"/>
    <w:rsid w:val="00793A07"/>
    <w:rsid w:val="00793D3A"/>
    <w:rsid w:val="00793FD6"/>
    <w:rsid w:val="00794F90"/>
    <w:rsid w:val="007953DB"/>
    <w:rsid w:val="007954A4"/>
    <w:rsid w:val="007957C1"/>
    <w:rsid w:val="0079588D"/>
    <w:rsid w:val="007958AD"/>
    <w:rsid w:val="0079670E"/>
    <w:rsid w:val="00796FA3"/>
    <w:rsid w:val="00797756"/>
    <w:rsid w:val="007A02F7"/>
    <w:rsid w:val="007A14DD"/>
    <w:rsid w:val="007A1B83"/>
    <w:rsid w:val="007A1F2B"/>
    <w:rsid w:val="007A21D1"/>
    <w:rsid w:val="007A223F"/>
    <w:rsid w:val="007A47D8"/>
    <w:rsid w:val="007A4962"/>
    <w:rsid w:val="007A510B"/>
    <w:rsid w:val="007A5540"/>
    <w:rsid w:val="007A6D09"/>
    <w:rsid w:val="007A7B63"/>
    <w:rsid w:val="007B10E8"/>
    <w:rsid w:val="007B173E"/>
    <w:rsid w:val="007B17C7"/>
    <w:rsid w:val="007B2033"/>
    <w:rsid w:val="007B23D1"/>
    <w:rsid w:val="007B2AEB"/>
    <w:rsid w:val="007B3508"/>
    <w:rsid w:val="007B35EC"/>
    <w:rsid w:val="007B446E"/>
    <w:rsid w:val="007B4949"/>
    <w:rsid w:val="007B4D80"/>
    <w:rsid w:val="007B652E"/>
    <w:rsid w:val="007B6A61"/>
    <w:rsid w:val="007B727F"/>
    <w:rsid w:val="007B75DA"/>
    <w:rsid w:val="007C1667"/>
    <w:rsid w:val="007C20B3"/>
    <w:rsid w:val="007C3F94"/>
    <w:rsid w:val="007C58F3"/>
    <w:rsid w:val="007C5CA2"/>
    <w:rsid w:val="007C5D78"/>
    <w:rsid w:val="007C6248"/>
    <w:rsid w:val="007C6B6E"/>
    <w:rsid w:val="007C6FB2"/>
    <w:rsid w:val="007C768D"/>
    <w:rsid w:val="007C7C93"/>
    <w:rsid w:val="007C7FE4"/>
    <w:rsid w:val="007D08D3"/>
    <w:rsid w:val="007D0CD0"/>
    <w:rsid w:val="007D1064"/>
    <w:rsid w:val="007D299E"/>
    <w:rsid w:val="007D2D48"/>
    <w:rsid w:val="007D2FD7"/>
    <w:rsid w:val="007D31A5"/>
    <w:rsid w:val="007D3E89"/>
    <w:rsid w:val="007D3F3D"/>
    <w:rsid w:val="007D3F3F"/>
    <w:rsid w:val="007D4619"/>
    <w:rsid w:val="007D4655"/>
    <w:rsid w:val="007D4660"/>
    <w:rsid w:val="007D57D6"/>
    <w:rsid w:val="007D5B70"/>
    <w:rsid w:val="007D6FEB"/>
    <w:rsid w:val="007DA8A3"/>
    <w:rsid w:val="007E0248"/>
    <w:rsid w:val="007E0BBD"/>
    <w:rsid w:val="007E0F6D"/>
    <w:rsid w:val="007E15CE"/>
    <w:rsid w:val="007E1708"/>
    <w:rsid w:val="007E32BD"/>
    <w:rsid w:val="007E334A"/>
    <w:rsid w:val="007E3B4D"/>
    <w:rsid w:val="007E47CB"/>
    <w:rsid w:val="007E484C"/>
    <w:rsid w:val="007E4E3A"/>
    <w:rsid w:val="007E4F7A"/>
    <w:rsid w:val="007E5240"/>
    <w:rsid w:val="007E5493"/>
    <w:rsid w:val="007E5A9A"/>
    <w:rsid w:val="007E5B96"/>
    <w:rsid w:val="007E5C96"/>
    <w:rsid w:val="007E63B9"/>
    <w:rsid w:val="007E6B93"/>
    <w:rsid w:val="007E701E"/>
    <w:rsid w:val="007F0C38"/>
    <w:rsid w:val="007F1BC0"/>
    <w:rsid w:val="007F2516"/>
    <w:rsid w:val="007F2E54"/>
    <w:rsid w:val="007F34DC"/>
    <w:rsid w:val="007F35B1"/>
    <w:rsid w:val="007F3AA8"/>
    <w:rsid w:val="007F3AF8"/>
    <w:rsid w:val="007F3FA7"/>
    <w:rsid w:val="007F4AD9"/>
    <w:rsid w:val="007F53B3"/>
    <w:rsid w:val="007F55F5"/>
    <w:rsid w:val="007F65B0"/>
    <w:rsid w:val="007F690D"/>
    <w:rsid w:val="007F6BE8"/>
    <w:rsid w:val="007F7476"/>
    <w:rsid w:val="007F7E41"/>
    <w:rsid w:val="00800B00"/>
    <w:rsid w:val="008021DD"/>
    <w:rsid w:val="0080229F"/>
    <w:rsid w:val="008023DB"/>
    <w:rsid w:val="00802F4A"/>
    <w:rsid w:val="00803847"/>
    <w:rsid w:val="00803BF7"/>
    <w:rsid w:val="00804197"/>
    <w:rsid w:val="00804545"/>
    <w:rsid w:val="00806658"/>
    <w:rsid w:val="008071F9"/>
    <w:rsid w:val="0080769B"/>
    <w:rsid w:val="0080794C"/>
    <w:rsid w:val="00810A5A"/>
    <w:rsid w:val="00810B74"/>
    <w:rsid w:val="00811EC8"/>
    <w:rsid w:val="00813187"/>
    <w:rsid w:val="008135E9"/>
    <w:rsid w:val="00814137"/>
    <w:rsid w:val="0081442F"/>
    <w:rsid w:val="00814AE1"/>
    <w:rsid w:val="00815902"/>
    <w:rsid w:val="00815FA6"/>
    <w:rsid w:val="0081697D"/>
    <w:rsid w:val="00817090"/>
    <w:rsid w:val="00817243"/>
    <w:rsid w:val="008172BB"/>
    <w:rsid w:val="00821414"/>
    <w:rsid w:val="008217DB"/>
    <w:rsid w:val="0082198C"/>
    <w:rsid w:val="00821C74"/>
    <w:rsid w:val="00822300"/>
    <w:rsid w:val="00822589"/>
    <w:rsid w:val="00822734"/>
    <w:rsid w:val="00822772"/>
    <w:rsid w:val="00822A80"/>
    <w:rsid w:val="00822AAD"/>
    <w:rsid w:val="00823CFD"/>
    <w:rsid w:val="00823EF8"/>
    <w:rsid w:val="0082450F"/>
    <w:rsid w:val="00824643"/>
    <w:rsid w:val="00826087"/>
    <w:rsid w:val="00827B06"/>
    <w:rsid w:val="00830401"/>
    <w:rsid w:val="00830F6D"/>
    <w:rsid w:val="00831829"/>
    <w:rsid w:val="00831EF7"/>
    <w:rsid w:val="008322CA"/>
    <w:rsid w:val="00832C4D"/>
    <w:rsid w:val="00832D71"/>
    <w:rsid w:val="0083329D"/>
    <w:rsid w:val="0083391B"/>
    <w:rsid w:val="00834C98"/>
    <w:rsid w:val="00834DE4"/>
    <w:rsid w:val="00834EBF"/>
    <w:rsid w:val="00835035"/>
    <w:rsid w:val="0083509E"/>
    <w:rsid w:val="0083540C"/>
    <w:rsid w:val="008358F6"/>
    <w:rsid w:val="00836827"/>
    <w:rsid w:val="00836A29"/>
    <w:rsid w:val="00836A61"/>
    <w:rsid w:val="00836E90"/>
    <w:rsid w:val="0083725D"/>
    <w:rsid w:val="00840DC0"/>
    <w:rsid w:val="00841C0A"/>
    <w:rsid w:val="0084217C"/>
    <w:rsid w:val="00842E7A"/>
    <w:rsid w:val="00842ECE"/>
    <w:rsid w:val="0084389A"/>
    <w:rsid w:val="00843B87"/>
    <w:rsid w:val="00843D08"/>
    <w:rsid w:val="00843F83"/>
    <w:rsid w:val="0084413D"/>
    <w:rsid w:val="00844329"/>
    <w:rsid w:val="00844BF9"/>
    <w:rsid w:val="00844F5C"/>
    <w:rsid w:val="00845517"/>
    <w:rsid w:val="00845AEF"/>
    <w:rsid w:val="00845CAD"/>
    <w:rsid w:val="00845D46"/>
    <w:rsid w:val="008469B5"/>
    <w:rsid w:val="008469F0"/>
    <w:rsid w:val="00846EFA"/>
    <w:rsid w:val="00850534"/>
    <w:rsid w:val="00850645"/>
    <w:rsid w:val="00850BDC"/>
    <w:rsid w:val="00850CB1"/>
    <w:rsid w:val="008519D6"/>
    <w:rsid w:val="00852FA1"/>
    <w:rsid w:val="00853A5F"/>
    <w:rsid w:val="00853B0F"/>
    <w:rsid w:val="00853B61"/>
    <w:rsid w:val="00854FA0"/>
    <w:rsid w:val="008550F3"/>
    <w:rsid w:val="00855220"/>
    <w:rsid w:val="00855236"/>
    <w:rsid w:val="00856117"/>
    <w:rsid w:val="00856A7E"/>
    <w:rsid w:val="0085715A"/>
    <w:rsid w:val="00860028"/>
    <w:rsid w:val="00860D5A"/>
    <w:rsid w:val="00860FC2"/>
    <w:rsid w:val="00861A78"/>
    <w:rsid w:val="008620C5"/>
    <w:rsid w:val="00863736"/>
    <w:rsid w:val="00863BFF"/>
    <w:rsid w:val="008645C3"/>
    <w:rsid w:val="00864C49"/>
    <w:rsid w:val="00865364"/>
    <w:rsid w:val="00865371"/>
    <w:rsid w:val="008655B3"/>
    <w:rsid w:val="008657E8"/>
    <w:rsid w:val="00865913"/>
    <w:rsid w:val="00865924"/>
    <w:rsid w:val="0086627A"/>
    <w:rsid w:val="008664B7"/>
    <w:rsid w:val="008668A4"/>
    <w:rsid w:val="00866AC9"/>
    <w:rsid w:val="008677D1"/>
    <w:rsid w:val="0087013C"/>
    <w:rsid w:val="00870597"/>
    <w:rsid w:val="00870C2D"/>
    <w:rsid w:val="008710AB"/>
    <w:rsid w:val="0087162F"/>
    <w:rsid w:val="0087165F"/>
    <w:rsid w:val="00871989"/>
    <w:rsid w:val="00871AF2"/>
    <w:rsid w:val="00873BCF"/>
    <w:rsid w:val="0087495F"/>
    <w:rsid w:val="00874A67"/>
    <w:rsid w:val="00874CA8"/>
    <w:rsid w:val="0087513A"/>
    <w:rsid w:val="0087530A"/>
    <w:rsid w:val="00875F01"/>
    <w:rsid w:val="00875F95"/>
    <w:rsid w:val="00876122"/>
    <w:rsid w:val="008764AE"/>
    <w:rsid w:val="00876629"/>
    <w:rsid w:val="00876D6F"/>
    <w:rsid w:val="00876FD2"/>
    <w:rsid w:val="00877C9B"/>
    <w:rsid w:val="00877E85"/>
    <w:rsid w:val="008802A8"/>
    <w:rsid w:val="00880600"/>
    <w:rsid w:val="0088091A"/>
    <w:rsid w:val="0088145F"/>
    <w:rsid w:val="00882304"/>
    <w:rsid w:val="008826B0"/>
    <w:rsid w:val="00882747"/>
    <w:rsid w:val="00882AC4"/>
    <w:rsid w:val="00882B3E"/>
    <w:rsid w:val="008831E6"/>
    <w:rsid w:val="00883483"/>
    <w:rsid w:val="0088373F"/>
    <w:rsid w:val="00884680"/>
    <w:rsid w:val="0088471D"/>
    <w:rsid w:val="008855D9"/>
    <w:rsid w:val="0088592C"/>
    <w:rsid w:val="00886D40"/>
    <w:rsid w:val="008874D0"/>
    <w:rsid w:val="00890037"/>
    <w:rsid w:val="00891746"/>
    <w:rsid w:val="008926A5"/>
    <w:rsid w:val="00892C16"/>
    <w:rsid w:val="00892C36"/>
    <w:rsid w:val="00892C68"/>
    <w:rsid w:val="008931F9"/>
    <w:rsid w:val="0089379A"/>
    <w:rsid w:val="008939E1"/>
    <w:rsid w:val="00893FA4"/>
    <w:rsid w:val="008942C1"/>
    <w:rsid w:val="00894E77"/>
    <w:rsid w:val="00895491"/>
    <w:rsid w:val="00895A99"/>
    <w:rsid w:val="00895C2A"/>
    <w:rsid w:val="00895F8C"/>
    <w:rsid w:val="00896469"/>
    <w:rsid w:val="008974E5"/>
    <w:rsid w:val="008976CF"/>
    <w:rsid w:val="00897967"/>
    <w:rsid w:val="00897D2F"/>
    <w:rsid w:val="008A0289"/>
    <w:rsid w:val="008A0355"/>
    <w:rsid w:val="008A0B53"/>
    <w:rsid w:val="008A0E2D"/>
    <w:rsid w:val="008A1C46"/>
    <w:rsid w:val="008A2669"/>
    <w:rsid w:val="008A29FE"/>
    <w:rsid w:val="008A3178"/>
    <w:rsid w:val="008A3D25"/>
    <w:rsid w:val="008A660B"/>
    <w:rsid w:val="008B008E"/>
    <w:rsid w:val="008B01AE"/>
    <w:rsid w:val="008B121C"/>
    <w:rsid w:val="008B1FE6"/>
    <w:rsid w:val="008B32F4"/>
    <w:rsid w:val="008B3979"/>
    <w:rsid w:val="008B3DFC"/>
    <w:rsid w:val="008B4414"/>
    <w:rsid w:val="008B4505"/>
    <w:rsid w:val="008B4523"/>
    <w:rsid w:val="008B4FB5"/>
    <w:rsid w:val="008B59DE"/>
    <w:rsid w:val="008B650F"/>
    <w:rsid w:val="008B6931"/>
    <w:rsid w:val="008B70CD"/>
    <w:rsid w:val="008B75A2"/>
    <w:rsid w:val="008B76A4"/>
    <w:rsid w:val="008C015D"/>
    <w:rsid w:val="008C0454"/>
    <w:rsid w:val="008C10BE"/>
    <w:rsid w:val="008C18E5"/>
    <w:rsid w:val="008C2049"/>
    <w:rsid w:val="008C25F4"/>
    <w:rsid w:val="008C33F6"/>
    <w:rsid w:val="008C3E03"/>
    <w:rsid w:val="008C4FB1"/>
    <w:rsid w:val="008C5F40"/>
    <w:rsid w:val="008C66E5"/>
    <w:rsid w:val="008C699A"/>
    <w:rsid w:val="008C75B8"/>
    <w:rsid w:val="008C75CE"/>
    <w:rsid w:val="008C7F3B"/>
    <w:rsid w:val="008D0040"/>
    <w:rsid w:val="008D01DA"/>
    <w:rsid w:val="008D084F"/>
    <w:rsid w:val="008D0AB2"/>
    <w:rsid w:val="008D15D2"/>
    <w:rsid w:val="008D32BF"/>
    <w:rsid w:val="008D3929"/>
    <w:rsid w:val="008D3A97"/>
    <w:rsid w:val="008D4EF5"/>
    <w:rsid w:val="008D574F"/>
    <w:rsid w:val="008D5FC8"/>
    <w:rsid w:val="008D66E1"/>
    <w:rsid w:val="008D7988"/>
    <w:rsid w:val="008D7BDA"/>
    <w:rsid w:val="008E0028"/>
    <w:rsid w:val="008E038F"/>
    <w:rsid w:val="008E047E"/>
    <w:rsid w:val="008E0583"/>
    <w:rsid w:val="008E19DE"/>
    <w:rsid w:val="008E25A3"/>
    <w:rsid w:val="008E36E4"/>
    <w:rsid w:val="008E386F"/>
    <w:rsid w:val="008E3DA6"/>
    <w:rsid w:val="008E4624"/>
    <w:rsid w:val="008E48E1"/>
    <w:rsid w:val="008E4E85"/>
    <w:rsid w:val="008E4EA0"/>
    <w:rsid w:val="008E4FA3"/>
    <w:rsid w:val="008F06E2"/>
    <w:rsid w:val="008F1247"/>
    <w:rsid w:val="008F14AF"/>
    <w:rsid w:val="008F1B7A"/>
    <w:rsid w:val="008F2315"/>
    <w:rsid w:val="008F2402"/>
    <w:rsid w:val="008F2584"/>
    <w:rsid w:val="008F43C3"/>
    <w:rsid w:val="008F4828"/>
    <w:rsid w:val="008F6340"/>
    <w:rsid w:val="008F670A"/>
    <w:rsid w:val="008F7B50"/>
    <w:rsid w:val="009000BF"/>
    <w:rsid w:val="009002DB"/>
    <w:rsid w:val="00900646"/>
    <w:rsid w:val="00900E44"/>
    <w:rsid w:val="009012A2"/>
    <w:rsid w:val="00901591"/>
    <w:rsid w:val="00901CDF"/>
    <w:rsid w:val="0090293B"/>
    <w:rsid w:val="00903474"/>
    <w:rsid w:val="00903D62"/>
    <w:rsid w:val="009041F8"/>
    <w:rsid w:val="00904561"/>
    <w:rsid w:val="009046E1"/>
    <w:rsid w:val="00904EE0"/>
    <w:rsid w:val="0090503C"/>
    <w:rsid w:val="00905064"/>
    <w:rsid w:val="009056AE"/>
    <w:rsid w:val="0090584F"/>
    <w:rsid w:val="00905C7F"/>
    <w:rsid w:val="00905E94"/>
    <w:rsid w:val="00906141"/>
    <w:rsid w:val="0090658C"/>
    <w:rsid w:val="00906F32"/>
    <w:rsid w:val="0090712E"/>
    <w:rsid w:val="00907DCE"/>
    <w:rsid w:val="00908C4B"/>
    <w:rsid w:val="00910741"/>
    <w:rsid w:val="00911466"/>
    <w:rsid w:val="00912722"/>
    <w:rsid w:val="00912880"/>
    <w:rsid w:val="00912C53"/>
    <w:rsid w:val="00912F73"/>
    <w:rsid w:val="009132E5"/>
    <w:rsid w:val="0091338A"/>
    <w:rsid w:val="00913410"/>
    <w:rsid w:val="00913483"/>
    <w:rsid w:val="00914BAE"/>
    <w:rsid w:val="00914FDF"/>
    <w:rsid w:val="00915C0E"/>
    <w:rsid w:val="00920983"/>
    <w:rsid w:val="00921377"/>
    <w:rsid w:val="00921725"/>
    <w:rsid w:val="009223AD"/>
    <w:rsid w:val="00923035"/>
    <w:rsid w:val="009240D9"/>
    <w:rsid w:val="0092429B"/>
    <w:rsid w:val="00924BB6"/>
    <w:rsid w:val="00924EC9"/>
    <w:rsid w:val="009251F1"/>
    <w:rsid w:val="009255EB"/>
    <w:rsid w:val="0092627A"/>
    <w:rsid w:val="00926389"/>
    <w:rsid w:val="00926860"/>
    <w:rsid w:val="00926E6A"/>
    <w:rsid w:val="00927341"/>
    <w:rsid w:val="00927912"/>
    <w:rsid w:val="00927CB6"/>
    <w:rsid w:val="009300EC"/>
    <w:rsid w:val="00930D65"/>
    <w:rsid w:val="00930E58"/>
    <w:rsid w:val="00930EE1"/>
    <w:rsid w:val="00930FE1"/>
    <w:rsid w:val="0093138E"/>
    <w:rsid w:val="00931714"/>
    <w:rsid w:val="00931D66"/>
    <w:rsid w:val="00932053"/>
    <w:rsid w:val="009337BC"/>
    <w:rsid w:val="00934DDE"/>
    <w:rsid w:val="00936529"/>
    <w:rsid w:val="0093766C"/>
    <w:rsid w:val="00940C71"/>
    <w:rsid w:val="00940E57"/>
    <w:rsid w:val="009411AB"/>
    <w:rsid w:val="00942B0B"/>
    <w:rsid w:val="00943D93"/>
    <w:rsid w:val="00943F5F"/>
    <w:rsid w:val="009440DF"/>
    <w:rsid w:val="009443F4"/>
    <w:rsid w:val="0094488A"/>
    <w:rsid w:val="00944D72"/>
    <w:rsid w:val="00944ED9"/>
    <w:rsid w:val="009450CD"/>
    <w:rsid w:val="00945219"/>
    <w:rsid w:val="009454DA"/>
    <w:rsid w:val="009456D4"/>
    <w:rsid w:val="00945765"/>
    <w:rsid w:val="00947149"/>
    <w:rsid w:val="00947424"/>
    <w:rsid w:val="0094796C"/>
    <w:rsid w:val="009505D5"/>
    <w:rsid w:val="0095078A"/>
    <w:rsid w:val="009508A7"/>
    <w:rsid w:val="009509E2"/>
    <w:rsid w:val="00950D3A"/>
    <w:rsid w:val="0095118C"/>
    <w:rsid w:val="009513B9"/>
    <w:rsid w:val="009516EC"/>
    <w:rsid w:val="00951DEC"/>
    <w:rsid w:val="0095210C"/>
    <w:rsid w:val="009522BF"/>
    <w:rsid w:val="009528AE"/>
    <w:rsid w:val="00952E72"/>
    <w:rsid w:val="00953113"/>
    <w:rsid w:val="00953361"/>
    <w:rsid w:val="0095414E"/>
    <w:rsid w:val="00954574"/>
    <w:rsid w:val="0095474D"/>
    <w:rsid w:val="00954A9C"/>
    <w:rsid w:val="009551A7"/>
    <w:rsid w:val="0095617F"/>
    <w:rsid w:val="00957BE6"/>
    <w:rsid w:val="00957C9A"/>
    <w:rsid w:val="009605D9"/>
    <w:rsid w:val="0096126C"/>
    <w:rsid w:val="0096195C"/>
    <w:rsid w:val="00961E7F"/>
    <w:rsid w:val="009625E1"/>
    <w:rsid w:val="00962A72"/>
    <w:rsid w:val="00962FDB"/>
    <w:rsid w:val="00963C18"/>
    <w:rsid w:val="0096401E"/>
    <w:rsid w:val="00964347"/>
    <w:rsid w:val="00964E0E"/>
    <w:rsid w:val="00965172"/>
    <w:rsid w:val="0096591C"/>
    <w:rsid w:val="009676A3"/>
    <w:rsid w:val="00967BBB"/>
    <w:rsid w:val="00967DD3"/>
    <w:rsid w:val="009707D5"/>
    <w:rsid w:val="00971302"/>
    <w:rsid w:val="00971392"/>
    <w:rsid w:val="009713BF"/>
    <w:rsid w:val="009721AF"/>
    <w:rsid w:val="00972665"/>
    <w:rsid w:val="0097290B"/>
    <w:rsid w:val="00972A44"/>
    <w:rsid w:val="00972CBF"/>
    <w:rsid w:val="009738F6"/>
    <w:rsid w:val="00973F42"/>
    <w:rsid w:val="00973F71"/>
    <w:rsid w:val="00973FE3"/>
    <w:rsid w:val="0097441D"/>
    <w:rsid w:val="009745F5"/>
    <w:rsid w:val="00974D2B"/>
    <w:rsid w:val="00974E5C"/>
    <w:rsid w:val="0097534E"/>
    <w:rsid w:val="00975415"/>
    <w:rsid w:val="009754F8"/>
    <w:rsid w:val="00975ABE"/>
    <w:rsid w:val="009763EA"/>
    <w:rsid w:val="00976554"/>
    <w:rsid w:val="00977216"/>
    <w:rsid w:val="00977498"/>
    <w:rsid w:val="009803BF"/>
    <w:rsid w:val="0098081A"/>
    <w:rsid w:val="0098082F"/>
    <w:rsid w:val="00980D11"/>
    <w:rsid w:val="00982160"/>
    <w:rsid w:val="00983BEF"/>
    <w:rsid w:val="00984003"/>
    <w:rsid w:val="009850BF"/>
    <w:rsid w:val="00985665"/>
    <w:rsid w:val="00985B4D"/>
    <w:rsid w:val="009864A9"/>
    <w:rsid w:val="0098671F"/>
    <w:rsid w:val="00986868"/>
    <w:rsid w:val="009868E2"/>
    <w:rsid w:val="00986919"/>
    <w:rsid w:val="00986A58"/>
    <w:rsid w:val="0098720F"/>
    <w:rsid w:val="00987245"/>
    <w:rsid w:val="009872CC"/>
    <w:rsid w:val="009876B4"/>
    <w:rsid w:val="00987B93"/>
    <w:rsid w:val="00987F88"/>
    <w:rsid w:val="00990048"/>
    <w:rsid w:val="00991E00"/>
    <w:rsid w:val="00991EE4"/>
    <w:rsid w:val="009920B1"/>
    <w:rsid w:val="00992C16"/>
    <w:rsid w:val="0099310B"/>
    <w:rsid w:val="00994930"/>
    <w:rsid w:val="009949BD"/>
    <w:rsid w:val="00994BE5"/>
    <w:rsid w:val="00994C47"/>
    <w:rsid w:val="00996216"/>
    <w:rsid w:val="00997AE2"/>
    <w:rsid w:val="00997E41"/>
    <w:rsid w:val="009A048B"/>
    <w:rsid w:val="009A17E4"/>
    <w:rsid w:val="009A281C"/>
    <w:rsid w:val="009A2E14"/>
    <w:rsid w:val="009A4086"/>
    <w:rsid w:val="009A40C7"/>
    <w:rsid w:val="009A4CAC"/>
    <w:rsid w:val="009A4E5E"/>
    <w:rsid w:val="009A53BC"/>
    <w:rsid w:val="009A5EEE"/>
    <w:rsid w:val="009A7B3C"/>
    <w:rsid w:val="009A7DE8"/>
    <w:rsid w:val="009B003B"/>
    <w:rsid w:val="009B0F05"/>
    <w:rsid w:val="009B135B"/>
    <w:rsid w:val="009B146D"/>
    <w:rsid w:val="009B18D6"/>
    <w:rsid w:val="009B190B"/>
    <w:rsid w:val="009B1A7D"/>
    <w:rsid w:val="009B1EFB"/>
    <w:rsid w:val="009B3593"/>
    <w:rsid w:val="009B4721"/>
    <w:rsid w:val="009B53FC"/>
    <w:rsid w:val="009B5FF4"/>
    <w:rsid w:val="009B647B"/>
    <w:rsid w:val="009B662E"/>
    <w:rsid w:val="009B686E"/>
    <w:rsid w:val="009C0303"/>
    <w:rsid w:val="009C2D2F"/>
    <w:rsid w:val="009C335D"/>
    <w:rsid w:val="009C474E"/>
    <w:rsid w:val="009C5CF9"/>
    <w:rsid w:val="009C66A6"/>
    <w:rsid w:val="009C66B2"/>
    <w:rsid w:val="009C7612"/>
    <w:rsid w:val="009C7633"/>
    <w:rsid w:val="009C7B42"/>
    <w:rsid w:val="009C7CD0"/>
    <w:rsid w:val="009D0021"/>
    <w:rsid w:val="009D069D"/>
    <w:rsid w:val="009D08C4"/>
    <w:rsid w:val="009D1784"/>
    <w:rsid w:val="009D1F3E"/>
    <w:rsid w:val="009D2B42"/>
    <w:rsid w:val="009D2DB0"/>
    <w:rsid w:val="009D3014"/>
    <w:rsid w:val="009D32DA"/>
    <w:rsid w:val="009D3498"/>
    <w:rsid w:val="009D351B"/>
    <w:rsid w:val="009D6060"/>
    <w:rsid w:val="009D62A0"/>
    <w:rsid w:val="009D6F4B"/>
    <w:rsid w:val="009D71D9"/>
    <w:rsid w:val="009D73B8"/>
    <w:rsid w:val="009D7B2D"/>
    <w:rsid w:val="009D7C30"/>
    <w:rsid w:val="009E14BD"/>
    <w:rsid w:val="009E1544"/>
    <w:rsid w:val="009E1C5A"/>
    <w:rsid w:val="009E1E53"/>
    <w:rsid w:val="009E218B"/>
    <w:rsid w:val="009E2B8E"/>
    <w:rsid w:val="009E2F9D"/>
    <w:rsid w:val="009E3936"/>
    <w:rsid w:val="009E4014"/>
    <w:rsid w:val="009E4490"/>
    <w:rsid w:val="009E46C6"/>
    <w:rsid w:val="009E48EB"/>
    <w:rsid w:val="009E56BB"/>
    <w:rsid w:val="009E57B1"/>
    <w:rsid w:val="009E583C"/>
    <w:rsid w:val="009E6193"/>
    <w:rsid w:val="009E6584"/>
    <w:rsid w:val="009E6A58"/>
    <w:rsid w:val="009E6A5D"/>
    <w:rsid w:val="009E6E1F"/>
    <w:rsid w:val="009E71FF"/>
    <w:rsid w:val="009E7AA3"/>
    <w:rsid w:val="009E7F5F"/>
    <w:rsid w:val="009F0416"/>
    <w:rsid w:val="009F053A"/>
    <w:rsid w:val="009F0832"/>
    <w:rsid w:val="009F0B63"/>
    <w:rsid w:val="009F0F50"/>
    <w:rsid w:val="009F1ACB"/>
    <w:rsid w:val="009F1E1C"/>
    <w:rsid w:val="009F1F70"/>
    <w:rsid w:val="009F2130"/>
    <w:rsid w:val="009F2B66"/>
    <w:rsid w:val="009F2DDD"/>
    <w:rsid w:val="009F30CB"/>
    <w:rsid w:val="009F3301"/>
    <w:rsid w:val="009F35EB"/>
    <w:rsid w:val="009F37E5"/>
    <w:rsid w:val="009F413B"/>
    <w:rsid w:val="009F4596"/>
    <w:rsid w:val="009F50A6"/>
    <w:rsid w:val="009F59DD"/>
    <w:rsid w:val="009F636E"/>
    <w:rsid w:val="009F6DC7"/>
    <w:rsid w:val="009F70D0"/>
    <w:rsid w:val="009F7FDB"/>
    <w:rsid w:val="00A006D5"/>
    <w:rsid w:val="00A00E6D"/>
    <w:rsid w:val="00A01202"/>
    <w:rsid w:val="00A01A31"/>
    <w:rsid w:val="00A01D14"/>
    <w:rsid w:val="00A02061"/>
    <w:rsid w:val="00A0208E"/>
    <w:rsid w:val="00A0278F"/>
    <w:rsid w:val="00A037E3"/>
    <w:rsid w:val="00A03816"/>
    <w:rsid w:val="00A047CB"/>
    <w:rsid w:val="00A04980"/>
    <w:rsid w:val="00A04FE2"/>
    <w:rsid w:val="00A050FC"/>
    <w:rsid w:val="00A06CE5"/>
    <w:rsid w:val="00A0758A"/>
    <w:rsid w:val="00A07A3A"/>
    <w:rsid w:val="00A07C55"/>
    <w:rsid w:val="00A07C62"/>
    <w:rsid w:val="00A10575"/>
    <w:rsid w:val="00A108C3"/>
    <w:rsid w:val="00A110A5"/>
    <w:rsid w:val="00A117E7"/>
    <w:rsid w:val="00A1213A"/>
    <w:rsid w:val="00A1229E"/>
    <w:rsid w:val="00A12DB5"/>
    <w:rsid w:val="00A1371E"/>
    <w:rsid w:val="00A14285"/>
    <w:rsid w:val="00A1443F"/>
    <w:rsid w:val="00A1469E"/>
    <w:rsid w:val="00A15D42"/>
    <w:rsid w:val="00A15D52"/>
    <w:rsid w:val="00A162F3"/>
    <w:rsid w:val="00A16474"/>
    <w:rsid w:val="00A2008E"/>
    <w:rsid w:val="00A20412"/>
    <w:rsid w:val="00A204B0"/>
    <w:rsid w:val="00A21D24"/>
    <w:rsid w:val="00A21FDA"/>
    <w:rsid w:val="00A2237E"/>
    <w:rsid w:val="00A23A29"/>
    <w:rsid w:val="00A2434D"/>
    <w:rsid w:val="00A252DC"/>
    <w:rsid w:val="00A257B4"/>
    <w:rsid w:val="00A26B17"/>
    <w:rsid w:val="00A26B33"/>
    <w:rsid w:val="00A26DE0"/>
    <w:rsid w:val="00A3073A"/>
    <w:rsid w:val="00A30F9C"/>
    <w:rsid w:val="00A31E39"/>
    <w:rsid w:val="00A322D3"/>
    <w:rsid w:val="00A32D83"/>
    <w:rsid w:val="00A33734"/>
    <w:rsid w:val="00A339B2"/>
    <w:rsid w:val="00A3403F"/>
    <w:rsid w:val="00A34298"/>
    <w:rsid w:val="00A34C76"/>
    <w:rsid w:val="00A34FD2"/>
    <w:rsid w:val="00A3559F"/>
    <w:rsid w:val="00A361E2"/>
    <w:rsid w:val="00A37F6C"/>
    <w:rsid w:val="00A40AA9"/>
    <w:rsid w:val="00A40B4C"/>
    <w:rsid w:val="00A41580"/>
    <w:rsid w:val="00A4163B"/>
    <w:rsid w:val="00A41A98"/>
    <w:rsid w:val="00A423F3"/>
    <w:rsid w:val="00A42901"/>
    <w:rsid w:val="00A43765"/>
    <w:rsid w:val="00A43A74"/>
    <w:rsid w:val="00A43CF7"/>
    <w:rsid w:val="00A43DC1"/>
    <w:rsid w:val="00A442EC"/>
    <w:rsid w:val="00A4482B"/>
    <w:rsid w:val="00A44CA2"/>
    <w:rsid w:val="00A45643"/>
    <w:rsid w:val="00A4698C"/>
    <w:rsid w:val="00A47825"/>
    <w:rsid w:val="00A47EFC"/>
    <w:rsid w:val="00A513C3"/>
    <w:rsid w:val="00A517C6"/>
    <w:rsid w:val="00A5208B"/>
    <w:rsid w:val="00A5247F"/>
    <w:rsid w:val="00A52A10"/>
    <w:rsid w:val="00A52ED0"/>
    <w:rsid w:val="00A534F2"/>
    <w:rsid w:val="00A53DC7"/>
    <w:rsid w:val="00A54605"/>
    <w:rsid w:val="00A546B7"/>
    <w:rsid w:val="00A54874"/>
    <w:rsid w:val="00A54A71"/>
    <w:rsid w:val="00A54B8A"/>
    <w:rsid w:val="00A55F6D"/>
    <w:rsid w:val="00A564C0"/>
    <w:rsid w:val="00A56D06"/>
    <w:rsid w:val="00A57144"/>
    <w:rsid w:val="00A60188"/>
    <w:rsid w:val="00A60735"/>
    <w:rsid w:val="00A60A5F"/>
    <w:rsid w:val="00A6213B"/>
    <w:rsid w:val="00A622F5"/>
    <w:rsid w:val="00A63371"/>
    <w:rsid w:val="00A63523"/>
    <w:rsid w:val="00A636A8"/>
    <w:rsid w:val="00A637F3"/>
    <w:rsid w:val="00A63FAE"/>
    <w:rsid w:val="00A64154"/>
    <w:rsid w:val="00A64943"/>
    <w:rsid w:val="00A649F2"/>
    <w:rsid w:val="00A64EE8"/>
    <w:rsid w:val="00A655F0"/>
    <w:rsid w:val="00A6607B"/>
    <w:rsid w:val="00A6652C"/>
    <w:rsid w:val="00A66F66"/>
    <w:rsid w:val="00A677F6"/>
    <w:rsid w:val="00A7025C"/>
    <w:rsid w:val="00A708BC"/>
    <w:rsid w:val="00A7103E"/>
    <w:rsid w:val="00A71394"/>
    <w:rsid w:val="00A733F2"/>
    <w:rsid w:val="00A737AF"/>
    <w:rsid w:val="00A746ED"/>
    <w:rsid w:val="00A74882"/>
    <w:rsid w:val="00A74A20"/>
    <w:rsid w:val="00A74CEA"/>
    <w:rsid w:val="00A7516D"/>
    <w:rsid w:val="00A76F2F"/>
    <w:rsid w:val="00A778E7"/>
    <w:rsid w:val="00A80109"/>
    <w:rsid w:val="00A8037C"/>
    <w:rsid w:val="00A808B8"/>
    <w:rsid w:val="00A80CB4"/>
    <w:rsid w:val="00A80DF8"/>
    <w:rsid w:val="00A81A8A"/>
    <w:rsid w:val="00A84922"/>
    <w:rsid w:val="00A85280"/>
    <w:rsid w:val="00A861C1"/>
    <w:rsid w:val="00A867FE"/>
    <w:rsid w:val="00A872B1"/>
    <w:rsid w:val="00A90079"/>
    <w:rsid w:val="00A9070C"/>
    <w:rsid w:val="00A908B5"/>
    <w:rsid w:val="00A90A15"/>
    <w:rsid w:val="00A91331"/>
    <w:rsid w:val="00A91611"/>
    <w:rsid w:val="00A91996"/>
    <w:rsid w:val="00A922C6"/>
    <w:rsid w:val="00A9247B"/>
    <w:rsid w:val="00A92839"/>
    <w:rsid w:val="00A93061"/>
    <w:rsid w:val="00A9395C"/>
    <w:rsid w:val="00A94F95"/>
    <w:rsid w:val="00A95BFC"/>
    <w:rsid w:val="00A96B02"/>
    <w:rsid w:val="00A96D84"/>
    <w:rsid w:val="00A9745F"/>
    <w:rsid w:val="00A97805"/>
    <w:rsid w:val="00A97866"/>
    <w:rsid w:val="00A97C9B"/>
    <w:rsid w:val="00AA0540"/>
    <w:rsid w:val="00AA2FDC"/>
    <w:rsid w:val="00AA3105"/>
    <w:rsid w:val="00AA338F"/>
    <w:rsid w:val="00AA394B"/>
    <w:rsid w:val="00AA39B7"/>
    <w:rsid w:val="00AA3F65"/>
    <w:rsid w:val="00AA46F7"/>
    <w:rsid w:val="00AA4ABE"/>
    <w:rsid w:val="00AA4D38"/>
    <w:rsid w:val="00AA4D52"/>
    <w:rsid w:val="00AA5165"/>
    <w:rsid w:val="00AA6E0B"/>
    <w:rsid w:val="00AA72D5"/>
    <w:rsid w:val="00AA7A1F"/>
    <w:rsid w:val="00AA7CE4"/>
    <w:rsid w:val="00AB20F6"/>
    <w:rsid w:val="00AB2FBF"/>
    <w:rsid w:val="00AB3099"/>
    <w:rsid w:val="00AB31D9"/>
    <w:rsid w:val="00AB370E"/>
    <w:rsid w:val="00AB3DDB"/>
    <w:rsid w:val="00AB45FC"/>
    <w:rsid w:val="00AB492B"/>
    <w:rsid w:val="00AB5203"/>
    <w:rsid w:val="00AB57D2"/>
    <w:rsid w:val="00AB60A7"/>
    <w:rsid w:val="00AB6485"/>
    <w:rsid w:val="00AB72E5"/>
    <w:rsid w:val="00AB74E4"/>
    <w:rsid w:val="00AB76E6"/>
    <w:rsid w:val="00AB7EAA"/>
    <w:rsid w:val="00AB7F12"/>
    <w:rsid w:val="00AC0AF2"/>
    <w:rsid w:val="00AC0C0E"/>
    <w:rsid w:val="00AC1992"/>
    <w:rsid w:val="00AC25CC"/>
    <w:rsid w:val="00AC2F96"/>
    <w:rsid w:val="00AC3004"/>
    <w:rsid w:val="00AC3171"/>
    <w:rsid w:val="00AC557C"/>
    <w:rsid w:val="00AC6C67"/>
    <w:rsid w:val="00AC6E01"/>
    <w:rsid w:val="00AC73EE"/>
    <w:rsid w:val="00AD0788"/>
    <w:rsid w:val="00AD0AFB"/>
    <w:rsid w:val="00AD177D"/>
    <w:rsid w:val="00AD190F"/>
    <w:rsid w:val="00AD2159"/>
    <w:rsid w:val="00AD2350"/>
    <w:rsid w:val="00AD2692"/>
    <w:rsid w:val="00AD2B67"/>
    <w:rsid w:val="00AD2D26"/>
    <w:rsid w:val="00AD2DB6"/>
    <w:rsid w:val="00AD2E0D"/>
    <w:rsid w:val="00AD315A"/>
    <w:rsid w:val="00AD4BB1"/>
    <w:rsid w:val="00AD4C4C"/>
    <w:rsid w:val="00AD522F"/>
    <w:rsid w:val="00AD5A77"/>
    <w:rsid w:val="00AD6009"/>
    <w:rsid w:val="00AD64F6"/>
    <w:rsid w:val="00AD6BE7"/>
    <w:rsid w:val="00AD7601"/>
    <w:rsid w:val="00AD7B94"/>
    <w:rsid w:val="00AE049A"/>
    <w:rsid w:val="00AE0D09"/>
    <w:rsid w:val="00AE1FDA"/>
    <w:rsid w:val="00AE271F"/>
    <w:rsid w:val="00AE291A"/>
    <w:rsid w:val="00AE2C04"/>
    <w:rsid w:val="00AE2F52"/>
    <w:rsid w:val="00AE4B8C"/>
    <w:rsid w:val="00AE503B"/>
    <w:rsid w:val="00AE542D"/>
    <w:rsid w:val="00AE5A95"/>
    <w:rsid w:val="00AE66ED"/>
    <w:rsid w:val="00AE74D7"/>
    <w:rsid w:val="00AE763B"/>
    <w:rsid w:val="00AF09C7"/>
    <w:rsid w:val="00AF0A0F"/>
    <w:rsid w:val="00AF0A92"/>
    <w:rsid w:val="00AF0D2A"/>
    <w:rsid w:val="00AF136D"/>
    <w:rsid w:val="00AF1384"/>
    <w:rsid w:val="00AF170D"/>
    <w:rsid w:val="00AF1F91"/>
    <w:rsid w:val="00AF210A"/>
    <w:rsid w:val="00AF252F"/>
    <w:rsid w:val="00AF2714"/>
    <w:rsid w:val="00AF3AC2"/>
    <w:rsid w:val="00AF3DF3"/>
    <w:rsid w:val="00AF4082"/>
    <w:rsid w:val="00AF4E9A"/>
    <w:rsid w:val="00AF5696"/>
    <w:rsid w:val="00AF68B0"/>
    <w:rsid w:val="00AF6EBB"/>
    <w:rsid w:val="00B00581"/>
    <w:rsid w:val="00B01410"/>
    <w:rsid w:val="00B01CA9"/>
    <w:rsid w:val="00B027F1"/>
    <w:rsid w:val="00B028AE"/>
    <w:rsid w:val="00B0296A"/>
    <w:rsid w:val="00B032AF"/>
    <w:rsid w:val="00B0363F"/>
    <w:rsid w:val="00B045F3"/>
    <w:rsid w:val="00B04919"/>
    <w:rsid w:val="00B04E25"/>
    <w:rsid w:val="00B04EA1"/>
    <w:rsid w:val="00B05184"/>
    <w:rsid w:val="00B0526B"/>
    <w:rsid w:val="00B05486"/>
    <w:rsid w:val="00B055F5"/>
    <w:rsid w:val="00B060EB"/>
    <w:rsid w:val="00B0613B"/>
    <w:rsid w:val="00B068EC"/>
    <w:rsid w:val="00B070C3"/>
    <w:rsid w:val="00B0735E"/>
    <w:rsid w:val="00B07490"/>
    <w:rsid w:val="00B07CA5"/>
    <w:rsid w:val="00B10356"/>
    <w:rsid w:val="00B104B1"/>
    <w:rsid w:val="00B132E1"/>
    <w:rsid w:val="00B136BD"/>
    <w:rsid w:val="00B142E3"/>
    <w:rsid w:val="00B15055"/>
    <w:rsid w:val="00B15296"/>
    <w:rsid w:val="00B15311"/>
    <w:rsid w:val="00B1565A"/>
    <w:rsid w:val="00B16933"/>
    <w:rsid w:val="00B16DA1"/>
    <w:rsid w:val="00B208E1"/>
    <w:rsid w:val="00B20D85"/>
    <w:rsid w:val="00B20EA8"/>
    <w:rsid w:val="00B21469"/>
    <w:rsid w:val="00B220B6"/>
    <w:rsid w:val="00B22249"/>
    <w:rsid w:val="00B235C7"/>
    <w:rsid w:val="00B239A8"/>
    <w:rsid w:val="00B239B8"/>
    <w:rsid w:val="00B239D1"/>
    <w:rsid w:val="00B248B4"/>
    <w:rsid w:val="00B24FE4"/>
    <w:rsid w:val="00B257C5"/>
    <w:rsid w:val="00B25F10"/>
    <w:rsid w:val="00B2670A"/>
    <w:rsid w:val="00B2744D"/>
    <w:rsid w:val="00B27905"/>
    <w:rsid w:val="00B3038D"/>
    <w:rsid w:val="00B30525"/>
    <w:rsid w:val="00B3193C"/>
    <w:rsid w:val="00B31D0B"/>
    <w:rsid w:val="00B32359"/>
    <w:rsid w:val="00B3286B"/>
    <w:rsid w:val="00B32D99"/>
    <w:rsid w:val="00B33566"/>
    <w:rsid w:val="00B34658"/>
    <w:rsid w:val="00B34883"/>
    <w:rsid w:val="00B34C0C"/>
    <w:rsid w:val="00B34D0E"/>
    <w:rsid w:val="00B353E2"/>
    <w:rsid w:val="00B35951"/>
    <w:rsid w:val="00B36BE2"/>
    <w:rsid w:val="00B36CF6"/>
    <w:rsid w:val="00B36F73"/>
    <w:rsid w:val="00B373BE"/>
    <w:rsid w:val="00B37815"/>
    <w:rsid w:val="00B37A3E"/>
    <w:rsid w:val="00B37F54"/>
    <w:rsid w:val="00B37F61"/>
    <w:rsid w:val="00B40822"/>
    <w:rsid w:val="00B40F4A"/>
    <w:rsid w:val="00B412D0"/>
    <w:rsid w:val="00B4168B"/>
    <w:rsid w:val="00B429E8"/>
    <w:rsid w:val="00B42EE8"/>
    <w:rsid w:val="00B43B95"/>
    <w:rsid w:val="00B445F4"/>
    <w:rsid w:val="00B4569C"/>
    <w:rsid w:val="00B457DF"/>
    <w:rsid w:val="00B45F04"/>
    <w:rsid w:val="00B465EB"/>
    <w:rsid w:val="00B4714D"/>
    <w:rsid w:val="00B4782A"/>
    <w:rsid w:val="00B501E4"/>
    <w:rsid w:val="00B50347"/>
    <w:rsid w:val="00B50884"/>
    <w:rsid w:val="00B5175F"/>
    <w:rsid w:val="00B51782"/>
    <w:rsid w:val="00B52BEC"/>
    <w:rsid w:val="00B52C3C"/>
    <w:rsid w:val="00B52E9C"/>
    <w:rsid w:val="00B5307B"/>
    <w:rsid w:val="00B53583"/>
    <w:rsid w:val="00B543B4"/>
    <w:rsid w:val="00B54DC7"/>
    <w:rsid w:val="00B55F19"/>
    <w:rsid w:val="00B60251"/>
    <w:rsid w:val="00B60B45"/>
    <w:rsid w:val="00B60CAF"/>
    <w:rsid w:val="00B60CEF"/>
    <w:rsid w:val="00B60F67"/>
    <w:rsid w:val="00B60FD1"/>
    <w:rsid w:val="00B60FF2"/>
    <w:rsid w:val="00B61714"/>
    <w:rsid w:val="00B61747"/>
    <w:rsid w:val="00B61F9C"/>
    <w:rsid w:val="00B62ADA"/>
    <w:rsid w:val="00B62BAF"/>
    <w:rsid w:val="00B62C59"/>
    <w:rsid w:val="00B63734"/>
    <w:rsid w:val="00B637E3"/>
    <w:rsid w:val="00B64060"/>
    <w:rsid w:val="00B645AF"/>
    <w:rsid w:val="00B64C42"/>
    <w:rsid w:val="00B64F80"/>
    <w:rsid w:val="00B651F6"/>
    <w:rsid w:val="00B6641A"/>
    <w:rsid w:val="00B66801"/>
    <w:rsid w:val="00B67914"/>
    <w:rsid w:val="00B70727"/>
    <w:rsid w:val="00B70740"/>
    <w:rsid w:val="00B70D74"/>
    <w:rsid w:val="00B713D9"/>
    <w:rsid w:val="00B738DF"/>
    <w:rsid w:val="00B73E92"/>
    <w:rsid w:val="00B73EE6"/>
    <w:rsid w:val="00B746FF"/>
    <w:rsid w:val="00B74E4B"/>
    <w:rsid w:val="00B7518A"/>
    <w:rsid w:val="00B75227"/>
    <w:rsid w:val="00B7632E"/>
    <w:rsid w:val="00B76AFC"/>
    <w:rsid w:val="00B76C6C"/>
    <w:rsid w:val="00B773C9"/>
    <w:rsid w:val="00B77757"/>
    <w:rsid w:val="00B807E4"/>
    <w:rsid w:val="00B807E6"/>
    <w:rsid w:val="00B81712"/>
    <w:rsid w:val="00B81ADA"/>
    <w:rsid w:val="00B82C8C"/>
    <w:rsid w:val="00B832FA"/>
    <w:rsid w:val="00B83735"/>
    <w:rsid w:val="00B837DC"/>
    <w:rsid w:val="00B841D5"/>
    <w:rsid w:val="00B8458F"/>
    <w:rsid w:val="00B84AE4"/>
    <w:rsid w:val="00B86BB5"/>
    <w:rsid w:val="00B87454"/>
    <w:rsid w:val="00B878BE"/>
    <w:rsid w:val="00B87C97"/>
    <w:rsid w:val="00B90050"/>
    <w:rsid w:val="00B90177"/>
    <w:rsid w:val="00B90197"/>
    <w:rsid w:val="00B90EB6"/>
    <w:rsid w:val="00B915C8"/>
    <w:rsid w:val="00B91BC5"/>
    <w:rsid w:val="00B926E4"/>
    <w:rsid w:val="00B92BF4"/>
    <w:rsid w:val="00B93D64"/>
    <w:rsid w:val="00B940B5"/>
    <w:rsid w:val="00B9413A"/>
    <w:rsid w:val="00B94269"/>
    <w:rsid w:val="00B958BE"/>
    <w:rsid w:val="00B9595C"/>
    <w:rsid w:val="00B95C61"/>
    <w:rsid w:val="00B96C38"/>
    <w:rsid w:val="00B96CB2"/>
    <w:rsid w:val="00B97718"/>
    <w:rsid w:val="00B97CDF"/>
    <w:rsid w:val="00BA0F0F"/>
    <w:rsid w:val="00BA1880"/>
    <w:rsid w:val="00BA21DB"/>
    <w:rsid w:val="00BA2359"/>
    <w:rsid w:val="00BA2566"/>
    <w:rsid w:val="00BA2613"/>
    <w:rsid w:val="00BA2B93"/>
    <w:rsid w:val="00BA3CC7"/>
    <w:rsid w:val="00BA50BC"/>
    <w:rsid w:val="00BA5A4A"/>
    <w:rsid w:val="00BA634F"/>
    <w:rsid w:val="00BA6562"/>
    <w:rsid w:val="00BA65C3"/>
    <w:rsid w:val="00BA6CB7"/>
    <w:rsid w:val="00BB0205"/>
    <w:rsid w:val="00BB0425"/>
    <w:rsid w:val="00BB0A63"/>
    <w:rsid w:val="00BB0B81"/>
    <w:rsid w:val="00BB101B"/>
    <w:rsid w:val="00BB1971"/>
    <w:rsid w:val="00BB2330"/>
    <w:rsid w:val="00BB2544"/>
    <w:rsid w:val="00BB26C5"/>
    <w:rsid w:val="00BB31C2"/>
    <w:rsid w:val="00BB33A5"/>
    <w:rsid w:val="00BB34A6"/>
    <w:rsid w:val="00BB3A82"/>
    <w:rsid w:val="00BB3DE2"/>
    <w:rsid w:val="00BB4645"/>
    <w:rsid w:val="00BB46D8"/>
    <w:rsid w:val="00BB5462"/>
    <w:rsid w:val="00BB6F88"/>
    <w:rsid w:val="00BB70D2"/>
    <w:rsid w:val="00BB792F"/>
    <w:rsid w:val="00BB7A7E"/>
    <w:rsid w:val="00BC0368"/>
    <w:rsid w:val="00BC185A"/>
    <w:rsid w:val="00BC19E6"/>
    <w:rsid w:val="00BC22BE"/>
    <w:rsid w:val="00BC2FA6"/>
    <w:rsid w:val="00BC3D5B"/>
    <w:rsid w:val="00BC3D97"/>
    <w:rsid w:val="00BC3FA4"/>
    <w:rsid w:val="00BC4E13"/>
    <w:rsid w:val="00BC519A"/>
    <w:rsid w:val="00BC63A6"/>
    <w:rsid w:val="00BC6D4A"/>
    <w:rsid w:val="00BC76E5"/>
    <w:rsid w:val="00BC7F3C"/>
    <w:rsid w:val="00BD04E0"/>
    <w:rsid w:val="00BD0965"/>
    <w:rsid w:val="00BD2497"/>
    <w:rsid w:val="00BD289C"/>
    <w:rsid w:val="00BD3038"/>
    <w:rsid w:val="00BD35A2"/>
    <w:rsid w:val="00BD3762"/>
    <w:rsid w:val="00BD3B76"/>
    <w:rsid w:val="00BD439E"/>
    <w:rsid w:val="00BD45A2"/>
    <w:rsid w:val="00BD4798"/>
    <w:rsid w:val="00BD4C39"/>
    <w:rsid w:val="00BD4E83"/>
    <w:rsid w:val="00BD5A95"/>
    <w:rsid w:val="00BD655C"/>
    <w:rsid w:val="00BD70EF"/>
    <w:rsid w:val="00BE066A"/>
    <w:rsid w:val="00BE0B1D"/>
    <w:rsid w:val="00BE1A06"/>
    <w:rsid w:val="00BE1BE8"/>
    <w:rsid w:val="00BE2076"/>
    <w:rsid w:val="00BE2490"/>
    <w:rsid w:val="00BE2981"/>
    <w:rsid w:val="00BE36D8"/>
    <w:rsid w:val="00BE3776"/>
    <w:rsid w:val="00BE3B1E"/>
    <w:rsid w:val="00BE49B4"/>
    <w:rsid w:val="00BE4E4B"/>
    <w:rsid w:val="00BE5280"/>
    <w:rsid w:val="00BE588E"/>
    <w:rsid w:val="00BE6470"/>
    <w:rsid w:val="00BE6B64"/>
    <w:rsid w:val="00BE6FB6"/>
    <w:rsid w:val="00BE7C03"/>
    <w:rsid w:val="00BF0307"/>
    <w:rsid w:val="00BF14D2"/>
    <w:rsid w:val="00BF17E7"/>
    <w:rsid w:val="00BF1CA5"/>
    <w:rsid w:val="00BF250D"/>
    <w:rsid w:val="00BF2570"/>
    <w:rsid w:val="00BF399A"/>
    <w:rsid w:val="00BF4024"/>
    <w:rsid w:val="00BF53A6"/>
    <w:rsid w:val="00BF644C"/>
    <w:rsid w:val="00BF7840"/>
    <w:rsid w:val="00BF7C36"/>
    <w:rsid w:val="00BF7F49"/>
    <w:rsid w:val="00C00AB9"/>
    <w:rsid w:val="00C00C43"/>
    <w:rsid w:val="00C01BC9"/>
    <w:rsid w:val="00C01EFF"/>
    <w:rsid w:val="00C02953"/>
    <w:rsid w:val="00C02D6D"/>
    <w:rsid w:val="00C03138"/>
    <w:rsid w:val="00C032CE"/>
    <w:rsid w:val="00C03643"/>
    <w:rsid w:val="00C03669"/>
    <w:rsid w:val="00C03D1E"/>
    <w:rsid w:val="00C04AFB"/>
    <w:rsid w:val="00C06116"/>
    <w:rsid w:val="00C06590"/>
    <w:rsid w:val="00C0715A"/>
    <w:rsid w:val="00C07285"/>
    <w:rsid w:val="00C074BD"/>
    <w:rsid w:val="00C0783C"/>
    <w:rsid w:val="00C07F1E"/>
    <w:rsid w:val="00C10319"/>
    <w:rsid w:val="00C1117B"/>
    <w:rsid w:val="00C11C31"/>
    <w:rsid w:val="00C11CA8"/>
    <w:rsid w:val="00C12E5F"/>
    <w:rsid w:val="00C130BB"/>
    <w:rsid w:val="00C134E6"/>
    <w:rsid w:val="00C135D0"/>
    <w:rsid w:val="00C138A4"/>
    <w:rsid w:val="00C149C9"/>
    <w:rsid w:val="00C14B25"/>
    <w:rsid w:val="00C14D72"/>
    <w:rsid w:val="00C14E18"/>
    <w:rsid w:val="00C14EE8"/>
    <w:rsid w:val="00C157FB"/>
    <w:rsid w:val="00C15A91"/>
    <w:rsid w:val="00C15EF1"/>
    <w:rsid w:val="00C161D2"/>
    <w:rsid w:val="00C16814"/>
    <w:rsid w:val="00C1688B"/>
    <w:rsid w:val="00C1697B"/>
    <w:rsid w:val="00C17494"/>
    <w:rsid w:val="00C175F8"/>
    <w:rsid w:val="00C179C0"/>
    <w:rsid w:val="00C20185"/>
    <w:rsid w:val="00C20AAD"/>
    <w:rsid w:val="00C20CB1"/>
    <w:rsid w:val="00C21BDD"/>
    <w:rsid w:val="00C21E67"/>
    <w:rsid w:val="00C2293F"/>
    <w:rsid w:val="00C22BD4"/>
    <w:rsid w:val="00C2356D"/>
    <w:rsid w:val="00C23819"/>
    <w:rsid w:val="00C24A13"/>
    <w:rsid w:val="00C24AF8"/>
    <w:rsid w:val="00C2561B"/>
    <w:rsid w:val="00C25BF8"/>
    <w:rsid w:val="00C261B5"/>
    <w:rsid w:val="00C26269"/>
    <w:rsid w:val="00C26AA0"/>
    <w:rsid w:val="00C26FD7"/>
    <w:rsid w:val="00C2721C"/>
    <w:rsid w:val="00C2747D"/>
    <w:rsid w:val="00C30430"/>
    <w:rsid w:val="00C30BCC"/>
    <w:rsid w:val="00C30F50"/>
    <w:rsid w:val="00C320A4"/>
    <w:rsid w:val="00C32643"/>
    <w:rsid w:val="00C32666"/>
    <w:rsid w:val="00C32701"/>
    <w:rsid w:val="00C32BAF"/>
    <w:rsid w:val="00C32DD1"/>
    <w:rsid w:val="00C33E46"/>
    <w:rsid w:val="00C33FFD"/>
    <w:rsid w:val="00C34969"/>
    <w:rsid w:val="00C34F2F"/>
    <w:rsid w:val="00C34F70"/>
    <w:rsid w:val="00C34FA7"/>
    <w:rsid w:val="00C3544E"/>
    <w:rsid w:val="00C354D7"/>
    <w:rsid w:val="00C35661"/>
    <w:rsid w:val="00C3589D"/>
    <w:rsid w:val="00C358F8"/>
    <w:rsid w:val="00C35BA3"/>
    <w:rsid w:val="00C36678"/>
    <w:rsid w:val="00C36693"/>
    <w:rsid w:val="00C36D91"/>
    <w:rsid w:val="00C375E0"/>
    <w:rsid w:val="00C376C5"/>
    <w:rsid w:val="00C3788D"/>
    <w:rsid w:val="00C37BE2"/>
    <w:rsid w:val="00C400DD"/>
    <w:rsid w:val="00C408D2"/>
    <w:rsid w:val="00C40EA7"/>
    <w:rsid w:val="00C417B2"/>
    <w:rsid w:val="00C42B26"/>
    <w:rsid w:val="00C42CE1"/>
    <w:rsid w:val="00C430B5"/>
    <w:rsid w:val="00C43B5A"/>
    <w:rsid w:val="00C4402A"/>
    <w:rsid w:val="00C44084"/>
    <w:rsid w:val="00C44385"/>
    <w:rsid w:val="00C449EB"/>
    <w:rsid w:val="00C4504E"/>
    <w:rsid w:val="00C457C9"/>
    <w:rsid w:val="00C45E4A"/>
    <w:rsid w:val="00C4640E"/>
    <w:rsid w:val="00C464FF"/>
    <w:rsid w:val="00C469DA"/>
    <w:rsid w:val="00C46A09"/>
    <w:rsid w:val="00C47BAF"/>
    <w:rsid w:val="00C5001F"/>
    <w:rsid w:val="00C516FF"/>
    <w:rsid w:val="00C52272"/>
    <w:rsid w:val="00C52BC2"/>
    <w:rsid w:val="00C52D91"/>
    <w:rsid w:val="00C53452"/>
    <w:rsid w:val="00C53C21"/>
    <w:rsid w:val="00C53ED1"/>
    <w:rsid w:val="00C542B0"/>
    <w:rsid w:val="00C55C42"/>
    <w:rsid w:val="00C57298"/>
    <w:rsid w:val="00C574E8"/>
    <w:rsid w:val="00C57B0A"/>
    <w:rsid w:val="00C60503"/>
    <w:rsid w:val="00C60A7F"/>
    <w:rsid w:val="00C6151D"/>
    <w:rsid w:val="00C615B8"/>
    <w:rsid w:val="00C61C70"/>
    <w:rsid w:val="00C637B2"/>
    <w:rsid w:val="00C6394D"/>
    <w:rsid w:val="00C63E1E"/>
    <w:rsid w:val="00C64B94"/>
    <w:rsid w:val="00C64FCF"/>
    <w:rsid w:val="00C65870"/>
    <w:rsid w:val="00C660F1"/>
    <w:rsid w:val="00C66568"/>
    <w:rsid w:val="00C66700"/>
    <w:rsid w:val="00C66A28"/>
    <w:rsid w:val="00C66B9D"/>
    <w:rsid w:val="00C673A4"/>
    <w:rsid w:val="00C67678"/>
    <w:rsid w:val="00C6768B"/>
    <w:rsid w:val="00C67D2A"/>
    <w:rsid w:val="00C70299"/>
    <w:rsid w:val="00C70726"/>
    <w:rsid w:val="00C70A55"/>
    <w:rsid w:val="00C70A88"/>
    <w:rsid w:val="00C71E36"/>
    <w:rsid w:val="00C725E6"/>
    <w:rsid w:val="00C726CA"/>
    <w:rsid w:val="00C74087"/>
    <w:rsid w:val="00C74088"/>
    <w:rsid w:val="00C74D1C"/>
    <w:rsid w:val="00C750A5"/>
    <w:rsid w:val="00C752B7"/>
    <w:rsid w:val="00C75D7C"/>
    <w:rsid w:val="00C775FE"/>
    <w:rsid w:val="00C802AE"/>
    <w:rsid w:val="00C80F78"/>
    <w:rsid w:val="00C82088"/>
    <w:rsid w:val="00C82C93"/>
    <w:rsid w:val="00C831C3"/>
    <w:rsid w:val="00C832A2"/>
    <w:rsid w:val="00C832D7"/>
    <w:rsid w:val="00C8366B"/>
    <w:rsid w:val="00C83914"/>
    <w:rsid w:val="00C843CC"/>
    <w:rsid w:val="00C84922"/>
    <w:rsid w:val="00C84E01"/>
    <w:rsid w:val="00C853A5"/>
    <w:rsid w:val="00C858D9"/>
    <w:rsid w:val="00C85AEC"/>
    <w:rsid w:val="00C85D63"/>
    <w:rsid w:val="00C85E59"/>
    <w:rsid w:val="00C862B6"/>
    <w:rsid w:val="00C87439"/>
    <w:rsid w:val="00C90333"/>
    <w:rsid w:val="00C908F5"/>
    <w:rsid w:val="00C91F82"/>
    <w:rsid w:val="00C92398"/>
    <w:rsid w:val="00C93A2E"/>
    <w:rsid w:val="00C93FBF"/>
    <w:rsid w:val="00C94532"/>
    <w:rsid w:val="00C951D7"/>
    <w:rsid w:val="00C9555E"/>
    <w:rsid w:val="00C963D0"/>
    <w:rsid w:val="00C9666D"/>
    <w:rsid w:val="00C966E8"/>
    <w:rsid w:val="00C97D85"/>
    <w:rsid w:val="00CA042E"/>
    <w:rsid w:val="00CA0EFD"/>
    <w:rsid w:val="00CA1C5E"/>
    <w:rsid w:val="00CA1D98"/>
    <w:rsid w:val="00CA3158"/>
    <w:rsid w:val="00CA33C0"/>
    <w:rsid w:val="00CA5499"/>
    <w:rsid w:val="00CA5960"/>
    <w:rsid w:val="00CA6D8D"/>
    <w:rsid w:val="00CA789A"/>
    <w:rsid w:val="00CA79BF"/>
    <w:rsid w:val="00CB13F3"/>
    <w:rsid w:val="00CB1D06"/>
    <w:rsid w:val="00CB1FFE"/>
    <w:rsid w:val="00CB22A9"/>
    <w:rsid w:val="00CB3071"/>
    <w:rsid w:val="00CB3310"/>
    <w:rsid w:val="00CB3B14"/>
    <w:rsid w:val="00CB3CF0"/>
    <w:rsid w:val="00CB4E84"/>
    <w:rsid w:val="00CB4F39"/>
    <w:rsid w:val="00CB5164"/>
    <w:rsid w:val="00CB52EA"/>
    <w:rsid w:val="00CB56A1"/>
    <w:rsid w:val="00CB5E3E"/>
    <w:rsid w:val="00CB6FA2"/>
    <w:rsid w:val="00CB7283"/>
    <w:rsid w:val="00CB7B03"/>
    <w:rsid w:val="00CB7D9D"/>
    <w:rsid w:val="00CC0DB6"/>
    <w:rsid w:val="00CC1689"/>
    <w:rsid w:val="00CC24B7"/>
    <w:rsid w:val="00CC2E9C"/>
    <w:rsid w:val="00CC3842"/>
    <w:rsid w:val="00CC42D2"/>
    <w:rsid w:val="00CC4A5E"/>
    <w:rsid w:val="00CC5413"/>
    <w:rsid w:val="00CC5487"/>
    <w:rsid w:val="00CC56FA"/>
    <w:rsid w:val="00CC5CF3"/>
    <w:rsid w:val="00CC6757"/>
    <w:rsid w:val="00CC697D"/>
    <w:rsid w:val="00CC6A37"/>
    <w:rsid w:val="00CC7383"/>
    <w:rsid w:val="00CC76E5"/>
    <w:rsid w:val="00CC7CE4"/>
    <w:rsid w:val="00CC7F02"/>
    <w:rsid w:val="00CD163B"/>
    <w:rsid w:val="00CD1761"/>
    <w:rsid w:val="00CD190E"/>
    <w:rsid w:val="00CD2307"/>
    <w:rsid w:val="00CD2676"/>
    <w:rsid w:val="00CD2FB4"/>
    <w:rsid w:val="00CD40C6"/>
    <w:rsid w:val="00CD5AFD"/>
    <w:rsid w:val="00CD5C91"/>
    <w:rsid w:val="00CD62C7"/>
    <w:rsid w:val="00CD6491"/>
    <w:rsid w:val="00CD757D"/>
    <w:rsid w:val="00CE01A6"/>
    <w:rsid w:val="00CE0289"/>
    <w:rsid w:val="00CE0C25"/>
    <w:rsid w:val="00CE14E5"/>
    <w:rsid w:val="00CE1696"/>
    <w:rsid w:val="00CE23A0"/>
    <w:rsid w:val="00CE26C9"/>
    <w:rsid w:val="00CE3026"/>
    <w:rsid w:val="00CE3204"/>
    <w:rsid w:val="00CE3720"/>
    <w:rsid w:val="00CE3D5F"/>
    <w:rsid w:val="00CE4521"/>
    <w:rsid w:val="00CE4CE0"/>
    <w:rsid w:val="00CE500F"/>
    <w:rsid w:val="00CE50D2"/>
    <w:rsid w:val="00CE51CA"/>
    <w:rsid w:val="00CE55B4"/>
    <w:rsid w:val="00CE56BE"/>
    <w:rsid w:val="00CE64FF"/>
    <w:rsid w:val="00CE695C"/>
    <w:rsid w:val="00CE6ACB"/>
    <w:rsid w:val="00CE6D2F"/>
    <w:rsid w:val="00CE6E46"/>
    <w:rsid w:val="00CE715F"/>
    <w:rsid w:val="00CE72D9"/>
    <w:rsid w:val="00CF0DF8"/>
    <w:rsid w:val="00CF12E7"/>
    <w:rsid w:val="00CF205F"/>
    <w:rsid w:val="00CF29EA"/>
    <w:rsid w:val="00CF2A83"/>
    <w:rsid w:val="00CF3410"/>
    <w:rsid w:val="00CF4A4F"/>
    <w:rsid w:val="00CF52A1"/>
    <w:rsid w:val="00CF6085"/>
    <w:rsid w:val="00CF632C"/>
    <w:rsid w:val="00CF76C9"/>
    <w:rsid w:val="00D00823"/>
    <w:rsid w:val="00D008D9"/>
    <w:rsid w:val="00D0095F"/>
    <w:rsid w:val="00D01655"/>
    <w:rsid w:val="00D026E9"/>
    <w:rsid w:val="00D02A09"/>
    <w:rsid w:val="00D03861"/>
    <w:rsid w:val="00D047BA"/>
    <w:rsid w:val="00D057BA"/>
    <w:rsid w:val="00D05DC5"/>
    <w:rsid w:val="00D0619D"/>
    <w:rsid w:val="00D063B9"/>
    <w:rsid w:val="00D069A9"/>
    <w:rsid w:val="00D11EE4"/>
    <w:rsid w:val="00D12AA4"/>
    <w:rsid w:val="00D12AE3"/>
    <w:rsid w:val="00D12F7A"/>
    <w:rsid w:val="00D13471"/>
    <w:rsid w:val="00D1384A"/>
    <w:rsid w:val="00D13D52"/>
    <w:rsid w:val="00D14EFF"/>
    <w:rsid w:val="00D15740"/>
    <w:rsid w:val="00D15F25"/>
    <w:rsid w:val="00D16351"/>
    <w:rsid w:val="00D16453"/>
    <w:rsid w:val="00D165EB"/>
    <w:rsid w:val="00D17551"/>
    <w:rsid w:val="00D178B6"/>
    <w:rsid w:val="00D179BC"/>
    <w:rsid w:val="00D17EC7"/>
    <w:rsid w:val="00D207EC"/>
    <w:rsid w:val="00D20C85"/>
    <w:rsid w:val="00D21078"/>
    <w:rsid w:val="00D222E4"/>
    <w:rsid w:val="00D22CAF"/>
    <w:rsid w:val="00D23204"/>
    <w:rsid w:val="00D233FE"/>
    <w:rsid w:val="00D2524A"/>
    <w:rsid w:val="00D25A68"/>
    <w:rsid w:val="00D25CFF"/>
    <w:rsid w:val="00D25F40"/>
    <w:rsid w:val="00D267F2"/>
    <w:rsid w:val="00D26848"/>
    <w:rsid w:val="00D26DFB"/>
    <w:rsid w:val="00D271AB"/>
    <w:rsid w:val="00D300EE"/>
    <w:rsid w:val="00D308BD"/>
    <w:rsid w:val="00D311F9"/>
    <w:rsid w:val="00D31EC5"/>
    <w:rsid w:val="00D320B0"/>
    <w:rsid w:val="00D328D7"/>
    <w:rsid w:val="00D32D14"/>
    <w:rsid w:val="00D33234"/>
    <w:rsid w:val="00D33E00"/>
    <w:rsid w:val="00D340E0"/>
    <w:rsid w:val="00D34117"/>
    <w:rsid w:val="00D34941"/>
    <w:rsid w:val="00D3562B"/>
    <w:rsid w:val="00D3586F"/>
    <w:rsid w:val="00D3594D"/>
    <w:rsid w:val="00D35CDE"/>
    <w:rsid w:val="00D3641B"/>
    <w:rsid w:val="00D3680F"/>
    <w:rsid w:val="00D36CE3"/>
    <w:rsid w:val="00D372C6"/>
    <w:rsid w:val="00D37A12"/>
    <w:rsid w:val="00D37F23"/>
    <w:rsid w:val="00D4078A"/>
    <w:rsid w:val="00D40F75"/>
    <w:rsid w:val="00D41131"/>
    <w:rsid w:val="00D41603"/>
    <w:rsid w:val="00D416D8"/>
    <w:rsid w:val="00D41C32"/>
    <w:rsid w:val="00D422F0"/>
    <w:rsid w:val="00D42B0B"/>
    <w:rsid w:val="00D42DFE"/>
    <w:rsid w:val="00D43234"/>
    <w:rsid w:val="00D44585"/>
    <w:rsid w:val="00D45C92"/>
    <w:rsid w:val="00D46879"/>
    <w:rsid w:val="00D46EB0"/>
    <w:rsid w:val="00D501CE"/>
    <w:rsid w:val="00D505AB"/>
    <w:rsid w:val="00D5271F"/>
    <w:rsid w:val="00D527B5"/>
    <w:rsid w:val="00D52EDA"/>
    <w:rsid w:val="00D53A39"/>
    <w:rsid w:val="00D54499"/>
    <w:rsid w:val="00D56316"/>
    <w:rsid w:val="00D56FE7"/>
    <w:rsid w:val="00D57115"/>
    <w:rsid w:val="00D57C39"/>
    <w:rsid w:val="00D57FDB"/>
    <w:rsid w:val="00D60127"/>
    <w:rsid w:val="00D60C32"/>
    <w:rsid w:val="00D60CCE"/>
    <w:rsid w:val="00D61606"/>
    <w:rsid w:val="00D61F6E"/>
    <w:rsid w:val="00D63A46"/>
    <w:rsid w:val="00D63BC4"/>
    <w:rsid w:val="00D63D16"/>
    <w:rsid w:val="00D64C9E"/>
    <w:rsid w:val="00D658D5"/>
    <w:rsid w:val="00D65997"/>
    <w:rsid w:val="00D65DD3"/>
    <w:rsid w:val="00D66BE0"/>
    <w:rsid w:val="00D670CA"/>
    <w:rsid w:val="00D6777B"/>
    <w:rsid w:val="00D7037A"/>
    <w:rsid w:val="00D70C10"/>
    <w:rsid w:val="00D70CC5"/>
    <w:rsid w:val="00D71702"/>
    <w:rsid w:val="00D71C94"/>
    <w:rsid w:val="00D72CCE"/>
    <w:rsid w:val="00D72DE6"/>
    <w:rsid w:val="00D7337E"/>
    <w:rsid w:val="00D73674"/>
    <w:rsid w:val="00D73777"/>
    <w:rsid w:val="00D73A5C"/>
    <w:rsid w:val="00D74373"/>
    <w:rsid w:val="00D74C79"/>
    <w:rsid w:val="00D75054"/>
    <w:rsid w:val="00D75FCC"/>
    <w:rsid w:val="00D767B2"/>
    <w:rsid w:val="00D76CDD"/>
    <w:rsid w:val="00D774EE"/>
    <w:rsid w:val="00D8040B"/>
    <w:rsid w:val="00D807F3"/>
    <w:rsid w:val="00D80A7F"/>
    <w:rsid w:val="00D81E22"/>
    <w:rsid w:val="00D822E7"/>
    <w:rsid w:val="00D82690"/>
    <w:rsid w:val="00D82A52"/>
    <w:rsid w:val="00D82BB6"/>
    <w:rsid w:val="00D82BF4"/>
    <w:rsid w:val="00D82CB4"/>
    <w:rsid w:val="00D83212"/>
    <w:rsid w:val="00D8331E"/>
    <w:rsid w:val="00D83551"/>
    <w:rsid w:val="00D844E9"/>
    <w:rsid w:val="00D84BE6"/>
    <w:rsid w:val="00D84DD6"/>
    <w:rsid w:val="00D8528C"/>
    <w:rsid w:val="00D85470"/>
    <w:rsid w:val="00D85473"/>
    <w:rsid w:val="00D8564D"/>
    <w:rsid w:val="00D8612D"/>
    <w:rsid w:val="00D86477"/>
    <w:rsid w:val="00D877E6"/>
    <w:rsid w:val="00D87F67"/>
    <w:rsid w:val="00D90A75"/>
    <w:rsid w:val="00D9214B"/>
    <w:rsid w:val="00D926FC"/>
    <w:rsid w:val="00D93A56"/>
    <w:rsid w:val="00D9422C"/>
    <w:rsid w:val="00D94FB6"/>
    <w:rsid w:val="00D95602"/>
    <w:rsid w:val="00D956E1"/>
    <w:rsid w:val="00D9577F"/>
    <w:rsid w:val="00D967AE"/>
    <w:rsid w:val="00D9699B"/>
    <w:rsid w:val="00D969AC"/>
    <w:rsid w:val="00D97604"/>
    <w:rsid w:val="00D97777"/>
    <w:rsid w:val="00DA0193"/>
    <w:rsid w:val="00DA0E7E"/>
    <w:rsid w:val="00DA1FEE"/>
    <w:rsid w:val="00DA2656"/>
    <w:rsid w:val="00DA3661"/>
    <w:rsid w:val="00DA444D"/>
    <w:rsid w:val="00DA50DB"/>
    <w:rsid w:val="00DA5C17"/>
    <w:rsid w:val="00DA5D7F"/>
    <w:rsid w:val="00DA609D"/>
    <w:rsid w:val="00DA6512"/>
    <w:rsid w:val="00DA68AE"/>
    <w:rsid w:val="00DA6CCC"/>
    <w:rsid w:val="00DA78B5"/>
    <w:rsid w:val="00DA7CD5"/>
    <w:rsid w:val="00DB17F0"/>
    <w:rsid w:val="00DB1CF7"/>
    <w:rsid w:val="00DB272A"/>
    <w:rsid w:val="00DB33B3"/>
    <w:rsid w:val="00DB3A00"/>
    <w:rsid w:val="00DB3B12"/>
    <w:rsid w:val="00DB3D0A"/>
    <w:rsid w:val="00DB3DD4"/>
    <w:rsid w:val="00DB4456"/>
    <w:rsid w:val="00DB53C1"/>
    <w:rsid w:val="00DB57E6"/>
    <w:rsid w:val="00DB5805"/>
    <w:rsid w:val="00DB5915"/>
    <w:rsid w:val="00DB59E7"/>
    <w:rsid w:val="00DB5A57"/>
    <w:rsid w:val="00DB5B3D"/>
    <w:rsid w:val="00DB5C92"/>
    <w:rsid w:val="00DB5FD1"/>
    <w:rsid w:val="00DB6349"/>
    <w:rsid w:val="00DB6C38"/>
    <w:rsid w:val="00DB7348"/>
    <w:rsid w:val="00DB7463"/>
    <w:rsid w:val="00DB74C5"/>
    <w:rsid w:val="00DB76D4"/>
    <w:rsid w:val="00DB7CD4"/>
    <w:rsid w:val="00DB7DD8"/>
    <w:rsid w:val="00DC1007"/>
    <w:rsid w:val="00DC10C5"/>
    <w:rsid w:val="00DC11CB"/>
    <w:rsid w:val="00DC212A"/>
    <w:rsid w:val="00DC2148"/>
    <w:rsid w:val="00DC245F"/>
    <w:rsid w:val="00DC2FFD"/>
    <w:rsid w:val="00DC33BC"/>
    <w:rsid w:val="00DC3B6A"/>
    <w:rsid w:val="00DC4246"/>
    <w:rsid w:val="00DC4D19"/>
    <w:rsid w:val="00DC4D6B"/>
    <w:rsid w:val="00DC5976"/>
    <w:rsid w:val="00DC70F2"/>
    <w:rsid w:val="00DC77FC"/>
    <w:rsid w:val="00DD014C"/>
    <w:rsid w:val="00DD05EF"/>
    <w:rsid w:val="00DD0956"/>
    <w:rsid w:val="00DD0BBF"/>
    <w:rsid w:val="00DD0D87"/>
    <w:rsid w:val="00DD0FD0"/>
    <w:rsid w:val="00DD11E9"/>
    <w:rsid w:val="00DD3E3E"/>
    <w:rsid w:val="00DD3E57"/>
    <w:rsid w:val="00DD480E"/>
    <w:rsid w:val="00DD57B2"/>
    <w:rsid w:val="00DD5A85"/>
    <w:rsid w:val="00DD5C52"/>
    <w:rsid w:val="00DD5D2E"/>
    <w:rsid w:val="00DD6219"/>
    <w:rsid w:val="00DD658E"/>
    <w:rsid w:val="00DD7AF4"/>
    <w:rsid w:val="00DD7E99"/>
    <w:rsid w:val="00DE00CD"/>
    <w:rsid w:val="00DE149B"/>
    <w:rsid w:val="00DE1E96"/>
    <w:rsid w:val="00DE26A0"/>
    <w:rsid w:val="00DE26F8"/>
    <w:rsid w:val="00DE2CC0"/>
    <w:rsid w:val="00DE3DED"/>
    <w:rsid w:val="00DE4286"/>
    <w:rsid w:val="00DE535E"/>
    <w:rsid w:val="00DE5992"/>
    <w:rsid w:val="00DE6CB1"/>
    <w:rsid w:val="00DE6E9F"/>
    <w:rsid w:val="00DE74A7"/>
    <w:rsid w:val="00DF00CF"/>
    <w:rsid w:val="00DF08D5"/>
    <w:rsid w:val="00DF0D06"/>
    <w:rsid w:val="00DF0D22"/>
    <w:rsid w:val="00DF0EF5"/>
    <w:rsid w:val="00DF115F"/>
    <w:rsid w:val="00DF15E3"/>
    <w:rsid w:val="00DF2D1A"/>
    <w:rsid w:val="00DF2DC5"/>
    <w:rsid w:val="00DF2F8E"/>
    <w:rsid w:val="00DF3122"/>
    <w:rsid w:val="00DF332D"/>
    <w:rsid w:val="00DF334B"/>
    <w:rsid w:val="00DF42CC"/>
    <w:rsid w:val="00DF46BB"/>
    <w:rsid w:val="00DF482A"/>
    <w:rsid w:val="00DF5598"/>
    <w:rsid w:val="00DF56DE"/>
    <w:rsid w:val="00DF63A6"/>
    <w:rsid w:val="00DF6EBF"/>
    <w:rsid w:val="00DF70F8"/>
    <w:rsid w:val="00DF7119"/>
    <w:rsid w:val="00DF761B"/>
    <w:rsid w:val="00DF7678"/>
    <w:rsid w:val="00DF7E80"/>
    <w:rsid w:val="00DF7EA6"/>
    <w:rsid w:val="00E016A9"/>
    <w:rsid w:val="00E01E59"/>
    <w:rsid w:val="00E020CB"/>
    <w:rsid w:val="00E023CC"/>
    <w:rsid w:val="00E02931"/>
    <w:rsid w:val="00E0371B"/>
    <w:rsid w:val="00E03D9E"/>
    <w:rsid w:val="00E03E4B"/>
    <w:rsid w:val="00E04058"/>
    <w:rsid w:val="00E04585"/>
    <w:rsid w:val="00E0469A"/>
    <w:rsid w:val="00E047EA"/>
    <w:rsid w:val="00E048A9"/>
    <w:rsid w:val="00E04B63"/>
    <w:rsid w:val="00E0514E"/>
    <w:rsid w:val="00E058E8"/>
    <w:rsid w:val="00E05D07"/>
    <w:rsid w:val="00E05E7B"/>
    <w:rsid w:val="00E05F43"/>
    <w:rsid w:val="00E06C7C"/>
    <w:rsid w:val="00E06DBF"/>
    <w:rsid w:val="00E0751B"/>
    <w:rsid w:val="00E07830"/>
    <w:rsid w:val="00E10242"/>
    <w:rsid w:val="00E11B6C"/>
    <w:rsid w:val="00E11BDA"/>
    <w:rsid w:val="00E137DF"/>
    <w:rsid w:val="00E13955"/>
    <w:rsid w:val="00E13D72"/>
    <w:rsid w:val="00E153F3"/>
    <w:rsid w:val="00E15543"/>
    <w:rsid w:val="00E158CA"/>
    <w:rsid w:val="00E15DE2"/>
    <w:rsid w:val="00E15DFD"/>
    <w:rsid w:val="00E16423"/>
    <w:rsid w:val="00E2012A"/>
    <w:rsid w:val="00E214FB"/>
    <w:rsid w:val="00E218B3"/>
    <w:rsid w:val="00E21979"/>
    <w:rsid w:val="00E222D3"/>
    <w:rsid w:val="00E224E8"/>
    <w:rsid w:val="00E23F00"/>
    <w:rsid w:val="00E240DA"/>
    <w:rsid w:val="00E243AB"/>
    <w:rsid w:val="00E24964"/>
    <w:rsid w:val="00E257A5"/>
    <w:rsid w:val="00E267F5"/>
    <w:rsid w:val="00E26F0B"/>
    <w:rsid w:val="00E27023"/>
    <w:rsid w:val="00E30E2F"/>
    <w:rsid w:val="00E30EB7"/>
    <w:rsid w:val="00E317E3"/>
    <w:rsid w:val="00E318F7"/>
    <w:rsid w:val="00E319B4"/>
    <w:rsid w:val="00E32286"/>
    <w:rsid w:val="00E32B3A"/>
    <w:rsid w:val="00E35593"/>
    <w:rsid w:val="00E356E9"/>
    <w:rsid w:val="00E361BB"/>
    <w:rsid w:val="00E36E14"/>
    <w:rsid w:val="00E37928"/>
    <w:rsid w:val="00E37A16"/>
    <w:rsid w:val="00E37FA6"/>
    <w:rsid w:val="00E410BE"/>
    <w:rsid w:val="00E41570"/>
    <w:rsid w:val="00E41D35"/>
    <w:rsid w:val="00E4251E"/>
    <w:rsid w:val="00E432AE"/>
    <w:rsid w:val="00E435AF"/>
    <w:rsid w:val="00E450E7"/>
    <w:rsid w:val="00E45F99"/>
    <w:rsid w:val="00E46147"/>
    <w:rsid w:val="00E462E7"/>
    <w:rsid w:val="00E4653E"/>
    <w:rsid w:val="00E46D54"/>
    <w:rsid w:val="00E47DDC"/>
    <w:rsid w:val="00E50767"/>
    <w:rsid w:val="00E50CA7"/>
    <w:rsid w:val="00E517C7"/>
    <w:rsid w:val="00E5265B"/>
    <w:rsid w:val="00E52B17"/>
    <w:rsid w:val="00E52C40"/>
    <w:rsid w:val="00E533CC"/>
    <w:rsid w:val="00E550A5"/>
    <w:rsid w:val="00E55664"/>
    <w:rsid w:val="00E55CCB"/>
    <w:rsid w:val="00E568A8"/>
    <w:rsid w:val="00E569AD"/>
    <w:rsid w:val="00E56B63"/>
    <w:rsid w:val="00E56DEA"/>
    <w:rsid w:val="00E574BC"/>
    <w:rsid w:val="00E57F16"/>
    <w:rsid w:val="00E60112"/>
    <w:rsid w:val="00E61057"/>
    <w:rsid w:val="00E61D22"/>
    <w:rsid w:val="00E625B7"/>
    <w:rsid w:val="00E63368"/>
    <w:rsid w:val="00E63AED"/>
    <w:rsid w:val="00E64AA3"/>
    <w:rsid w:val="00E64DF6"/>
    <w:rsid w:val="00E650D1"/>
    <w:rsid w:val="00E65D95"/>
    <w:rsid w:val="00E65E17"/>
    <w:rsid w:val="00E66105"/>
    <w:rsid w:val="00E669BF"/>
    <w:rsid w:val="00E671C7"/>
    <w:rsid w:val="00E678E8"/>
    <w:rsid w:val="00E67B3E"/>
    <w:rsid w:val="00E67FAF"/>
    <w:rsid w:val="00E71125"/>
    <w:rsid w:val="00E71254"/>
    <w:rsid w:val="00E726B9"/>
    <w:rsid w:val="00E72706"/>
    <w:rsid w:val="00E73678"/>
    <w:rsid w:val="00E737E3"/>
    <w:rsid w:val="00E74256"/>
    <w:rsid w:val="00E744BE"/>
    <w:rsid w:val="00E74A29"/>
    <w:rsid w:val="00E74C0D"/>
    <w:rsid w:val="00E74EFB"/>
    <w:rsid w:val="00E74FC9"/>
    <w:rsid w:val="00E757BE"/>
    <w:rsid w:val="00E75BB4"/>
    <w:rsid w:val="00E76357"/>
    <w:rsid w:val="00E772CA"/>
    <w:rsid w:val="00E805C8"/>
    <w:rsid w:val="00E80B5D"/>
    <w:rsid w:val="00E81802"/>
    <w:rsid w:val="00E822E4"/>
    <w:rsid w:val="00E83843"/>
    <w:rsid w:val="00E86063"/>
    <w:rsid w:val="00E87463"/>
    <w:rsid w:val="00E875FA"/>
    <w:rsid w:val="00E90055"/>
    <w:rsid w:val="00E90498"/>
    <w:rsid w:val="00E908A6"/>
    <w:rsid w:val="00E909CB"/>
    <w:rsid w:val="00E90FB7"/>
    <w:rsid w:val="00E91EA0"/>
    <w:rsid w:val="00E92293"/>
    <w:rsid w:val="00E9251F"/>
    <w:rsid w:val="00E9324C"/>
    <w:rsid w:val="00E93475"/>
    <w:rsid w:val="00E93522"/>
    <w:rsid w:val="00E94A3B"/>
    <w:rsid w:val="00E94B48"/>
    <w:rsid w:val="00E952F8"/>
    <w:rsid w:val="00E95C32"/>
    <w:rsid w:val="00E95C99"/>
    <w:rsid w:val="00E9661B"/>
    <w:rsid w:val="00E96646"/>
    <w:rsid w:val="00E96663"/>
    <w:rsid w:val="00E97276"/>
    <w:rsid w:val="00E972A9"/>
    <w:rsid w:val="00E97AB0"/>
    <w:rsid w:val="00EA01D6"/>
    <w:rsid w:val="00EA0212"/>
    <w:rsid w:val="00EA0C36"/>
    <w:rsid w:val="00EA0C60"/>
    <w:rsid w:val="00EA1996"/>
    <w:rsid w:val="00EA2031"/>
    <w:rsid w:val="00EA28CB"/>
    <w:rsid w:val="00EA3637"/>
    <w:rsid w:val="00EA3A06"/>
    <w:rsid w:val="00EA3EA4"/>
    <w:rsid w:val="00EA4128"/>
    <w:rsid w:val="00EA467C"/>
    <w:rsid w:val="00EA492C"/>
    <w:rsid w:val="00EA4C49"/>
    <w:rsid w:val="00EA5BB9"/>
    <w:rsid w:val="00EA6BD5"/>
    <w:rsid w:val="00EA6F9D"/>
    <w:rsid w:val="00EB09F7"/>
    <w:rsid w:val="00EB252F"/>
    <w:rsid w:val="00EB30D9"/>
    <w:rsid w:val="00EB31F3"/>
    <w:rsid w:val="00EB3BEB"/>
    <w:rsid w:val="00EB41D5"/>
    <w:rsid w:val="00EB4631"/>
    <w:rsid w:val="00EB4D3D"/>
    <w:rsid w:val="00EB54A1"/>
    <w:rsid w:val="00EB6C80"/>
    <w:rsid w:val="00EB7312"/>
    <w:rsid w:val="00EB7A94"/>
    <w:rsid w:val="00EB7BAA"/>
    <w:rsid w:val="00EC0852"/>
    <w:rsid w:val="00EC1041"/>
    <w:rsid w:val="00EC1256"/>
    <w:rsid w:val="00EC1483"/>
    <w:rsid w:val="00EC1F6D"/>
    <w:rsid w:val="00EC2680"/>
    <w:rsid w:val="00EC2E18"/>
    <w:rsid w:val="00EC33DE"/>
    <w:rsid w:val="00EC3916"/>
    <w:rsid w:val="00EC5551"/>
    <w:rsid w:val="00EC5893"/>
    <w:rsid w:val="00EC5E68"/>
    <w:rsid w:val="00EC6652"/>
    <w:rsid w:val="00EC77C5"/>
    <w:rsid w:val="00EC790F"/>
    <w:rsid w:val="00ED0577"/>
    <w:rsid w:val="00ED1A32"/>
    <w:rsid w:val="00ED36E4"/>
    <w:rsid w:val="00ED4583"/>
    <w:rsid w:val="00ED4EED"/>
    <w:rsid w:val="00ED53E5"/>
    <w:rsid w:val="00ED563B"/>
    <w:rsid w:val="00ED57A0"/>
    <w:rsid w:val="00ED5A1D"/>
    <w:rsid w:val="00ED5D30"/>
    <w:rsid w:val="00ED5E07"/>
    <w:rsid w:val="00ED6D77"/>
    <w:rsid w:val="00ED6E63"/>
    <w:rsid w:val="00ED7776"/>
    <w:rsid w:val="00ED7D33"/>
    <w:rsid w:val="00EE02A4"/>
    <w:rsid w:val="00EE0BC3"/>
    <w:rsid w:val="00EE0DC3"/>
    <w:rsid w:val="00EE12A1"/>
    <w:rsid w:val="00EE15C9"/>
    <w:rsid w:val="00EE2F1B"/>
    <w:rsid w:val="00EE31DE"/>
    <w:rsid w:val="00EE39F3"/>
    <w:rsid w:val="00EE3C60"/>
    <w:rsid w:val="00EE58D3"/>
    <w:rsid w:val="00EE5E58"/>
    <w:rsid w:val="00EE665C"/>
    <w:rsid w:val="00EE666D"/>
    <w:rsid w:val="00EE66C8"/>
    <w:rsid w:val="00EE694B"/>
    <w:rsid w:val="00EE6E56"/>
    <w:rsid w:val="00EE76B5"/>
    <w:rsid w:val="00EE7B1B"/>
    <w:rsid w:val="00EE7EC4"/>
    <w:rsid w:val="00EE7F3E"/>
    <w:rsid w:val="00EF0E8C"/>
    <w:rsid w:val="00EF11D0"/>
    <w:rsid w:val="00EF132F"/>
    <w:rsid w:val="00EF14A2"/>
    <w:rsid w:val="00EF1783"/>
    <w:rsid w:val="00EF19E5"/>
    <w:rsid w:val="00EF21CD"/>
    <w:rsid w:val="00EF2360"/>
    <w:rsid w:val="00EF2DC0"/>
    <w:rsid w:val="00EF2E3C"/>
    <w:rsid w:val="00EF2EBE"/>
    <w:rsid w:val="00EF36D8"/>
    <w:rsid w:val="00EF3988"/>
    <w:rsid w:val="00EF3BC3"/>
    <w:rsid w:val="00EF3EDC"/>
    <w:rsid w:val="00EF3FB3"/>
    <w:rsid w:val="00EF4BE1"/>
    <w:rsid w:val="00EF4E53"/>
    <w:rsid w:val="00EF5950"/>
    <w:rsid w:val="00EF6609"/>
    <w:rsid w:val="00EF6995"/>
    <w:rsid w:val="00EF710F"/>
    <w:rsid w:val="00F00112"/>
    <w:rsid w:val="00F00C4D"/>
    <w:rsid w:val="00F017C2"/>
    <w:rsid w:val="00F0198F"/>
    <w:rsid w:val="00F0214E"/>
    <w:rsid w:val="00F0272C"/>
    <w:rsid w:val="00F02944"/>
    <w:rsid w:val="00F033D7"/>
    <w:rsid w:val="00F035B3"/>
    <w:rsid w:val="00F03A84"/>
    <w:rsid w:val="00F03B1C"/>
    <w:rsid w:val="00F045FF"/>
    <w:rsid w:val="00F0543F"/>
    <w:rsid w:val="00F0671C"/>
    <w:rsid w:val="00F067E6"/>
    <w:rsid w:val="00F06E3E"/>
    <w:rsid w:val="00F06F5C"/>
    <w:rsid w:val="00F06F8F"/>
    <w:rsid w:val="00F07E78"/>
    <w:rsid w:val="00F1021F"/>
    <w:rsid w:val="00F110EA"/>
    <w:rsid w:val="00F1195C"/>
    <w:rsid w:val="00F11A45"/>
    <w:rsid w:val="00F11AFB"/>
    <w:rsid w:val="00F125AC"/>
    <w:rsid w:val="00F12CD9"/>
    <w:rsid w:val="00F1304D"/>
    <w:rsid w:val="00F1391E"/>
    <w:rsid w:val="00F13957"/>
    <w:rsid w:val="00F14008"/>
    <w:rsid w:val="00F14440"/>
    <w:rsid w:val="00F14AE0"/>
    <w:rsid w:val="00F14CB3"/>
    <w:rsid w:val="00F14E20"/>
    <w:rsid w:val="00F14F32"/>
    <w:rsid w:val="00F15117"/>
    <w:rsid w:val="00F1552A"/>
    <w:rsid w:val="00F15976"/>
    <w:rsid w:val="00F15E54"/>
    <w:rsid w:val="00F15E6D"/>
    <w:rsid w:val="00F15F4E"/>
    <w:rsid w:val="00F163B6"/>
    <w:rsid w:val="00F16AD9"/>
    <w:rsid w:val="00F16B8C"/>
    <w:rsid w:val="00F17D11"/>
    <w:rsid w:val="00F21A91"/>
    <w:rsid w:val="00F2233B"/>
    <w:rsid w:val="00F22D6A"/>
    <w:rsid w:val="00F230E6"/>
    <w:rsid w:val="00F24960"/>
    <w:rsid w:val="00F25579"/>
    <w:rsid w:val="00F2560E"/>
    <w:rsid w:val="00F26354"/>
    <w:rsid w:val="00F264EF"/>
    <w:rsid w:val="00F2668A"/>
    <w:rsid w:val="00F269D0"/>
    <w:rsid w:val="00F27425"/>
    <w:rsid w:val="00F27B7D"/>
    <w:rsid w:val="00F27C67"/>
    <w:rsid w:val="00F30308"/>
    <w:rsid w:val="00F30CBE"/>
    <w:rsid w:val="00F33214"/>
    <w:rsid w:val="00F347CD"/>
    <w:rsid w:val="00F35955"/>
    <w:rsid w:val="00F36B19"/>
    <w:rsid w:val="00F36C38"/>
    <w:rsid w:val="00F36F04"/>
    <w:rsid w:val="00F3745D"/>
    <w:rsid w:val="00F37586"/>
    <w:rsid w:val="00F37BCE"/>
    <w:rsid w:val="00F40650"/>
    <w:rsid w:val="00F41568"/>
    <w:rsid w:val="00F41BDB"/>
    <w:rsid w:val="00F41FAB"/>
    <w:rsid w:val="00F420A6"/>
    <w:rsid w:val="00F42278"/>
    <w:rsid w:val="00F439C4"/>
    <w:rsid w:val="00F43AD4"/>
    <w:rsid w:val="00F43BD7"/>
    <w:rsid w:val="00F44BB6"/>
    <w:rsid w:val="00F46831"/>
    <w:rsid w:val="00F46B44"/>
    <w:rsid w:val="00F46B77"/>
    <w:rsid w:val="00F46E47"/>
    <w:rsid w:val="00F47222"/>
    <w:rsid w:val="00F4763B"/>
    <w:rsid w:val="00F50528"/>
    <w:rsid w:val="00F50636"/>
    <w:rsid w:val="00F50E44"/>
    <w:rsid w:val="00F51004"/>
    <w:rsid w:val="00F5183D"/>
    <w:rsid w:val="00F52A1E"/>
    <w:rsid w:val="00F52D79"/>
    <w:rsid w:val="00F5390C"/>
    <w:rsid w:val="00F53B4B"/>
    <w:rsid w:val="00F53B5D"/>
    <w:rsid w:val="00F54590"/>
    <w:rsid w:val="00F54773"/>
    <w:rsid w:val="00F549A8"/>
    <w:rsid w:val="00F54D45"/>
    <w:rsid w:val="00F54F5F"/>
    <w:rsid w:val="00F562FB"/>
    <w:rsid w:val="00F572CC"/>
    <w:rsid w:val="00F57E23"/>
    <w:rsid w:val="00F60C41"/>
    <w:rsid w:val="00F614CD"/>
    <w:rsid w:val="00F617D8"/>
    <w:rsid w:val="00F62362"/>
    <w:rsid w:val="00F629AB"/>
    <w:rsid w:val="00F638D8"/>
    <w:rsid w:val="00F63AE1"/>
    <w:rsid w:val="00F63B6D"/>
    <w:rsid w:val="00F63E58"/>
    <w:rsid w:val="00F64DEA"/>
    <w:rsid w:val="00F65577"/>
    <w:rsid w:val="00F66115"/>
    <w:rsid w:val="00F66614"/>
    <w:rsid w:val="00F66A06"/>
    <w:rsid w:val="00F67E7A"/>
    <w:rsid w:val="00F705C8"/>
    <w:rsid w:val="00F71A57"/>
    <w:rsid w:val="00F72087"/>
    <w:rsid w:val="00F72BE8"/>
    <w:rsid w:val="00F72E71"/>
    <w:rsid w:val="00F74902"/>
    <w:rsid w:val="00F7550C"/>
    <w:rsid w:val="00F75FE1"/>
    <w:rsid w:val="00F76107"/>
    <w:rsid w:val="00F7639B"/>
    <w:rsid w:val="00F7669B"/>
    <w:rsid w:val="00F76827"/>
    <w:rsid w:val="00F7698C"/>
    <w:rsid w:val="00F76BF6"/>
    <w:rsid w:val="00F76CCC"/>
    <w:rsid w:val="00F77079"/>
    <w:rsid w:val="00F77F6B"/>
    <w:rsid w:val="00F802E2"/>
    <w:rsid w:val="00F803BB"/>
    <w:rsid w:val="00F80E00"/>
    <w:rsid w:val="00F80FBB"/>
    <w:rsid w:val="00F810DE"/>
    <w:rsid w:val="00F81FBB"/>
    <w:rsid w:val="00F8299E"/>
    <w:rsid w:val="00F8339D"/>
    <w:rsid w:val="00F83B67"/>
    <w:rsid w:val="00F846D4"/>
    <w:rsid w:val="00F85881"/>
    <w:rsid w:val="00F85C20"/>
    <w:rsid w:val="00F862C4"/>
    <w:rsid w:val="00F864FD"/>
    <w:rsid w:val="00F86F78"/>
    <w:rsid w:val="00F8748E"/>
    <w:rsid w:val="00F876EF"/>
    <w:rsid w:val="00F87BA7"/>
    <w:rsid w:val="00F87C4F"/>
    <w:rsid w:val="00F90A6C"/>
    <w:rsid w:val="00F90ABB"/>
    <w:rsid w:val="00F90DA3"/>
    <w:rsid w:val="00F91773"/>
    <w:rsid w:val="00F93023"/>
    <w:rsid w:val="00F9367F"/>
    <w:rsid w:val="00F940C8"/>
    <w:rsid w:val="00F94100"/>
    <w:rsid w:val="00F945BB"/>
    <w:rsid w:val="00F952E6"/>
    <w:rsid w:val="00F95784"/>
    <w:rsid w:val="00F962B8"/>
    <w:rsid w:val="00F965EC"/>
    <w:rsid w:val="00F96993"/>
    <w:rsid w:val="00F97017"/>
    <w:rsid w:val="00F971BC"/>
    <w:rsid w:val="00F97647"/>
    <w:rsid w:val="00FA0750"/>
    <w:rsid w:val="00FA09DC"/>
    <w:rsid w:val="00FA0C5B"/>
    <w:rsid w:val="00FA1ECC"/>
    <w:rsid w:val="00FA2323"/>
    <w:rsid w:val="00FA27E5"/>
    <w:rsid w:val="00FA2EB2"/>
    <w:rsid w:val="00FA2F5D"/>
    <w:rsid w:val="00FA343B"/>
    <w:rsid w:val="00FA3C58"/>
    <w:rsid w:val="00FA464C"/>
    <w:rsid w:val="00FA46A9"/>
    <w:rsid w:val="00FA4E72"/>
    <w:rsid w:val="00FA5C0A"/>
    <w:rsid w:val="00FA5CBB"/>
    <w:rsid w:val="00FA5D40"/>
    <w:rsid w:val="00FA6E2E"/>
    <w:rsid w:val="00FA7C90"/>
    <w:rsid w:val="00FB0470"/>
    <w:rsid w:val="00FB09B9"/>
    <w:rsid w:val="00FB0DAD"/>
    <w:rsid w:val="00FB2C61"/>
    <w:rsid w:val="00FB31B5"/>
    <w:rsid w:val="00FB3212"/>
    <w:rsid w:val="00FB384F"/>
    <w:rsid w:val="00FB3CCB"/>
    <w:rsid w:val="00FB3DF1"/>
    <w:rsid w:val="00FB4249"/>
    <w:rsid w:val="00FB4719"/>
    <w:rsid w:val="00FB4757"/>
    <w:rsid w:val="00FB49B0"/>
    <w:rsid w:val="00FB6789"/>
    <w:rsid w:val="00FB6E87"/>
    <w:rsid w:val="00FB71C3"/>
    <w:rsid w:val="00FB7259"/>
    <w:rsid w:val="00FB7308"/>
    <w:rsid w:val="00FB7804"/>
    <w:rsid w:val="00FB7A31"/>
    <w:rsid w:val="00FB7B25"/>
    <w:rsid w:val="00FB7EED"/>
    <w:rsid w:val="00FC0FEA"/>
    <w:rsid w:val="00FC1154"/>
    <w:rsid w:val="00FC1A59"/>
    <w:rsid w:val="00FC3454"/>
    <w:rsid w:val="00FC3BEA"/>
    <w:rsid w:val="00FC6011"/>
    <w:rsid w:val="00FC638F"/>
    <w:rsid w:val="00FC75D7"/>
    <w:rsid w:val="00FD0D8B"/>
    <w:rsid w:val="00FD1285"/>
    <w:rsid w:val="00FD12D9"/>
    <w:rsid w:val="00FD1442"/>
    <w:rsid w:val="00FD2582"/>
    <w:rsid w:val="00FD26E5"/>
    <w:rsid w:val="00FD285A"/>
    <w:rsid w:val="00FD35F2"/>
    <w:rsid w:val="00FD4B40"/>
    <w:rsid w:val="00FD504D"/>
    <w:rsid w:val="00FD6653"/>
    <w:rsid w:val="00FD6B6B"/>
    <w:rsid w:val="00FD71F8"/>
    <w:rsid w:val="00FD782C"/>
    <w:rsid w:val="00FE13BD"/>
    <w:rsid w:val="00FE14DF"/>
    <w:rsid w:val="00FE17D4"/>
    <w:rsid w:val="00FE297C"/>
    <w:rsid w:val="00FE3B2D"/>
    <w:rsid w:val="00FE4E5D"/>
    <w:rsid w:val="00FE4E74"/>
    <w:rsid w:val="00FE537D"/>
    <w:rsid w:val="00FE5482"/>
    <w:rsid w:val="00FE5664"/>
    <w:rsid w:val="00FE64E9"/>
    <w:rsid w:val="00FE6BAA"/>
    <w:rsid w:val="00FE710C"/>
    <w:rsid w:val="00FE7B29"/>
    <w:rsid w:val="00FF13F6"/>
    <w:rsid w:val="00FF1803"/>
    <w:rsid w:val="00FF2109"/>
    <w:rsid w:val="00FF23CA"/>
    <w:rsid w:val="00FF25A7"/>
    <w:rsid w:val="00FF2F16"/>
    <w:rsid w:val="00FF3CA0"/>
    <w:rsid w:val="00FF42F6"/>
    <w:rsid w:val="00FF47DB"/>
    <w:rsid w:val="00FF5CAC"/>
    <w:rsid w:val="00FF5D9E"/>
    <w:rsid w:val="00FF621F"/>
    <w:rsid w:val="00FF6831"/>
    <w:rsid w:val="00FF768C"/>
    <w:rsid w:val="00FF7CEE"/>
    <w:rsid w:val="015FABF1"/>
    <w:rsid w:val="019E4AF9"/>
    <w:rsid w:val="01B67D3C"/>
    <w:rsid w:val="01C1A90F"/>
    <w:rsid w:val="01DB99B4"/>
    <w:rsid w:val="01F1445F"/>
    <w:rsid w:val="01F1EF37"/>
    <w:rsid w:val="01FF8694"/>
    <w:rsid w:val="020CC471"/>
    <w:rsid w:val="023FFB8D"/>
    <w:rsid w:val="0242CC22"/>
    <w:rsid w:val="02632AB8"/>
    <w:rsid w:val="027FC3CB"/>
    <w:rsid w:val="02879452"/>
    <w:rsid w:val="029BCD78"/>
    <w:rsid w:val="02B33310"/>
    <w:rsid w:val="02DE4D4E"/>
    <w:rsid w:val="02ED417F"/>
    <w:rsid w:val="030B0233"/>
    <w:rsid w:val="03305E7D"/>
    <w:rsid w:val="033F5B29"/>
    <w:rsid w:val="0346A6CD"/>
    <w:rsid w:val="034F705F"/>
    <w:rsid w:val="037C3C99"/>
    <w:rsid w:val="038C99A9"/>
    <w:rsid w:val="0398E695"/>
    <w:rsid w:val="03C25955"/>
    <w:rsid w:val="03CE66DF"/>
    <w:rsid w:val="03FEFB19"/>
    <w:rsid w:val="04729FC7"/>
    <w:rsid w:val="04AAB545"/>
    <w:rsid w:val="04B2D056"/>
    <w:rsid w:val="04B54AE4"/>
    <w:rsid w:val="04B5D0DD"/>
    <w:rsid w:val="04C2DDCC"/>
    <w:rsid w:val="04C9C31C"/>
    <w:rsid w:val="04D5A10A"/>
    <w:rsid w:val="04DECC10"/>
    <w:rsid w:val="04E5E140"/>
    <w:rsid w:val="04EF4CE2"/>
    <w:rsid w:val="0500FC93"/>
    <w:rsid w:val="05047A30"/>
    <w:rsid w:val="05203618"/>
    <w:rsid w:val="0527B26B"/>
    <w:rsid w:val="05346710"/>
    <w:rsid w:val="054845F8"/>
    <w:rsid w:val="05532FAE"/>
    <w:rsid w:val="056FF9A5"/>
    <w:rsid w:val="0596B588"/>
    <w:rsid w:val="05993B83"/>
    <w:rsid w:val="059ACB7A"/>
    <w:rsid w:val="05A38F6F"/>
    <w:rsid w:val="05CE2308"/>
    <w:rsid w:val="060C39B3"/>
    <w:rsid w:val="0621B968"/>
    <w:rsid w:val="0625D487"/>
    <w:rsid w:val="062CDAF0"/>
    <w:rsid w:val="066943B8"/>
    <w:rsid w:val="067C89A5"/>
    <w:rsid w:val="06A38F96"/>
    <w:rsid w:val="06A5D506"/>
    <w:rsid w:val="06C95797"/>
    <w:rsid w:val="06CBDAF7"/>
    <w:rsid w:val="072A733C"/>
    <w:rsid w:val="072D4836"/>
    <w:rsid w:val="07369BDB"/>
    <w:rsid w:val="07393684"/>
    <w:rsid w:val="07497F14"/>
    <w:rsid w:val="076E360D"/>
    <w:rsid w:val="0771C863"/>
    <w:rsid w:val="077C1C82"/>
    <w:rsid w:val="07C6515E"/>
    <w:rsid w:val="07FB5D16"/>
    <w:rsid w:val="0815B6E7"/>
    <w:rsid w:val="08197068"/>
    <w:rsid w:val="08601BC8"/>
    <w:rsid w:val="08AAEE57"/>
    <w:rsid w:val="08C72DCE"/>
    <w:rsid w:val="08DF5735"/>
    <w:rsid w:val="08EEF766"/>
    <w:rsid w:val="090176D8"/>
    <w:rsid w:val="090B8529"/>
    <w:rsid w:val="09472E44"/>
    <w:rsid w:val="09870D4A"/>
    <w:rsid w:val="09B8EA84"/>
    <w:rsid w:val="09CCBAF4"/>
    <w:rsid w:val="09DD9BB8"/>
    <w:rsid w:val="09E239F8"/>
    <w:rsid w:val="09EC58EB"/>
    <w:rsid w:val="09F27A0E"/>
    <w:rsid w:val="0A061758"/>
    <w:rsid w:val="0A55E7D8"/>
    <w:rsid w:val="0A8A51F1"/>
    <w:rsid w:val="0AC13052"/>
    <w:rsid w:val="0AF05E50"/>
    <w:rsid w:val="0B0EBF05"/>
    <w:rsid w:val="0B4BEE73"/>
    <w:rsid w:val="0B850897"/>
    <w:rsid w:val="0BA9CED1"/>
    <w:rsid w:val="0BEC4B3F"/>
    <w:rsid w:val="0BFF5DEC"/>
    <w:rsid w:val="0C44E00D"/>
    <w:rsid w:val="0C65EBA5"/>
    <w:rsid w:val="0C8C98F1"/>
    <w:rsid w:val="0C8FF4CE"/>
    <w:rsid w:val="0CB3C739"/>
    <w:rsid w:val="0D0041B8"/>
    <w:rsid w:val="0D1F70BE"/>
    <w:rsid w:val="0D1F7BF4"/>
    <w:rsid w:val="0D664F22"/>
    <w:rsid w:val="0D71749F"/>
    <w:rsid w:val="0D88327A"/>
    <w:rsid w:val="0D89555F"/>
    <w:rsid w:val="0D8EBF6E"/>
    <w:rsid w:val="0D99CD87"/>
    <w:rsid w:val="0DDC3B3B"/>
    <w:rsid w:val="0DDEF64C"/>
    <w:rsid w:val="0E237AA2"/>
    <w:rsid w:val="0E34B8D3"/>
    <w:rsid w:val="0E354BD2"/>
    <w:rsid w:val="0E79BF1A"/>
    <w:rsid w:val="0E7E2537"/>
    <w:rsid w:val="0E881E14"/>
    <w:rsid w:val="0EAB3484"/>
    <w:rsid w:val="0ED74133"/>
    <w:rsid w:val="0EDCE2E7"/>
    <w:rsid w:val="0EE94BB7"/>
    <w:rsid w:val="0EEBE922"/>
    <w:rsid w:val="0EF21203"/>
    <w:rsid w:val="0F046E2B"/>
    <w:rsid w:val="0F0713EB"/>
    <w:rsid w:val="0F0AD2D1"/>
    <w:rsid w:val="0F10C3B9"/>
    <w:rsid w:val="0F495A78"/>
    <w:rsid w:val="0F4F8C03"/>
    <w:rsid w:val="0F61BD28"/>
    <w:rsid w:val="0F69D1D9"/>
    <w:rsid w:val="0F9FD894"/>
    <w:rsid w:val="0FBFFFFA"/>
    <w:rsid w:val="0FE0B65D"/>
    <w:rsid w:val="0FE6D9EE"/>
    <w:rsid w:val="0FED1D4F"/>
    <w:rsid w:val="0FF81DD9"/>
    <w:rsid w:val="10473892"/>
    <w:rsid w:val="1057285B"/>
    <w:rsid w:val="105B9A6F"/>
    <w:rsid w:val="1066C453"/>
    <w:rsid w:val="10829DC7"/>
    <w:rsid w:val="10AFEA3F"/>
    <w:rsid w:val="10B845EC"/>
    <w:rsid w:val="10D7C208"/>
    <w:rsid w:val="110988B1"/>
    <w:rsid w:val="111BB704"/>
    <w:rsid w:val="119B0754"/>
    <w:rsid w:val="119E0ADF"/>
    <w:rsid w:val="11AF75A6"/>
    <w:rsid w:val="11BE74E3"/>
    <w:rsid w:val="11CF53C3"/>
    <w:rsid w:val="11D7CCD9"/>
    <w:rsid w:val="11F549A6"/>
    <w:rsid w:val="120490B4"/>
    <w:rsid w:val="123058CF"/>
    <w:rsid w:val="1245CFD3"/>
    <w:rsid w:val="1254164D"/>
    <w:rsid w:val="1272ABA2"/>
    <w:rsid w:val="127CD23D"/>
    <w:rsid w:val="12813C08"/>
    <w:rsid w:val="12A26C21"/>
    <w:rsid w:val="12CEE481"/>
    <w:rsid w:val="12E10DF0"/>
    <w:rsid w:val="12FB6F66"/>
    <w:rsid w:val="131B6DBB"/>
    <w:rsid w:val="1343BB97"/>
    <w:rsid w:val="1392F3E4"/>
    <w:rsid w:val="13FBCDB6"/>
    <w:rsid w:val="140B0FE8"/>
    <w:rsid w:val="14236140"/>
    <w:rsid w:val="142DD286"/>
    <w:rsid w:val="1474901A"/>
    <w:rsid w:val="1490BBAF"/>
    <w:rsid w:val="14CA2AFC"/>
    <w:rsid w:val="14E10F69"/>
    <w:rsid w:val="14EB434C"/>
    <w:rsid w:val="14EE5917"/>
    <w:rsid w:val="15023AC2"/>
    <w:rsid w:val="15095210"/>
    <w:rsid w:val="150A35AF"/>
    <w:rsid w:val="151A4E16"/>
    <w:rsid w:val="152539E3"/>
    <w:rsid w:val="152B4B3E"/>
    <w:rsid w:val="15404CFD"/>
    <w:rsid w:val="157D2262"/>
    <w:rsid w:val="16585029"/>
    <w:rsid w:val="166CD99A"/>
    <w:rsid w:val="1679D810"/>
    <w:rsid w:val="167DF7E9"/>
    <w:rsid w:val="16C64ABA"/>
    <w:rsid w:val="170BA402"/>
    <w:rsid w:val="17447AD0"/>
    <w:rsid w:val="179976B1"/>
    <w:rsid w:val="179D57CF"/>
    <w:rsid w:val="17AA6E04"/>
    <w:rsid w:val="17AB3805"/>
    <w:rsid w:val="17C85C71"/>
    <w:rsid w:val="17CD790A"/>
    <w:rsid w:val="17F9FDDE"/>
    <w:rsid w:val="17FDC6B0"/>
    <w:rsid w:val="18162E5C"/>
    <w:rsid w:val="183840E7"/>
    <w:rsid w:val="18427469"/>
    <w:rsid w:val="184DD1F3"/>
    <w:rsid w:val="18A77463"/>
    <w:rsid w:val="18B386E6"/>
    <w:rsid w:val="18C13C74"/>
    <w:rsid w:val="18DCF5E8"/>
    <w:rsid w:val="18F7C4A1"/>
    <w:rsid w:val="192C6833"/>
    <w:rsid w:val="192CBA6A"/>
    <w:rsid w:val="193950C0"/>
    <w:rsid w:val="193B1DAD"/>
    <w:rsid w:val="19581EC5"/>
    <w:rsid w:val="19776B7A"/>
    <w:rsid w:val="1A410832"/>
    <w:rsid w:val="1A480DEA"/>
    <w:rsid w:val="1A6BDB15"/>
    <w:rsid w:val="1A7A1BBB"/>
    <w:rsid w:val="1A9DBA2D"/>
    <w:rsid w:val="1AB35722"/>
    <w:rsid w:val="1AB9794E"/>
    <w:rsid w:val="1AC3DFC0"/>
    <w:rsid w:val="1AC75E14"/>
    <w:rsid w:val="1AE759EC"/>
    <w:rsid w:val="1AF33FB8"/>
    <w:rsid w:val="1AFFAB27"/>
    <w:rsid w:val="1B023B83"/>
    <w:rsid w:val="1B2535EA"/>
    <w:rsid w:val="1B65085D"/>
    <w:rsid w:val="1B789394"/>
    <w:rsid w:val="1B91CD04"/>
    <w:rsid w:val="1B9920E5"/>
    <w:rsid w:val="1BD6DCEB"/>
    <w:rsid w:val="1BDC030A"/>
    <w:rsid w:val="1BE35A67"/>
    <w:rsid w:val="1BE5E8EB"/>
    <w:rsid w:val="1C119476"/>
    <w:rsid w:val="1C37E05A"/>
    <w:rsid w:val="1C4F56BA"/>
    <w:rsid w:val="1C75E2E3"/>
    <w:rsid w:val="1CB5CEF7"/>
    <w:rsid w:val="1CBCDBAA"/>
    <w:rsid w:val="1CCBF71F"/>
    <w:rsid w:val="1CCDF94E"/>
    <w:rsid w:val="1CD0127E"/>
    <w:rsid w:val="1D39BB12"/>
    <w:rsid w:val="1D475C14"/>
    <w:rsid w:val="1D48AB46"/>
    <w:rsid w:val="1D508C37"/>
    <w:rsid w:val="1D5D3708"/>
    <w:rsid w:val="1D73C4BC"/>
    <w:rsid w:val="1DA540D1"/>
    <w:rsid w:val="1DAB8D00"/>
    <w:rsid w:val="1DE86E70"/>
    <w:rsid w:val="1E06B564"/>
    <w:rsid w:val="1E7ED691"/>
    <w:rsid w:val="1E85389E"/>
    <w:rsid w:val="1E9358FA"/>
    <w:rsid w:val="1E9872E6"/>
    <w:rsid w:val="1EA08DDB"/>
    <w:rsid w:val="1EA6B557"/>
    <w:rsid w:val="1EBE4DB4"/>
    <w:rsid w:val="1EFECB0A"/>
    <w:rsid w:val="1F661573"/>
    <w:rsid w:val="1FBEF0D8"/>
    <w:rsid w:val="1FCD84A1"/>
    <w:rsid w:val="1FD2B453"/>
    <w:rsid w:val="1FDFC802"/>
    <w:rsid w:val="2008B8FF"/>
    <w:rsid w:val="200AEB16"/>
    <w:rsid w:val="20273392"/>
    <w:rsid w:val="202F295B"/>
    <w:rsid w:val="204C04B7"/>
    <w:rsid w:val="207522D0"/>
    <w:rsid w:val="2098622F"/>
    <w:rsid w:val="209D2C9A"/>
    <w:rsid w:val="20B9E776"/>
    <w:rsid w:val="20D83CB0"/>
    <w:rsid w:val="20E1A53E"/>
    <w:rsid w:val="20F67C40"/>
    <w:rsid w:val="2117480A"/>
    <w:rsid w:val="211E2BAA"/>
    <w:rsid w:val="2134A85E"/>
    <w:rsid w:val="214B5C42"/>
    <w:rsid w:val="2154A210"/>
    <w:rsid w:val="215973FB"/>
    <w:rsid w:val="216575F0"/>
    <w:rsid w:val="217AF208"/>
    <w:rsid w:val="217B49BF"/>
    <w:rsid w:val="218AF1A8"/>
    <w:rsid w:val="2195A14C"/>
    <w:rsid w:val="219A9C30"/>
    <w:rsid w:val="219BB037"/>
    <w:rsid w:val="21A9044C"/>
    <w:rsid w:val="21B202CD"/>
    <w:rsid w:val="21B3C151"/>
    <w:rsid w:val="21D217CD"/>
    <w:rsid w:val="21D4A9A5"/>
    <w:rsid w:val="21DAE3F2"/>
    <w:rsid w:val="21E2BB73"/>
    <w:rsid w:val="21FBCCB5"/>
    <w:rsid w:val="22128685"/>
    <w:rsid w:val="221B7072"/>
    <w:rsid w:val="22BCC88A"/>
    <w:rsid w:val="22DFF23A"/>
    <w:rsid w:val="2323B28D"/>
    <w:rsid w:val="23371A4C"/>
    <w:rsid w:val="235FA57D"/>
    <w:rsid w:val="2383B68C"/>
    <w:rsid w:val="2392D8C7"/>
    <w:rsid w:val="23B25FEF"/>
    <w:rsid w:val="23C95B3F"/>
    <w:rsid w:val="24081DF6"/>
    <w:rsid w:val="2413585C"/>
    <w:rsid w:val="241D6303"/>
    <w:rsid w:val="242929AA"/>
    <w:rsid w:val="24340EB3"/>
    <w:rsid w:val="24882B77"/>
    <w:rsid w:val="2492752C"/>
    <w:rsid w:val="24D3A329"/>
    <w:rsid w:val="24D6C941"/>
    <w:rsid w:val="24E0A50E"/>
    <w:rsid w:val="24F62DE8"/>
    <w:rsid w:val="251CC4CC"/>
    <w:rsid w:val="252A64E1"/>
    <w:rsid w:val="252BAE32"/>
    <w:rsid w:val="252E84A9"/>
    <w:rsid w:val="25649407"/>
    <w:rsid w:val="257A01E4"/>
    <w:rsid w:val="25A1A09E"/>
    <w:rsid w:val="25A24101"/>
    <w:rsid w:val="25AB0E05"/>
    <w:rsid w:val="25FC4023"/>
    <w:rsid w:val="2614FCA8"/>
    <w:rsid w:val="262AF3D6"/>
    <w:rsid w:val="264B895D"/>
    <w:rsid w:val="266DEBD1"/>
    <w:rsid w:val="2684E38F"/>
    <w:rsid w:val="268F7498"/>
    <w:rsid w:val="26CCD813"/>
    <w:rsid w:val="26CDB54C"/>
    <w:rsid w:val="26EBCBA0"/>
    <w:rsid w:val="26ED375F"/>
    <w:rsid w:val="27006468"/>
    <w:rsid w:val="27235D49"/>
    <w:rsid w:val="27236B13"/>
    <w:rsid w:val="2753D617"/>
    <w:rsid w:val="276E28AD"/>
    <w:rsid w:val="27A59414"/>
    <w:rsid w:val="27ACF59E"/>
    <w:rsid w:val="27B2F89F"/>
    <w:rsid w:val="27BB9A53"/>
    <w:rsid w:val="27C54D46"/>
    <w:rsid w:val="28125BC7"/>
    <w:rsid w:val="281415D5"/>
    <w:rsid w:val="2820E7A2"/>
    <w:rsid w:val="282D4CD2"/>
    <w:rsid w:val="282ECF20"/>
    <w:rsid w:val="283C6D23"/>
    <w:rsid w:val="2845F07E"/>
    <w:rsid w:val="2847F3FC"/>
    <w:rsid w:val="2852FB41"/>
    <w:rsid w:val="286E2E73"/>
    <w:rsid w:val="286F8F0A"/>
    <w:rsid w:val="287A3DA9"/>
    <w:rsid w:val="288034B5"/>
    <w:rsid w:val="28A3ACEB"/>
    <w:rsid w:val="28C7A7AC"/>
    <w:rsid w:val="28CC3E09"/>
    <w:rsid w:val="28D11290"/>
    <w:rsid w:val="291DC2CF"/>
    <w:rsid w:val="296F01D6"/>
    <w:rsid w:val="29795722"/>
    <w:rsid w:val="29A1FF8B"/>
    <w:rsid w:val="29A35814"/>
    <w:rsid w:val="29FABE25"/>
    <w:rsid w:val="2A05024A"/>
    <w:rsid w:val="2A126753"/>
    <w:rsid w:val="2A1E5CBC"/>
    <w:rsid w:val="2A247E81"/>
    <w:rsid w:val="2A3B9E78"/>
    <w:rsid w:val="2A5B1449"/>
    <w:rsid w:val="2A6F4F28"/>
    <w:rsid w:val="2A740674"/>
    <w:rsid w:val="2AACF64B"/>
    <w:rsid w:val="2AB1C172"/>
    <w:rsid w:val="2AE69D55"/>
    <w:rsid w:val="2AE7ADE4"/>
    <w:rsid w:val="2AEFA3EE"/>
    <w:rsid w:val="2AF9D717"/>
    <w:rsid w:val="2B35BF7E"/>
    <w:rsid w:val="2B5841C3"/>
    <w:rsid w:val="2B82AD06"/>
    <w:rsid w:val="2B89D783"/>
    <w:rsid w:val="2B8C8F1C"/>
    <w:rsid w:val="2BA1C78F"/>
    <w:rsid w:val="2BB7E049"/>
    <w:rsid w:val="2BBF3144"/>
    <w:rsid w:val="2BC34E55"/>
    <w:rsid w:val="2BF0BB93"/>
    <w:rsid w:val="2C2A6CA4"/>
    <w:rsid w:val="2C3D7195"/>
    <w:rsid w:val="2C775B05"/>
    <w:rsid w:val="2C828B64"/>
    <w:rsid w:val="2C8B6C35"/>
    <w:rsid w:val="2C92FC28"/>
    <w:rsid w:val="2C960FF7"/>
    <w:rsid w:val="2CF1D530"/>
    <w:rsid w:val="2D27614E"/>
    <w:rsid w:val="2D56DC9D"/>
    <w:rsid w:val="2D6487F2"/>
    <w:rsid w:val="2D925797"/>
    <w:rsid w:val="2DA13DD3"/>
    <w:rsid w:val="2E0AA9D1"/>
    <w:rsid w:val="2E132B66"/>
    <w:rsid w:val="2E3990CD"/>
    <w:rsid w:val="2E569956"/>
    <w:rsid w:val="2EC95AD3"/>
    <w:rsid w:val="2F0A57F8"/>
    <w:rsid w:val="2F1047AB"/>
    <w:rsid w:val="2F4C3215"/>
    <w:rsid w:val="2F7C78C0"/>
    <w:rsid w:val="2F89599F"/>
    <w:rsid w:val="2F95D36A"/>
    <w:rsid w:val="2FA4A4B7"/>
    <w:rsid w:val="2FD0F564"/>
    <w:rsid w:val="2FD99877"/>
    <w:rsid w:val="2FE1C3B1"/>
    <w:rsid w:val="302235A3"/>
    <w:rsid w:val="3039AED6"/>
    <w:rsid w:val="3051D1F0"/>
    <w:rsid w:val="3059CF2F"/>
    <w:rsid w:val="3061E9B0"/>
    <w:rsid w:val="30628254"/>
    <w:rsid w:val="3093F3F2"/>
    <w:rsid w:val="30BF0324"/>
    <w:rsid w:val="30C4221E"/>
    <w:rsid w:val="30CA1226"/>
    <w:rsid w:val="30CDCD47"/>
    <w:rsid w:val="311BBD42"/>
    <w:rsid w:val="311F77F5"/>
    <w:rsid w:val="312146DB"/>
    <w:rsid w:val="31221608"/>
    <w:rsid w:val="312D5FBB"/>
    <w:rsid w:val="31666D15"/>
    <w:rsid w:val="3169E455"/>
    <w:rsid w:val="31989864"/>
    <w:rsid w:val="319B02D6"/>
    <w:rsid w:val="31A8A374"/>
    <w:rsid w:val="31C1FFC3"/>
    <w:rsid w:val="31E155C3"/>
    <w:rsid w:val="31E3202D"/>
    <w:rsid w:val="31EAE374"/>
    <w:rsid w:val="31F15846"/>
    <w:rsid w:val="32082CA6"/>
    <w:rsid w:val="3212B7FC"/>
    <w:rsid w:val="3223E803"/>
    <w:rsid w:val="3224A7B8"/>
    <w:rsid w:val="3286C6D7"/>
    <w:rsid w:val="3289084B"/>
    <w:rsid w:val="3295EEB1"/>
    <w:rsid w:val="32C6E975"/>
    <w:rsid w:val="32E69C89"/>
    <w:rsid w:val="32F69513"/>
    <w:rsid w:val="3300C034"/>
    <w:rsid w:val="33099E3A"/>
    <w:rsid w:val="330FB1C8"/>
    <w:rsid w:val="339B828F"/>
    <w:rsid w:val="33D163C9"/>
    <w:rsid w:val="33D1AE9F"/>
    <w:rsid w:val="33E760CD"/>
    <w:rsid w:val="33F5E3C3"/>
    <w:rsid w:val="340845C0"/>
    <w:rsid w:val="341AE652"/>
    <w:rsid w:val="34398E8F"/>
    <w:rsid w:val="343DB9DF"/>
    <w:rsid w:val="34417B53"/>
    <w:rsid w:val="347474EC"/>
    <w:rsid w:val="34764519"/>
    <w:rsid w:val="347D148E"/>
    <w:rsid w:val="3490BEF5"/>
    <w:rsid w:val="34926574"/>
    <w:rsid w:val="34AA8BBD"/>
    <w:rsid w:val="350552C9"/>
    <w:rsid w:val="351F2B5B"/>
    <w:rsid w:val="3539368C"/>
    <w:rsid w:val="3576D580"/>
    <w:rsid w:val="3591B424"/>
    <w:rsid w:val="359425EF"/>
    <w:rsid w:val="359F9010"/>
    <w:rsid w:val="35A41621"/>
    <w:rsid w:val="35C36806"/>
    <w:rsid w:val="35FA6662"/>
    <w:rsid w:val="3610343A"/>
    <w:rsid w:val="361A9B9B"/>
    <w:rsid w:val="362CDC26"/>
    <w:rsid w:val="363944AD"/>
    <w:rsid w:val="3642BA42"/>
    <w:rsid w:val="36467B07"/>
    <w:rsid w:val="365528E8"/>
    <w:rsid w:val="3664B7A1"/>
    <w:rsid w:val="366BD1DE"/>
    <w:rsid w:val="36800333"/>
    <w:rsid w:val="36B08D6E"/>
    <w:rsid w:val="36BBB711"/>
    <w:rsid w:val="36D2313D"/>
    <w:rsid w:val="36F1DBE2"/>
    <w:rsid w:val="370B1515"/>
    <w:rsid w:val="37141A2D"/>
    <w:rsid w:val="375592FF"/>
    <w:rsid w:val="375AD419"/>
    <w:rsid w:val="37A6D4AE"/>
    <w:rsid w:val="37AC049B"/>
    <w:rsid w:val="37CA0636"/>
    <w:rsid w:val="37DB645C"/>
    <w:rsid w:val="381C6A4D"/>
    <w:rsid w:val="382C3B2B"/>
    <w:rsid w:val="38471487"/>
    <w:rsid w:val="384F84EA"/>
    <w:rsid w:val="38938E96"/>
    <w:rsid w:val="3894A842"/>
    <w:rsid w:val="38B78297"/>
    <w:rsid w:val="38CAB650"/>
    <w:rsid w:val="38E18BD7"/>
    <w:rsid w:val="3914ED68"/>
    <w:rsid w:val="393E5E23"/>
    <w:rsid w:val="394135A8"/>
    <w:rsid w:val="39689B7C"/>
    <w:rsid w:val="39712438"/>
    <w:rsid w:val="397B4364"/>
    <w:rsid w:val="3981578D"/>
    <w:rsid w:val="39B19459"/>
    <w:rsid w:val="39DBE344"/>
    <w:rsid w:val="39E6D9A3"/>
    <w:rsid w:val="39F2CD2C"/>
    <w:rsid w:val="3A5352F8"/>
    <w:rsid w:val="3A652547"/>
    <w:rsid w:val="3A7B0EE4"/>
    <w:rsid w:val="3A886389"/>
    <w:rsid w:val="3AA8DB7A"/>
    <w:rsid w:val="3AD66546"/>
    <w:rsid w:val="3AE4239D"/>
    <w:rsid w:val="3AEB22A9"/>
    <w:rsid w:val="3AEB2B66"/>
    <w:rsid w:val="3AF1AE6E"/>
    <w:rsid w:val="3B362BB8"/>
    <w:rsid w:val="3B615E39"/>
    <w:rsid w:val="3B78512C"/>
    <w:rsid w:val="3B7BDB75"/>
    <w:rsid w:val="3B7F1DE8"/>
    <w:rsid w:val="3B8F39F0"/>
    <w:rsid w:val="3BB3C31F"/>
    <w:rsid w:val="3BD70929"/>
    <w:rsid w:val="3BDD0320"/>
    <w:rsid w:val="3BEF2359"/>
    <w:rsid w:val="3C004309"/>
    <w:rsid w:val="3C09E789"/>
    <w:rsid w:val="3C378D2A"/>
    <w:rsid w:val="3C4865B1"/>
    <w:rsid w:val="3D45FC12"/>
    <w:rsid w:val="3D55D96B"/>
    <w:rsid w:val="3D643808"/>
    <w:rsid w:val="3DBAEC30"/>
    <w:rsid w:val="3DD911B7"/>
    <w:rsid w:val="3E26A717"/>
    <w:rsid w:val="3E446438"/>
    <w:rsid w:val="3E695CB9"/>
    <w:rsid w:val="3E89C225"/>
    <w:rsid w:val="3E9B9B4E"/>
    <w:rsid w:val="3EAC121A"/>
    <w:rsid w:val="3ECF947A"/>
    <w:rsid w:val="3ED32CDC"/>
    <w:rsid w:val="3EDC8C40"/>
    <w:rsid w:val="3EE71F8E"/>
    <w:rsid w:val="3F2414DB"/>
    <w:rsid w:val="3F4DEC76"/>
    <w:rsid w:val="3F50568B"/>
    <w:rsid w:val="3F74E218"/>
    <w:rsid w:val="3F848FEB"/>
    <w:rsid w:val="3FB2A1E2"/>
    <w:rsid w:val="4027E116"/>
    <w:rsid w:val="4051CEFB"/>
    <w:rsid w:val="405B1349"/>
    <w:rsid w:val="406F56D1"/>
    <w:rsid w:val="40C2947C"/>
    <w:rsid w:val="412F7A89"/>
    <w:rsid w:val="4146DC89"/>
    <w:rsid w:val="4160EFF2"/>
    <w:rsid w:val="418AF075"/>
    <w:rsid w:val="41C0B309"/>
    <w:rsid w:val="41C3AB08"/>
    <w:rsid w:val="41DD3966"/>
    <w:rsid w:val="41F592B4"/>
    <w:rsid w:val="41FBC31F"/>
    <w:rsid w:val="421FAFCF"/>
    <w:rsid w:val="423B8A88"/>
    <w:rsid w:val="4244E52B"/>
    <w:rsid w:val="42B144E4"/>
    <w:rsid w:val="42FC157B"/>
    <w:rsid w:val="42FCC053"/>
    <w:rsid w:val="430B21B0"/>
    <w:rsid w:val="4350BB77"/>
    <w:rsid w:val="4359F761"/>
    <w:rsid w:val="435FB819"/>
    <w:rsid w:val="438AAF71"/>
    <w:rsid w:val="439227E4"/>
    <w:rsid w:val="43D13FF4"/>
    <w:rsid w:val="43FB7279"/>
    <w:rsid w:val="4409C6A0"/>
    <w:rsid w:val="442E17E1"/>
    <w:rsid w:val="44B05DF0"/>
    <w:rsid w:val="44C0C163"/>
    <w:rsid w:val="44F79DD6"/>
    <w:rsid w:val="44FB1AC8"/>
    <w:rsid w:val="450CDCCA"/>
    <w:rsid w:val="4514914A"/>
    <w:rsid w:val="452E783F"/>
    <w:rsid w:val="45389151"/>
    <w:rsid w:val="4548BF34"/>
    <w:rsid w:val="45A0B87A"/>
    <w:rsid w:val="45A3EFB8"/>
    <w:rsid w:val="45A49DEF"/>
    <w:rsid w:val="45B68EA2"/>
    <w:rsid w:val="45D53B12"/>
    <w:rsid w:val="45F0E46B"/>
    <w:rsid w:val="460E85D5"/>
    <w:rsid w:val="46111654"/>
    <w:rsid w:val="4618CD02"/>
    <w:rsid w:val="46407948"/>
    <w:rsid w:val="46456884"/>
    <w:rsid w:val="4645C390"/>
    <w:rsid w:val="4679063E"/>
    <w:rsid w:val="4686AE34"/>
    <w:rsid w:val="46B2E036"/>
    <w:rsid w:val="46CC3669"/>
    <w:rsid w:val="471F2706"/>
    <w:rsid w:val="472B7274"/>
    <w:rsid w:val="4758CE61"/>
    <w:rsid w:val="477CE1B9"/>
    <w:rsid w:val="478136A0"/>
    <w:rsid w:val="47A8E8F8"/>
    <w:rsid w:val="47AF79B4"/>
    <w:rsid w:val="47B07D54"/>
    <w:rsid w:val="47B3AD04"/>
    <w:rsid w:val="47C7D12F"/>
    <w:rsid w:val="480AE060"/>
    <w:rsid w:val="48331F64"/>
    <w:rsid w:val="483E354A"/>
    <w:rsid w:val="4840501B"/>
    <w:rsid w:val="4851A703"/>
    <w:rsid w:val="4863E96C"/>
    <w:rsid w:val="4869DBDA"/>
    <w:rsid w:val="486EA897"/>
    <w:rsid w:val="48801013"/>
    <w:rsid w:val="488593D7"/>
    <w:rsid w:val="48BAF767"/>
    <w:rsid w:val="48BE9B56"/>
    <w:rsid w:val="48D116F7"/>
    <w:rsid w:val="48DCDF21"/>
    <w:rsid w:val="4904C351"/>
    <w:rsid w:val="497E889D"/>
    <w:rsid w:val="49A88713"/>
    <w:rsid w:val="49C70AEE"/>
    <w:rsid w:val="49DB01A6"/>
    <w:rsid w:val="49F11FE7"/>
    <w:rsid w:val="4A06683F"/>
    <w:rsid w:val="4A1F845F"/>
    <w:rsid w:val="4A3510D0"/>
    <w:rsid w:val="4A469C6D"/>
    <w:rsid w:val="4A4CEB7E"/>
    <w:rsid w:val="4A542687"/>
    <w:rsid w:val="4A9D7837"/>
    <w:rsid w:val="4AA5E407"/>
    <w:rsid w:val="4AAE56E9"/>
    <w:rsid w:val="4AED16D5"/>
    <w:rsid w:val="4AF98A56"/>
    <w:rsid w:val="4B01C7C0"/>
    <w:rsid w:val="4B0FF125"/>
    <w:rsid w:val="4B1AF593"/>
    <w:rsid w:val="4B2D8AC8"/>
    <w:rsid w:val="4B3D54C6"/>
    <w:rsid w:val="4B408FC7"/>
    <w:rsid w:val="4B8CB412"/>
    <w:rsid w:val="4BCAE69D"/>
    <w:rsid w:val="4BCD32FC"/>
    <w:rsid w:val="4C1D421F"/>
    <w:rsid w:val="4C1F06F8"/>
    <w:rsid w:val="4C73C15D"/>
    <w:rsid w:val="4C7D2A4E"/>
    <w:rsid w:val="4C99897D"/>
    <w:rsid w:val="4CC7C776"/>
    <w:rsid w:val="4CCD90D7"/>
    <w:rsid w:val="4D4798D2"/>
    <w:rsid w:val="4D57EB54"/>
    <w:rsid w:val="4D7E3D2F"/>
    <w:rsid w:val="4D934620"/>
    <w:rsid w:val="4DD8759C"/>
    <w:rsid w:val="4DF74D0F"/>
    <w:rsid w:val="4E18E79B"/>
    <w:rsid w:val="4E359CB7"/>
    <w:rsid w:val="4E396882"/>
    <w:rsid w:val="4E4896A4"/>
    <w:rsid w:val="4E5D5FB9"/>
    <w:rsid w:val="4E8E142A"/>
    <w:rsid w:val="4EC95FFA"/>
    <w:rsid w:val="4EE6D793"/>
    <w:rsid w:val="4EF81C20"/>
    <w:rsid w:val="4F6252EB"/>
    <w:rsid w:val="4F648422"/>
    <w:rsid w:val="4F71376F"/>
    <w:rsid w:val="4F748442"/>
    <w:rsid w:val="4FBBFF73"/>
    <w:rsid w:val="4FD5CAAA"/>
    <w:rsid w:val="505B0714"/>
    <w:rsid w:val="50777D5F"/>
    <w:rsid w:val="507D1C24"/>
    <w:rsid w:val="5083E7C8"/>
    <w:rsid w:val="508C7932"/>
    <w:rsid w:val="50AE1EE3"/>
    <w:rsid w:val="5136BAC1"/>
    <w:rsid w:val="5175D16F"/>
    <w:rsid w:val="51866A36"/>
    <w:rsid w:val="51A3EB2A"/>
    <w:rsid w:val="51B41F71"/>
    <w:rsid w:val="51C90669"/>
    <w:rsid w:val="51D0CFC8"/>
    <w:rsid w:val="51F94FBF"/>
    <w:rsid w:val="52110DA4"/>
    <w:rsid w:val="522E63C3"/>
    <w:rsid w:val="5251AE52"/>
    <w:rsid w:val="52589278"/>
    <w:rsid w:val="52752F79"/>
    <w:rsid w:val="527C762D"/>
    <w:rsid w:val="527D3905"/>
    <w:rsid w:val="528A9137"/>
    <w:rsid w:val="52B0D06C"/>
    <w:rsid w:val="52FB9DD0"/>
    <w:rsid w:val="52FE8DC3"/>
    <w:rsid w:val="532CF65D"/>
    <w:rsid w:val="53304F34"/>
    <w:rsid w:val="53309248"/>
    <w:rsid w:val="5333B9A4"/>
    <w:rsid w:val="5361AF8A"/>
    <w:rsid w:val="5368F488"/>
    <w:rsid w:val="53893FD8"/>
    <w:rsid w:val="539E97FB"/>
    <w:rsid w:val="53A92215"/>
    <w:rsid w:val="53C041C1"/>
    <w:rsid w:val="53D1A96A"/>
    <w:rsid w:val="540487B2"/>
    <w:rsid w:val="540D1CAA"/>
    <w:rsid w:val="546E718B"/>
    <w:rsid w:val="547721BF"/>
    <w:rsid w:val="54821225"/>
    <w:rsid w:val="54AFB664"/>
    <w:rsid w:val="54BFD020"/>
    <w:rsid w:val="550C2A58"/>
    <w:rsid w:val="551401C7"/>
    <w:rsid w:val="5551DBAA"/>
    <w:rsid w:val="5553CECC"/>
    <w:rsid w:val="558AD95D"/>
    <w:rsid w:val="559E06E5"/>
    <w:rsid w:val="55A4641C"/>
    <w:rsid w:val="55ADC95F"/>
    <w:rsid w:val="55B48097"/>
    <w:rsid w:val="55BFAD0A"/>
    <w:rsid w:val="55DB6500"/>
    <w:rsid w:val="56059888"/>
    <w:rsid w:val="5609FFB9"/>
    <w:rsid w:val="56502D09"/>
    <w:rsid w:val="566CD9B3"/>
    <w:rsid w:val="569B77BD"/>
    <w:rsid w:val="56A7FAB9"/>
    <w:rsid w:val="56BEF280"/>
    <w:rsid w:val="57049038"/>
    <w:rsid w:val="572F2F0B"/>
    <w:rsid w:val="5730D906"/>
    <w:rsid w:val="57325F2D"/>
    <w:rsid w:val="57429C42"/>
    <w:rsid w:val="5761D645"/>
    <w:rsid w:val="5763D0C0"/>
    <w:rsid w:val="579E6B01"/>
    <w:rsid w:val="57EC57B7"/>
    <w:rsid w:val="57F7FDAF"/>
    <w:rsid w:val="5812ABFE"/>
    <w:rsid w:val="583BE1B3"/>
    <w:rsid w:val="58407BEC"/>
    <w:rsid w:val="58537B88"/>
    <w:rsid w:val="587BA1B8"/>
    <w:rsid w:val="58B441AC"/>
    <w:rsid w:val="58B761C7"/>
    <w:rsid w:val="58C7AA1C"/>
    <w:rsid w:val="58DFDB8E"/>
    <w:rsid w:val="58E59D77"/>
    <w:rsid w:val="58EBB7B1"/>
    <w:rsid w:val="5906242E"/>
    <w:rsid w:val="590EBA12"/>
    <w:rsid w:val="59259C2A"/>
    <w:rsid w:val="59305491"/>
    <w:rsid w:val="5947FA6A"/>
    <w:rsid w:val="596E8595"/>
    <w:rsid w:val="59758C06"/>
    <w:rsid w:val="59AABDFC"/>
    <w:rsid w:val="59D5A691"/>
    <w:rsid w:val="5A1CF99B"/>
    <w:rsid w:val="5A1EC3A4"/>
    <w:rsid w:val="5A233AEE"/>
    <w:rsid w:val="5A3EF834"/>
    <w:rsid w:val="5A4397DA"/>
    <w:rsid w:val="5A6B3A41"/>
    <w:rsid w:val="5A946B8E"/>
    <w:rsid w:val="5A998FCF"/>
    <w:rsid w:val="5AAE644F"/>
    <w:rsid w:val="5AB216EA"/>
    <w:rsid w:val="5AD446E7"/>
    <w:rsid w:val="5B00C9E1"/>
    <w:rsid w:val="5B20FF07"/>
    <w:rsid w:val="5B362E0E"/>
    <w:rsid w:val="5B51905C"/>
    <w:rsid w:val="5B91334B"/>
    <w:rsid w:val="5BE986DE"/>
    <w:rsid w:val="5BE9CE88"/>
    <w:rsid w:val="5BF7ECDA"/>
    <w:rsid w:val="5C4605DB"/>
    <w:rsid w:val="5C46BC34"/>
    <w:rsid w:val="5C6C7537"/>
    <w:rsid w:val="5C74DA0C"/>
    <w:rsid w:val="5C8B8801"/>
    <w:rsid w:val="5C8D60CA"/>
    <w:rsid w:val="5C8F075A"/>
    <w:rsid w:val="5CA7A080"/>
    <w:rsid w:val="5CAD150A"/>
    <w:rsid w:val="5CB18FAB"/>
    <w:rsid w:val="5CB7E06A"/>
    <w:rsid w:val="5CC2A484"/>
    <w:rsid w:val="5CDB75CE"/>
    <w:rsid w:val="5CED97E7"/>
    <w:rsid w:val="5CFB4A01"/>
    <w:rsid w:val="5D1D5C34"/>
    <w:rsid w:val="5D310FDB"/>
    <w:rsid w:val="5D36625F"/>
    <w:rsid w:val="5D435721"/>
    <w:rsid w:val="5DC8903D"/>
    <w:rsid w:val="5DE879A7"/>
    <w:rsid w:val="5DF978FD"/>
    <w:rsid w:val="5E037566"/>
    <w:rsid w:val="5E09F45C"/>
    <w:rsid w:val="5E10AA6D"/>
    <w:rsid w:val="5E32D81A"/>
    <w:rsid w:val="5EB34570"/>
    <w:rsid w:val="5EC3551B"/>
    <w:rsid w:val="5EC9CA25"/>
    <w:rsid w:val="5EF97196"/>
    <w:rsid w:val="5F36CCA0"/>
    <w:rsid w:val="5F3C51EB"/>
    <w:rsid w:val="5F471B26"/>
    <w:rsid w:val="5F898C3E"/>
    <w:rsid w:val="5F956086"/>
    <w:rsid w:val="5FC702C6"/>
    <w:rsid w:val="5FCA1610"/>
    <w:rsid w:val="5FE593BB"/>
    <w:rsid w:val="6025017F"/>
    <w:rsid w:val="60266533"/>
    <w:rsid w:val="60302B63"/>
    <w:rsid w:val="6046EC9B"/>
    <w:rsid w:val="6052A522"/>
    <w:rsid w:val="6052E949"/>
    <w:rsid w:val="6078D54D"/>
    <w:rsid w:val="6098A213"/>
    <w:rsid w:val="60A1597D"/>
    <w:rsid w:val="60B2D95E"/>
    <w:rsid w:val="60C263A4"/>
    <w:rsid w:val="60E56ABD"/>
    <w:rsid w:val="60E64ECB"/>
    <w:rsid w:val="60F8D4F2"/>
    <w:rsid w:val="60FE725B"/>
    <w:rsid w:val="60FF71BE"/>
    <w:rsid w:val="6103811D"/>
    <w:rsid w:val="616862D9"/>
    <w:rsid w:val="617434BF"/>
    <w:rsid w:val="6198F8E2"/>
    <w:rsid w:val="619B3E45"/>
    <w:rsid w:val="619C364F"/>
    <w:rsid w:val="61CEBB24"/>
    <w:rsid w:val="61E4777B"/>
    <w:rsid w:val="620FD53D"/>
    <w:rsid w:val="622B1703"/>
    <w:rsid w:val="622BBFC2"/>
    <w:rsid w:val="624B1376"/>
    <w:rsid w:val="6255D73C"/>
    <w:rsid w:val="6270BD2F"/>
    <w:rsid w:val="627F669B"/>
    <w:rsid w:val="6283EC9C"/>
    <w:rsid w:val="6287B7CA"/>
    <w:rsid w:val="628B3AD5"/>
    <w:rsid w:val="62A508C6"/>
    <w:rsid w:val="62C6C338"/>
    <w:rsid w:val="62D56A99"/>
    <w:rsid w:val="62E9A720"/>
    <w:rsid w:val="62EB7532"/>
    <w:rsid w:val="62FB25C0"/>
    <w:rsid w:val="63020A5D"/>
    <w:rsid w:val="6302A132"/>
    <w:rsid w:val="63253CFB"/>
    <w:rsid w:val="632F220E"/>
    <w:rsid w:val="636BED2D"/>
    <w:rsid w:val="63953839"/>
    <w:rsid w:val="63AE30F0"/>
    <w:rsid w:val="63C32552"/>
    <w:rsid w:val="63C69160"/>
    <w:rsid w:val="63D6D77C"/>
    <w:rsid w:val="63DF01C0"/>
    <w:rsid w:val="63E0AB96"/>
    <w:rsid w:val="63F267A6"/>
    <w:rsid w:val="645029A7"/>
    <w:rsid w:val="64549A05"/>
    <w:rsid w:val="647D1965"/>
    <w:rsid w:val="647ECD5B"/>
    <w:rsid w:val="64831259"/>
    <w:rsid w:val="649CB9D1"/>
    <w:rsid w:val="64D587B0"/>
    <w:rsid w:val="64F809F5"/>
    <w:rsid w:val="651CDDD2"/>
    <w:rsid w:val="651F80B6"/>
    <w:rsid w:val="652A394A"/>
    <w:rsid w:val="65965D72"/>
    <w:rsid w:val="65BCD879"/>
    <w:rsid w:val="660C5113"/>
    <w:rsid w:val="66218601"/>
    <w:rsid w:val="66E65442"/>
    <w:rsid w:val="670545A8"/>
    <w:rsid w:val="672305D0"/>
    <w:rsid w:val="672575A2"/>
    <w:rsid w:val="6737AF01"/>
    <w:rsid w:val="673D9ECC"/>
    <w:rsid w:val="674407B9"/>
    <w:rsid w:val="6753472E"/>
    <w:rsid w:val="6762B341"/>
    <w:rsid w:val="67828F4D"/>
    <w:rsid w:val="67A796BA"/>
    <w:rsid w:val="67C8814C"/>
    <w:rsid w:val="67D95F0D"/>
    <w:rsid w:val="67E3050D"/>
    <w:rsid w:val="680F3465"/>
    <w:rsid w:val="68113CF3"/>
    <w:rsid w:val="6815BBC0"/>
    <w:rsid w:val="682BA961"/>
    <w:rsid w:val="683F3957"/>
    <w:rsid w:val="6842E3EB"/>
    <w:rsid w:val="686763BE"/>
    <w:rsid w:val="68814DEF"/>
    <w:rsid w:val="68912876"/>
    <w:rsid w:val="68A9F55B"/>
    <w:rsid w:val="68D10928"/>
    <w:rsid w:val="68DA43F5"/>
    <w:rsid w:val="68DBEDBE"/>
    <w:rsid w:val="68F1BE95"/>
    <w:rsid w:val="68FA9DC3"/>
    <w:rsid w:val="690D03A6"/>
    <w:rsid w:val="692AA30D"/>
    <w:rsid w:val="692D1228"/>
    <w:rsid w:val="69300E50"/>
    <w:rsid w:val="6944C3B3"/>
    <w:rsid w:val="695FB1CB"/>
    <w:rsid w:val="69756B07"/>
    <w:rsid w:val="697EB04D"/>
    <w:rsid w:val="6991803D"/>
    <w:rsid w:val="69961A16"/>
    <w:rsid w:val="69A01EC5"/>
    <w:rsid w:val="69DCFF7B"/>
    <w:rsid w:val="69F25F05"/>
    <w:rsid w:val="6A223F41"/>
    <w:rsid w:val="6A2DF7AA"/>
    <w:rsid w:val="6A301CD7"/>
    <w:rsid w:val="6A3C3246"/>
    <w:rsid w:val="6A570B2B"/>
    <w:rsid w:val="6A8D8EF6"/>
    <w:rsid w:val="6A99B849"/>
    <w:rsid w:val="6AF0A42A"/>
    <w:rsid w:val="6B282777"/>
    <w:rsid w:val="6B2A4D12"/>
    <w:rsid w:val="6B2D509E"/>
    <w:rsid w:val="6B835261"/>
    <w:rsid w:val="6BB75F18"/>
    <w:rsid w:val="6BC08E29"/>
    <w:rsid w:val="6BC3DE02"/>
    <w:rsid w:val="6BC882FA"/>
    <w:rsid w:val="6BCC4629"/>
    <w:rsid w:val="6BDA22B6"/>
    <w:rsid w:val="6C135BA7"/>
    <w:rsid w:val="6C53A877"/>
    <w:rsid w:val="6C738CBB"/>
    <w:rsid w:val="6C8DD594"/>
    <w:rsid w:val="6CA43F96"/>
    <w:rsid w:val="6CA929EF"/>
    <w:rsid w:val="6CD1F3B2"/>
    <w:rsid w:val="6D0BCBA5"/>
    <w:rsid w:val="6D226C10"/>
    <w:rsid w:val="6D28E7AA"/>
    <w:rsid w:val="6D384AAC"/>
    <w:rsid w:val="6D5FAE63"/>
    <w:rsid w:val="6D65986C"/>
    <w:rsid w:val="6D764B0B"/>
    <w:rsid w:val="6D9A2C44"/>
    <w:rsid w:val="6DBADB65"/>
    <w:rsid w:val="6DCA19F5"/>
    <w:rsid w:val="6E0C7E98"/>
    <w:rsid w:val="6E69D631"/>
    <w:rsid w:val="6E73F0F9"/>
    <w:rsid w:val="6E88088A"/>
    <w:rsid w:val="6E8976A5"/>
    <w:rsid w:val="6EA43EB0"/>
    <w:rsid w:val="6EDD0205"/>
    <w:rsid w:val="6EE5A01F"/>
    <w:rsid w:val="6EFCCDB3"/>
    <w:rsid w:val="6F0F46D8"/>
    <w:rsid w:val="6F11D302"/>
    <w:rsid w:val="6F349244"/>
    <w:rsid w:val="6F399A6F"/>
    <w:rsid w:val="6F498E33"/>
    <w:rsid w:val="6F5BA65D"/>
    <w:rsid w:val="6F7EF590"/>
    <w:rsid w:val="6F8A565C"/>
    <w:rsid w:val="6FA23DCE"/>
    <w:rsid w:val="6FD81E35"/>
    <w:rsid w:val="6FDC83FD"/>
    <w:rsid w:val="6FEBE3EF"/>
    <w:rsid w:val="6FED2E46"/>
    <w:rsid w:val="6FF5216D"/>
    <w:rsid w:val="6FF6E389"/>
    <w:rsid w:val="6FFFE798"/>
    <w:rsid w:val="7002B194"/>
    <w:rsid w:val="700B8D1D"/>
    <w:rsid w:val="704F9A4C"/>
    <w:rsid w:val="706062A9"/>
    <w:rsid w:val="70662412"/>
    <w:rsid w:val="706C7543"/>
    <w:rsid w:val="70782147"/>
    <w:rsid w:val="707EEDC1"/>
    <w:rsid w:val="7088FE45"/>
    <w:rsid w:val="70A100F7"/>
    <w:rsid w:val="70ADA01F"/>
    <w:rsid w:val="70D418AB"/>
    <w:rsid w:val="70D66E6E"/>
    <w:rsid w:val="71052813"/>
    <w:rsid w:val="71060095"/>
    <w:rsid w:val="71410BAB"/>
    <w:rsid w:val="716A8A5F"/>
    <w:rsid w:val="7170A8DD"/>
    <w:rsid w:val="7191B5C0"/>
    <w:rsid w:val="71B482CA"/>
    <w:rsid w:val="71C18C8F"/>
    <w:rsid w:val="71D01736"/>
    <w:rsid w:val="71DEE330"/>
    <w:rsid w:val="72618BE9"/>
    <w:rsid w:val="726B0983"/>
    <w:rsid w:val="7287E767"/>
    <w:rsid w:val="728F4580"/>
    <w:rsid w:val="72AC5046"/>
    <w:rsid w:val="72D1862F"/>
    <w:rsid w:val="72DB16CB"/>
    <w:rsid w:val="730EACF2"/>
    <w:rsid w:val="731D8384"/>
    <w:rsid w:val="73301A7A"/>
    <w:rsid w:val="735F0616"/>
    <w:rsid w:val="735FD83F"/>
    <w:rsid w:val="73AFBE7C"/>
    <w:rsid w:val="73B6844A"/>
    <w:rsid w:val="743BF21A"/>
    <w:rsid w:val="744846DD"/>
    <w:rsid w:val="74565A72"/>
    <w:rsid w:val="747BCF94"/>
    <w:rsid w:val="747D7CC0"/>
    <w:rsid w:val="7489E89F"/>
    <w:rsid w:val="74A4F21E"/>
    <w:rsid w:val="74D7F68E"/>
    <w:rsid w:val="74F7F82B"/>
    <w:rsid w:val="75127818"/>
    <w:rsid w:val="75246D36"/>
    <w:rsid w:val="7577FC29"/>
    <w:rsid w:val="7592DC17"/>
    <w:rsid w:val="75B415B1"/>
    <w:rsid w:val="75C46854"/>
    <w:rsid w:val="75E05808"/>
    <w:rsid w:val="75E7CC01"/>
    <w:rsid w:val="75EC2573"/>
    <w:rsid w:val="75FB5A42"/>
    <w:rsid w:val="760B7548"/>
    <w:rsid w:val="7618641A"/>
    <w:rsid w:val="76310B3B"/>
    <w:rsid w:val="763D4E8F"/>
    <w:rsid w:val="763F14A6"/>
    <w:rsid w:val="7696A6D8"/>
    <w:rsid w:val="76AB4646"/>
    <w:rsid w:val="76B3BFB1"/>
    <w:rsid w:val="76B6712A"/>
    <w:rsid w:val="76BD7E37"/>
    <w:rsid w:val="76BF76C9"/>
    <w:rsid w:val="76BFC15F"/>
    <w:rsid w:val="76DEDF49"/>
    <w:rsid w:val="76E26AFC"/>
    <w:rsid w:val="76E9F60D"/>
    <w:rsid w:val="7730695E"/>
    <w:rsid w:val="77365DA8"/>
    <w:rsid w:val="77402C32"/>
    <w:rsid w:val="77850163"/>
    <w:rsid w:val="77A765FE"/>
    <w:rsid w:val="77CD88F6"/>
    <w:rsid w:val="77ECB35B"/>
    <w:rsid w:val="77EF3C1A"/>
    <w:rsid w:val="77EF5C4F"/>
    <w:rsid w:val="77F7D03D"/>
    <w:rsid w:val="782616B5"/>
    <w:rsid w:val="7833DCD3"/>
    <w:rsid w:val="7843BA6A"/>
    <w:rsid w:val="78653DA8"/>
    <w:rsid w:val="787665DB"/>
    <w:rsid w:val="7885B4A2"/>
    <w:rsid w:val="7886A01E"/>
    <w:rsid w:val="78E12927"/>
    <w:rsid w:val="78EB2A9F"/>
    <w:rsid w:val="78F685C9"/>
    <w:rsid w:val="7919CA4C"/>
    <w:rsid w:val="79397A44"/>
    <w:rsid w:val="7976C828"/>
    <w:rsid w:val="79837D25"/>
    <w:rsid w:val="79905EC9"/>
    <w:rsid w:val="799A53F2"/>
    <w:rsid w:val="79B92228"/>
    <w:rsid w:val="79DEB5FC"/>
    <w:rsid w:val="79DF5B33"/>
    <w:rsid w:val="79E0500D"/>
    <w:rsid w:val="7A085127"/>
    <w:rsid w:val="7A0EE194"/>
    <w:rsid w:val="7A1BC28C"/>
    <w:rsid w:val="7A50428F"/>
    <w:rsid w:val="7A6BEFDF"/>
    <w:rsid w:val="7A732A9B"/>
    <w:rsid w:val="7A772936"/>
    <w:rsid w:val="7A7C1A6F"/>
    <w:rsid w:val="7A7EF713"/>
    <w:rsid w:val="7A875660"/>
    <w:rsid w:val="7A8BE559"/>
    <w:rsid w:val="7AE4E5DD"/>
    <w:rsid w:val="7AF64DB8"/>
    <w:rsid w:val="7AFA5BE6"/>
    <w:rsid w:val="7B09A74B"/>
    <w:rsid w:val="7B4587F0"/>
    <w:rsid w:val="7B914E69"/>
    <w:rsid w:val="7BD21C65"/>
    <w:rsid w:val="7C018E28"/>
    <w:rsid w:val="7C74035B"/>
    <w:rsid w:val="7C855FC0"/>
    <w:rsid w:val="7C9DB76B"/>
    <w:rsid w:val="7CCE78C4"/>
    <w:rsid w:val="7CDB5A56"/>
    <w:rsid w:val="7D0A96D3"/>
    <w:rsid w:val="7D106EEF"/>
    <w:rsid w:val="7D2121A4"/>
    <w:rsid w:val="7D5D8AF8"/>
    <w:rsid w:val="7D74A599"/>
    <w:rsid w:val="7DC136FA"/>
    <w:rsid w:val="7DDD6933"/>
    <w:rsid w:val="7DDE9D42"/>
    <w:rsid w:val="7E03222D"/>
    <w:rsid w:val="7E3D623E"/>
    <w:rsid w:val="7E443A24"/>
    <w:rsid w:val="7E7D4E02"/>
    <w:rsid w:val="7E8CE5CD"/>
    <w:rsid w:val="7E9DD744"/>
    <w:rsid w:val="7EA69BBB"/>
    <w:rsid w:val="7EB8C101"/>
    <w:rsid w:val="7EBA13AA"/>
    <w:rsid w:val="7EBF8E76"/>
    <w:rsid w:val="7ECD763C"/>
    <w:rsid w:val="7EEA2E61"/>
    <w:rsid w:val="7F3D8F95"/>
    <w:rsid w:val="7F5ED762"/>
    <w:rsid w:val="7F66F761"/>
    <w:rsid w:val="7F802F93"/>
    <w:rsid w:val="7F83D447"/>
    <w:rsid w:val="7F9C741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2FA79"/>
  <w15:docId w15:val="{52658F60-628A-4E0A-A8AA-C46DD6F6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semiHidden/>
    <w:qFormat/>
    <w:rsid w:val="00B76AFC"/>
  </w:style>
  <w:style w:type="paragraph" w:styleId="Heading1">
    <w:name w:val="heading 1"/>
    <w:basedOn w:val="Normal"/>
    <w:next w:val="Normal"/>
    <w:link w:val="Heading1Char"/>
    <w:uiPriority w:val="9"/>
    <w:semiHidden/>
    <w:qFormat/>
    <w:rsid w:val="00214C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D22C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D22C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BF250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5A67A2"/>
    <w:pPr>
      <w:keepNext/>
      <w:numPr>
        <w:numId w:val="22"/>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5A67A2"/>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214C6C"/>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903474"/>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903474"/>
    <w:rPr>
      <w:rFonts w:ascii="Tahoma" w:hAnsi="Tahoma"/>
      <w:b/>
      <w:sz w:val="24"/>
      <w:szCs w:val="24"/>
    </w:rPr>
  </w:style>
  <w:style w:type="paragraph" w:customStyle="1" w:styleId="EFSAAuthor">
    <w:name w:val="EFSA_Author"/>
    <w:next w:val="EFSABodytext"/>
    <w:link w:val="EFSAAuthorChar"/>
    <w:qFormat/>
    <w:rsid w:val="008E047E"/>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8E047E"/>
    <w:rPr>
      <w:rFonts w:ascii="Tahoma" w:hAnsi="Tahoma"/>
      <w:b/>
      <w:sz w:val="24"/>
      <w:szCs w:val="24"/>
    </w:rPr>
  </w:style>
  <w:style w:type="paragraph" w:customStyle="1" w:styleId="EFSABodytext">
    <w:name w:val="EFSA_Body text"/>
    <w:basedOn w:val="Normal"/>
    <w:link w:val="EFSABodytextChar"/>
    <w:uiPriority w:val="99"/>
    <w:qFormat/>
    <w:rsid w:val="00214C6C"/>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uiPriority w:val="99"/>
    <w:qFormat/>
    <w:rsid w:val="00214C6C"/>
    <w:rPr>
      <w:rFonts w:ascii="Tahoma" w:hAnsi="Tahoma"/>
      <w:sz w:val="20"/>
      <w:szCs w:val="20"/>
    </w:rPr>
  </w:style>
  <w:style w:type="paragraph" w:customStyle="1" w:styleId="EFSABullet1">
    <w:name w:val="EFSA_Bullet 1"/>
    <w:basedOn w:val="EFSABodytext"/>
    <w:link w:val="EFSABullet1Char"/>
    <w:qFormat/>
    <w:rsid w:val="00214C6C"/>
    <w:pPr>
      <w:numPr>
        <w:numId w:val="3"/>
      </w:numPr>
    </w:pPr>
  </w:style>
  <w:style w:type="character" w:customStyle="1" w:styleId="EFSABullet1Char">
    <w:name w:val="EFSA_Bullet 1 Char"/>
    <w:basedOn w:val="EFSABodytextChar"/>
    <w:link w:val="EFSABullet1"/>
    <w:rsid w:val="00214C6C"/>
    <w:rPr>
      <w:rFonts w:ascii="Tahoma" w:hAnsi="Tahoma"/>
      <w:sz w:val="20"/>
      <w:szCs w:val="20"/>
    </w:rPr>
  </w:style>
  <w:style w:type="paragraph" w:customStyle="1" w:styleId="EFSABullet2">
    <w:name w:val="EFSA_Bullet 2"/>
    <w:basedOn w:val="EFSABodytext"/>
    <w:link w:val="EFSABullet2Char"/>
    <w:qFormat/>
    <w:rsid w:val="00214C6C"/>
    <w:pPr>
      <w:numPr>
        <w:ilvl w:val="1"/>
        <w:numId w:val="3"/>
      </w:numPr>
    </w:pPr>
  </w:style>
  <w:style w:type="character" w:customStyle="1" w:styleId="EFSABullet2Char">
    <w:name w:val="EFSA_Bullet 2 Char"/>
    <w:basedOn w:val="EFSABodytextChar"/>
    <w:link w:val="EFSABullet2"/>
    <w:rsid w:val="00214C6C"/>
    <w:rPr>
      <w:rFonts w:ascii="Tahoma" w:hAnsi="Tahoma"/>
      <w:sz w:val="20"/>
      <w:szCs w:val="20"/>
    </w:rPr>
  </w:style>
  <w:style w:type="paragraph" w:customStyle="1" w:styleId="EFSADates">
    <w:name w:val="EFSA_Dates"/>
    <w:link w:val="EFSADatesChar"/>
    <w:qFormat/>
    <w:rsid w:val="00214C6C"/>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214C6C"/>
    <w:rPr>
      <w:rFonts w:ascii="Calibri" w:hAnsi="Calibri"/>
      <w:sz w:val="18"/>
      <w:lang w:val="en-US"/>
    </w:rPr>
  </w:style>
  <w:style w:type="paragraph" w:customStyle="1" w:styleId="EFSADocsprovided">
    <w:name w:val="EFSA_Docs provided"/>
    <w:basedOn w:val="EFSABodytext"/>
    <w:link w:val="EFSADocsprovidedChar"/>
    <w:qFormat/>
    <w:rsid w:val="005A67A2"/>
    <w:pPr>
      <w:keepNext/>
      <w:numPr>
        <w:numId w:val="4"/>
      </w:numPr>
      <w:spacing w:after="240"/>
    </w:pPr>
  </w:style>
  <w:style w:type="character" w:customStyle="1" w:styleId="EFSADocsprovidedChar">
    <w:name w:val="EFSA_Docs provided Char"/>
    <w:basedOn w:val="EFSABodytextChar"/>
    <w:link w:val="EFSADocsprovided"/>
    <w:rsid w:val="005A67A2"/>
    <w:rPr>
      <w:rFonts w:ascii="Tahoma" w:hAnsi="Tahoma"/>
      <w:sz w:val="20"/>
      <w:szCs w:val="20"/>
    </w:rPr>
  </w:style>
  <w:style w:type="paragraph" w:customStyle="1" w:styleId="EFSATablefootnote">
    <w:name w:val="EFSA_Table footnote"/>
    <w:link w:val="EFSATablefootnoteChar"/>
    <w:qFormat/>
    <w:rsid w:val="00903474"/>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903474"/>
    <w:rPr>
      <w:rFonts w:ascii="Tahoma" w:hAnsi="Tahoma"/>
      <w:sz w:val="16"/>
      <w:szCs w:val="20"/>
    </w:rPr>
  </w:style>
  <w:style w:type="paragraph" w:customStyle="1" w:styleId="EFSATablelegend">
    <w:name w:val="EFSA_Table legend"/>
    <w:basedOn w:val="EFSATablefootnote"/>
    <w:link w:val="EFSATablelegendChar"/>
    <w:qFormat/>
    <w:rsid w:val="00214C6C"/>
    <w:pPr>
      <w:spacing w:after="0"/>
      <w:ind w:left="0" w:firstLine="0"/>
      <w:contextualSpacing w:val="0"/>
    </w:pPr>
  </w:style>
  <w:style w:type="character" w:customStyle="1" w:styleId="EFSATablelegendChar">
    <w:name w:val="EFSA_Table legend Char"/>
    <w:basedOn w:val="EFSATablefootnoteChar"/>
    <w:link w:val="EFSATablelegend"/>
    <w:rsid w:val="00214C6C"/>
    <w:rPr>
      <w:rFonts w:ascii="Tahoma" w:hAnsi="Tahoma"/>
      <w:sz w:val="16"/>
      <w:szCs w:val="20"/>
    </w:rPr>
  </w:style>
  <w:style w:type="paragraph" w:customStyle="1" w:styleId="EFSAFigurelegend">
    <w:name w:val="EFSA_Figure legend"/>
    <w:basedOn w:val="EFSATablelegend"/>
    <w:link w:val="EFSAFigurelegendChar"/>
    <w:qFormat/>
    <w:rsid w:val="00214C6C"/>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214C6C"/>
    <w:rPr>
      <w:rFonts w:ascii="Tahoma" w:hAnsi="Tahoma" w:cs="Arial"/>
      <w:sz w:val="16"/>
      <w:szCs w:val="18"/>
    </w:rPr>
  </w:style>
  <w:style w:type="paragraph" w:customStyle="1" w:styleId="EFSAFiguretitle">
    <w:name w:val="EFSA_Figure title"/>
    <w:next w:val="EFSABodytext"/>
    <w:link w:val="EFSAFiguretitleChar"/>
    <w:rsid w:val="00903474"/>
    <w:pPr>
      <w:numPr>
        <w:numId w:val="6"/>
      </w:numPr>
      <w:tabs>
        <w:tab w:val="left" w:pos="1080"/>
      </w:tabs>
      <w:spacing w:before="240" w:after="240" w:line="240" w:lineRule="auto"/>
      <w:ind w:left="1021" w:hanging="1021"/>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903474"/>
    <w:rPr>
      <w:rFonts w:ascii="Tahoma" w:eastAsia="Times New Roman" w:hAnsi="Tahoma" w:cs="Times New Roman"/>
      <w:sz w:val="20"/>
      <w:szCs w:val="20"/>
    </w:rPr>
  </w:style>
  <w:style w:type="paragraph" w:customStyle="1" w:styleId="EFSAFooter">
    <w:name w:val="EFSA_Footer"/>
    <w:basedOn w:val="Normal"/>
    <w:link w:val="EFSAFooterChar"/>
    <w:qFormat/>
    <w:rsid w:val="00214C6C"/>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214C6C"/>
    <w:rPr>
      <w:sz w:val="16"/>
      <w:szCs w:val="16"/>
    </w:rPr>
  </w:style>
  <w:style w:type="paragraph" w:customStyle="1" w:styleId="EFSAFootnote">
    <w:name w:val="EFSA_Footnote"/>
    <w:basedOn w:val="FootnoteText"/>
    <w:link w:val="EFSAFootnoteChar"/>
    <w:qFormat/>
    <w:rsid w:val="00C14D72"/>
    <w:pPr>
      <w:ind w:left="170" w:hanging="170"/>
      <w:jc w:val="both"/>
    </w:pPr>
    <w:rPr>
      <w:rFonts w:ascii="Tahoma" w:hAnsi="Tahoma"/>
      <w:sz w:val="16"/>
    </w:rPr>
  </w:style>
  <w:style w:type="character" w:customStyle="1" w:styleId="EFSAFootnoteChar">
    <w:name w:val="EFSA_Footnote Char"/>
    <w:basedOn w:val="FootnoteTextChar"/>
    <w:link w:val="EFSAFootnote"/>
    <w:rsid w:val="00C14D72"/>
    <w:rPr>
      <w:rFonts w:ascii="Tahoma" w:hAnsi="Tahoma"/>
      <w:sz w:val="16"/>
      <w:szCs w:val="20"/>
    </w:rPr>
  </w:style>
  <w:style w:type="paragraph" w:styleId="FootnoteText">
    <w:name w:val="footnote text"/>
    <w:aliases w:val="EFSA_Footnote Text,EFSA op_Footnote,FEEDAP Op_Footnote"/>
    <w:basedOn w:val="Normal"/>
    <w:link w:val="FootnoteTextChar"/>
    <w:uiPriority w:val="99"/>
    <w:qFormat/>
    <w:rsid w:val="00214C6C"/>
    <w:pPr>
      <w:spacing w:after="0" w:line="240" w:lineRule="auto"/>
    </w:pPr>
    <w:rPr>
      <w:sz w:val="20"/>
      <w:szCs w:val="20"/>
    </w:rPr>
  </w:style>
  <w:style w:type="character" w:customStyle="1" w:styleId="FootnoteTextChar">
    <w:name w:val="Footnote Text Char"/>
    <w:aliases w:val="EFSA_Footnote Text Char,EFSA op_Footnote Char,FEEDAP Op_Footnote Char"/>
    <w:basedOn w:val="DefaultParagraphFont"/>
    <w:link w:val="FootnoteText"/>
    <w:uiPriority w:val="99"/>
    <w:rsid w:val="00214C6C"/>
    <w:rPr>
      <w:sz w:val="20"/>
      <w:szCs w:val="20"/>
    </w:rPr>
  </w:style>
  <w:style w:type="paragraph" w:customStyle="1" w:styleId="EFSAHeading1">
    <w:name w:val="EFSA_Heading 1"/>
    <w:next w:val="EFSABodytext"/>
    <w:link w:val="EFSAHeading1Char"/>
    <w:qFormat/>
    <w:rsid w:val="00E63AED"/>
    <w:pPr>
      <w:numPr>
        <w:numId w:val="19"/>
      </w:numPr>
      <w:spacing w:before="240" w:after="120" w:line="240" w:lineRule="auto"/>
    </w:pPr>
    <w:rPr>
      <w:rFonts w:ascii="Tahoma" w:eastAsiaTheme="majorEastAsia" w:hAnsi="Tahoma" w:cstheme="majorBidi"/>
      <w:b/>
      <w:bCs/>
      <w:sz w:val="24"/>
      <w:szCs w:val="28"/>
    </w:rPr>
  </w:style>
  <w:style w:type="character" w:customStyle="1" w:styleId="EFSAHeading1Char">
    <w:name w:val="EFSA_Heading 1 Char"/>
    <w:basedOn w:val="Heading1Char"/>
    <w:link w:val="EFSAHeading1"/>
    <w:rsid w:val="00E63AED"/>
    <w:rPr>
      <w:rFonts w:ascii="Tahoma" w:eastAsiaTheme="majorEastAsia" w:hAnsi="Tahoma" w:cstheme="majorBidi"/>
      <w:b/>
      <w:bCs/>
      <w:color w:val="365F91" w:themeColor="accent1" w:themeShade="BF"/>
      <w:sz w:val="24"/>
      <w:szCs w:val="28"/>
    </w:rPr>
  </w:style>
  <w:style w:type="character" w:customStyle="1" w:styleId="Heading1Char">
    <w:name w:val="Heading 1 Char"/>
    <w:basedOn w:val="DefaultParagraphFont"/>
    <w:link w:val="Heading1"/>
    <w:uiPriority w:val="9"/>
    <w:semiHidden/>
    <w:rsid w:val="00214C6C"/>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E63AED"/>
    <w:pPr>
      <w:keepNext/>
      <w:numPr>
        <w:ilvl w:val="1"/>
        <w:numId w:val="19"/>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E63AED"/>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E63AED"/>
    <w:pPr>
      <w:numPr>
        <w:ilvl w:val="2"/>
        <w:numId w:val="19"/>
      </w:numPr>
      <w:outlineLvl w:val="2"/>
    </w:pPr>
    <w:rPr>
      <w:rFonts w:ascii="Tahoma" w:eastAsiaTheme="majorEastAsia" w:hAnsi="Tahoma" w:cstheme="majorBidi"/>
      <w:b/>
      <w:bCs/>
      <w:color w:val="7F7F7F" w:themeColor="text1" w:themeTint="80"/>
      <w:szCs w:val="28"/>
    </w:rPr>
  </w:style>
  <w:style w:type="character" w:customStyle="1" w:styleId="EFSAHeading3Char">
    <w:name w:val="EFSA_Heading 3 Char"/>
    <w:basedOn w:val="EFSAHeading2Char"/>
    <w:link w:val="EFSAHeading3"/>
    <w:rsid w:val="00E63AED"/>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0D3F1E"/>
    <w:pPr>
      <w:keepNext/>
      <w:numPr>
        <w:ilvl w:val="3"/>
        <w:numId w:val="19"/>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0D3F1E"/>
    <w:rPr>
      <w:rFonts w:ascii="Tahoma" w:hAnsi="Tahoma"/>
      <w:b/>
      <w:sz w:val="20"/>
      <w:szCs w:val="20"/>
    </w:rPr>
  </w:style>
  <w:style w:type="paragraph" w:customStyle="1" w:styleId="EFSAHeading5">
    <w:name w:val="EFSA_Heading 5"/>
    <w:next w:val="EFSABodytext"/>
    <w:link w:val="EFSAHeading5Char"/>
    <w:qFormat/>
    <w:rsid w:val="00E63AED"/>
    <w:pPr>
      <w:numPr>
        <w:ilvl w:val="4"/>
        <w:numId w:val="19"/>
      </w:numPr>
      <w:outlineLvl w:val="4"/>
    </w:pPr>
    <w:rPr>
      <w:rFonts w:ascii="Tahoma" w:hAnsi="Tahoma"/>
      <w:i/>
      <w:sz w:val="20"/>
      <w:szCs w:val="20"/>
    </w:rPr>
  </w:style>
  <w:style w:type="character" w:customStyle="1" w:styleId="EFSAHeading5Char">
    <w:name w:val="EFSA_Heading 5 Char"/>
    <w:basedOn w:val="EFSAHeading4Char"/>
    <w:link w:val="EFSAHeading5"/>
    <w:rsid w:val="00E63AED"/>
    <w:rPr>
      <w:rFonts w:ascii="Tahoma" w:hAnsi="Tahoma"/>
      <w:b w:val="0"/>
      <w:i/>
      <w:sz w:val="20"/>
      <w:szCs w:val="20"/>
    </w:rPr>
  </w:style>
  <w:style w:type="numbering" w:customStyle="1" w:styleId="EFSAListbullets">
    <w:name w:val="EFSA_List bullets"/>
    <w:basedOn w:val="NoList"/>
    <w:uiPriority w:val="99"/>
    <w:rsid w:val="00214C6C"/>
    <w:pPr>
      <w:numPr>
        <w:numId w:val="10"/>
      </w:numPr>
    </w:pPr>
  </w:style>
  <w:style w:type="paragraph" w:customStyle="1" w:styleId="EFSAListnumbered">
    <w:name w:val="EFSA_List numbered"/>
    <w:basedOn w:val="ListParagraph"/>
    <w:link w:val="EFSAListnumberedChar"/>
    <w:qFormat/>
    <w:rsid w:val="00214C6C"/>
    <w:pPr>
      <w:numPr>
        <w:numId w:val="11"/>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214C6C"/>
    <w:rPr>
      <w:rFonts w:ascii="Tahoma" w:eastAsia="Times New Roman" w:hAnsi="Tahoma" w:cs="Times New Roman"/>
      <w:sz w:val="20"/>
      <w:szCs w:val="20"/>
      <w:lang w:eastAsia="en-GB"/>
    </w:rPr>
  </w:style>
  <w:style w:type="paragraph" w:styleId="ListParagraph">
    <w:name w:val="List Paragraph"/>
    <w:basedOn w:val="Normal"/>
    <w:uiPriority w:val="34"/>
    <w:semiHidden/>
    <w:qFormat/>
    <w:rsid w:val="00214C6C"/>
    <w:pPr>
      <w:ind w:left="720"/>
      <w:contextualSpacing/>
    </w:pPr>
  </w:style>
  <w:style w:type="paragraph" w:customStyle="1" w:styleId="EFSAOutputcategory">
    <w:name w:val="EFSA_Output category"/>
    <w:link w:val="EFSAOutputcategoryChar"/>
    <w:qFormat/>
    <w:rsid w:val="00214C6C"/>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214C6C"/>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214C6C"/>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214C6C"/>
    <w:rPr>
      <w:rFonts w:ascii="Tahoma" w:hAnsi="Tahoma"/>
      <w:b/>
      <w:sz w:val="32"/>
      <w:szCs w:val="32"/>
    </w:rPr>
  </w:style>
  <w:style w:type="paragraph" w:customStyle="1" w:styleId="EFSAReferences">
    <w:name w:val="EFSA_References"/>
    <w:link w:val="EFSAReferencesChar"/>
    <w:uiPriority w:val="99"/>
    <w:qFormat/>
    <w:rsid w:val="00903474"/>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uiPriority w:val="99"/>
    <w:rsid w:val="00903474"/>
    <w:rPr>
      <w:rFonts w:ascii="Tahoma" w:eastAsia="Times New Roman" w:hAnsi="Tahoma" w:cs="Times New Roman"/>
      <w:color w:val="000000"/>
      <w:sz w:val="20"/>
      <w:szCs w:val="20"/>
    </w:rPr>
  </w:style>
  <w:style w:type="paragraph" w:customStyle="1" w:styleId="EFSAShorttitle">
    <w:name w:val="EFSA_Short title"/>
    <w:link w:val="EFSAShorttitleChar"/>
    <w:qFormat/>
    <w:rsid w:val="00214C6C"/>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214C6C"/>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C14D72"/>
    <w:pPr>
      <w:spacing w:after="0"/>
      <w:jc w:val="left"/>
    </w:pPr>
    <w:rPr>
      <w:sz w:val="18"/>
    </w:rPr>
  </w:style>
  <w:style w:type="character" w:customStyle="1" w:styleId="EFSATabledataChar">
    <w:name w:val="EFSA_Table data Char"/>
    <w:basedOn w:val="EFSABodytextChar"/>
    <w:link w:val="EFSATabledata"/>
    <w:rsid w:val="00C14D72"/>
    <w:rPr>
      <w:rFonts w:ascii="Tahoma" w:hAnsi="Tahoma"/>
      <w:sz w:val="18"/>
      <w:szCs w:val="20"/>
    </w:rPr>
  </w:style>
  <w:style w:type="paragraph" w:customStyle="1" w:styleId="EFSATablefirstcolumn">
    <w:name w:val="EFSA_Table first column"/>
    <w:basedOn w:val="EFSATabledata"/>
    <w:link w:val="EFSATablefirstcolumnChar"/>
    <w:qFormat/>
    <w:rsid w:val="00214C6C"/>
    <w:rPr>
      <w:b/>
    </w:rPr>
  </w:style>
  <w:style w:type="character" w:customStyle="1" w:styleId="EFSATablefirstcolumnChar">
    <w:name w:val="EFSA_Table first column Char"/>
    <w:basedOn w:val="EFSATabledataChar"/>
    <w:link w:val="EFSATablefirstcolumn"/>
    <w:rsid w:val="00214C6C"/>
    <w:rPr>
      <w:rFonts w:ascii="Tahoma" w:hAnsi="Tahoma"/>
      <w:b/>
      <w:sz w:val="18"/>
      <w:szCs w:val="20"/>
    </w:rPr>
  </w:style>
  <w:style w:type="paragraph" w:customStyle="1" w:styleId="EFSATableheadingrow">
    <w:name w:val="EFSA_Table heading row"/>
    <w:basedOn w:val="EFSATabledata"/>
    <w:link w:val="EFSATableheadingrowChar"/>
    <w:qFormat/>
    <w:rsid w:val="00214C6C"/>
    <w:rPr>
      <w:b/>
    </w:rPr>
  </w:style>
  <w:style w:type="character" w:customStyle="1" w:styleId="EFSATableheadingrowChar">
    <w:name w:val="EFSA_Table heading row Char"/>
    <w:basedOn w:val="EFSATabledataChar"/>
    <w:link w:val="EFSATableheadingrow"/>
    <w:rsid w:val="00214C6C"/>
    <w:rPr>
      <w:rFonts w:ascii="Tahoma" w:hAnsi="Tahoma"/>
      <w:b/>
      <w:sz w:val="18"/>
      <w:szCs w:val="20"/>
    </w:rPr>
  </w:style>
  <w:style w:type="paragraph" w:customStyle="1" w:styleId="EFSATabletitle">
    <w:name w:val="EFSA_Table title"/>
    <w:next w:val="EFSABodytext"/>
    <w:link w:val="EFSATabletitleChar"/>
    <w:qFormat/>
    <w:rsid w:val="00903474"/>
    <w:pPr>
      <w:numPr>
        <w:numId w:val="12"/>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903474"/>
    <w:rPr>
      <w:rFonts w:ascii="Tahoma" w:hAnsi="Tahoma"/>
      <w:sz w:val="20"/>
      <w:szCs w:val="20"/>
    </w:rPr>
  </w:style>
  <w:style w:type="character" w:styleId="SubtleEmphasis">
    <w:name w:val="Subtle Emphasis"/>
    <w:semiHidden/>
    <w:qFormat/>
    <w:rsid w:val="00214C6C"/>
    <w:rPr>
      <w:rFonts w:ascii="Verdana" w:hAnsi="Verdana"/>
      <w:iCs/>
      <w:color w:val="000000"/>
      <w:sz w:val="20"/>
    </w:rPr>
  </w:style>
  <w:style w:type="paragraph" w:styleId="Header">
    <w:name w:val="header"/>
    <w:aliases w:val="EFSA Header"/>
    <w:basedOn w:val="Normal"/>
    <w:link w:val="HeaderChar"/>
    <w:uiPriority w:val="99"/>
    <w:rsid w:val="00214C6C"/>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aliases w:val="EFSA Header Char"/>
    <w:basedOn w:val="DefaultParagraphFont"/>
    <w:link w:val="Header"/>
    <w:uiPriority w:val="99"/>
    <w:rsid w:val="00214C6C"/>
    <w:rPr>
      <w:rFonts w:ascii="Tahoma" w:eastAsia="Times New Roman" w:hAnsi="Tahoma" w:cs="Times New Roman"/>
      <w:sz w:val="20"/>
      <w:szCs w:val="20"/>
      <w:lang w:eastAsia="en-GB"/>
    </w:rPr>
  </w:style>
  <w:style w:type="paragraph" w:styleId="TOC1">
    <w:name w:val="toc 1"/>
    <w:basedOn w:val="Normal"/>
    <w:uiPriority w:val="39"/>
    <w:qFormat/>
    <w:rsid w:val="00ED57A0"/>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64630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646303"/>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rsid w:val="00214C6C"/>
    <w:rPr>
      <w:vertAlign w:val="superscript"/>
    </w:rPr>
  </w:style>
  <w:style w:type="table" w:styleId="TableGrid">
    <w:name w:val="Table Grid"/>
    <w:basedOn w:val="TableNormal"/>
    <w:uiPriority w:val="59"/>
    <w:rsid w:val="00214C6C"/>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14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C6C"/>
    <w:rPr>
      <w:rFonts w:ascii="Tahoma" w:hAnsi="Tahoma" w:cs="Tahoma"/>
      <w:sz w:val="16"/>
      <w:szCs w:val="16"/>
    </w:rPr>
  </w:style>
  <w:style w:type="character" w:customStyle="1" w:styleId="Heading2Char">
    <w:name w:val="Heading 2 Char"/>
    <w:basedOn w:val="DefaultParagraphFont"/>
    <w:link w:val="Heading2"/>
    <w:uiPriority w:val="9"/>
    <w:semiHidden/>
    <w:rsid w:val="00D22C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22CAF"/>
    <w:rPr>
      <w:rFonts w:asciiTheme="majorHAnsi" w:eastAsiaTheme="majorEastAsia" w:hAnsiTheme="majorHAnsi" w:cstheme="majorBidi"/>
      <w:b/>
      <w:bCs/>
      <w:color w:val="4F81BD" w:themeColor="accent1"/>
    </w:rPr>
  </w:style>
  <w:style w:type="paragraph" w:styleId="Footer">
    <w:name w:val="footer"/>
    <w:basedOn w:val="Normal"/>
    <w:link w:val="FooterChar"/>
    <w:uiPriority w:val="99"/>
    <w:rsid w:val="007D4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4655"/>
  </w:style>
  <w:style w:type="character" w:styleId="LineNumber">
    <w:name w:val="line number"/>
    <w:basedOn w:val="DefaultParagraphFont"/>
    <w:uiPriority w:val="99"/>
    <w:semiHidden/>
    <w:rsid w:val="00EA0C60"/>
  </w:style>
  <w:style w:type="paragraph" w:styleId="TOCHeading">
    <w:name w:val="TOC Heading"/>
    <w:basedOn w:val="Heading1"/>
    <w:next w:val="Normal"/>
    <w:uiPriority w:val="39"/>
    <w:unhideWhenUsed/>
    <w:qFormat/>
    <w:rsid w:val="001219D4"/>
    <w:pPr>
      <w:outlineLvl w:val="9"/>
    </w:pPr>
    <w:rPr>
      <w:lang w:val="en-US" w:eastAsia="ja-JP"/>
    </w:rPr>
  </w:style>
  <w:style w:type="character" w:styleId="Hyperlink">
    <w:name w:val="Hyperlink"/>
    <w:basedOn w:val="DefaultParagraphFont"/>
    <w:uiPriority w:val="99"/>
    <w:unhideWhenUsed/>
    <w:rsid w:val="001219D4"/>
    <w:rPr>
      <w:color w:val="0000FF" w:themeColor="hyperlink"/>
      <w:u w:val="single"/>
    </w:rPr>
  </w:style>
  <w:style w:type="paragraph" w:styleId="TOC4">
    <w:name w:val="toc 4"/>
    <w:next w:val="Normal"/>
    <w:autoRedefine/>
    <w:uiPriority w:val="39"/>
    <w:rsid w:val="00684AC5"/>
    <w:pPr>
      <w:tabs>
        <w:tab w:val="right" w:leader="dot" w:pos="9072"/>
      </w:tabs>
      <w:spacing w:after="0" w:line="240" w:lineRule="auto"/>
      <w:ind w:left="680" w:hanging="680"/>
      <w:outlineLvl w:val="3"/>
    </w:pPr>
    <w:rPr>
      <w:rFonts w:ascii="Tahoma" w:hAnsi="Tahoma"/>
      <w:sz w:val="20"/>
    </w:rPr>
  </w:style>
  <w:style w:type="paragraph" w:styleId="TOC5">
    <w:name w:val="toc 5"/>
    <w:next w:val="Normal"/>
    <w:autoRedefine/>
    <w:uiPriority w:val="39"/>
    <w:rsid w:val="00ED57A0"/>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CB13F3"/>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Segoe UI" w:hAnsi="Segoe UI"/>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85715A"/>
    <w:pPr>
      <w:keepNext/>
      <w:numPr>
        <w:numId w:val="14"/>
      </w:numPr>
      <w:spacing w:before="240" w:after="120" w:line="240" w:lineRule="auto"/>
      <w:ind w:left="1418" w:hanging="1418"/>
      <w:outlineLvl w:val="0"/>
    </w:pPr>
    <w:rPr>
      <w:rFonts w:ascii="Tahoma" w:eastAsia="Times New Roman" w:hAnsi="Tahoma" w:cs="Mangal"/>
      <w:b/>
      <w:iCs/>
      <w:sz w:val="24"/>
      <w:szCs w:val="24"/>
      <w:lang w:eastAsia="en-GB"/>
    </w:rPr>
  </w:style>
  <w:style w:type="character" w:styleId="FollowedHyperlink">
    <w:name w:val="FollowedHyperlink"/>
    <w:basedOn w:val="DefaultParagraphFont"/>
    <w:uiPriority w:val="99"/>
    <w:semiHidden/>
    <w:rsid w:val="0048503C"/>
    <w:rPr>
      <w:color w:val="800080" w:themeColor="followedHyperlink"/>
      <w:u w:val="single"/>
    </w:rPr>
  </w:style>
  <w:style w:type="numbering" w:customStyle="1" w:styleId="EFSAheadinglist">
    <w:name w:val="EFSA_heading list"/>
    <w:uiPriority w:val="99"/>
    <w:rsid w:val="00E63AED"/>
    <w:pPr>
      <w:numPr>
        <w:numId w:val="17"/>
      </w:numPr>
    </w:pPr>
  </w:style>
  <w:style w:type="paragraph" w:customStyle="1" w:styleId="EFSAAppendixlevel1">
    <w:name w:val="EFSA_Appendix level 1"/>
    <w:next w:val="EFSABodytext"/>
    <w:qFormat/>
    <w:rsid w:val="00773C62"/>
    <w:pPr>
      <w:numPr>
        <w:ilvl w:val="1"/>
        <w:numId w:val="22"/>
      </w:numPr>
      <w:spacing w:before="240" w:after="120" w:line="240" w:lineRule="auto"/>
      <w:ind w:left="1276" w:hanging="1276"/>
    </w:pPr>
    <w:rPr>
      <w:rFonts w:ascii="Tahoma" w:eastAsiaTheme="majorEastAsia" w:hAnsi="Tahoma" w:cstheme="majorBidi"/>
      <w:b/>
      <w:bCs/>
      <w:sz w:val="24"/>
      <w:szCs w:val="28"/>
    </w:rPr>
  </w:style>
  <w:style w:type="paragraph" w:customStyle="1" w:styleId="EFSAAppendixlevel2">
    <w:name w:val="EFSA_Appendix level 2"/>
    <w:qFormat/>
    <w:rsid w:val="00773C62"/>
    <w:pPr>
      <w:numPr>
        <w:ilvl w:val="2"/>
        <w:numId w:val="22"/>
      </w:numPr>
      <w:spacing w:before="240" w:after="120" w:line="240" w:lineRule="auto"/>
      <w:ind w:left="1276" w:hanging="1276"/>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AB20F6"/>
    <w:pPr>
      <w:numPr>
        <w:ilvl w:val="3"/>
        <w:numId w:val="22"/>
      </w:numPr>
      <w:spacing w:before="240" w:after="120" w:line="240" w:lineRule="auto"/>
      <w:ind w:left="1276" w:hanging="1276"/>
    </w:pPr>
    <w:rPr>
      <w:rFonts w:ascii="Tahoma" w:eastAsiaTheme="majorEastAsia" w:hAnsi="Tahoma" w:cstheme="majorBidi"/>
      <w:b/>
      <w:bCs/>
      <w:color w:val="7F7F7F" w:themeColor="text1" w:themeTint="80"/>
      <w:szCs w:val="28"/>
    </w:rPr>
  </w:style>
  <w:style w:type="character" w:styleId="CommentReference">
    <w:name w:val="annotation reference"/>
    <w:basedOn w:val="DefaultParagraphFont"/>
    <w:uiPriority w:val="99"/>
    <w:rsid w:val="00DA68AE"/>
    <w:rPr>
      <w:sz w:val="16"/>
      <w:szCs w:val="16"/>
    </w:rPr>
  </w:style>
  <w:style w:type="paragraph" w:styleId="CommentText">
    <w:name w:val="annotation text"/>
    <w:aliases w:val=" Tegn24,Tegn24"/>
    <w:basedOn w:val="Normal"/>
    <w:link w:val="CommentTextChar"/>
    <w:uiPriority w:val="99"/>
    <w:rsid w:val="00DA68AE"/>
    <w:pPr>
      <w:spacing w:line="240" w:lineRule="auto"/>
    </w:pPr>
    <w:rPr>
      <w:sz w:val="20"/>
      <w:szCs w:val="20"/>
    </w:rPr>
  </w:style>
  <w:style w:type="character" w:customStyle="1" w:styleId="CommentTextChar">
    <w:name w:val="Comment Text Char"/>
    <w:aliases w:val=" Tegn24 Char,Tegn24 Char"/>
    <w:basedOn w:val="DefaultParagraphFont"/>
    <w:link w:val="CommentText"/>
    <w:uiPriority w:val="99"/>
    <w:rsid w:val="00DA68AE"/>
    <w:rPr>
      <w:sz w:val="20"/>
      <w:szCs w:val="20"/>
    </w:rPr>
  </w:style>
  <w:style w:type="paragraph" w:styleId="CommentSubject">
    <w:name w:val="annotation subject"/>
    <w:basedOn w:val="CommentText"/>
    <w:next w:val="CommentText"/>
    <w:link w:val="CommentSubjectChar"/>
    <w:uiPriority w:val="99"/>
    <w:semiHidden/>
    <w:rsid w:val="00DA68AE"/>
    <w:rPr>
      <w:b/>
      <w:bCs/>
    </w:rPr>
  </w:style>
  <w:style w:type="character" w:customStyle="1" w:styleId="CommentSubjectChar">
    <w:name w:val="Comment Subject Char"/>
    <w:basedOn w:val="CommentTextChar"/>
    <w:link w:val="CommentSubject"/>
    <w:uiPriority w:val="99"/>
    <w:semiHidden/>
    <w:rsid w:val="00DA68AE"/>
    <w:rPr>
      <w:b/>
      <w:bCs/>
      <w:sz w:val="20"/>
      <w:szCs w:val="20"/>
    </w:rPr>
  </w:style>
  <w:style w:type="character" w:customStyle="1" w:styleId="Heading4Char">
    <w:name w:val="Heading 4 Char"/>
    <w:basedOn w:val="DefaultParagraphFont"/>
    <w:link w:val="Heading4"/>
    <w:uiPriority w:val="9"/>
    <w:semiHidden/>
    <w:rsid w:val="00BF250D"/>
    <w:rPr>
      <w:rFonts w:asciiTheme="majorHAnsi" w:eastAsiaTheme="majorEastAsia" w:hAnsiTheme="majorHAnsi" w:cstheme="majorBidi"/>
      <w:b/>
      <w:bCs/>
      <w:i/>
      <w:iCs/>
      <w:color w:val="4F81BD" w:themeColor="accent1"/>
    </w:rPr>
  </w:style>
  <w:style w:type="paragraph" w:customStyle="1" w:styleId="EFSAAppendixlevel4">
    <w:name w:val="EFSA_Appendix level 4"/>
    <w:uiPriority w:val="99"/>
    <w:qFormat/>
    <w:rsid w:val="00773C62"/>
    <w:pPr>
      <w:numPr>
        <w:ilvl w:val="4"/>
        <w:numId w:val="26"/>
      </w:numPr>
      <w:spacing w:before="240" w:after="120" w:line="240" w:lineRule="auto"/>
      <w:ind w:left="1276" w:hanging="1276"/>
    </w:pPr>
    <w:rPr>
      <w:rFonts w:ascii="Tahoma" w:hAnsi="Tahoma"/>
      <w:b/>
      <w:sz w:val="20"/>
      <w:szCs w:val="20"/>
    </w:rPr>
  </w:style>
  <w:style w:type="paragraph" w:styleId="NormalWeb">
    <w:name w:val="Normal (Web)"/>
    <w:basedOn w:val="Normal"/>
    <w:uiPriority w:val="99"/>
    <w:unhideWhenUsed/>
    <w:rsid w:val="00671F8F"/>
    <w:pPr>
      <w:spacing w:before="100" w:beforeAutospacing="1" w:after="100" w:afterAutospacing="1" w:line="300" w:lineRule="atLeast"/>
    </w:pPr>
    <w:rPr>
      <w:rFonts w:ascii="Verdana" w:eastAsia="Times New Roman" w:hAnsi="Verdana" w:cs="Times New Roman"/>
      <w:color w:val="313F4B"/>
      <w:sz w:val="18"/>
      <w:szCs w:val="18"/>
      <w:lang w:eastAsia="en-GB"/>
    </w:rPr>
  </w:style>
  <w:style w:type="paragraph" w:styleId="PlainText">
    <w:name w:val="Plain Text"/>
    <w:basedOn w:val="Normal"/>
    <w:link w:val="PlainTextChar"/>
    <w:uiPriority w:val="99"/>
    <w:unhideWhenUsed/>
    <w:rsid w:val="00A00E6D"/>
    <w:pPr>
      <w:spacing w:after="0" w:line="240" w:lineRule="auto"/>
    </w:pPr>
    <w:rPr>
      <w:rFonts w:ascii="Consolas" w:eastAsia="SimSun" w:hAnsi="Consolas" w:cs="Times New Roman"/>
      <w:sz w:val="21"/>
      <w:szCs w:val="21"/>
      <w:lang w:val="x-none" w:eastAsia="x-none"/>
    </w:rPr>
  </w:style>
  <w:style w:type="character" w:customStyle="1" w:styleId="PlainTextChar">
    <w:name w:val="Plain Text Char"/>
    <w:basedOn w:val="DefaultParagraphFont"/>
    <w:link w:val="PlainText"/>
    <w:uiPriority w:val="99"/>
    <w:rsid w:val="00A00E6D"/>
    <w:rPr>
      <w:rFonts w:ascii="Consolas" w:eastAsia="SimSun" w:hAnsi="Consolas" w:cs="Times New Roman"/>
      <w:sz w:val="21"/>
      <w:szCs w:val="21"/>
      <w:lang w:val="x-none" w:eastAsia="x-none"/>
    </w:rPr>
  </w:style>
  <w:style w:type="character" w:customStyle="1" w:styleId="EFSABodytextCharChar">
    <w:name w:val="EFSA_Body text Char Char"/>
    <w:rsid w:val="00A00E6D"/>
    <w:rPr>
      <w:rFonts w:eastAsia="Times New Roman"/>
    </w:rPr>
  </w:style>
  <w:style w:type="paragraph" w:styleId="Revision">
    <w:name w:val="Revision"/>
    <w:hidden/>
    <w:uiPriority w:val="99"/>
    <w:semiHidden/>
    <w:rsid w:val="000A3A44"/>
    <w:pPr>
      <w:spacing w:after="0" w:line="240" w:lineRule="auto"/>
    </w:pPr>
  </w:style>
  <w:style w:type="paragraph" w:customStyle="1" w:styleId="EFSABODYCOPY">
    <w:name w:val="EFSA BODY COPY"/>
    <w:basedOn w:val="Normal"/>
    <w:link w:val="EFSABODYCOPYChar"/>
    <w:qFormat/>
    <w:rsid w:val="00193D8C"/>
    <w:pPr>
      <w:spacing w:after="120" w:line="240" w:lineRule="auto"/>
    </w:pPr>
    <w:rPr>
      <w:rFonts w:ascii="Verdana" w:eastAsia="Calibri" w:hAnsi="Verdana" w:cs="Times New Roman"/>
      <w:sz w:val="20"/>
    </w:rPr>
  </w:style>
  <w:style w:type="character" w:customStyle="1" w:styleId="EFSABODYCOPYChar">
    <w:name w:val="EFSA BODY COPY Char"/>
    <w:basedOn w:val="DefaultParagraphFont"/>
    <w:link w:val="EFSABODYCOPY"/>
    <w:rsid w:val="00193D8C"/>
    <w:rPr>
      <w:rFonts w:ascii="Verdana" w:eastAsia="Calibri" w:hAnsi="Verdana" w:cs="Times New Roman"/>
      <w:sz w:val="20"/>
    </w:rPr>
  </w:style>
  <w:style w:type="character" w:customStyle="1" w:styleId="UnresolvedMention1">
    <w:name w:val="Unresolved Mention1"/>
    <w:basedOn w:val="DefaultParagraphFont"/>
    <w:uiPriority w:val="99"/>
    <w:unhideWhenUsed/>
    <w:rsid w:val="00740C34"/>
    <w:rPr>
      <w:color w:val="605E5C"/>
      <w:shd w:val="clear" w:color="auto" w:fill="E1DFDD"/>
    </w:rPr>
  </w:style>
  <w:style w:type="character" w:customStyle="1" w:styleId="Mention1">
    <w:name w:val="Mention1"/>
    <w:basedOn w:val="DefaultParagraphFont"/>
    <w:uiPriority w:val="99"/>
    <w:unhideWhenUsed/>
    <w:rsid w:val="00740C34"/>
    <w:rPr>
      <w:color w:val="2B579A"/>
      <w:shd w:val="clear" w:color="auto" w:fill="E1DFDD"/>
    </w:rPr>
  </w:style>
  <w:style w:type="character" w:customStyle="1" w:styleId="UnresolvedMention2">
    <w:name w:val="Unresolved Mention2"/>
    <w:basedOn w:val="DefaultParagraphFont"/>
    <w:uiPriority w:val="99"/>
    <w:semiHidden/>
    <w:unhideWhenUsed/>
    <w:rsid w:val="00444D27"/>
    <w:rPr>
      <w:color w:val="605E5C"/>
      <w:shd w:val="clear" w:color="auto" w:fill="E1DFDD"/>
    </w:rPr>
  </w:style>
  <w:style w:type="paragraph" w:styleId="EndnoteText">
    <w:name w:val="endnote text"/>
    <w:basedOn w:val="Normal"/>
    <w:link w:val="EndnoteTextChar"/>
    <w:uiPriority w:val="99"/>
    <w:semiHidden/>
    <w:unhideWhenUsed/>
    <w:rsid w:val="00E875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75FA"/>
    <w:rPr>
      <w:sz w:val="20"/>
      <w:szCs w:val="20"/>
    </w:rPr>
  </w:style>
  <w:style w:type="character" w:styleId="EndnoteReference">
    <w:name w:val="endnote reference"/>
    <w:basedOn w:val="DefaultParagraphFont"/>
    <w:uiPriority w:val="99"/>
    <w:semiHidden/>
    <w:unhideWhenUsed/>
    <w:rsid w:val="00E875FA"/>
    <w:rPr>
      <w:vertAlign w:val="superscript"/>
    </w:rPr>
  </w:style>
  <w:style w:type="paragraph" w:customStyle="1" w:styleId="Default">
    <w:name w:val="Default"/>
    <w:rsid w:val="009E1C5A"/>
    <w:pPr>
      <w:autoSpaceDE w:val="0"/>
      <w:autoSpaceDN w:val="0"/>
      <w:adjustRightInd w:val="0"/>
      <w:spacing w:after="0" w:line="240" w:lineRule="auto"/>
    </w:pPr>
    <w:rPr>
      <w:rFonts w:ascii="Tahoma" w:hAnsi="Tahoma" w:cs="Tahoma"/>
      <w:color w:val="000000"/>
      <w:sz w:val="24"/>
      <w:szCs w:val="24"/>
    </w:rPr>
  </w:style>
  <w:style w:type="table" w:styleId="LightList-Accent6">
    <w:name w:val="Light List Accent 6"/>
    <w:basedOn w:val="TableNormal"/>
    <w:uiPriority w:val="61"/>
    <w:rsid w:val="009E1C5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Spacing">
    <w:name w:val="No Spacing"/>
    <w:link w:val="NoSpacingChar"/>
    <w:uiPriority w:val="1"/>
    <w:qFormat/>
    <w:rsid w:val="005A331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A3310"/>
    <w:rPr>
      <w:rFonts w:eastAsiaTheme="minorEastAsia"/>
      <w:lang w:val="en-US"/>
    </w:rPr>
  </w:style>
  <w:style w:type="character" w:customStyle="1" w:styleId="EFSAHeaderandFootertext">
    <w:name w:val="EFSA_Header and Footer text"/>
    <w:qFormat/>
    <w:rsid w:val="005A3310"/>
    <w:rPr>
      <w:rFonts w:ascii="Times New Roman" w:hAnsi="Times New Roman"/>
      <w:bCs/>
      <w:iCs/>
      <w:sz w:val="20"/>
    </w:rPr>
  </w:style>
  <w:style w:type="character" w:styleId="PageNumber">
    <w:name w:val="page number"/>
    <w:basedOn w:val="DefaultParagraphFont"/>
    <w:rsid w:val="005A3310"/>
  </w:style>
  <w:style w:type="paragraph" w:customStyle="1" w:styleId="EFSATitle">
    <w:name w:val="EFSA_Title"/>
    <w:next w:val="EFSAAuthor"/>
    <w:link w:val="EFSATitleChar"/>
    <w:qFormat/>
    <w:rsid w:val="005A3310"/>
    <w:pPr>
      <w:widowControl w:val="0"/>
      <w:spacing w:before="360" w:after="0" w:line="240" w:lineRule="auto"/>
      <w:jc w:val="center"/>
    </w:pPr>
    <w:rPr>
      <w:rFonts w:ascii="Times New Roman" w:eastAsia="Times New Roman" w:hAnsi="Times New Roman" w:cs="Times New Roman"/>
      <w:b/>
      <w:bCs/>
      <w:sz w:val="28"/>
    </w:rPr>
  </w:style>
  <w:style w:type="character" w:customStyle="1" w:styleId="EFSATitleChar">
    <w:name w:val="EFSA_Title Char"/>
    <w:basedOn w:val="DefaultParagraphFont"/>
    <w:link w:val="EFSATitle"/>
    <w:rsid w:val="005A3310"/>
    <w:rPr>
      <w:rFonts w:ascii="Times New Roman" w:eastAsia="Times New Roman" w:hAnsi="Times New Roman" w:cs="Times New Roman"/>
      <w:b/>
      <w:bCs/>
      <w:sz w:val="28"/>
    </w:rPr>
  </w:style>
  <w:style w:type="character" w:styleId="PlaceholderText">
    <w:name w:val="Placeholder Text"/>
    <w:basedOn w:val="DefaultParagraphFont"/>
    <w:uiPriority w:val="99"/>
    <w:semiHidden/>
    <w:rsid w:val="005A3310"/>
    <w:rPr>
      <w:color w:val="808080"/>
    </w:rPr>
  </w:style>
  <w:style w:type="character" w:customStyle="1" w:styleId="UnresolvedMention3">
    <w:name w:val="Unresolved Mention3"/>
    <w:basedOn w:val="DefaultParagraphFont"/>
    <w:uiPriority w:val="99"/>
    <w:semiHidden/>
    <w:unhideWhenUsed/>
    <w:rsid w:val="000C43E4"/>
    <w:rPr>
      <w:color w:val="605E5C"/>
      <w:shd w:val="clear" w:color="auto" w:fill="E1DFDD"/>
    </w:rPr>
  </w:style>
  <w:style w:type="character" w:styleId="UnresolvedMention">
    <w:name w:val="Unresolved Mention"/>
    <w:basedOn w:val="DefaultParagraphFont"/>
    <w:uiPriority w:val="99"/>
    <w:semiHidden/>
    <w:unhideWhenUsed/>
    <w:rsid w:val="0088592C"/>
    <w:rPr>
      <w:color w:val="605E5C"/>
      <w:shd w:val="clear" w:color="auto" w:fill="E1DFDD"/>
    </w:rPr>
  </w:style>
  <w:style w:type="character" w:customStyle="1" w:styleId="ui-provider">
    <w:name w:val="ui-provider"/>
    <w:basedOn w:val="DefaultParagraphFont"/>
    <w:rsid w:val="00A808B8"/>
  </w:style>
  <w:style w:type="character" w:styleId="Mention">
    <w:name w:val="Mention"/>
    <w:basedOn w:val="DefaultParagraphFont"/>
    <w:uiPriority w:val="99"/>
    <w:unhideWhenUsed/>
    <w:rsid w:val="00F16AD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1465">
      <w:bodyDiv w:val="1"/>
      <w:marLeft w:val="0"/>
      <w:marRight w:val="0"/>
      <w:marTop w:val="0"/>
      <w:marBottom w:val="0"/>
      <w:divBdr>
        <w:top w:val="none" w:sz="0" w:space="0" w:color="auto"/>
        <w:left w:val="none" w:sz="0" w:space="0" w:color="auto"/>
        <w:bottom w:val="none" w:sz="0" w:space="0" w:color="auto"/>
        <w:right w:val="none" w:sz="0" w:space="0" w:color="auto"/>
      </w:divBdr>
    </w:div>
    <w:div w:id="78648991">
      <w:bodyDiv w:val="1"/>
      <w:marLeft w:val="0"/>
      <w:marRight w:val="0"/>
      <w:marTop w:val="0"/>
      <w:marBottom w:val="0"/>
      <w:divBdr>
        <w:top w:val="none" w:sz="0" w:space="0" w:color="auto"/>
        <w:left w:val="none" w:sz="0" w:space="0" w:color="auto"/>
        <w:bottom w:val="none" w:sz="0" w:space="0" w:color="auto"/>
        <w:right w:val="none" w:sz="0" w:space="0" w:color="auto"/>
      </w:divBdr>
    </w:div>
    <w:div w:id="112872733">
      <w:bodyDiv w:val="1"/>
      <w:marLeft w:val="0"/>
      <w:marRight w:val="0"/>
      <w:marTop w:val="0"/>
      <w:marBottom w:val="0"/>
      <w:divBdr>
        <w:top w:val="none" w:sz="0" w:space="0" w:color="auto"/>
        <w:left w:val="none" w:sz="0" w:space="0" w:color="auto"/>
        <w:bottom w:val="none" w:sz="0" w:space="0" w:color="auto"/>
        <w:right w:val="none" w:sz="0" w:space="0" w:color="auto"/>
      </w:divBdr>
    </w:div>
    <w:div w:id="149639560">
      <w:bodyDiv w:val="1"/>
      <w:marLeft w:val="0"/>
      <w:marRight w:val="0"/>
      <w:marTop w:val="0"/>
      <w:marBottom w:val="0"/>
      <w:divBdr>
        <w:top w:val="none" w:sz="0" w:space="0" w:color="auto"/>
        <w:left w:val="none" w:sz="0" w:space="0" w:color="auto"/>
        <w:bottom w:val="none" w:sz="0" w:space="0" w:color="auto"/>
        <w:right w:val="none" w:sz="0" w:space="0" w:color="auto"/>
      </w:divBdr>
      <w:divsChild>
        <w:div w:id="552424947">
          <w:marLeft w:val="0"/>
          <w:marRight w:val="0"/>
          <w:marTop w:val="0"/>
          <w:marBottom w:val="0"/>
          <w:divBdr>
            <w:top w:val="none" w:sz="0" w:space="0" w:color="auto"/>
            <w:left w:val="none" w:sz="0" w:space="0" w:color="auto"/>
            <w:bottom w:val="none" w:sz="0" w:space="0" w:color="auto"/>
            <w:right w:val="none" w:sz="0" w:space="0" w:color="auto"/>
          </w:divBdr>
        </w:div>
        <w:div w:id="2104103984">
          <w:marLeft w:val="0"/>
          <w:marRight w:val="0"/>
          <w:marTop w:val="0"/>
          <w:marBottom w:val="0"/>
          <w:divBdr>
            <w:top w:val="none" w:sz="0" w:space="0" w:color="auto"/>
            <w:left w:val="none" w:sz="0" w:space="0" w:color="auto"/>
            <w:bottom w:val="none" w:sz="0" w:space="0" w:color="auto"/>
            <w:right w:val="none" w:sz="0" w:space="0" w:color="auto"/>
          </w:divBdr>
        </w:div>
      </w:divsChild>
    </w:div>
    <w:div w:id="282806971">
      <w:bodyDiv w:val="1"/>
      <w:marLeft w:val="0"/>
      <w:marRight w:val="0"/>
      <w:marTop w:val="0"/>
      <w:marBottom w:val="0"/>
      <w:divBdr>
        <w:top w:val="none" w:sz="0" w:space="0" w:color="auto"/>
        <w:left w:val="none" w:sz="0" w:space="0" w:color="auto"/>
        <w:bottom w:val="none" w:sz="0" w:space="0" w:color="auto"/>
        <w:right w:val="none" w:sz="0" w:space="0" w:color="auto"/>
      </w:divBdr>
    </w:div>
    <w:div w:id="381757044">
      <w:bodyDiv w:val="1"/>
      <w:marLeft w:val="0"/>
      <w:marRight w:val="0"/>
      <w:marTop w:val="0"/>
      <w:marBottom w:val="0"/>
      <w:divBdr>
        <w:top w:val="none" w:sz="0" w:space="0" w:color="auto"/>
        <w:left w:val="none" w:sz="0" w:space="0" w:color="auto"/>
        <w:bottom w:val="none" w:sz="0" w:space="0" w:color="auto"/>
        <w:right w:val="none" w:sz="0" w:space="0" w:color="auto"/>
      </w:divBdr>
    </w:div>
    <w:div w:id="402216709">
      <w:bodyDiv w:val="1"/>
      <w:marLeft w:val="0"/>
      <w:marRight w:val="0"/>
      <w:marTop w:val="0"/>
      <w:marBottom w:val="0"/>
      <w:divBdr>
        <w:top w:val="none" w:sz="0" w:space="0" w:color="auto"/>
        <w:left w:val="none" w:sz="0" w:space="0" w:color="auto"/>
        <w:bottom w:val="none" w:sz="0" w:space="0" w:color="auto"/>
        <w:right w:val="none" w:sz="0" w:space="0" w:color="auto"/>
      </w:divBdr>
    </w:div>
    <w:div w:id="411778294">
      <w:bodyDiv w:val="1"/>
      <w:marLeft w:val="0"/>
      <w:marRight w:val="0"/>
      <w:marTop w:val="0"/>
      <w:marBottom w:val="0"/>
      <w:divBdr>
        <w:top w:val="none" w:sz="0" w:space="0" w:color="auto"/>
        <w:left w:val="none" w:sz="0" w:space="0" w:color="auto"/>
        <w:bottom w:val="none" w:sz="0" w:space="0" w:color="auto"/>
        <w:right w:val="none" w:sz="0" w:space="0" w:color="auto"/>
      </w:divBdr>
    </w:div>
    <w:div w:id="480587492">
      <w:bodyDiv w:val="1"/>
      <w:marLeft w:val="0"/>
      <w:marRight w:val="0"/>
      <w:marTop w:val="0"/>
      <w:marBottom w:val="0"/>
      <w:divBdr>
        <w:top w:val="none" w:sz="0" w:space="0" w:color="auto"/>
        <w:left w:val="none" w:sz="0" w:space="0" w:color="auto"/>
        <w:bottom w:val="none" w:sz="0" w:space="0" w:color="auto"/>
        <w:right w:val="none" w:sz="0" w:space="0" w:color="auto"/>
      </w:divBdr>
    </w:div>
    <w:div w:id="526866885">
      <w:bodyDiv w:val="1"/>
      <w:marLeft w:val="0"/>
      <w:marRight w:val="0"/>
      <w:marTop w:val="0"/>
      <w:marBottom w:val="0"/>
      <w:divBdr>
        <w:top w:val="none" w:sz="0" w:space="0" w:color="auto"/>
        <w:left w:val="none" w:sz="0" w:space="0" w:color="auto"/>
        <w:bottom w:val="none" w:sz="0" w:space="0" w:color="auto"/>
        <w:right w:val="none" w:sz="0" w:space="0" w:color="auto"/>
      </w:divBdr>
    </w:div>
    <w:div w:id="635329761">
      <w:bodyDiv w:val="1"/>
      <w:marLeft w:val="0"/>
      <w:marRight w:val="0"/>
      <w:marTop w:val="0"/>
      <w:marBottom w:val="0"/>
      <w:divBdr>
        <w:top w:val="none" w:sz="0" w:space="0" w:color="auto"/>
        <w:left w:val="none" w:sz="0" w:space="0" w:color="auto"/>
        <w:bottom w:val="none" w:sz="0" w:space="0" w:color="auto"/>
        <w:right w:val="none" w:sz="0" w:space="0" w:color="auto"/>
      </w:divBdr>
    </w:div>
    <w:div w:id="710152627">
      <w:bodyDiv w:val="1"/>
      <w:marLeft w:val="0"/>
      <w:marRight w:val="0"/>
      <w:marTop w:val="0"/>
      <w:marBottom w:val="0"/>
      <w:divBdr>
        <w:top w:val="none" w:sz="0" w:space="0" w:color="auto"/>
        <w:left w:val="none" w:sz="0" w:space="0" w:color="auto"/>
        <w:bottom w:val="none" w:sz="0" w:space="0" w:color="auto"/>
        <w:right w:val="none" w:sz="0" w:space="0" w:color="auto"/>
      </w:divBdr>
    </w:div>
    <w:div w:id="945889523">
      <w:bodyDiv w:val="1"/>
      <w:marLeft w:val="0"/>
      <w:marRight w:val="0"/>
      <w:marTop w:val="0"/>
      <w:marBottom w:val="0"/>
      <w:divBdr>
        <w:top w:val="none" w:sz="0" w:space="0" w:color="auto"/>
        <w:left w:val="none" w:sz="0" w:space="0" w:color="auto"/>
        <w:bottom w:val="none" w:sz="0" w:space="0" w:color="auto"/>
        <w:right w:val="none" w:sz="0" w:space="0" w:color="auto"/>
      </w:divBdr>
      <w:divsChild>
        <w:div w:id="239412217">
          <w:marLeft w:val="0"/>
          <w:marRight w:val="0"/>
          <w:marTop w:val="0"/>
          <w:marBottom w:val="0"/>
          <w:divBdr>
            <w:top w:val="none" w:sz="0" w:space="0" w:color="auto"/>
            <w:left w:val="none" w:sz="0" w:space="0" w:color="auto"/>
            <w:bottom w:val="none" w:sz="0" w:space="0" w:color="auto"/>
            <w:right w:val="none" w:sz="0" w:space="0" w:color="auto"/>
          </w:divBdr>
        </w:div>
        <w:div w:id="435830859">
          <w:marLeft w:val="0"/>
          <w:marRight w:val="0"/>
          <w:marTop w:val="0"/>
          <w:marBottom w:val="0"/>
          <w:divBdr>
            <w:top w:val="none" w:sz="0" w:space="0" w:color="auto"/>
            <w:left w:val="none" w:sz="0" w:space="0" w:color="auto"/>
            <w:bottom w:val="none" w:sz="0" w:space="0" w:color="auto"/>
            <w:right w:val="none" w:sz="0" w:space="0" w:color="auto"/>
          </w:divBdr>
        </w:div>
        <w:div w:id="620459178">
          <w:marLeft w:val="0"/>
          <w:marRight w:val="0"/>
          <w:marTop w:val="0"/>
          <w:marBottom w:val="0"/>
          <w:divBdr>
            <w:top w:val="none" w:sz="0" w:space="0" w:color="auto"/>
            <w:left w:val="none" w:sz="0" w:space="0" w:color="auto"/>
            <w:bottom w:val="none" w:sz="0" w:space="0" w:color="auto"/>
            <w:right w:val="none" w:sz="0" w:space="0" w:color="auto"/>
          </w:divBdr>
        </w:div>
        <w:div w:id="674042161">
          <w:marLeft w:val="0"/>
          <w:marRight w:val="0"/>
          <w:marTop w:val="0"/>
          <w:marBottom w:val="0"/>
          <w:divBdr>
            <w:top w:val="none" w:sz="0" w:space="0" w:color="auto"/>
            <w:left w:val="none" w:sz="0" w:space="0" w:color="auto"/>
            <w:bottom w:val="none" w:sz="0" w:space="0" w:color="auto"/>
            <w:right w:val="none" w:sz="0" w:space="0" w:color="auto"/>
          </w:divBdr>
        </w:div>
        <w:div w:id="702480986">
          <w:marLeft w:val="0"/>
          <w:marRight w:val="0"/>
          <w:marTop w:val="0"/>
          <w:marBottom w:val="0"/>
          <w:divBdr>
            <w:top w:val="none" w:sz="0" w:space="0" w:color="auto"/>
            <w:left w:val="none" w:sz="0" w:space="0" w:color="auto"/>
            <w:bottom w:val="none" w:sz="0" w:space="0" w:color="auto"/>
            <w:right w:val="none" w:sz="0" w:space="0" w:color="auto"/>
          </w:divBdr>
        </w:div>
        <w:div w:id="724908574">
          <w:marLeft w:val="0"/>
          <w:marRight w:val="0"/>
          <w:marTop w:val="0"/>
          <w:marBottom w:val="0"/>
          <w:divBdr>
            <w:top w:val="none" w:sz="0" w:space="0" w:color="auto"/>
            <w:left w:val="none" w:sz="0" w:space="0" w:color="auto"/>
            <w:bottom w:val="none" w:sz="0" w:space="0" w:color="auto"/>
            <w:right w:val="none" w:sz="0" w:space="0" w:color="auto"/>
          </w:divBdr>
        </w:div>
        <w:div w:id="941105030">
          <w:marLeft w:val="0"/>
          <w:marRight w:val="0"/>
          <w:marTop w:val="0"/>
          <w:marBottom w:val="0"/>
          <w:divBdr>
            <w:top w:val="none" w:sz="0" w:space="0" w:color="auto"/>
            <w:left w:val="none" w:sz="0" w:space="0" w:color="auto"/>
            <w:bottom w:val="none" w:sz="0" w:space="0" w:color="auto"/>
            <w:right w:val="none" w:sz="0" w:space="0" w:color="auto"/>
          </w:divBdr>
        </w:div>
        <w:div w:id="1138762637">
          <w:marLeft w:val="0"/>
          <w:marRight w:val="0"/>
          <w:marTop w:val="0"/>
          <w:marBottom w:val="0"/>
          <w:divBdr>
            <w:top w:val="none" w:sz="0" w:space="0" w:color="auto"/>
            <w:left w:val="none" w:sz="0" w:space="0" w:color="auto"/>
            <w:bottom w:val="none" w:sz="0" w:space="0" w:color="auto"/>
            <w:right w:val="none" w:sz="0" w:space="0" w:color="auto"/>
          </w:divBdr>
        </w:div>
        <w:div w:id="1239248048">
          <w:marLeft w:val="0"/>
          <w:marRight w:val="0"/>
          <w:marTop w:val="0"/>
          <w:marBottom w:val="0"/>
          <w:divBdr>
            <w:top w:val="none" w:sz="0" w:space="0" w:color="auto"/>
            <w:left w:val="none" w:sz="0" w:space="0" w:color="auto"/>
            <w:bottom w:val="none" w:sz="0" w:space="0" w:color="auto"/>
            <w:right w:val="none" w:sz="0" w:space="0" w:color="auto"/>
          </w:divBdr>
        </w:div>
        <w:div w:id="1690372975">
          <w:marLeft w:val="0"/>
          <w:marRight w:val="0"/>
          <w:marTop w:val="0"/>
          <w:marBottom w:val="0"/>
          <w:divBdr>
            <w:top w:val="none" w:sz="0" w:space="0" w:color="auto"/>
            <w:left w:val="none" w:sz="0" w:space="0" w:color="auto"/>
            <w:bottom w:val="none" w:sz="0" w:space="0" w:color="auto"/>
            <w:right w:val="none" w:sz="0" w:space="0" w:color="auto"/>
          </w:divBdr>
        </w:div>
        <w:div w:id="2084452723">
          <w:marLeft w:val="0"/>
          <w:marRight w:val="0"/>
          <w:marTop w:val="0"/>
          <w:marBottom w:val="0"/>
          <w:divBdr>
            <w:top w:val="none" w:sz="0" w:space="0" w:color="auto"/>
            <w:left w:val="none" w:sz="0" w:space="0" w:color="auto"/>
            <w:bottom w:val="none" w:sz="0" w:space="0" w:color="auto"/>
            <w:right w:val="none" w:sz="0" w:space="0" w:color="auto"/>
          </w:divBdr>
        </w:div>
      </w:divsChild>
    </w:div>
    <w:div w:id="965160515">
      <w:bodyDiv w:val="1"/>
      <w:marLeft w:val="0"/>
      <w:marRight w:val="0"/>
      <w:marTop w:val="0"/>
      <w:marBottom w:val="0"/>
      <w:divBdr>
        <w:top w:val="none" w:sz="0" w:space="0" w:color="auto"/>
        <w:left w:val="none" w:sz="0" w:space="0" w:color="auto"/>
        <w:bottom w:val="none" w:sz="0" w:space="0" w:color="auto"/>
        <w:right w:val="none" w:sz="0" w:space="0" w:color="auto"/>
      </w:divBdr>
    </w:div>
    <w:div w:id="1046491091">
      <w:bodyDiv w:val="1"/>
      <w:marLeft w:val="0"/>
      <w:marRight w:val="0"/>
      <w:marTop w:val="0"/>
      <w:marBottom w:val="0"/>
      <w:divBdr>
        <w:top w:val="none" w:sz="0" w:space="0" w:color="auto"/>
        <w:left w:val="none" w:sz="0" w:space="0" w:color="auto"/>
        <w:bottom w:val="none" w:sz="0" w:space="0" w:color="auto"/>
        <w:right w:val="none" w:sz="0" w:space="0" w:color="auto"/>
      </w:divBdr>
    </w:div>
    <w:div w:id="1112356370">
      <w:bodyDiv w:val="1"/>
      <w:marLeft w:val="0"/>
      <w:marRight w:val="0"/>
      <w:marTop w:val="0"/>
      <w:marBottom w:val="0"/>
      <w:divBdr>
        <w:top w:val="none" w:sz="0" w:space="0" w:color="auto"/>
        <w:left w:val="none" w:sz="0" w:space="0" w:color="auto"/>
        <w:bottom w:val="none" w:sz="0" w:space="0" w:color="auto"/>
        <w:right w:val="none" w:sz="0" w:space="0" w:color="auto"/>
      </w:divBdr>
    </w:div>
    <w:div w:id="1222516826">
      <w:bodyDiv w:val="1"/>
      <w:marLeft w:val="0"/>
      <w:marRight w:val="0"/>
      <w:marTop w:val="0"/>
      <w:marBottom w:val="0"/>
      <w:divBdr>
        <w:top w:val="none" w:sz="0" w:space="0" w:color="auto"/>
        <w:left w:val="none" w:sz="0" w:space="0" w:color="auto"/>
        <w:bottom w:val="none" w:sz="0" w:space="0" w:color="auto"/>
        <w:right w:val="none" w:sz="0" w:space="0" w:color="auto"/>
      </w:divBdr>
    </w:div>
    <w:div w:id="1243685618">
      <w:bodyDiv w:val="1"/>
      <w:marLeft w:val="0"/>
      <w:marRight w:val="0"/>
      <w:marTop w:val="0"/>
      <w:marBottom w:val="0"/>
      <w:divBdr>
        <w:top w:val="none" w:sz="0" w:space="0" w:color="auto"/>
        <w:left w:val="none" w:sz="0" w:space="0" w:color="auto"/>
        <w:bottom w:val="none" w:sz="0" w:space="0" w:color="auto"/>
        <w:right w:val="none" w:sz="0" w:space="0" w:color="auto"/>
      </w:divBdr>
      <w:divsChild>
        <w:div w:id="11347836">
          <w:marLeft w:val="0"/>
          <w:marRight w:val="0"/>
          <w:marTop w:val="0"/>
          <w:marBottom w:val="0"/>
          <w:divBdr>
            <w:top w:val="none" w:sz="0" w:space="0" w:color="auto"/>
            <w:left w:val="none" w:sz="0" w:space="0" w:color="auto"/>
            <w:bottom w:val="none" w:sz="0" w:space="0" w:color="auto"/>
            <w:right w:val="none" w:sz="0" w:space="0" w:color="auto"/>
          </w:divBdr>
        </w:div>
        <w:div w:id="2020696788">
          <w:marLeft w:val="0"/>
          <w:marRight w:val="0"/>
          <w:marTop w:val="0"/>
          <w:marBottom w:val="0"/>
          <w:divBdr>
            <w:top w:val="none" w:sz="0" w:space="0" w:color="auto"/>
            <w:left w:val="none" w:sz="0" w:space="0" w:color="auto"/>
            <w:bottom w:val="none" w:sz="0" w:space="0" w:color="auto"/>
            <w:right w:val="none" w:sz="0" w:space="0" w:color="auto"/>
          </w:divBdr>
        </w:div>
      </w:divsChild>
    </w:div>
    <w:div w:id="1247567539">
      <w:bodyDiv w:val="1"/>
      <w:marLeft w:val="0"/>
      <w:marRight w:val="0"/>
      <w:marTop w:val="0"/>
      <w:marBottom w:val="0"/>
      <w:divBdr>
        <w:top w:val="none" w:sz="0" w:space="0" w:color="auto"/>
        <w:left w:val="none" w:sz="0" w:space="0" w:color="auto"/>
        <w:bottom w:val="none" w:sz="0" w:space="0" w:color="auto"/>
        <w:right w:val="none" w:sz="0" w:space="0" w:color="auto"/>
      </w:divBdr>
    </w:div>
    <w:div w:id="1259021781">
      <w:bodyDiv w:val="1"/>
      <w:marLeft w:val="0"/>
      <w:marRight w:val="0"/>
      <w:marTop w:val="0"/>
      <w:marBottom w:val="0"/>
      <w:divBdr>
        <w:top w:val="none" w:sz="0" w:space="0" w:color="auto"/>
        <w:left w:val="none" w:sz="0" w:space="0" w:color="auto"/>
        <w:bottom w:val="none" w:sz="0" w:space="0" w:color="auto"/>
        <w:right w:val="none" w:sz="0" w:space="0" w:color="auto"/>
      </w:divBdr>
    </w:div>
    <w:div w:id="1390879498">
      <w:bodyDiv w:val="1"/>
      <w:marLeft w:val="0"/>
      <w:marRight w:val="0"/>
      <w:marTop w:val="0"/>
      <w:marBottom w:val="0"/>
      <w:divBdr>
        <w:top w:val="none" w:sz="0" w:space="0" w:color="auto"/>
        <w:left w:val="none" w:sz="0" w:space="0" w:color="auto"/>
        <w:bottom w:val="none" w:sz="0" w:space="0" w:color="auto"/>
        <w:right w:val="none" w:sz="0" w:space="0" w:color="auto"/>
      </w:divBdr>
    </w:div>
    <w:div w:id="1410342677">
      <w:bodyDiv w:val="1"/>
      <w:marLeft w:val="0"/>
      <w:marRight w:val="0"/>
      <w:marTop w:val="0"/>
      <w:marBottom w:val="0"/>
      <w:divBdr>
        <w:top w:val="none" w:sz="0" w:space="0" w:color="auto"/>
        <w:left w:val="none" w:sz="0" w:space="0" w:color="auto"/>
        <w:bottom w:val="none" w:sz="0" w:space="0" w:color="auto"/>
        <w:right w:val="none" w:sz="0" w:space="0" w:color="auto"/>
      </w:divBdr>
    </w:div>
    <w:div w:id="18635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zenodo.org/records/4461577" TargetMode="External"/><Relationship Id="rId26" Type="http://schemas.openxmlformats.org/officeDocument/2006/relationships/hyperlink" Target="https://doi.org/10.2903/j.efsa.2017.4849"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fsa.europa.eu/it/efsajournal/pub/3496" TargetMode="External"/><Relationship Id="rId25" Type="http://schemas.openxmlformats.org/officeDocument/2006/relationships/hyperlink" Target="https://doi.org/10.2903/j.efsa.2017.5042"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https://doi.org/10.2903/j.efsa.2018.512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notes.xml.rels><?xml version="1.0" encoding="UTF-8" standalone="yes"?>
<Relationships xmlns="http://schemas.openxmlformats.org/package/2006/relationships"><Relationship Id="rId3" Type="http://schemas.openxmlformats.org/officeDocument/2006/relationships/hyperlink" Target="http://www.efsa.europa.eu/en/food-consumption/comprehensive-database" TargetMode="External"/><Relationship Id="rId2" Type="http://schemas.openxmlformats.org/officeDocument/2006/relationships/hyperlink" Target="https://efsa.onlinelibrary.wiley.com/doi/epdf/10.2903/j.efsa.2017.5042" TargetMode="External"/><Relationship Id="rId1" Type="http://schemas.openxmlformats.org/officeDocument/2006/relationships/hyperlink" Target="https://www.efsa.europa.eu/en/corporate/pub/sop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09f27d-50ae-4b24-baee-fc6a4fd1f243" xsi:nil="true"/>
    <lcf76f155ced4ddcb4097134ff3c332f xmlns="982dfcb0-c61c-4435-8d04-8b090426daf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30271B197E32C49A7E455394B9604DF" ma:contentTypeVersion="16" ma:contentTypeDescription="Create a new document." ma:contentTypeScope="" ma:versionID="b9b252460a5315d34f1eaa4e325b0d0d">
  <xsd:schema xmlns:xsd="http://www.w3.org/2001/XMLSchema" xmlns:xs="http://www.w3.org/2001/XMLSchema" xmlns:p="http://schemas.microsoft.com/office/2006/metadata/properties" xmlns:ns2="982dfcb0-c61c-4435-8d04-8b090426daf0" xmlns:ns3="7309f27d-50ae-4b24-baee-fc6a4fd1f243" targetNamespace="http://schemas.microsoft.com/office/2006/metadata/properties" ma:root="true" ma:fieldsID="b0460021dbccf1d06fe4b94fcd734f01" ns2:_="" ns3:_="">
    <xsd:import namespace="982dfcb0-c61c-4435-8d04-8b090426daf0"/>
    <xsd:import namespace="7309f27d-50ae-4b24-baee-fc6a4fd1f2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dfcb0-c61c-4435-8d04-8b090426da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09f27d-50ae-4b24-baee-fc6a4fd1f2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687a086-abbb-4488-a27e-6f9368f88af7}" ma:internalName="TaxCatchAll" ma:showField="CatchAllData" ma:web="7309f27d-50ae-4b24-baee-fc6a4fd1f2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B480-0D62-44D6-86EB-F9107C9E717A}">
  <ds:schemaRefs>
    <ds:schemaRef ds:uri="http://schemas.microsoft.com/sharepoint/v3/contenttype/forms"/>
  </ds:schemaRefs>
</ds:datastoreItem>
</file>

<file path=customXml/itemProps2.xml><?xml version="1.0" encoding="utf-8"?>
<ds:datastoreItem xmlns:ds="http://schemas.openxmlformats.org/officeDocument/2006/customXml" ds:itemID="{0A92024D-AB35-45B8-8CE5-00593DD3811B}">
  <ds:schemaRefs>
    <ds:schemaRef ds:uri="http://purl.org/dc/elements/1.1/"/>
    <ds:schemaRef ds:uri="http://purl.org/dc/dcmitype/"/>
    <ds:schemaRef ds:uri="http://www.w3.org/XML/1998/namespace"/>
    <ds:schemaRef ds:uri="982dfcb0-c61c-4435-8d04-8b090426daf0"/>
    <ds:schemaRef ds:uri="http://schemas.microsoft.com/office/2006/documentManagement/types"/>
    <ds:schemaRef ds:uri="http://schemas.microsoft.com/office/2006/metadata/properties"/>
    <ds:schemaRef ds:uri="7309f27d-50ae-4b24-baee-fc6a4fd1f243"/>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C43AE19-9A6E-4589-A43E-8B86604A3009}">
  <ds:schemaRefs>
    <ds:schemaRef ds:uri="http://schemas.openxmlformats.org/officeDocument/2006/bibliography"/>
  </ds:schemaRefs>
</ds:datastoreItem>
</file>

<file path=customXml/itemProps4.xml><?xml version="1.0" encoding="utf-8"?>
<ds:datastoreItem xmlns:ds="http://schemas.openxmlformats.org/officeDocument/2006/customXml" ds:itemID="{AF36EFA1-E129-4E93-A4CE-F2192A338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dfcb0-c61c-4435-8d04-8b090426daf0"/>
    <ds:schemaRef ds:uri="7309f27d-50ae-4b24-baee-fc6a4fd1f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06a174b-e315-48bd-aa0a-cdaddc44250b}" enabled="0" method="" siteId="{406a174b-e315-48bd-aa0a-cdaddc44250b}"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8491</Words>
  <Characters>48403</Characters>
  <Application>Microsoft Office Word</Application>
  <DocSecurity>0</DocSecurity>
  <Lines>403</Lines>
  <Paragraphs>113</Paragraphs>
  <ScaleCrop>false</ScaleCrop>
  <Company>EFSA</Company>
  <LinksUpToDate>false</LinksUpToDate>
  <CharactersWithSpaces>56781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 for the re-evaluation of sweeteners</dc:title>
  <dc:subject/>
  <dc:creator>SMERALDI Camilla</dc:creator>
  <cp:keywords/>
  <cp:lastModifiedBy>TARD Alexandra</cp:lastModifiedBy>
  <cp:revision>2</cp:revision>
  <cp:lastPrinted>2024-01-25T22:46:00Z</cp:lastPrinted>
  <dcterms:created xsi:type="dcterms:W3CDTF">2024-12-16T17:27:00Z</dcterms:created>
  <dcterms:modified xsi:type="dcterms:W3CDTF">2024-12-16T17:27:00Z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0x010100A30271B197E32C49A7E455394B9604DF</vt:lpwstr>
  </property>
  <property fmtid="{D5CDD505-2E9C-101B-9397-08002B2CF9AE}" pid="3" name="MediaServiceImageTags">
    <vt:lpwstr/>
  </property>
</Properties>
</file>