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957" w14:textId="77777777" w:rsidR="00306ACB" w:rsidRPr="00306ACB" w:rsidRDefault="00306ACB" w:rsidP="00306ACB">
      <w:pPr>
        <w:spacing w:after="0" w:line="240" w:lineRule="auto"/>
        <w:rPr>
          <w:rFonts w:ascii="Times New Roman" w:hAnsi="Times New Roman" w:cs="Times New Roman"/>
          <w:b/>
          <w:sz w:val="28"/>
          <w:szCs w:val="28"/>
          <w:lang w:val="de-DE"/>
        </w:rPr>
      </w:pPr>
      <w:proofErr w:type="spellStart"/>
      <w:r w:rsidRPr="00306ACB">
        <w:rPr>
          <w:rFonts w:ascii="Times New Roman" w:hAnsi="Times New Roman" w:cs="Times New Roman"/>
          <w:b/>
          <w:sz w:val="28"/>
          <w:szCs w:val="28"/>
          <w:lang w:val="de-DE"/>
        </w:rPr>
        <w:t>Social</w:t>
      </w:r>
      <w:proofErr w:type="spellEnd"/>
      <w:r w:rsidRPr="00306ACB">
        <w:rPr>
          <w:rFonts w:ascii="Times New Roman" w:hAnsi="Times New Roman" w:cs="Times New Roman"/>
          <w:b/>
          <w:sz w:val="28"/>
          <w:szCs w:val="28"/>
          <w:lang w:val="de-DE"/>
        </w:rPr>
        <w:t xml:space="preserve"> </w:t>
      </w:r>
      <w:proofErr w:type="spellStart"/>
      <w:r w:rsidRPr="00306ACB">
        <w:rPr>
          <w:rFonts w:ascii="Times New Roman" w:hAnsi="Times New Roman" w:cs="Times New Roman"/>
          <w:b/>
          <w:sz w:val="28"/>
          <w:szCs w:val="28"/>
          <w:lang w:val="de-DE"/>
        </w:rPr>
        <w:t>metabolism</w:t>
      </w:r>
      <w:proofErr w:type="spellEnd"/>
      <w:r w:rsidRPr="00306ACB">
        <w:rPr>
          <w:rFonts w:ascii="Times New Roman" w:hAnsi="Times New Roman" w:cs="Times New Roman"/>
          <w:b/>
          <w:sz w:val="28"/>
          <w:szCs w:val="28"/>
          <w:lang w:val="de-DE"/>
        </w:rPr>
        <w:t xml:space="preserve"> and </w:t>
      </w:r>
      <w:proofErr w:type="spellStart"/>
      <w:r w:rsidRPr="00306ACB">
        <w:rPr>
          <w:rFonts w:ascii="Times New Roman" w:hAnsi="Times New Roman" w:cs="Times New Roman"/>
          <w:b/>
          <w:sz w:val="28"/>
          <w:szCs w:val="28"/>
          <w:lang w:val="de-DE"/>
        </w:rPr>
        <w:t>biodiversity</w:t>
      </w:r>
      <w:proofErr w:type="spellEnd"/>
    </w:p>
    <w:p w14:paraId="6C1BD2DD" w14:textId="77777777" w:rsidR="00306ACB" w:rsidRDefault="00306ACB" w:rsidP="00306ACB">
      <w:pPr>
        <w:spacing w:after="0" w:line="240" w:lineRule="auto"/>
        <w:rPr>
          <w:rFonts w:ascii="Times New Roman" w:hAnsi="Times New Roman" w:cs="Times New Roman"/>
          <w:sz w:val="24"/>
          <w:szCs w:val="24"/>
          <w:lang w:val="de-DE"/>
        </w:rPr>
      </w:pPr>
    </w:p>
    <w:p w14:paraId="02755456" w14:textId="55386355" w:rsidR="00306ACB" w:rsidRDefault="00306ACB" w:rsidP="00306ACB">
      <w:pPr>
        <w:spacing w:after="0" w:line="240" w:lineRule="auto"/>
        <w:rPr>
          <w:rFonts w:ascii="Times New Roman" w:hAnsi="Times New Roman" w:cs="Times New Roman"/>
          <w:sz w:val="24"/>
          <w:szCs w:val="24"/>
          <w:lang w:val="de-DE"/>
        </w:rPr>
      </w:pPr>
      <w:r>
        <w:rPr>
          <w:rFonts w:ascii="Times New Roman" w:hAnsi="Times New Roman" w:cs="Times New Roman"/>
          <w:sz w:val="24"/>
          <w:szCs w:val="24"/>
          <w:lang w:val="de-DE"/>
        </w:rPr>
        <w:t xml:space="preserve">Helmut Haberl, </w:t>
      </w:r>
      <w:r w:rsidR="00823C98">
        <w:rPr>
          <w:rFonts w:ascii="Times New Roman" w:hAnsi="Times New Roman" w:cs="Times New Roman"/>
          <w:sz w:val="24"/>
          <w:szCs w:val="24"/>
          <w:lang w:val="de-DE"/>
        </w:rPr>
        <w:t>Karl-Heinz Erb, Veronika Gaube, Fridolin Krausmann, Sarah Matej</w:t>
      </w:r>
    </w:p>
    <w:p w14:paraId="78735B2C" w14:textId="77777777" w:rsidR="007358FA" w:rsidRPr="00823C98" w:rsidRDefault="007358FA" w:rsidP="00306ACB">
      <w:pPr>
        <w:spacing w:after="0" w:line="240" w:lineRule="auto"/>
        <w:rPr>
          <w:rFonts w:ascii="Times New Roman" w:hAnsi="Times New Roman" w:cs="Times New Roman"/>
          <w:sz w:val="24"/>
          <w:szCs w:val="24"/>
        </w:rPr>
      </w:pPr>
    </w:p>
    <w:p w14:paraId="7C7D9247" w14:textId="77777777" w:rsidR="00306ACB" w:rsidRPr="007358FA" w:rsidRDefault="007358FA" w:rsidP="00306ACB">
      <w:pPr>
        <w:spacing w:after="0" w:line="240" w:lineRule="auto"/>
        <w:rPr>
          <w:rFonts w:ascii="Times New Roman" w:hAnsi="Times New Roman" w:cs="Times New Roman"/>
          <w:sz w:val="24"/>
          <w:szCs w:val="24"/>
          <w:lang w:val="en-US"/>
        </w:rPr>
      </w:pPr>
      <w:r w:rsidRPr="007358FA">
        <w:rPr>
          <w:rFonts w:ascii="Times New Roman" w:hAnsi="Times New Roman" w:cs="Times New Roman"/>
          <w:sz w:val="24"/>
          <w:szCs w:val="24"/>
          <w:lang w:val="en-US"/>
        </w:rPr>
        <w:t>Affiliation of all authors:</w:t>
      </w:r>
    </w:p>
    <w:p w14:paraId="7861B230" w14:textId="77777777" w:rsidR="007358FA" w:rsidRPr="007358FA" w:rsidRDefault="007358FA" w:rsidP="00306ACB">
      <w:pPr>
        <w:spacing w:after="0" w:line="240" w:lineRule="auto"/>
        <w:rPr>
          <w:rFonts w:ascii="Times New Roman" w:hAnsi="Times New Roman" w:cs="Times New Roman"/>
          <w:sz w:val="24"/>
          <w:szCs w:val="24"/>
          <w:lang w:val="en-US"/>
        </w:rPr>
      </w:pPr>
    </w:p>
    <w:p w14:paraId="56FDDA24" w14:textId="77777777" w:rsidR="007358FA" w:rsidRPr="0046683E" w:rsidRDefault="007358FA" w:rsidP="00306ACB">
      <w:pPr>
        <w:spacing w:after="0" w:line="240" w:lineRule="auto"/>
        <w:rPr>
          <w:rFonts w:ascii="Times New Roman" w:hAnsi="Times New Roman" w:cs="Times New Roman"/>
          <w:sz w:val="24"/>
          <w:szCs w:val="24"/>
          <w:lang w:val="en-US"/>
        </w:rPr>
      </w:pPr>
      <w:r w:rsidRPr="0046683E">
        <w:rPr>
          <w:rFonts w:ascii="Times New Roman" w:hAnsi="Times New Roman" w:cs="Times New Roman"/>
          <w:sz w:val="24"/>
          <w:szCs w:val="24"/>
          <w:lang w:val="en-US"/>
        </w:rPr>
        <w:t>Institute of Social Ecology</w:t>
      </w:r>
    </w:p>
    <w:p w14:paraId="63A676E9" w14:textId="77777777" w:rsidR="007358FA" w:rsidRDefault="007358FA" w:rsidP="00306ACB">
      <w:pPr>
        <w:spacing w:after="0" w:line="240" w:lineRule="auto"/>
        <w:rPr>
          <w:rFonts w:ascii="Times New Roman" w:hAnsi="Times New Roman" w:cs="Times New Roman"/>
          <w:sz w:val="24"/>
          <w:szCs w:val="24"/>
          <w:lang w:val="en-US"/>
        </w:rPr>
      </w:pPr>
      <w:r w:rsidRPr="007358FA">
        <w:rPr>
          <w:rFonts w:ascii="Times New Roman" w:hAnsi="Times New Roman" w:cs="Times New Roman"/>
          <w:sz w:val="24"/>
          <w:szCs w:val="24"/>
          <w:lang w:val="en-US"/>
        </w:rPr>
        <w:t>University of Natural Resources a</w:t>
      </w:r>
      <w:r>
        <w:rPr>
          <w:rFonts w:ascii="Times New Roman" w:hAnsi="Times New Roman" w:cs="Times New Roman"/>
          <w:sz w:val="24"/>
          <w:szCs w:val="24"/>
          <w:lang w:val="en-US"/>
        </w:rPr>
        <w:t>nd Life Sciences, Vienna</w:t>
      </w:r>
    </w:p>
    <w:p w14:paraId="042CAEB3" w14:textId="77777777" w:rsidR="007358FA" w:rsidRDefault="007358FA" w:rsidP="00306ACB">
      <w:pPr>
        <w:spacing w:after="0" w:line="240" w:lineRule="auto"/>
        <w:rPr>
          <w:rFonts w:ascii="Times New Roman" w:hAnsi="Times New Roman" w:cs="Times New Roman"/>
          <w:sz w:val="24"/>
          <w:szCs w:val="24"/>
          <w:lang w:val="en-US"/>
        </w:rPr>
      </w:pPr>
      <w:proofErr w:type="spellStart"/>
      <w:r>
        <w:rPr>
          <w:rFonts w:ascii="Times New Roman" w:hAnsi="Times New Roman" w:cs="Times New Roman"/>
          <w:sz w:val="24"/>
          <w:szCs w:val="24"/>
          <w:lang w:val="en-US"/>
        </w:rPr>
        <w:t>Schottenfeldgasse</w:t>
      </w:r>
      <w:proofErr w:type="spellEnd"/>
      <w:r>
        <w:rPr>
          <w:rFonts w:ascii="Times New Roman" w:hAnsi="Times New Roman" w:cs="Times New Roman"/>
          <w:sz w:val="24"/>
          <w:szCs w:val="24"/>
          <w:lang w:val="en-US"/>
        </w:rPr>
        <w:t xml:space="preserve"> 29</w:t>
      </w:r>
    </w:p>
    <w:p w14:paraId="4136CBA4" w14:textId="77777777" w:rsidR="007358FA" w:rsidRDefault="007358FA"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1070 Vienna, Austria</w:t>
      </w:r>
    </w:p>
    <w:p w14:paraId="6E2F1869" w14:textId="77777777" w:rsidR="007358FA" w:rsidRDefault="007358FA" w:rsidP="00306ACB">
      <w:pPr>
        <w:spacing w:after="0" w:line="240" w:lineRule="auto"/>
        <w:rPr>
          <w:rFonts w:ascii="Times New Roman" w:hAnsi="Times New Roman" w:cs="Times New Roman"/>
          <w:sz w:val="24"/>
          <w:szCs w:val="24"/>
          <w:lang w:val="en-US"/>
        </w:rPr>
      </w:pPr>
    </w:p>
    <w:p w14:paraId="1FC85913" w14:textId="77777777" w:rsidR="007358FA" w:rsidRDefault="007358FA"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Email addresses and ORCIDs</w:t>
      </w:r>
    </w:p>
    <w:p w14:paraId="640DFB27" w14:textId="77777777" w:rsidR="007358FA" w:rsidRDefault="007358FA" w:rsidP="00306ACB">
      <w:pPr>
        <w:spacing w:after="0" w:line="240" w:lineRule="auto"/>
        <w:rPr>
          <w:rFonts w:ascii="Times New Roman" w:hAnsi="Times New Roman" w:cs="Times New Roman"/>
          <w:sz w:val="24"/>
          <w:szCs w:val="24"/>
          <w:lang w:val="en-US"/>
        </w:rPr>
      </w:pPr>
    </w:p>
    <w:tbl>
      <w:tblPr>
        <w:tblStyle w:val="Tabellenraster"/>
        <w:tblW w:w="0" w:type="auto"/>
        <w:tblLook w:val="04A0" w:firstRow="1" w:lastRow="0" w:firstColumn="1" w:lastColumn="0" w:noHBand="0" w:noVBand="1"/>
      </w:tblPr>
      <w:tblGrid>
        <w:gridCol w:w="2405"/>
        <w:gridCol w:w="3257"/>
        <w:gridCol w:w="2835"/>
      </w:tblGrid>
      <w:tr w:rsidR="007358FA" w14:paraId="4218BCD3" w14:textId="77777777" w:rsidTr="00A820C5">
        <w:tc>
          <w:tcPr>
            <w:tcW w:w="2405" w:type="dxa"/>
          </w:tcPr>
          <w:p w14:paraId="0768EB6D"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Author</w:t>
            </w:r>
          </w:p>
        </w:tc>
        <w:tc>
          <w:tcPr>
            <w:tcW w:w="2835" w:type="dxa"/>
          </w:tcPr>
          <w:p w14:paraId="5F1C696C"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Email</w:t>
            </w:r>
          </w:p>
        </w:tc>
        <w:tc>
          <w:tcPr>
            <w:tcW w:w="2835" w:type="dxa"/>
          </w:tcPr>
          <w:p w14:paraId="6005303F"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ORCID</w:t>
            </w:r>
          </w:p>
        </w:tc>
      </w:tr>
      <w:tr w:rsidR="007358FA" w14:paraId="677D24E1" w14:textId="77777777" w:rsidTr="00A820C5">
        <w:tc>
          <w:tcPr>
            <w:tcW w:w="2405" w:type="dxa"/>
          </w:tcPr>
          <w:p w14:paraId="4A10BF9F"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Helmut Haberl</w:t>
            </w:r>
          </w:p>
        </w:tc>
        <w:tc>
          <w:tcPr>
            <w:tcW w:w="2835" w:type="dxa"/>
          </w:tcPr>
          <w:p w14:paraId="7F940FD9"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helmut.haberl@boku.ac.at</w:t>
            </w:r>
          </w:p>
        </w:tc>
        <w:tc>
          <w:tcPr>
            <w:tcW w:w="2835" w:type="dxa"/>
          </w:tcPr>
          <w:p w14:paraId="6E30F6E8" w14:textId="77777777" w:rsidR="007358FA" w:rsidRDefault="007358FA" w:rsidP="00306ACB">
            <w:pPr>
              <w:rPr>
                <w:rFonts w:ascii="Times New Roman" w:hAnsi="Times New Roman" w:cs="Times New Roman"/>
                <w:sz w:val="24"/>
                <w:szCs w:val="24"/>
                <w:lang w:val="en-US"/>
              </w:rPr>
            </w:pPr>
            <w:r w:rsidRPr="007358FA">
              <w:rPr>
                <w:rFonts w:ascii="Times New Roman" w:hAnsi="Times New Roman" w:cs="Times New Roman"/>
                <w:sz w:val="24"/>
                <w:szCs w:val="24"/>
                <w:lang w:val="en-US"/>
              </w:rPr>
              <w:t>0000-0003-2104-5446</w:t>
            </w:r>
          </w:p>
        </w:tc>
      </w:tr>
      <w:tr w:rsidR="007358FA" w:rsidRPr="003F24AD" w14:paraId="7B4495F1" w14:textId="77777777" w:rsidTr="00A820C5">
        <w:tc>
          <w:tcPr>
            <w:tcW w:w="2405" w:type="dxa"/>
          </w:tcPr>
          <w:p w14:paraId="46FCBCA8"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 xml:space="preserve">Karl-Heinz </w:t>
            </w:r>
            <w:proofErr w:type="spellStart"/>
            <w:r>
              <w:rPr>
                <w:rFonts w:ascii="Times New Roman" w:hAnsi="Times New Roman" w:cs="Times New Roman"/>
                <w:sz w:val="24"/>
                <w:szCs w:val="24"/>
                <w:lang w:val="en-US"/>
              </w:rPr>
              <w:t>Erb</w:t>
            </w:r>
            <w:proofErr w:type="spellEnd"/>
          </w:p>
        </w:tc>
        <w:tc>
          <w:tcPr>
            <w:tcW w:w="2835" w:type="dxa"/>
          </w:tcPr>
          <w:p w14:paraId="68DE489A" w14:textId="5608C7EB" w:rsidR="007358FA" w:rsidRDefault="003F24AD" w:rsidP="00306ACB">
            <w:pPr>
              <w:rPr>
                <w:rFonts w:ascii="Times New Roman" w:hAnsi="Times New Roman" w:cs="Times New Roman"/>
                <w:sz w:val="24"/>
                <w:szCs w:val="24"/>
                <w:lang w:val="en-US"/>
              </w:rPr>
            </w:pPr>
            <w:r>
              <w:rPr>
                <w:rFonts w:ascii="Times New Roman" w:hAnsi="Times New Roman" w:cs="Times New Roman"/>
                <w:sz w:val="24"/>
                <w:szCs w:val="24"/>
                <w:lang w:val="en-US"/>
              </w:rPr>
              <w:t>karlheinz.erb@boku.ac.at</w:t>
            </w:r>
          </w:p>
        </w:tc>
        <w:tc>
          <w:tcPr>
            <w:tcW w:w="2835" w:type="dxa"/>
          </w:tcPr>
          <w:p w14:paraId="32943867" w14:textId="759BB562" w:rsidR="007358FA" w:rsidRDefault="003F24AD" w:rsidP="00306ACB">
            <w:pPr>
              <w:rPr>
                <w:rFonts w:ascii="Times New Roman" w:hAnsi="Times New Roman" w:cs="Times New Roman"/>
                <w:sz w:val="24"/>
                <w:szCs w:val="24"/>
                <w:lang w:val="en-US"/>
              </w:rPr>
            </w:pPr>
            <w:r w:rsidRPr="003F24AD">
              <w:rPr>
                <w:rFonts w:ascii="Times New Roman" w:hAnsi="Times New Roman" w:cs="Times New Roman"/>
                <w:sz w:val="24"/>
                <w:szCs w:val="24"/>
                <w:lang w:val="en-US"/>
              </w:rPr>
              <w:t>0000-0002-8335-4159</w:t>
            </w:r>
          </w:p>
        </w:tc>
      </w:tr>
      <w:tr w:rsidR="007358FA" w:rsidRPr="003F24AD" w14:paraId="5EE4E4C0" w14:textId="77777777" w:rsidTr="00A820C5">
        <w:tc>
          <w:tcPr>
            <w:tcW w:w="2405" w:type="dxa"/>
          </w:tcPr>
          <w:p w14:paraId="1139262E"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Veronika Gaube</w:t>
            </w:r>
          </w:p>
        </w:tc>
        <w:tc>
          <w:tcPr>
            <w:tcW w:w="2835" w:type="dxa"/>
          </w:tcPr>
          <w:p w14:paraId="587A6E47" w14:textId="66A8DCBB" w:rsidR="007358FA" w:rsidRDefault="003F24AD" w:rsidP="00306ACB">
            <w:pPr>
              <w:rPr>
                <w:rFonts w:ascii="Times New Roman" w:hAnsi="Times New Roman" w:cs="Times New Roman"/>
                <w:sz w:val="24"/>
                <w:szCs w:val="24"/>
                <w:lang w:val="en-US"/>
              </w:rPr>
            </w:pPr>
            <w:r>
              <w:rPr>
                <w:rFonts w:ascii="Times New Roman" w:hAnsi="Times New Roman" w:cs="Times New Roman"/>
                <w:sz w:val="24"/>
                <w:szCs w:val="24"/>
                <w:lang w:val="en-US"/>
              </w:rPr>
              <w:t>veronika.gaube@boku.ac.at</w:t>
            </w:r>
          </w:p>
        </w:tc>
        <w:tc>
          <w:tcPr>
            <w:tcW w:w="2835" w:type="dxa"/>
          </w:tcPr>
          <w:p w14:paraId="6BE58324" w14:textId="7CC9118B" w:rsidR="007358FA" w:rsidRDefault="003F24AD" w:rsidP="00306ACB">
            <w:pPr>
              <w:rPr>
                <w:rFonts w:ascii="Times New Roman" w:hAnsi="Times New Roman" w:cs="Times New Roman"/>
                <w:sz w:val="24"/>
                <w:szCs w:val="24"/>
                <w:lang w:val="en-US"/>
              </w:rPr>
            </w:pPr>
            <w:r w:rsidRPr="003F24AD">
              <w:rPr>
                <w:rFonts w:ascii="Times New Roman" w:hAnsi="Times New Roman" w:cs="Times New Roman"/>
                <w:sz w:val="24"/>
                <w:szCs w:val="24"/>
                <w:lang w:val="en-US"/>
              </w:rPr>
              <w:t>0000-0002-1620-0408</w:t>
            </w:r>
          </w:p>
        </w:tc>
      </w:tr>
      <w:tr w:rsidR="007358FA" w:rsidRPr="003F24AD" w14:paraId="09CB63D2" w14:textId="77777777" w:rsidTr="00A820C5">
        <w:tc>
          <w:tcPr>
            <w:tcW w:w="2405" w:type="dxa"/>
          </w:tcPr>
          <w:p w14:paraId="0E289084"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 xml:space="preserve">Fridolin </w:t>
            </w:r>
            <w:proofErr w:type="spellStart"/>
            <w:r>
              <w:rPr>
                <w:rFonts w:ascii="Times New Roman" w:hAnsi="Times New Roman" w:cs="Times New Roman"/>
                <w:sz w:val="24"/>
                <w:szCs w:val="24"/>
                <w:lang w:val="en-US"/>
              </w:rPr>
              <w:t>Krausmann</w:t>
            </w:r>
            <w:proofErr w:type="spellEnd"/>
          </w:p>
        </w:tc>
        <w:tc>
          <w:tcPr>
            <w:tcW w:w="2835" w:type="dxa"/>
          </w:tcPr>
          <w:p w14:paraId="453CC79C" w14:textId="65299241" w:rsidR="007358FA" w:rsidRDefault="003F24AD" w:rsidP="00306ACB">
            <w:pPr>
              <w:rPr>
                <w:rFonts w:ascii="Times New Roman" w:hAnsi="Times New Roman" w:cs="Times New Roman"/>
                <w:sz w:val="24"/>
                <w:szCs w:val="24"/>
                <w:lang w:val="en-US"/>
              </w:rPr>
            </w:pPr>
            <w:r>
              <w:rPr>
                <w:rFonts w:ascii="Times New Roman" w:hAnsi="Times New Roman" w:cs="Times New Roman"/>
                <w:sz w:val="24"/>
                <w:szCs w:val="24"/>
                <w:lang w:val="en-US"/>
              </w:rPr>
              <w:t>fridolin.krausmann@boku.ac.at</w:t>
            </w:r>
          </w:p>
        </w:tc>
        <w:tc>
          <w:tcPr>
            <w:tcW w:w="2835" w:type="dxa"/>
          </w:tcPr>
          <w:p w14:paraId="47C2733A" w14:textId="245E489D" w:rsidR="007358FA" w:rsidRDefault="003F24AD" w:rsidP="00306ACB">
            <w:pPr>
              <w:rPr>
                <w:rFonts w:ascii="Times New Roman" w:hAnsi="Times New Roman" w:cs="Times New Roman"/>
                <w:sz w:val="24"/>
                <w:szCs w:val="24"/>
                <w:lang w:val="en-US"/>
              </w:rPr>
            </w:pPr>
            <w:r w:rsidRPr="003F24AD">
              <w:rPr>
                <w:rFonts w:ascii="Times New Roman" w:hAnsi="Times New Roman" w:cs="Times New Roman"/>
                <w:sz w:val="24"/>
                <w:szCs w:val="24"/>
                <w:lang w:val="en-US"/>
              </w:rPr>
              <w:t>0000-0002-9995-2372</w:t>
            </w:r>
          </w:p>
        </w:tc>
      </w:tr>
      <w:tr w:rsidR="007358FA" w:rsidRPr="003F24AD" w14:paraId="270FFE1D" w14:textId="77777777" w:rsidTr="00A820C5">
        <w:tc>
          <w:tcPr>
            <w:tcW w:w="2405" w:type="dxa"/>
          </w:tcPr>
          <w:p w14:paraId="5AC12A68" w14:textId="77777777" w:rsidR="007358FA" w:rsidRDefault="007358FA" w:rsidP="00306ACB">
            <w:pPr>
              <w:rPr>
                <w:rFonts w:ascii="Times New Roman" w:hAnsi="Times New Roman" w:cs="Times New Roman"/>
                <w:sz w:val="24"/>
                <w:szCs w:val="24"/>
                <w:lang w:val="en-US"/>
              </w:rPr>
            </w:pPr>
            <w:r>
              <w:rPr>
                <w:rFonts w:ascii="Times New Roman" w:hAnsi="Times New Roman" w:cs="Times New Roman"/>
                <w:sz w:val="24"/>
                <w:szCs w:val="24"/>
                <w:lang w:val="en-US"/>
              </w:rPr>
              <w:t>Sarah Matej</w:t>
            </w:r>
          </w:p>
        </w:tc>
        <w:tc>
          <w:tcPr>
            <w:tcW w:w="2835" w:type="dxa"/>
          </w:tcPr>
          <w:p w14:paraId="3F84BDAF" w14:textId="6C80E158" w:rsidR="007358FA" w:rsidRDefault="00A84D16" w:rsidP="00306ACB">
            <w:pPr>
              <w:rPr>
                <w:rFonts w:ascii="Times New Roman" w:hAnsi="Times New Roman" w:cs="Times New Roman"/>
                <w:sz w:val="24"/>
                <w:szCs w:val="24"/>
                <w:lang w:val="en-US"/>
              </w:rPr>
            </w:pPr>
            <w:r>
              <w:rPr>
                <w:rFonts w:ascii="Times New Roman" w:hAnsi="Times New Roman" w:cs="Times New Roman"/>
                <w:sz w:val="24"/>
                <w:szCs w:val="24"/>
                <w:lang w:val="en-US"/>
              </w:rPr>
              <w:t>s</w:t>
            </w:r>
            <w:r w:rsidR="003F24AD">
              <w:rPr>
                <w:rFonts w:ascii="Times New Roman" w:hAnsi="Times New Roman" w:cs="Times New Roman"/>
                <w:sz w:val="24"/>
                <w:szCs w:val="24"/>
                <w:lang w:val="en-US"/>
              </w:rPr>
              <w:t>arah.matej@boku.ac.at</w:t>
            </w:r>
          </w:p>
        </w:tc>
        <w:tc>
          <w:tcPr>
            <w:tcW w:w="2835" w:type="dxa"/>
          </w:tcPr>
          <w:p w14:paraId="626DBD9C" w14:textId="7A7F27FE" w:rsidR="007358FA" w:rsidRDefault="003F24AD" w:rsidP="00306ACB">
            <w:pPr>
              <w:rPr>
                <w:rFonts w:ascii="Times New Roman" w:hAnsi="Times New Roman" w:cs="Times New Roman"/>
                <w:sz w:val="24"/>
                <w:szCs w:val="24"/>
                <w:lang w:val="en-US"/>
              </w:rPr>
            </w:pPr>
            <w:r w:rsidRPr="003F24AD">
              <w:rPr>
                <w:rFonts w:ascii="Times New Roman" w:hAnsi="Times New Roman" w:cs="Times New Roman"/>
                <w:sz w:val="24"/>
                <w:szCs w:val="24"/>
                <w:lang w:val="en-US"/>
              </w:rPr>
              <w:t>0000-0003-4576-4189</w:t>
            </w:r>
          </w:p>
        </w:tc>
      </w:tr>
    </w:tbl>
    <w:p w14:paraId="2B945C5A" w14:textId="77777777" w:rsidR="007358FA" w:rsidRPr="007358FA" w:rsidRDefault="007358FA" w:rsidP="00306ACB">
      <w:pPr>
        <w:spacing w:after="0" w:line="240" w:lineRule="auto"/>
        <w:rPr>
          <w:rFonts w:ascii="Times New Roman" w:hAnsi="Times New Roman" w:cs="Times New Roman"/>
          <w:sz w:val="24"/>
          <w:szCs w:val="24"/>
          <w:lang w:val="en-US"/>
        </w:rPr>
      </w:pPr>
    </w:p>
    <w:p w14:paraId="75A7BCE9" w14:textId="77777777" w:rsidR="00306ACB" w:rsidRPr="007358FA" w:rsidRDefault="00306ACB" w:rsidP="00306ACB">
      <w:pPr>
        <w:spacing w:after="0" w:line="240" w:lineRule="auto"/>
        <w:rPr>
          <w:rFonts w:ascii="Times New Roman" w:hAnsi="Times New Roman" w:cs="Times New Roman"/>
          <w:sz w:val="24"/>
          <w:szCs w:val="24"/>
          <w:lang w:val="en-US"/>
        </w:rPr>
      </w:pPr>
    </w:p>
    <w:p w14:paraId="3F073D24" w14:textId="77777777" w:rsidR="00306ACB" w:rsidRPr="007358FA" w:rsidRDefault="007358FA" w:rsidP="00306ACB">
      <w:pPr>
        <w:spacing w:after="0" w:line="240" w:lineRule="auto"/>
        <w:rPr>
          <w:rFonts w:ascii="Times New Roman" w:hAnsi="Times New Roman" w:cs="Times New Roman"/>
          <w:b/>
          <w:sz w:val="24"/>
          <w:szCs w:val="24"/>
          <w:lang w:val="en-US"/>
        </w:rPr>
      </w:pPr>
      <w:r w:rsidRPr="007358FA">
        <w:rPr>
          <w:rFonts w:ascii="Times New Roman" w:hAnsi="Times New Roman" w:cs="Times New Roman"/>
          <w:b/>
          <w:sz w:val="24"/>
          <w:szCs w:val="24"/>
          <w:lang w:val="en-US"/>
        </w:rPr>
        <w:t>Mini Table of Contents</w:t>
      </w:r>
    </w:p>
    <w:p w14:paraId="13C169B8" w14:textId="77777777" w:rsidR="007358FA" w:rsidRDefault="007358FA" w:rsidP="00306ACB">
      <w:pPr>
        <w:spacing w:after="0" w:line="240" w:lineRule="auto"/>
        <w:rPr>
          <w:rFonts w:ascii="Times New Roman" w:hAnsi="Times New Roman" w:cs="Times New Roman"/>
          <w:sz w:val="24"/>
          <w:szCs w:val="24"/>
          <w:lang w:val="en-US"/>
        </w:rPr>
      </w:pPr>
    </w:p>
    <w:p w14:paraId="394C8D85" w14:textId="77777777" w:rsidR="00212084" w:rsidRPr="00D8087F" w:rsidRDefault="00212084" w:rsidP="00212084">
      <w:pPr>
        <w:spacing w:after="0" w:line="240" w:lineRule="auto"/>
        <w:rPr>
          <w:rFonts w:ascii="Times New Roman" w:hAnsi="Times New Roman" w:cs="Times New Roman"/>
          <w:sz w:val="24"/>
          <w:szCs w:val="24"/>
          <w:lang w:val="en-US"/>
        </w:rPr>
      </w:pPr>
      <w:r w:rsidRPr="00D8087F">
        <w:rPr>
          <w:rFonts w:ascii="Times New Roman" w:hAnsi="Times New Roman" w:cs="Times New Roman"/>
          <w:sz w:val="24"/>
          <w:szCs w:val="24"/>
          <w:lang w:val="en-US"/>
        </w:rPr>
        <w:t>1. Societies’ use of materials and energy</w:t>
      </w:r>
    </w:p>
    <w:p w14:paraId="48DDED13" w14:textId="77777777" w:rsidR="00212084" w:rsidRPr="00D8087F" w:rsidRDefault="00212084"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1.1 The development of the social metabolism concept</w:t>
      </w:r>
    </w:p>
    <w:p w14:paraId="164B81EC" w14:textId="77777777" w:rsidR="00212084" w:rsidRPr="00D8087F" w:rsidRDefault="00212084"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1.2 Ecological economics and the ‘scale of human activities’ in the earth system</w:t>
      </w:r>
    </w:p>
    <w:p w14:paraId="279C16A0" w14:textId="77777777" w:rsidR="00212084" w:rsidRPr="00D8087F" w:rsidRDefault="00212084" w:rsidP="00D8087F">
      <w:pPr>
        <w:keepNext/>
        <w:keepLines/>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1.3 Centennial global trajectories of social metabolism</w:t>
      </w:r>
    </w:p>
    <w:p w14:paraId="09EF285D" w14:textId="77777777" w:rsidR="00D8087F" w:rsidRPr="00D8087F" w:rsidRDefault="00D8087F" w:rsidP="00D8087F">
      <w:pPr>
        <w:spacing w:after="0" w:line="240" w:lineRule="auto"/>
        <w:rPr>
          <w:rFonts w:ascii="Times New Roman" w:hAnsi="Times New Roman" w:cs="Times New Roman"/>
          <w:sz w:val="24"/>
          <w:szCs w:val="24"/>
          <w:lang w:val="en-US"/>
        </w:rPr>
      </w:pPr>
      <w:r w:rsidRPr="00D8087F">
        <w:rPr>
          <w:rFonts w:ascii="Times New Roman" w:hAnsi="Times New Roman" w:cs="Times New Roman"/>
          <w:sz w:val="24"/>
          <w:szCs w:val="24"/>
          <w:lang w:val="en-US"/>
        </w:rPr>
        <w:t>2. Social metabolism as a driver of land use</w:t>
      </w:r>
    </w:p>
    <w:p w14:paraId="22B2CEDC" w14:textId="77777777" w:rsidR="00D8087F" w:rsidRPr="00D8087F" w:rsidRDefault="00D8087F" w:rsidP="00D8087F">
      <w:pPr>
        <w:keepNext/>
        <w:keepLines/>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2.1 Land use and biomass metabolism – an integrated perspective</w:t>
      </w:r>
    </w:p>
    <w:p w14:paraId="1FB0F39E" w14:textId="77777777" w:rsidR="00D8087F" w:rsidRPr="00D8087F" w:rsidRDefault="00D8087F"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2.2 Impacts of land use on ecosystems: HANPP and similar approaches</w:t>
      </w:r>
    </w:p>
    <w:p w14:paraId="5977DB95" w14:textId="77777777" w:rsidR="00D8087F" w:rsidRPr="00D8087F" w:rsidRDefault="00D8087F"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2.3 Land use, HANPP and biodiversity – what do we currently know?</w:t>
      </w:r>
    </w:p>
    <w:p w14:paraId="53EB2FBE" w14:textId="77777777" w:rsidR="00D8087F" w:rsidRPr="00D8087F" w:rsidRDefault="00D8087F" w:rsidP="00D8087F">
      <w:pPr>
        <w:spacing w:after="0" w:line="240" w:lineRule="auto"/>
        <w:rPr>
          <w:rFonts w:ascii="Times New Roman" w:hAnsi="Times New Roman" w:cs="Times New Roman"/>
          <w:sz w:val="24"/>
          <w:szCs w:val="24"/>
          <w:lang w:val="en-US"/>
        </w:rPr>
      </w:pPr>
      <w:r w:rsidRPr="00D8087F">
        <w:rPr>
          <w:rFonts w:ascii="Times New Roman" w:hAnsi="Times New Roman" w:cs="Times New Roman"/>
          <w:sz w:val="24"/>
          <w:szCs w:val="24"/>
          <w:lang w:val="en-US"/>
        </w:rPr>
        <w:t>3. Linking social metabolism, sustainability and biodiversity: some thoughts</w:t>
      </w:r>
    </w:p>
    <w:p w14:paraId="33B46A11" w14:textId="77777777" w:rsidR="00D8087F" w:rsidRPr="00D8087F" w:rsidRDefault="00D8087F"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3.1 Resources, economic activity, and societal wellbeing</w:t>
      </w:r>
    </w:p>
    <w:p w14:paraId="2865A74A" w14:textId="77777777" w:rsidR="00D8087F" w:rsidRPr="00D8087F" w:rsidRDefault="00D8087F" w:rsidP="00D8087F">
      <w:pPr>
        <w:spacing w:after="0" w:line="240" w:lineRule="auto"/>
        <w:ind w:left="708"/>
        <w:rPr>
          <w:rFonts w:ascii="Times New Roman" w:hAnsi="Times New Roman" w:cs="Times New Roman"/>
          <w:sz w:val="24"/>
          <w:szCs w:val="24"/>
          <w:lang w:val="en-US"/>
        </w:rPr>
      </w:pPr>
      <w:r w:rsidRPr="00D8087F">
        <w:rPr>
          <w:rFonts w:ascii="Times New Roman" w:hAnsi="Times New Roman" w:cs="Times New Roman"/>
          <w:sz w:val="24"/>
          <w:szCs w:val="24"/>
          <w:lang w:val="en-US"/>
        </w:rPr>
        <w:t>3.2 Linking decision-making with social metabolism and biodiversity at regional scales</w:t>
      </w:r>
    </w:p>
    <w:p w14:paraId="68E57252" w14:textId="77777777" w:rsidR="00D8087F" w:rsidRPr="00D8087F" w:rsidRDefault="00D8087F" w:rsidP="00D8087F">
      <w:pPr>
        <w:spacing w:after="0" w:line="240" w:lineRule="auto"/>
        <w:rPr>
          <w:rFonts w:ascii="Times New Roman" w:hAnsi="Times New Roman" w:cs="Times New Roman"/>
          <w:sz w:val="24"/>
          <w:szCs w:val="24"/>
          <w:lang w:val="en-US"/>
        </w:rPr>
      </w:pPr>
      <w:r w:rsidRPr="00D8087F">
        <w:rPr>
          <w:rFonts w:ascii="Times New Roman" w:hAnsi="Times New Roman" w:cs="Times New Roman"/>
          <w:sz w:val="24"/>
          <w:szCs w:val="24"/>
          <w:lang w:val="en-US"/>
        </w:rPr>
        <w:t>4. Outlook and conclusion</w:t>
      </w:r>
    </w:p>
    <w:p w14:paraId="583F7A19" w14:textId="5BB287E9" w:rsidR="00D8087F" w:rsidRPr="00D8087F" w:rsidRDefault="00D8087F" w:rsidP="00306ACB">
      <w:pPr>
        <w:spacing w:after="0" w:line="240" w:lineRule="auto"/>
        <w:rPr>
          <w:rFonts w:ascii="Times New Roman" w:hAnsi="Times New Roman" w:cs="Times New Roman"/>
          <w:sz w:val="24"/>
          <w:szCs w:val="24"/>
          <w:lang w:val="en-US"/>
        </w:rPr>
      </w:pPr>
      <w:r w:rsidRPr="00D8087F">
        <w:rPr>
          <w:rFonts w:ascii="Times New Roman" w:hAnsi="Times New Roman" w:cs="Times New Roman"/>
          <w:sz w:val="24"/>
          <w:szCs w:val="24"/>
          <w:lang w:val="en-US"/>
        </w:rPr>
        <w:t xml:space="preserve">References </w:t>
      </w:r>
    </w:p>
    <w:p w14:paraId="097073AF" w14:textId="77777777" w:rsidR="00212084" w:rsidRDefault="00212084" w:rsidP="00306ACB">
      <w:pPr>
        <w:spacing w:after="0" w:line="240" w:lineRule="auto"/>
        <w:rPr>
          <w:rFonts w:ascii="Times New Roman" w:hAnsi="Times New Roman" w:cs="Times New Roman"/>
          <w:sz w:val="24"/>
          <w:szCs w:val="24"/>
          <w:lang w:val="en-US"/>
        </w:rPr>
      </w:pPr>
    </w:p>
    <w:p w14:paraId="50784635" w14:textId="77777777" w:rsidR="007358FA" w:rsidRPr="007358FA" w:rsidRDefault="007358FA" w:rsidP="00306ACB">
      <w:pPr>
        <w:spacing w:after="0" w:line="240" w:lineRule="auto"/>
        <w:rPr>
          <w:rFonts w:ascii="Times New Roman" w:hAnsi="Times New Roman" w:cs="Times New Roman"/>
          <w:b/>
          <w:sz w:val="24"/>
          <w:szCs w:val="24"/>
          <w:lang w:val="en-US"/>
        </w:rPr>
      </w:pPr>
      <w:r w:rsidRPr="007358FA">
        <w:rPr>
          <w:rFonts w:ascii="Times New Roman" w:hAnsi="Times New Roman" w:cs="Times New Roman"/>
          <w:b/>
          <w:sz w:val="24"/>
          <w:szCs w:val="24"/>
          <w:lang w:val="en-US"/>
        </w:rPr>
        <w:t>Glossary</w:t>
      </w:r>
    </w:p>
    <w:p w14:paraId="3B4A85FD" w14:textId="77777777" w:rsidR="007358FA" w:rsidRDefault="007358FA" w:rsidP="00306ACB">
      <w:pPr>
        <w:spacing w:after="0" w:line="240" w:lineRule="auto"/>
        <w:rPr>
          <w:rFonts w:ascii="Times New Roman" w:hAnsi="Times New Roman" w:cs="Times New Roman"/>
          <w:sz w:val="24"/>
          <w:szCs w:val="24"/>
          <w:lang w:val="en-US"/>
        </w:rPr>
      </w:pPr>
    </w:p>
    <w:p w14:paraId="3503004B" w14:textId="71E4FF89" w:rsidR="007E74AE" w:rsidRDefault="007E74AE" w:rsidP="00306ACB">
      <w:pPr>
        <w:spacing w:after="0" w:line="240" w:lineRule="auto"/>
        <w:rPr>
          <w:rFonts w:ascii="Times New Roman" w:hAnsi="Times New Roman" w:cs="Times New Roman"/>
          <w:sz w:val="24"/>
          <w:szCs w:val="24"/>
          <w:lang w:val="en-US"/>
        </w:rPr>
      </w:pPr>
      <w:r w:rsidRPr="0069390C">
        <w:rPr>
          <w:rFonts w:ascii="Times New Roman" w:hAnsi="Times New Roman" w:cs="Times New Roman"/>
          <w:b/>
          <w:sz w:val="24"/>
          <w:szCs w:val="24"/>
          <w:lang w:val="en-US"/>
        </w:rPr>
        <w:t>Agent-based model</w:t>
      </w:r>
      <w:r w:rsidR="0069390C" w:rsidRPr="0069390C">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Mathematical model simulating system dynamics emerging from interactions between agents; agents often represent actors in a social system.</w:t>
      </w:r>
    </w:p>
    <w:p w14:paraId="4F2F1EBA" w14:textId="4C169173" w:rsidR="006C4ED3" w:rsidRPr="0069390C" w:rsidRDefault="006C4ED3" w:rsidP="00306ACB">
      <w:pPr>
        <w:spacing w:after="0" w:line="240" w:lineRule="auto"/>
        <w:rPr>
          <w:rFonts w:ascii="Times New Roman" w:hAnsi="Times New Roman" w:cs="Times New Roman"/>
          <w:b/>
          <w:sz w:val="24"/>
          <w:szCs w:val="24"/>
          <w:lang w:val="en-US"/>
        </w:rPr>
      </w:pPr>
      <w:r w:rsidRPr="0069390C">
        <w:rPr>
          <w:rFonts w:ascii="Times New Roman" w:hAnsi="Times New Roman" w:cs="Times New Roman"/>
          <w:b/>
          <w:sz w:val="24"/>
          <w:szCs w:val="24"/>
          <w:lang w:val="en-US"/>
        </w:rPr>
        <w:t>Biodiversity footprint</w:t>
      </w:r>
      <w:r w:rsidR="0069390C">
        <w:rPr>
          <w:rFonts w:ascii="Times New Roman" w:hAnsi="Times New Roman" w:cs="Times New Roman"/>
          <w:b/>
          <w:sz w:val="24"/>
          <w:szCs w:val="24"/>
          <w:lang w:val="en-US"/>
        </w:rPr>
        <w:t>:</w:t>
      </w:r>
      <w:r w:rsidR="0069390C" w:rsidRPr="0069390C">
        <w:rPr>
          <w:rFonts w:ascii="Times New Roman" w:hAnsi="Times New Roman" w:cs="Times New Roman"/>
          <w:sz w:val="24"/>
          <w:szCs w:val="24"/>
          <w:lang w:val="en-US"/>
        </w:rPr>
        <w:t xml:space="preserve"> Effects</w:t>
      </w:r>
      <w:r w:rsidR="0069390C">
        <w:rPr>
          <w:rFonts w:ascii="Times New Roman" w:hAnsi="Times New Roman" w:cs="Times New Roman"/>
          <w:sz w:val="24"/>
          <w:szCs w:val="24"/>
          <w:lang w:val="en-US"/>
        </w:rPr>
        <w:t xml:space="preserve"> in biodiversity accruing along the supply chain of a product or the aggregate consumption of a defined population.</w:t>
      </w:r>
    </w:p>
    <w:p w14:paraId="5DBAAB79" w14:textId="1CA0AD88" w:rsidR="00C50455" w:rsidRDefault="00C50455" w:rsidP="00306ACB">
      <w:pPr>
        <w:spacing w:after="0" w:line="240" w:lineRule="auto"/>
        <w:rPr>
          <w:rFonts w:ascii="Times New Roman" w:hAnsi="Times New Roman" w:cs="Times New Roman"/>
          <w:sz w:val="24"/>
          <w:szCs w:val="24"/>
          <w:lang w:val="en-US"/>
        </w:rPr>
      </w:pPr>
      <w:proofErr w:type="spellStart"/>
      <w:r w:rsidRPr="0069390C">
        <w:rPr>
          <w:rFonts w:ascii="Times New Roman" w:hAnsi="Times New Roman" w:cs="Times New Roman"/>
          <w:b/>
          <w:sz w:val="24"/>
          <w:szCs w:val="24"/>
          <w:lang w:val="en-US"/>
        </w:rPr>
        <w:t>Bioeconomy</w:t>
      </w:r>
      <w:proofErr w:type="spellEnd"/>
      <w:r w:rsidR="0069390C" w:rsidRPr="0069390C">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Economic activities (processes of production and consumption) that use biomass as a raw material.</w:t>
      </w:r>
    </w:p>
    <w:p w14:paraId="5D511BFE" w14:textId="536D1D59" w:rsidR="00C50455" w:rsidRDefault="00C50455" w:rsidP="00306ACB">
      <w:pPr>
        <w:spacing w:after="0" w:line="240" w:lineRule="auto"/>
        <w:rPr>
          <w:rFonts w:ascii="Times New Roman" w:hAnsi="Times New Roman" w:cs="Times New Roman"/>
          <w:sz w:val="24"/>
          <w:szCs w:val="24"/>
          <w:lang w:val="en-US"/>
        </w:rPr>
      </w:pPr>
      <w:r w:rsidRPr="0069390C">
        <w:rPr>
          <w:rFonts w:ascii="Times New Roman" w:hAnsi="Times New Roman" w:cs="Times New Roman"/>
          <w:b/>
          <w:sz w:val="24"/>
          <w:szCs w:val="24"/>
          <w:lang w:val="en-US"/>
        </w:rPr>
        <w:t>Bioenergy</w:t>
      </w:r>
      <w:r w:rsidR="0069390C" w:rsidRPr="0069390C">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Energy derived from biomass, </w:t>
      </w:r>
      <w:r w:rsidR="003E687B">
        <w:rPr>
          <w:rFonts w:ascii="Times New Roman" w:hAnsi="Times New Roman" w:cs="Times New Roman"/>
          <w:sz w:val="24"/>
          <w:szCs w:val="24"/>
          <w:lang w:val="en-US"/>
        </w:rPr>
        <w:t xml:space="preserve">mostly </w:t>
      </w:r>
      <w:r w:rsidR="0069390C">
        <w:rPr>
          <w:rFonts w:ascii="Times New Roman" w:hAnsi="Times New Roman" w:cs="Times New Roman"/>
          <w:sz w:val="24"/>
          <w:szCs w:val="24"/>
          <w:lang w:val="en-US"/>
        </w:rPr>
        <w:t>through combustion.</w:t>
      </w:r>
    </w:p>
    <w:p w14:paraId="0BABD3B7" w14:textId="057D36D6" w:rsidR="006C4ED3" w:rsidRDefault="006C4ED3" w:rsidP="00306ACB">
      <w:pPr>
        <w:spacing w:after="0" w:line="240" w:lineRule="auto"/>
        <w:rPr>
          <w:rFonts w:ascii="Times New Roman" w:hAnsi="Times New Roman" w:cs="Times New Roman"/>
          <w:sz w:val="24"/>
          <w:szCs w:val="24"/>
          <w:lang w:val="en-US"/>
        </w:rPr>
      </w:pPr>
      <w:r w:rsidRPr="0069390C">
        <w:rPr>
          <w:rFonts w:ascii="Times New Roman" w:hAnsi="Times New Roman" w:cs="Times New Roman"/>
          <w:b/>
          <w:sz w:val="24"/>
          <w:szCs w:val="24"/>
          <w:lang w:val="en-US"/>
        </w:rPr>
        <w:t>Biomass</w:t>
      </w:r>
      <w:r w:rsidR="0069390C" w:rsidRPr="0069390C">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Materials produced by living </w:t>
      </w:r>
      <w:r w:rsidR="003E687B">
        <w:rPr>
          <w:rFonts w:ascii="Times New Roman" w:hAnsi="Times New Roman" w:cs="Times New Roman"/>
          <w:sz w:val="24"/>
          <w:szCs w:val="24"/>
          <w:lang w:val="en-US"/>
        </w:rPr>
        <w:t xml:space="preserve">organisms, </w:t>
      </w:r>
      <w:r w:rsidR="0069390C">
        <w:rPr>
          <w:rFonts w:ascii="Times New Roman" w:hAnsi="Times New Roman" w:cs="Times New Roman"/>
          <w:sz w:val="24"/>
          <w:szCs w:val="24"/>
          <w:lang w:val="en-US"/>
        </w:rPr>
        <w:t xml:space="preserve">or </w:t>
      </w:r>
      <w:r w:rsidR="003E687B">
        <w:rPr>
          <w:rFonts w:ascii="Times New Roman" w:hAnsi="Times New Roman" w:cs="Times New Roman"/>
          <w:sz w:val="24"/>
          <w:szCs w:val="24"/>
          <w:lang w:val="en-US"/>
        </w:rPr>
        <w:t xml:space="preserve">derived from </w:t>
      </w:r>
      <w:r w:rsidR="0069390C">
        <w:rPr>
          <w:rFonts w:ascii="Times New Roman" w:hAnsi="Times New Roman" w:cs="Times New Roman"/>
          <w:sz w:val="24"/>
          <w:szCs w:val="24"/>
          <w:lang w:val="en-US"/>
        </w:rPr>
        <w:t>recently living organisms.</w:t>
      </w:r>
    </w:p>
    <w:p w14:paraId="59E5D14C" w14:textId="3E7C19D0" w:rsidR="00C50455" w:rsidRDefault="00C50455" w:rsidP="00306ACB">
      <w:pPr>
        <w:spacing w:after="0" w:line="240" w:lineRule="auto"/>
        <w:rPr>
          <w:rFonts w:ascii="Times New Roman" w:hAnsi="Times New Roman" w:cs="Times New Roman"/>
          <w:sz w:val="24"/>
          <w:szCs w:val="24"/>
          <w:lang w:val="en-US"/>
        </w:rPr>
      </w:pPr>
      <w:r w:rsidRPr="0069390C">
        <w:rPr>
          <w:rFonts w:ascii="Times New Roman" w:hAnsi="Times New Roman" w:cs="Times New Roman"/>
          <w:b/>
          <w:sz w:val="24"/>
          <w:szCs w:val="24"/>
          <w:lang w:val="en-US"/>
        </w:rPr>
        <w:t>Food systems</w:t>
      </w:r>
      <w:r w:rsidR="0069390C" w:rsidRPr="0069390C">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Processes of production and consumption of food integrated by socioeconomic and biophysical (ecological) interdependencies.</w:t>
      </w:r>
    </w:p>
    <w:p w14:paraId="609B24D4" w14:textId="5D73D426" w:rsidR="007358FA"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lastRenderedPageBreak/>
        <w:t>Human appropriation of net primary production</w:t>
      </w:r>
      <w:r w:rsidR="0069390C" w:rsidRPr="00F926E9">
        <w:rPr>
          <w:rFonts w:ascii="Times New Roman" w:hAnsi="Times New Roman" w:cs="Times New Roman"/>
          <w:b/>
          <w:sz w:val="24"/>
          <w:szCs w:val="24"/>
          <w:lang w:val="en-US"/>
        </w:rPr>
        <w:t>:</w:t>
      </w:r>
      <w:r w:rsidR="0069390C">
        <w:rPr>
          <w:rFonts w:ascii="Times New Roman" w:hAnsi="Times New Roman" w:cs="Times New Roman"/>
          <w:sz w:val="24"/>
          <w:szCs w:val="24"/>
          <w:lang w:val="en-US"/>
        </w:rPr>
        <w:t xml:space="preserve"> Aggregate effect of land use and harvest on</w:t>
      </w:r>
      <w:r w:rsidR="00F926E9">
        <w:rPr>
          <w:rFonts w:ascii="Times New Roman" w:hAnsi="Times New Roman" w:cs="Times New Roman"/>
          <w:sz w:val="24"/>
          <w:szCs w:val="24"/>
          <w:lang w:val="en-US"/>
        </w:rPr>
        <w:t xml:space="preserve"> the yearly flow of trophic energy (biomass) in an ecosystem.</w:t>
      </w:r>
    </w:p>
    <w:p w14:paraId="3AE0B926" w14:textId="679EF140" w:rsidR="007358FA"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t>Intermediate disturbance hypothesis</w:t>
      </w:r>
      <w:r w:rsidR="00F926E9" w:rsidRPr="00F926E9">
        <w:rPr>
          <w:rFonts w:ascii="Times New Roman" w:hAnsi="Times New Roman" w:cs="Times New Roman"/>
          <w:b/>
          <w:sz w:val="24"/>
          <w:szCs w:val="24"/>
          <w:lang w:val="en-US"/>
        </w:rPr>
        <w:t>:</w:t>
      </w:r>
      <w:r w:rsidR="00F926E9">
        <w:rPr>
          <w:rFonts w:ascii="Times New Roman" w:hAnsi="Times New Roman" w:cs="Times New Roman"/>
          <w:sz w:val="24"/>
          <w:szCs w:val="24"/>
          <w:lang w:val="en-US"/>
        </w:rPr>
        <w:t xml:space="preserve"> Holds that biodiversity of ecosystems attains its highest level at intermediate levels of disturbance because disturbance mitigates diversity-reducing effects of competitive exclusion</w:t>
      </w:r>
      <w:r w:rsidR="006D3194">
        <w:rPr>
          <w:rFonts w:ascii="Times New Roman" w:hAnsi="Times New Roman" w:cs="Times New Roman"/>
          <w:sz w:val="24"/>
          <w:szCs w:val="24"/>
          <w:lang w:val="en-US"/>
        </w:rPr>
        <w:t>, whereas</w:t>
      </w:r>
      <w:r w:rsidR="00F926E9">
        <w:rPr>
          <w:rFonts w:ascii="Times New Roman" w:hAnsi="Times New Roman" w:cs="Times New Roman"/>
          <w:sz w:val="24"/>
          <w:szCs w:val="24"/>
          <w:lang w:val="en-US"/>
        </w:rPr>
        <w:t xml:space="preserve"> few species can survive very high levels of disturbance.</w:t>
      </w:r>
    </w:p>
    <w:p w14:paraId="5A2BC25E" w14:textId="68AE9DAA" w:rsidR="007358FA"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t>Land cover</w:t>
      </w:r>
      <w:r w:rsidR="00F926E9" w:rsidRPr="00F926E9">
        <w:rPr>
          <w:rFonts w:ascii="Times New Roman" w:hAnsi="Times New Roman" w:cs="Times New Roman"/>
          <w:b/>
          <w:sz w:val="24"/>
          <w:szCs w:val="24"/>
          <w:lang w:val="en-US"/>
        </w:rPr>
        <w:t>:</w:t>
      </w:r>
      <w:r w:rsidR="00F926E9">
        <w:rPr>
          <w:rFonts w:ascii="Times New Roman" w:hAnsi="Times New Roman" w:cs="Times New Roman"/>
          <w:sz w:val="24"/>
          <w:szCs w:val="24"/>
          <w:lang w:val="en-US"/>
        </w:rPr>
        <w:t xml:space="preserve"> Biophysical characteristics of terrestrial ecosystems.</w:t>
      </w:r>
      <w:r>
        <w:rPr>
          <w:rFonts w:ascii="Times New Roman" w:hAnsi="Times New Roman" w:cs="Times New Roman"/>
          <w:sz w:val="24"/>
          <w:szCs w:val="24"/>
          <w:lang w:val="en-US"/>
        </w:rPr>
        <w:t xml:space="preserve"> </w:t>
      </w:r>
    </w:p>
    <w:p w14:paraId="2BBE9D1C" w14:textId="77777777" w:rsidR="00C80007"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t>Land use</w:t>
      </w:r>
      <w:r w:rsidR="00F926E9" w:rsidRPr="00F926E9">
        <w:rPr>
          <w:rFonts w:ascii="Times New Roman" w:hAnsi="Times New Roman" w:cs="Times New Roman"/>
          <w:b/>
          <w:sz w:val="24"/>
          <w:szCs w:val="24"/>
          <w:lang w:val="en-US"/>
        </w:rPr>
        <w:t>:</w:t>
      </w:r>
      <w:r w:rsidR="00F926E9">
        <w:rPr>
          <w:rFonts w:ascii="Times New Roman" w:hAnsi="Times New Roman" w:cs="Times New Roman"/>
          <w:sz w:val="24"/>
          <w:szCs w:val="24"/>
          <w:lang w:val="en-US"/>
        </w:rPr>
        <w:t xml:space="preserve"> Human activities aimed at using terrestrial ecosystems in pursuit of socioeconomic goals.</w:t>
      </w:r>
    </w:p>
    <w:p w14:paraId="4BD722E9" w14:textId="6E54169C" w:rsidR="007358FA"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t>Land-use intensity</w:t>
      </w:r>
      <w:r w:rsidR="00F926E9" w:rsidRPr="00F926E9">
        <w:rPr>
          <w:rFonts w:ascii="Times New Roman" w:hAnsi="Times New Roman" w:cs="Times New Roman"/>
          <w:b/>
          <w:sz w:val="24"/>
          <w:szCs w:val="24"/>
          <w:lang w:val="en-US"/>
        </w:rPr>
        <w:t>:</w:t>
      </w:r>
      <w:r w:rsidR="00F926E9">
        <w:rPr>
          <w:rFonts w:ascii="Times New Roman" w:hAnsi="Times New Roman" w:cs="Times New Roman"/>
          <w:sz w:val="24"/>
          <w:szCs w:val="24"/>
          <w:lang w:val="en-US"/>
        </w:rPr>
        <w:t xml:space="preserve"> </w:t>
      </w:r>
      <w:r w:rsidR="00D31C5B">
        <w:rPr>
          <w:rFonts w:ascii="Times New Roman" w:hAnsi="Times New Roman" w:cs="Times New Roman"/>
          <w:sz w:val="24"/>
          <w:szCs w:val="24"/>
          <w:lang w:val="en-US"/>
        </w:rPr>
        <w:t>Multidimensional land-use concept</w:t>
      </w:r>
      <w:r w:rsidR="006D3194">
        <w:rPr>
          <w:rFonts w:ascii="Times New Roman" w:hAnsi="Times New Roman" w:cs="Times New Roman"/>
          <w:sz w:val="24"/>
          <w:szCs w:val="24"/>
          <w:lang w:val="en-US"/>
        </w:rPr>
        <w:t xml:space="preserve"> that encompasses </w:t>
      </w:r>
      <w:r w:rsidR="00D31C5B">
        <w:rPr>
          <w:rFonts w:ascii="Times New Roman" w:hAnsi="Times New Roman" w:cs="Times New Roman"/>
          <w:sz w:val="24"/>
          <w:szCs w:val="24"/>
          <w:lang w:val="en-US"/>
        </w:rPr>
        <w:t xml:space="preserve">the </w:t>
      </w:r>
      <w:r w:rsidR="00C80007">
        <w:rPr>
          <w:rFonts w:ascii="Times New Roman" w:hAnsi="Times New Roman" w:cs="Times New Roman"/>
          <w:sz w:val="24"/>
          <w:szCs w:val="24"/>
          <w:lang w:val="en-US"/>
        </w:rPr>
        <w:t xml:space="preserve">flows </w:t>
      </w:r>
      <w:r w:rsidR="00D31C5B">
        <w:rPr>
          <w:rFonts w:ascii="Times New Roman" w:hAnsi="Times New Roman" w:cs="Times New Roman"/>
          <w:sz w:val="24"/>
          <w:szCs w:val="24"/>
          <w:lang w:val="en-US"/>
        </w:rPr>
        <w:t>of inputs or outputs per unit land</w:t>
      </w:r>
      <w:r w:rsidR="006D3194">
        <w:rPr>
          <w:rFonts w:ascii="Times New Roman" w:hAnsi="Times New Roman" w:cs="Times New Roman"/>
          <w:sz w:val="24"/>
          <w:szCs w:val="24"/>
          <w:lang w:val="en-US"/>
        </w:rPr>
        <w:t xml:space="preserve"> and time period</w:t>
      </w:r>
      <w:r w:rsidR="00D31C5B">
        <w:rPr>
          <w:rFonts w:ascii="Times New Roman" w:hAnsi="Times New Roman" w:cs="Times New Roman"/>
          <w:sz w:val="24"/>
          <w:szCs w:val="24"/>
          <w:lang w:val="en-US"/>
        </w:rPr>
        <w:t>, as well as the land-use induced alteration of ecosystem properties on land</w:t>
      </w:r>
      <w:r w:rsidR="00C80007">
        <w:rPr>
          <w:rFonts w:ascii="Times New Roman" w:hAnsi="Times New Roman" w:cs="Times New Roman"/>
          <w:sz w:val="24"/>
          <w:szCs w:val="24"/>
          <w:lang w:val="en-US"/>
        </w:rPr>
        <w:t xml:space="preserve"> that may or may not be recognized as land-cover change</w:t>
      </w:r>
      <w:r w:rsidR="00D31C5B">
        <w:rPr>
          <w:rFonts w:ascii="Times New Roman" w:hAnsi="Times New Roman" w:cs="Times New Roman"/>
          <w:sz w:val="24"/>
          <w:szCs w:val="24"/>
          <w:lang w:val="en-US"/>
        </w:rPr>
        <w:t>.</w:t>
      </w:r>
    </w:p>
    <w:p w14:paraId="17631B7D" w14:textId="3746342C" w:rsidR="007358FA" w:rsidRPr="007358FA" w:rsidRDefault="007358FA" w:rsidP="00306ACB">
      <w:pPr>
        <w:spacing w:after="0" w:line="240" w:lineRule="auto"/>
        <w:rPr>
          <w:rFonts w:ascii="Times New Roman" w:hAnsi="Times New Roman" w:cs="Times New Roman"/>
          <w:sz w:val="24"/>
          <w:szCs w:val="24"/>
          <w:lang w:val="en-US"/>
        </w:rPr>
      </w:pPr>
      <w:r w:rsidRPr="00F926E9">
        <w:rPr>
          <w:rFonts w:ascii="Times New Roman" w:hAnsi="Times New Roman" w:cs="Times New Roman"/>
          <w:b/>
          <w:sz w:val="24"/>
          <w:szCs w:val="24"/>
          <w:lang w:val="en-US"/>
        </w:rPr>
        <w:t>Social metabolism</w:t>
      </w:r>
      <w:r w:rsidR="00F926E9" w:rsidRPr="00F926E9">
        <w:rPr>
          <w:rFonts w:ascii="Times New Roman" w:hAnsi="Times New Roman" w:cs="Times New Roman"/>
          <w:b/>
          <w:sz w:val="24"/>
          <w:szCs w:val="24"/>
          <w:lang w:val="en-US"/>
        </w:rPr>
        <w:t>:</w:t>
      </w:r>
      <w:r w:rsidR="00F926E9">
        <w:rPr>
          <w:rFonts w:ascii="Times New Roman" w:hAnsi="Times New Roman" w:cs="Times New Roman"/>
          <w:sz w:val="24"/>
          <w:szCs w:val="24"/>
          <w:lang w:val="en-US"/>
        </w:rPr>
        <w:t xml:space="preserve"> Societal use of material and energetic resources in </w:t>
      </w:r>
      <w:r w:rsidR="006D3194">
        <w:rPr>
          <w:rFonts w:ascii="Times New Roman" w:hAnsi="Times New Roman" w:cs="Times New Roman"/>
          <w:sz w:val="24"/>
          <w:szCs w:val="24"/>
          <w:lang w:val="en-US"/>
        </w:rPr>
        <w:t xml:space="preserve">processes of </w:t>
      </w:r>
      <w:r w:rsidR="00F926E9">
        <w:rPr>
          <w:rFonts w:ascii="Times New Roman" w:hAnsi="Times New Roman" w:cs="Times New Roman"/>
          <w:sz w:val="24"/>
          <w:szCs w:val="24"/>
          <w:lang w:val="en-US"/>
        </w:rPr>
        <w:t>production and consumption.</w:t>
      </w:r>
    </w:p>
    <w:p w14:paraId="502251E4" w14:textId="49C448A3" w:rsidR="00306ACB" w:rsidRDefault="007358FA" w:rsidP="00306ACB">
      <w:pPr>
        <w:spacing w:after="0" w:line="240" w:lineRule="auto"/>
        <w:rPr>
          <w:rFonts w:ascii="Times New Roman" w:hAnsi="Times New Roman" w:cs="Times New Roman"/>
          <w:sz w:val="24"/>
          <w:szCs w:val="24"/>
          <w:lang w:val="en-US"/>
        </w:rPr>
      </w:pPr>
      <w:r w:rsidRPr="006717E7">
        <w:rPr>
          <w:rFonts w:ascii="Times New Roman" w:hAnsi="Times New Roman" w:cs="Times New Roman"/>
          <w:b/>
          <w:sz w:val="24"/>
          <w:szCs w:val="24"/>
          <w:lang w:val="en-US"/>
        </w:rPr>
        <w:t xml:space="preserve">Species-energy </w:t>
      </w:r>
      <w:r w:rsidR="006717E7" w:rsidRPr="006717E7">
        <w:rPr>
          <w:rFonts w:ascii="Times New Roman" w:hAnsi="Times New Roman" w:cs="Times New Roman"/>
          <w:b/>
          <w:sz w:val="24"/>
          <w:szCs w:val="24"/>
          <w:lang w:val="en-US"/>
        </w:rPr>
        <w:t>hypothesis</w:t>
      </w:r>
      <w:r w:rsidR="001E5CAD" w:rsidRPr="006717E7">
        <w:rPr>
          <w:rFonts w:ascii="Times New Roman" w:hAnsi="Times New Roman" w:cs="Times New Roman"/>
          <w:b/>
          <w:sz w:val="24"/>
          <w:szCs w:val="24"/>
          <w:lang w:val="en-US"/>
        </w:rPr>
        <w:t>:</w:t>
      </w:r>
      <w:r w:rsidR="001E5CAD">
        <w:rPr>
          <w:rFonts w:ascii="Times New Roman" w:hAnsi="Times New Roman" w:cs="Times New Roman"/>
          <w:sz w:val="24"/>
          <w:szCs w:val="24"/>
          <w:lang w:val="en-US"/>
        </w:rPr>
        <w:t xml:space="preserve"> </w:t>
      </w:r>
      <w:r w:rsidR="006717E7">
        <w:rPr>
          <w:rFonts w:ascii="Times New Roman" w:hAnsi="Times New Roman" w:cs="Times New Roman"/>
          <w:sz w:val="24"/>
          <w:szCs w:val="24"/>
          <w:lang w:val="en-US"/>
        </w:rPr>
        <w:t xml:space="preserve">Holds that biodiversity depends on the availability of energy (often narrowed down to trophic energy) in </w:t>
      </w:r>
      <w:r w:rsidR="006D3194">
        <w:rPr>
          <w:rFonts w:ascii="Times New Roman" w:hAnsi="Times New Roman" w:cs="Times New Roman"/>
          <w:sz w:val="24"/>
          <w:szCs w:val="24"/>
          <w:lang w:val="en-US"/>
        </w:rPr>
        <w:t xml:space="preserve">a describable manner, often in </w:t>
      </w:r>
      <w:r w:rsidR="006717E7">
        <w:rPr>
          <w:rFonts w:ascii="Times New Roman" w:hAnsi="Times New Roman" w:cs="Times New Roman"/>
          <w:sz w:val="24"/>
          <w:szCs w:val="24"/>
          <w:lang w:val="en-US"/>
        </w:rPr>
        <w:t>either unimodal (hump-shaped) or monotonously positive relationship</w:t>
      </w:r>
      <w:r w:rsidR="006D3194">
        <w:rPr>
          <w:rFonts w:ascii="Times New Roman" w:hAnsi="Times New Roman" w:cs="Times New Roman"/>
          <w:sz w:val="24"/>
          <w:szCs w:val="24"/>
          <w:lang w:val="en-US"/>
        </w:rPr>
        <w:t>s</w:t>
      </w:r>
      <w:r w:rsidR="006717E7">
        <w:rPr>
          <w:rFonts w:ascii="Times New Roman" w:hAnsi="Times New Roman" w:cs="Times New Roman"/>
          <w:sz w:val="24"/>
          <w:szCs w:val="24"/>
          <w:lang w:val="en-US"/>
        </w:rPr>
        <w:t>.</w:t>
      </w:r>
    </w:p>
    <w:p w14:paraId="27352BEA" w14:textId="77777777" w:rsidR="00C50455" w:rsidRDefault="00C50455" w:rsidP="00306ACB">
      <w:pPr>
        <w:spacing w:after="0" w:line="240" w:lineRule="auto"/>
        <w:rPr>
          <w:rFonts w:ascii="Times New Roman" w:hAnsi="Times New Roman" w:cs="Times New Roman"/>
          <w:sz w:val="24"/>
          <w:szCs w:val="24"/>
          <w:lang w:val="en-US"/>
        </w:rPr>
      </w:pPr>
    </w:p>
    <w:p w14:paraId="3DE26F2C" w14:textId="77777777" w:rsidR="007358FA" w:rsidRPr="007E74AE" w:rsidRDefault="007E74AE" w:rsidP="00306ACB">
      <w:pPr>
        <w:spacing w:after="0" w:line="240" w:lineRule="auto"/>
        <w:rPr>
          <w:rFonts w:ascii="Times New Roman" w:hAnsi="Times New Roman" w:cs="Times New Roman"/>
          <w:b/>
          <w:sz w:val="24"/>
          <w:szCs w:val="24"/>
          <w:lang w:val="en-US"/>
        </w:rPr>
      </w:pPr>
      <w:r w:rsidRPr="007E74AE">
        <w:rPr>
          <w:rFonts w:ascii="Times New Roman" w:hAnsi="Times New Roman" w:cs="Times New Roman"/>
          <w:b/>
          <w:sz w:val="24"/>
          <w:szCs w:val="24"/>
          <w:lang w:val="en-US"/>
        </w:rPr>
        <w:t>Nomenclature</w:t>
      </w:r>
    </w:p>
    <w:p w14:paraId="0948F59C" w14:textId="77777777" w:rsidR="002A5E70" w:rsidRDefault="002A5E70" w:rsidP="00306ACB">
      <w:pPr>
        <w:spacing w:after="0" w:line="240" w:lineRule="auto"/>
        <w:rPr>
          <w:rFonts w:ascii="Times New Roman" w:hAnsi="Times New Roman" w:cs="Times New Roman"/>
          <w:sz w:val="24"/>
          <w:szCs w:val="24"/>
          <w:lang w:val="en-US"/>
        </w:rPr>
      </w:pPr>
    </w:p>
    <w:p w14:paraId="05E0433F" w14:textId="3C00E473" w:rsidR="002A5E70" w:rsidRDefault="002A5E70"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ABM Agent-based model</w:t>
      </w:r>
    </w:p>
    <w:p w14:paraId="7CF56B15" w14:textId="6E13BA55" w:rsidR="006322E6" w:rsidRDefault="006322E6"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BECCS Bioenergy with CCS</w:t>
      </w:r>
    </w:p>
    <w:p w14:paraId="501E6E98" w14:textId="2A4577D7" w:rsidR="006322E6" w:rsidRDefault="006322E6"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CCS Carbon capture and sequestration</w:t>
      </w:r>
    </w:p>
    <w:p w14:paraId="0CF83F8E" w14:textId="2917466C" w:rsidR="006D3194" w:rsidRDefault="00672DA6"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FAO Food and Agriculture Organization of the United Nations</w:t>
      </w:r>
    </w:p>
    <w:p w14:paraId="14F15C8A" w14:textId="0AC22B55" w:rsidR="00672DA6" w:rsidRDefault="00672DA6"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GDP Gross Domestic Product</w:t>
      </w:r>
    </w:p>
    <w:p w14:paraId="322DAE8E" w14:textId="4CCDF9B4" w:rsidR="006D3194" w:rsidRDefault="006D3194"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GHG Greenhouse gas</w:t>
      </w:r>
    </w:p>
    <w:p w14:paraId="5E4B712E" w14:textId="3BB77767" w:rsidR="006D3194" w:rsidRDefault="006D3194"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HANPP Human appropriation of net primary production</w:t>
      </w:r>
    </w:p>
    <w:p w14:paraId="682E3357" w14:textId="420AB3B3" w:rsidR="006D3194" w:rsidRDefault="006D3194" w:rsidP="006D319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IAASTD </w:t>
      </w:r>
      <w:r w:rsidRPr="006D3194">
        <w:rPr>
          <w:rFonts w:ascii="Times New Roman" w:hAnsi="Times New Roman" w:cs="Times New Roman"/>
          <w:sz w:val="24"/>
          <w:szCs w:val="24"/>
          <w:lang w:val="en-US"/>
        </w:rPr>
        <w:t>International Assessment of Agricultural Knowledge, Science and Technology for Development</w:t>
      </w:r>
    </w:p>
    <w:p w14:paraId="2F9CA75B" w14:textId="65CD92B7" w:rsidR="006D3194" w:rsidRPr="006D3194" w:rsidRDefault="006D3194" w:rsidP="006D319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IPBES </w:t>
      </w:r>
      <w:r w:rsidRPr="006D3194">
        <w:rPr>
          <w:rFonts w:ascii="Times New Roman" w:hAnsi="Times New Roman" w:cs="Times New Roman"/>
          <w:sz w:val="24"/>
          <w:szCs w:val="24"/>
          <w:lang w:val="en-US"/>
        </w:rPr>
        <w:t>Intergovernmental Science-Policy Platform on Biodiversity and Ecosystem Services</w:t>
      </w:r>
    </w:p>
    <w:p w14:paraId="24344983" w14:textId="33CE59D2" w:rsidR="00BE4442" w:rsidRDefault="00BE4442"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IUCN International Union for Conservation of Nature</w:t>
      </w:r>
    </w:p>
    <w:p w14:paraId="0C6BF830" w14:textId="05A4F411" w:rsidR="00717C4B" w:rsidRDefault="00717C4B"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MEFA Material and energy flow analysis</w:t>
      </w:r>
    </w:p>
    <w:p w14:paraId="78334511" w14:textId="3AF10E89" w:rsidR="00C35262" w:rsidRDefault="00C35262"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NPP Net Primary Production</w:t>
      </w:r>
    </w:p>
    <w:p w14:paraId="60BC3AD8" w14:textId="16F9620D" w:rsidR="006D3194" w:rsidRDefault="006D3194"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OECD Organization for Economic Co-Operation and Development</w:t>
      </w:r>
    </w:p>
    <w:p w14:paraId="18812F6B" w14:textId="6525B339" w:rsidR="006D3194" w:rsidRDefault="006D3194"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UNEP United Nations Environment </w:t>
      </w:r>
      <w:proofErr w:type="spellStart"/>
      <w:r>
        <w:rPr>
          <w:rFonts w:ascii="Times New Roman" w:hAnsi="Times New Roman" w:cs="Times New Roman"/>
          <w:sz w:val="24"/>
          <w:szCs w:val="24"/>
          <w:lang w:val="en-US"/>
        </w:rPr>
        <w:t>Programme</w:t>
      </w:r>
      <w:proofErr w:type="spellEnd"/>
    </w:p>
    <w:p w14:paraId="3D523BE7" w14:textId="77777777" w:rsidR="006D3194" w:rsidRDefault="006D3194" w:rsidP="00306ACB">
      <w:pPr>
        <w:spacing w:after="0" w:line="240" w:lineRule="auto"/>
        <w:rPr>
          <w:rFonts w:ascii="Times New Roman" w:hAnsi="Times New Roman" w:cs="Times New Roman"/>
          <w:sz w:val="24"/>
          <w:szCs w:val="24"/>
          <w:lang w:val="en-US"/>
        </w:rPr>
      </w:pPr>
    </w:p>
    <w:p w14:paraId="3B06ECA7" w14:textId="77777777" w:rsidR="007E74AE" w:rsidRPr="007E74AE" w:rsidRDefault="007E74AE" w:rsidP="00306ACB">
      <w:pPr>
        <w:spacing w:after="0" w:line="240" w:lineRule="auto"/>
        <w:rPr>
          <w:rFonts w:ascii="Times New Roman" w:hAnsi="Times New Roman" w:cs="Times New Roman"/>
          <w:b/>
          <w:sz w:val="24"/>
          <w:szCs w:val="24"/>
          <w:lang w:val="en-US"/>
        </w:rPr>
      </w:pPr>
      <w:r w:rsidRPr="007E74AE">
        <w:rPr>
          <w:rFonts w:ascii="Times New Roman" w:hAnsi="Times New Roman" w:cs="Times New Roman"/>
          <w:b/>
          <w:sz w:val="24"/>
          <w:szCs w:val="24"/>
          <w:lang w:val="en-US"/>
        </w:rPr>
        <w:t>Keywords</w:t>
      </w:r>
    </w:p>
    <w:p w14:paraId="3C35BC7A" w14:textId="77777777" w:rsidR="00672DA6" w:rsidRDefault="00672DA6" w:rsidP="00306ACB">
      <w:pPr>
        <w:spacing w:after="0" w:line="240" w:lineRule="auto"/>
        <w:rPr>
          <w:rFonts w:ascii="Times New Roman" w:hAnsi="Times New Roman" w:cs="Times New Roman"/>
          <w:sz w:val="24"/>
          <w:szCs w:val="24"/>
          <w:lang w:val="en-US"/>
        </w:rPr>
      </w:pPr>
    </w:p>
    <w:p w14:paraId="2199E435" w14:textId="36BE43A4" w:rsidR="007E74AE" w:rsidRDefault="007E74AE"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Agriculture; Biophysical economics; Biomass; Circular economy; Disturbance; Ecological economics; GHG emissions; Industrial ecology; Input-output analysis; Livestock; Material flow analysis; Resources; Sustainable production and consumption</w:t>
      </w:r>
    </w:p>
    <w:p w14:paraId="27D49774" w14:textId="77777777" w:rsidR="007E74AE" w:rsidRDefault="007E74AE" w:rsidP="00306ACB">
      <w:pPr>
        <w:spacing w:after="0" w:line="240" w:lineRule="auto"/>
        <w:rPr>
          <w:rFonts w:ascii="Times New Roman" w:hAnsi="Times New Roman" w:cs="Times New Roman"/>
          <w:sz w:val="24"/>
          <w:szCs w:val="24"/>
          <w:lang w:val="en-US"/>
        </w:rPr>
      </w:pPr>
    </w:p>
    <w:p w14:paraId="21C2FA96" w14:textId="77777777" w:rsidR="007E74AE" w:rsidRPr="007E74AE" w:rsidRDefault="007E74AE" w:rsidP="00306ACB">
      <w:pPr>
        <w:spacing w:after="0" w:line="240" w:lineRule="auto"/>
        <w:rPr>
          <w:rFonts w:ascii="Times New Roman" w:hAnsi="Times New Roman" w:cs="Times New Roman"/>
          <w:b/>
          <w:sz w:val="24"/>
          <w:szCs w:val="24"/>
          <w:lang w:val="en-US"/>
        </w:rPr>
      </w:pPr>
      <w:r w:rsidRPr="007E74AE">
        <w:rPr>
          <w:rFonts w:ascii="Times New Roman" w:hAnsi="Times New Roman" w:cs="Times New Roman"/>
          <w:b/>
          <w:sz w:val="24"/>
          <w:szCs w:val="24"/>
          <w:lang w:val="en-US"/>
        </w:rPr>
        <w:t>Abstract</w:t>
      </w:r>
    </w:p>
    <w:p w14:paraId="5013FDDF" w14:textId="6BA3A0B2" w:rsidR="007E74AE" w:rsidRDefault="007E74AE"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t>
      </w:r>
      <w:r w:rsidR="00AB103E">
        <w:rPr>
          <w:rFonts w:ascii="Times New Roman" w:hAnsi="Times New Roman" w:cs="Times New Roman"/>
          <w:sz w:val="24"/>
          <w:szCs w:val="24"/>
          <w:lang w:val="en-US"/>
        </w:rPr>
        <w:t>94 words</w:t>
      </w:r>
      <w:r>
        <w:rPr>
          <w:rFonts w:ascii="Times New Roman" w:hAnsi="Times New Roman" w:cs="Times New Roman"/>
          <w:sz w:val="24"/>
          <w:szCs w:val="24"/>
          <w:lang w:val="en-US"/>
        </w:rPr>
        <w:t>)</w:t>
      </w:r>
    </w:p>
    <w:p w14:paraId="29FF2263" w14:textId="523587EB" w:rsidR="007E74AE" w:rsidRDefault="007E74AE" w:rsidP="00306ACB">
      <w:pPr>
        <w:spacing w:after="0" w:line="240" w:lineRule="auto"/>
        <w:rPr>
          <w:rFonts w:ascii="Times New Roman" w:hAnsi="Times New Roman" w:cs="Times New Roman"/>
          <w:sz w:val="24"/>
          <w:szCs w:val="24"/>
          <w:lang w:val="en-US"/>
        </w:rPr>
      </w:pPr>
    </w:p>
    <w:p w14:paraId="41110408" w14:textId="49482202" w:rsidR="0046683E" w:rsidRDefault="0046683E"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Socio-metabolic research investigates societies’ extraction of raw materials and energy from the environment</w:t>
      </w:r>
      <w:r w:rsidR="001C21BA">
        <w:rPr>
          <w:rFonts w:ascii="Times New Roman" w:hAnsi="Times New Roman" w:cs="Times New Roman"/>
          <w:sz w:val="24"/>
          <w:szCs w:val="24"/>
          <w:lang w:val="en-US"/>
        </w:rPr>
        <w:t xml:space="preserve">, </w:t>
      </w:r>
      <w:r>
        <w:rPr>
          <w:rFonts w:ascii="Times New Roman" w:hAnsi="Times New Roman" w:cs="Times New Roman"/>
          <w:sz w:val="24"/>
          <w:szCs w:val="24"/>
          <w:lang w:val="en-US"/>
        </w:rPr>
        <w:t>the</w:t>
      </w:r>
      <w:r w:rsidR="003E687B">
        <w:rPr>
          <w:rFonts w:ascii="Times New Roman" w:hAnsi="Times New Roman" w:cs="Times New Roman"/>
          <w:sz w:val="24"/>
          <w:szCs w:val="24"/>
          <w:lang w:val="en-US"/>
        </w:rPr>
        <w:t>ir</w:t>
      </w:r>
      <w:r>
        <w:rPr>
          <w:rFonts w:ascii="Times New Roman" w:hAnsi="Times New Roman" w:cs="Times New Roman"/>
          <w:sz w:val="24"/>
          <w:szCs w:val="24"/>
          <w:lang w:val="en-US"/>
        </w:rPr>
        <w:t xml:space="preserve"> transformation </w:t>
      </w:r>
      <w:r w:rsidR="001C21BA">
        <w:rPr>
          <w:rFonts w:ascii="Times New Roman" w:hAnsi="Times New Roman" w:cs="Times New Roman"/>
          <w:sz w:val="24"/>
          <w:szCs w:val="24"/>
          <w:lang w:val="en-US"/>
        </w:rPr>
        <w:t xml:space="preserve">into </w:t>
      </w:r>
      <w:r w:rsidR="003F24AD">
        <w:rPr>
          <w:rFonts w:ascii="Times New Roman" w:hAnsi="Times New Roman" w:cs="Times New Roman"/>
          <w:sz w:val="24"/>
          <w:szCs w:val="24"/>
          <w:lang w:val="en-US"/>
        </w:rPr>
        <w:t>products</w:t>
      </w:r>
      <w:r w:rsidR="001C21BA">
        <w:rPr>
          <w:rFonts w:ascii="Times New Roman" w:hAnsi="Times New Roman" w:cs="Times New Roman"/>
          <w:sz w:val="24"/>
          <w:szCs w:val="24"/>
          <w:lang w:val="en-US"/>
        </w:rPr>
        <w:t xml:space="preserve">, </w:t>
      </w:r>
      <w:r w:rsidR="003E687B">
        <w:rPr>
          <w:rFonts w:ascii="Times New Roman" w:hAnsi="Times New Roman" w:cs="Times New Roman"/>
          <w:sz w:val="24"/>
          <w:szCs w:val="24"/>
          <w:lang w:val="en-US"/>
        </w:rPr>
        <w:t xml:space="preserve">biophysical </w:t>
      </w:r>
      <w:r w:rsidR="001C21BA">
        <w:rPr>
          <w:rFonts w:ascii="Times New Roman" w:hAnsi="Times New Roman" w:cs="Times New Roman"/>
          <w:sz w:val="24"/>
          <w:szCs w:val="24"/>
          <w:lang w:val="en-US"/>
        </w:rPr>
        <w:t xml:space="preserve">trade </w:t>
      </w:r>
      <w:r w:rsidR="003E687B">
        <w:rPr>
          <w:rFonts w:ascii="Times New Roman" w:hAnsi="Times New Roman" w:cs="Times New Roman"/>
          <w:sz w:val="24"/>
          <w:szCs w:val="24"/>
          <w:lang w:val="en-US"/>
        </w:rPr>
        <w:t>flows</w:t>
      </w:r>
      <w:r w:rsidR="001C21BA">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 accumulation of societal material stocks </w:t>
      </w:r>
      <w:r w:rsidR="003E687B">
        <w:rPr>
          <w:rFonts w:ascii="Times New Roman" w:hAnsi="Times New Roman" w:cs="Times New Roman"/>
          <w:sz w:val="24"/>
          <w:szCs w:val="24"/>
          <w:lang w:val="en-US"/>
        </w:rPr>
        <w:t>(</w:t>
      </w:r>
      <w:r>
        <w:rPr>
          <w:rFonts w:ascii="Times New Roman" w:hAnsi="Times New Roman" w:cs="Times New Roman"/>
          <w:sz w:val="24"/>
          <w:szCs w:val="24"/>
          <w:lang w:val="en-US"/>
        </w:rPr>
        <w:t>buildings, infrastructures</w:t>
      </w:r>
      <w:r w:rsidR="003E687B">
        <w:rPr>
          <w:rFonts w:ascii="Times New Roman" w:hAnsi="Times New Roman" w:cs="Times New Roman"/>
          <w:sz w:val="24"/>
          <w:szCs w:val="24"/>
          <w:lang w:val="en-US"/>
        </w:rPr>
        <w:t>,</w:t>
      </w:r>
      <w:r>
        <w:rPr>
          <w:rFonts w:ascii="Times New Roman" w:hAnsi="Times New Roman" w:cs="Times New Roman"/>
          <w:sz w:val="24"/>
          <w:szCs w:val="24"/>
          <w:lang w:val="en-US"/>
        </w:rPr>
        <w:t xml:space="preserve"> long-lived products</w:t>
      </w:r>
      <w:r w:rsidR="003E687B">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1C21BA">
        <w:rPr>
          <w:rFonts w:ascii="Times New Roman" w:hAnsi="Times New Roman" w:cs="Times New Roman"/>
          <w:sz w:val="24"/>
          <w:szCs w:val="24"/>
          <w:lang w:val="en-US"/>
        </w:rPr>
        <w:t xml:space="preserve">biophysical aspects </w:t>
      </w:r>
      <w:r w:rsidR="003E687B">
        <w:rPr>
          <w:rFonts w:ascii="Times New Roman" w:hAnsi="Times New Roman" w:cs="Times New Roman"/>
          <w:sz w:val="24"/>
          <w:szCs w:val="24"/>
          <w:lang w:val="en-US"/>
        </w:rPr>
        <w:t xml:space="preserve">of </w:t>
      </w:r>
      <w:r w:rsidR="001C21BA">
        <w:rPr>
          <w:rFonts w:ascii="Times New Roman" w:hAnsi="Times New Roman" w:cs="Times New Roman"/>
          <w:sz w:val="24"/>
          <w:szCs w:val="24"/>
          <w:lang w:val="en-US"/>
        </w:rPr>
        <w:t xml:space="preserve">consumption, </w:t>
      </w:r>
      <w:r>
        <w:rPr>
          <w:rFonts w:ascii="Times New Roman" w:hAnsi="Times New Roman" w:cs="Times New Roman"/>
          <w:sz w:val="24"/>
          <w:szCs w:val="24"/>
          <w:lang w:val="en-US"/>
        </w:rPr>
        <w:t>and release</w:t>
      </w:r>
      <w:r w:rsidR="003E687B">
        <w:rPr>
          <w:rFonts w:ascii="Times New Roman" w:hAnsi="Times New Roman" w:cs="Times New Roman"/>
          <w:sz w:val="24"/>
          <w:szCs w:val="24"/>
          <w:lang w:val="en-US"/>
        </w:rPr>
        <w:t>s</w:t>
      </w:r>
      <w:r>
        <w:rPr>
          <w:rFonts w:ascii="Times New Roman" w:hAnsi="Times New Roman" w:cs="Times New Roman"/>
          <w:sz w:val="24"/>
          <w:szCs w:val="24"/>
          <w:lang w:val="en-US"/>
        </w:rPr>
        <w:t xml:space="preserve"> of emissions and wastes to the environment. </w:t>
      </w:r>
      <w:r w:rsidR="003E687B">
        <w:rPr>
          <w:rFonts w:ascii="Times New Roman" w:hAnsi="Times New Roman" w:cs="Times New Roman"/>
          <w:sz w:val="24"/>
          <w:szCs w:val="24"/>
          <w:lang w:val="en-US"/>
        </w:rPr>
        <w:t>R</w:t>
      </w:r>
      <w:r>
        <w:rPr>
          <w:rFonts w:ascii="Times New Roman" w:hAnsi="Times New Roman" w:cs="Times New Roman"/>
          <w:sz w:val="24"/>
          <w:szCs w:val="24"/>
          <w:lang w:val="en-US"/>
        </w:rPr>
        <w:t xml:space="preserve">esource flows through society are associated with pressures on ecosystems and biodiversity. Approximately three fourths of the earth’s land are more or less intensively affected by </w:t>
      </w:r>
      <w:r>
        <w:rPr>
          <w:rFonts w:ascii="Times New Roman" w:hAnsi="Times New Roman" w:cs="Times New Roman"/>
          <w:sz w:val="24"/>
          <w:szCs w:val="24"/>
          <w:lang w:val="en-US"/>
        </w:rPr>
        <w:lastRenderedPageBreak/>
        <w:t xml:space="preserve">human activities related to social metabolism. While biomass extraction through agriculture and forestry </w:t>
      </w:r>
      <w:r w:rsidR="003E687B">
        <w:rPr>
          <w:rFonts w:ascii="Times New Roman" w:hAnsi="Times New Roman" w:cs="Times New Roman"/>
          <w:sz w:val="24"/>
          <w:szCs w:val="24"/>
          <w:lang w:val="en-US"/>
        </w:rPr>
        <w:t>require most area</w:t>
      </w:r>
      <w:r>
        <w:rPr>
          <w:rFonts w:ascii="Times New Roman" w:hAnsi="Times New Roman" w:cs="Times New Roman"/>
          <w:sz w:val="24"/>
          <w:szCs w:val="24"/>
          <w:lang w:val="en-US"/>
        </w:rPr>
        <w:t xml:space="preserve">, other </w:t>
      </w:r>
      <w:r w:rsidR="00816B00">
        <w:rPr>
          <w:rFonts w:ascii="Times New Roman" w:hAnsi="Times New Roman" w:cs="Times New Roman"/>
          <w:sz w:val="24"/>
          <w:szCs w:val="24"/>
          <w:lang w:val="en-US"/>
        </w:rPr>
        <w:t>aspects of social metabolism also have substantial impacts.</w:t>
      </w:r>
    </w:p>
    <w:p w14:paraId="193F0BFC" w14:textId="2D9D78F1" w:rsidR="00BE571F" w:rsidRDefault="00BE571F">
      <w:pPr>
        <w:rPr>
          <w:rFonts w:ascii="Times New Roman" w:hAnsi="Times New Roman" w:cs="Times New Roman"/>
          <w:b/>
          <w:sz w:val="24"/>
          <w:szCs w:val="24"/>
          <w:lang w:val="en-US"/>
        </w:rPr>
      </w:pPr>
    </w:p>
    <w:p w14:paraId="0E0D81D7" w14:textId="43F68995" w:rsidR="00A820C5" w:rsidRPr="00CF4646" w:rsidRDefault="00CF4646" w:rsidP="00306ACB">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1. </w:t>
      </w:r>
      <w:r w:rsidRPr="00CF4646">
        <w:rPr>
          <w:rFonts w:ascii="Times New Roman" w:hAnsi="Times New Roman" w:cs="Times New Roman"/>
          <w:b/>
          <w:sz w:val="28"/>
          <w:szCs w:val="28"/>
          <w:lang w:val="en-US"/>
        </w:rPr>
        <w:t>Introduction</w:t>
      </w:r>
    </w:p>
    <w:p w14:paraId="261FA523" w14:textId="3ECB2F7D" w:rsidR="00EA1E2C" w:rsidRDefault="001A0748"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Any conceivable human activity requires biophysical resources. As large mammals, humans at least need the food energy sustaining their bodily functions. Societies need to secure at the very least the food sustaining the human population</w:t>
      </w:r>
      <w:r w:rsidR="001C21BA">
        <w:rPr>
          <w:rFonts w:ascii="Times New Roman" w:hAnsi="Times New Roman" w:cs="Times New Roman"/>
          <w:sz w:val="24"/>
          <w:szCs w:val="24"/>
          <w:lang w:val="en-US"/>
        </w:rPr>
        <w:t>, i.e. their</w:t>
      </w:r>
      <w:r>
        <w:rPr>
          <w:rFonts w:ascii="Times New Roman" w:hAnsi="Times New Roman" w:cs="Times New Roman"/>
          <w:sz w:val="24"/>
          <w:szCs w:val="24"/>
          <w:lang w:val="en-US"/>
        </w:rPr>
        <w:t xml:space="preserve"> ‘endosomatic metabolism’;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{"citationID":"0dJfqpKR","properties":{"formattedCitation":"(Giampietro and Mayumi, 2000)","plainCitation":"(Giampietro and Mayumi, 2000)","noteIndex":0},"citationItems":[{"id":71107,"uris":["http://zotero.org/users/666791/items/8KF8VIGH"],"uri":["http://zotero.org/users/666791/items/8KF8VIGH"],"itemData":{"id":71107,"type":"article-journal","abstract":"In this paper we present several concepts related to integrated analysis of societal metabolism across scales. First we introduce the concept of “dynamic energy budget” of human societies, which is based on the distinction between exosomatic and endosomatic energy flows and the possibility of establishing autocatalytic loops (egg-chicken patterns) among them. Second, we discuss the nature of the dramatic changes that the industrial revolution induced on the characteristics of societal metabolism. Finally, we discuss methodological problems related to the representation of complex adaptive systems. Dealing with sustainability of human societies requires the parallel use of non-equivalent descriptive domains. This, in turn, requires the ability of “scaling up and down” when moving across levels handling parallel non-reducible assessments.","container-title":"Population and Environment","DOI":"10.1023/A:1026691623300","ISSN":"1573-7810","issue":"2","journalAbbreviation":"Population and Environment","language":"en","page":"109-153","source":"Springer Link","title":"Multiple-Scale Integrated Assessment of Societal Metabolism: Introducing the Approach","title-short":"Multiple-Scale Integrated Assessment of Societal Metabolism","volume":"22","author":[{"family":"Giampietro","given":"Mario"},{"family":"Mayumi","given":"Kozo"}],"issued":{"date-parts":[["2000",11,1]]}}}],"schema":"https://github.com/citation-style-language/schema/raw/master/csl-citation.json"} </w:instrText>
      </w:r>
      <w:r>
        <w:rPr>
          <w:rFonts w:ascii="Times New Roman" w:hAnsi="Times New Roman" w:cs="Times New Roman"/>
          <w:sz w:val="24"/>
          <w:szCs w:val="24"/>
          <w:lang w:val="en-US"/>
        </w:rPr>
        <w:fldChar w:fldCharType="separate"/>
      </w:r>
      <w:r w:rsidR="00900532" w:rsidRPr="00900532">
        <w:rPr>
          <w:rFonts w:ascii="Times New Roman" w:hAnsi="Times New Roman" w:cs="Times New Roman"/>
          <w:sz w:val="24"/>
          <w:lang w:val="en-US"/>
        </w:rPr>
        <w:t>(Giampietro and Mayumi, 2000)</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r w:rsidR="00B21BD9">
        <w:rPr>
          <w:rFonts w:ascii="Times New Roman" w:hAnsi="Times New Roman" w:cs="Times New Roman"/>
          <w:sz w:val="24"/>
          <w:szCs w:val="24"/>
          <w:lang w:val="en-US"/>
        </w:rPr>
        <w:t xml:space="preserve"> The biological metabolism of humans is highly variable in terms of different types of food consumed, which can have considerable </w:t>
      </w:r>
      <w:r w:rsidR="00BE571F">
        <w:rPr>
          <w:rFonts w:ascii="Times New Roman" w:hAnsi="Times New Roman" w:cs="Times New Roman"/>
          <w:sz w:val="24"/>
          <w:szCs w:val="24"/>
          <w:lang w:val="en-US"/>
        </w:rPr>
        <w:t xml:space="preserve">environmental </w:t>
      </w:r>
      <w:r w:rsidR="00B21BD9">
        <w:rPr>
          <w:rFonts w:ascii="Times New Roman" w:hAnsi="Times New Roman" w:cs="Times New Roman"/>
          <w:sz w:val="24"/>
          <w:szCs w:val="24"/>
          <w:lang w:val="en-US"/>
        </w:rPr>
        <w:t xml:space="preserve">implications, and even the quantity of food intake differs between societies and individuals. But this variability is </w:t>
      </w:r>
      <w:r w:rsidR="00BE571F">
        <w:rPr>
          <w:rFonts w:ascii="Times New Roman" w:hAnsi="Times New Roman" w:cs="Times New Roman"/>
          <w:sz w:val="24"/>
          <w:szCs w:val="24"/>
          <w:lang w:val="en-US"/>
        </w:rPr>
        <w:t xml:space="preserve">limited </w:t>
      </w:r>
      <w:r w:rsidR="00B21BD9">
        <w:rPr>
          <w:rFonts w:ascii="Times New Roman" w:hAnsi="Times New Roman" w:cs="Times New Roman"/>
          <w:sz w:val="24"/>
          <w:szCs w:val="24"/>
          <w:lang w:val="en-US"/>
        </w:rPr>
        <w:t xml:space="preserve">by </w:t>
      </w:r>
      <w:r w:rsidR="00BE571F">
        <w:rPr>
          <w:rFonts w:ascii="Times New Roman" w:hAnsi="Times New Roman" w:cs="Times New Roman"/>
          <w:sz w:val="24"/>
          <w:szCs w:val="24"/>
          <w:lang w:val="en-US"/>
        </w:rPr>
        <w:t xml:space="preserve">biological characteristics </w:t>
      </w:r>
      <w:r w:rsidR="001C21BA">
        <w:rPr>
          <w:rFonts w:ascii="Times New Roman" w:hAnsi="Times New Roman" w:cs="Times New Roman"/>
          <w:sz w:val="24"/>
          <w:szCs w:val="24"/>
          <w:lang w:val="en-US"/>
        </w:rPr>
        <w:t>of human</w:t>
      </w:r>
      <w:r w:rsidR="00BE571F">
        <w:rPr>
          <w:rFonts w:ascii="Times New Roman" w:hAnsi="Times New Roman" w:cs="Times New Roman"/>
          <w:sz w:val="24"/>
          <w:szCs w:val="24"/>
          <w:lang w:val="en-US"/>
        </w:rPr>
        <w:t>s</w:t>
      </w:r>
      <w:r w:rsidR="00B21BD9">
        <w:rPr>
          <w:rFonts w:ascii="Times New Roman" w:hAnsi="Times New Roman" w:cs="Times New Roman"/>
          <w:sz w:val="24"/>
          <w:szCs w:val="24"/>
          <w:lang w:val="en-US"/>
        </w:rPr>
        <w:t xml:space="preserve">. </w:t>
      </w:r>
    </w:p>
    <w:p w14:paraId="0996D115" w14:textId="77777777" w:rsidR="00EA1E2C" w:rsidRDefault="00EA1E2C" w:rsidP="00306ACB">
      <w:pPr>
        <w:spacing w:after="0" w:line="240" w:lineRule="auto"/>
        <w:rPr>
          <w:rFonts w:ascii="Times New Roman" w:hAnsi="Times New Roman" w:cs="Times New Roman"/>
          <w:sz w:val="24"/>
          <w:szCs w:val="24"/>
          <w:lang w:val="en-US"/>
        </w:rPr>
      </w:pPr>
    </w:p>
    <w:p w14:paraId="65DE45CC" w14:textId="713A8355" w:rsidR="00D44912" w:rsidRDefault="00B21BD9"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Much larger variability exists in terms of all other biophysical resources used by societies. Th</w:t>
      </w:r>
      <w:r w:rsidR="00BE571F">
        <w:rPr>
          <w:rFonts w:ascii="Times New Roman" w:hAnsi="Times New Roman" w:cs="Times New Roman"/>
          <w:sz w:val="24"/>
          <w:szCs w:val="24"/>
          <w:lang w:val="en-US"/>
        </w:rPr>
        <w:t>eir</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exosomatic</w:t>
      </w:r>
      <w:proofErr w:type="spellEnd"/>
      <w:r>
        <w:rPr>
          <w:rFonts w:ascii="Times New Roman" w:hAnsi="Times New Roman" w:cs="Times New Roman"/>
          <w:sz w:val="24"/>
          <w:szCs w:val="24"/>
          <w:lang w:val="en-US"/>
        </w:rPr>
        <w:t xml:space="preserve"> metabolism’ includes – by convention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{"citationID":"Vk8sOKEw","properties":{"formattedCitation":"(Fischer-Kowalski et al., 2011)","plainCitation":"(Fischer-Kowalski et al., 2011)","noteIndex":0},"citationItems":[{"id":552,"uris":["http://zotero.org/users/666791/items/D2GP8TT4"],"uri":["http://zotero.org/users/666791/items/D2GP8TT4"],"itemData":{"id":552,"type":"article-journal","container-title":"Journal of Industrial Ecology","DOI":"10.1111/j.1530-9290.2011.00366.x","ISSN":"10881980","issue":"6","page":"855–876","source":"CrossRef","title":"Methodology and Indicators of Economy-wide Material Flow Accounting - State of the Art and Reliability Across Sources","volume":"15","author":[{"family":"Fischer-Kowalski","given":"M."},{"family":"Krausmann","given":"F."},{"family":"Giljum","given":"S."},{"family":"Lutter","given":"S."},{"family":"Mayer","given":"A."},{"family":"Bringezu","given":"S."},{"family":"Moriguchi","given":"Y."},{"family":"Schütz","given":"H."},{"family":"Schandl","given":"H."},{"family":"Weisz","given":"H."}],"issued":{"date-parts":[["2011"]]}}}],"schema":"https://github.com/citation-style-language/schema/raw/master/csl-citation.json"} </w:instrText>
      </w:r>
      <w:r>
        <w:rPr>
          <w:rFonts w:ascii="Times New Roman" w:hAnsi="Times New Roman" w:cs="Times New Roman"/>
          <w:sz w:val="24"/>
          <w:szCs w:val="24"/>
          <w:lang w:val="en-US"/>
        </w:rPr>
        <w:fldChar w:fldCharType="separate"/>
      </w:r>
      <w:r w:rsidRPr="00B21BD9">
        <w:rPr>
          <w:rFonts w:ascii="Times New Roman" w:hAnsi="Times New Roman" w:cs="Times New Roman"/>
          <w:sz w:val="24"/>
          <w:lang w:val="en-US"/>
        </w:rPr>
        <w:t>(Fischer-Kowalski et al., 2011)</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 the resource and waste flows associated with </w:t>
      </w:r>
      <w:r w:rsidR="00BE571F">
        <w:rPr>
          <w:rFonts w:ascii="Times New Roman" w:hAnsi="Times New Roman" w:cs="Times New Roman"/>
          <w:sz w:val="24"/>
          <w:szCs w:val="24"/>
          <w:lang w:val="en-US"/>
        </w:rPr>
        <w:t xml:space="preserve">feeding humans and </w:t>
      </w:r>
      <w:r>
        <w:rPr>
          <w:rFonts w:ascii="Times New Roman" w:hAnsi="Times New Roman" w:cs="Times New Roman"/>
          <w:sz w:val="24"/>
          <w:szCs w:val="24"/>
          <w:lang w:val="en-US"/>
        </w:rPr>
        <w:t xml:space="preserve">domesticated animals (livestock, pets) as well as the resources (energy, materials) required </w:t>
      </w:r>
      <w:r w:rsidR="00A84D16">
        <w:rPr>
          <w:rFonts w:ascii="Times New Roman" w:hAnsi="Times New Roman" w:cs="Times New Roman"/>
          <w:sz w:val="24"/>
          <w:szCs w:val="24"/>
          <w:lang w:val="en-US"/>
        </w:rPr>
        <w:t xml:space="preserve">for </w:t>
      </w:r>
      <w:r w:rsidR="00192FB9">
        <w:rPr>
          <w:rFonts w:ascii="Times New Roman" w:hAnsi="Times New Roman" w:cs="Times New Roman"/>
          <w:sz w:val="24"/>
          <w:szCs w:val="24"/>
          <w:lang w:val="en-US"/>
        </w:rPr>
        <w:t>produc</w:t>
      </w:r>
      <w:r w:rsidR="00BE571F">
        <w:rPr>
          <w:rFonts w:ascii="Times New Roman" w:hAnsi="Times New Roman" w:cs="Times New Roman"/>
          <w:sz w:val="24"/>
          <w:szCs w:val="24"/>
          <w:lang w:val="en-US"/>
        </w:rPr>
        <w:t>ing, maintaining, using and dismantling artefacts used by humans</w:t>
      </w:r>
      <w:r w:rsidR="00192FB9">
        <w:rPr>
          <w:rFonts w:ascii="Times New Roman" w:hAnsi="Times New Roman" w:cs="Times New Roman"/>
          <w:sz w:val="24"/>
          <w:szCs w:val="24"/>
          <w:lang w:val="en-US"/>
        </w:rPr>
        <w:t xml:space="preserve">. In current socio-metabolic research </w:t>
      </w:r>
      <w:r w:rsidR="00192FB9">
        <w:rPr>
          <w:rFonts w:ascii="Times New Roman" w:hAnsi="Times New Roman" w:cs="Times New Roman"/>
          <w:sz w:val="24"/>
          <w:szCs w:val="24"/>
          <w:lang w:val="en-US"/>
        </w:rPr>
        <w:fldChar w:fldCharType="begin"/>
      </w:r>
      <w:r w:rsidR="00192FB9">
        <w:rPr>
          <w:rFonts w:ascii="Times New Roman" w:hAnsi="Times New Roman" w:cs="Times New Roman"/>
          <w:sz w:val="24"/>
          <w:szCs w:val="24"/>
          <w:lang w:val="en-US"/>
        </w:rPr>
        <w:instrText xml:space="preserve"> ADDIN ZOTERO_ITEM CSL_CITATION {"citationID":"wQTLCAgl","properties":{"formattedCitation":"(Haberl et al., 2019)","plainCitation":"(Haberl et al., 2019)","noteIndex":0},"citationItems":[{"id":15980,"uris":["http://zotero.org/users/666791/items/SXS8K78I"],"uri":["http://zotero.org/users/666791/items/SXS8K78I"],"itemData":{"id":15980,"type":"article-journal","abstract":"The United Nations Sustainable Development Goals and other high-level agreements acknowledge the linked nature of social and biophysical systems. This Review explains one research tradition, sociometabolic research, that explores these links. Sociometabolic research uses methods from systems science and allied areas to study the biophysical basis of economic activity. The authors use tangible examples from recent research to demonstrate strengths and weaknesses and then explore future directions.","container-title":"Nature Sustainability","DOI":"10.1038/s41893-019-0225-2","ISSN":"2398-9629","language":"En","page":"173-184","source":"www.nature.com","title":"Contributions of sociometabolic research to sustainability science","volume":"2","author":[{"family":"Haberl","given":"Helmut"},{"family":"Wiedenhofer","given":"Dominik"},{"family":"Pauliuk","given":"Stefan"},{"family":"Krausmann","given":"Fridolin"},{"family":"Müller","given":"Daniel B."},{"family":"Fischer-Kowalski","given":"Marina"}],"issued":{"date-parts":[["2019"]]}}}],"schema":"https://github.com/citation-style-language/schema/raw/master/csl-citation.json"} </w:instrText>
      </w:r>
      <w:r w:rsidR="00192FB9">
        <w:rPr>
          <w:rFonts w:ascii="Times New Roman" w:hAnsi="Times New Roman" w:cs="Times New Roman"/>
          <w:sz w:val="24"/>
          <w:szCs w:val="24"/>
          <w:lang w:val="en-US"/>
        </w:rPr>
        <w:fldChar w:fldCharType="separate"/>
      </w:r>
      <w:r w:rsidR="00192FB9" w:rsidRPr="00192FB9">
        <w:rPr>
          <w:rFonts w:ascii="Times New Roman" w:hAnsi="Times New Roman" w:cs="Times New Roman"/>
          <w:sz w:val="24"/>
          <w:lang w:val="en-US"/>
        </w:rPr>
        <w:t>(Haberl et al., 2019)</w:t>
      </w:r>
      <w:r w:rsidR="00192FB9">
        <w:rPr>
          <w:rFonts w:ascii="Times New Roman" w:hAnsi="Times New Roman" w:cs="Times New Roman"/>
          <w:sz w:val="24"/>
          <w:szCs w:val="24"/>
          <w:lang w:val="en-US"/>
        </w:rPr>
        <w:fldChar w:fldCharType="end"/>
      </w:r>
      <w:r w:rsidR="00192FB9">
        <w:rPr>
          <w:rFonts w:ascii="Times New Roman" w:hAnsi="Times New Roman" w:cs="Times New Roman"/>
          <w:sz w:val="24"/>
          <w:szCs w:val="24"/>
          <w:lang w:val="en-US"/>
        </w:rPr>
        <w:t xml:space="preserve">, the material resources used are </w:t>
      </w:r>
      <w:r w:rsidR="00B06174">
        <w:rPr>
          <w:rFonts w:ascii="Times New Roman" w:hAnsi="Times New Roman" w:cs="Times New Roman"/>
          <w:sz w:val="24"/>
          <w:szCs w:val="24"/>
          <w:lang w:val="en-US"/>
        </w:rPr>
        <w:t xml:space="preserve">often aggregated </w:t>
      </w:r>
      <w:r w:rsidR="00192FB9">
        <w:rPr>
          <w:rFonts w:ascii="Times New Roman" w:hAnsi="Times New Roman" w:cs="Times New Roman"/>
          <w:sz w:val="24"/>
          <w:szCs w:val="24"/>
          <w:lang w:val="en-US"/>
        </w:rPr>
        <w:t>in</w:t>
      </w:r>
      <w:r w:rsidR="00B06174">
        <w:rPr>
          <w:rFonts w:ascii="Times New Roman" w:hAnsi="Times New Roman" w:cs="Times New Roman"/>
          <w:sz w:val="24"/>
          <w:szCs w:val="24"/>
          <w:lang w:val="en-US"/>
        </w:rPr>
        <w:t>to</w:t>
      </w:r>
      <w:r w:rsidR="00192FB9">
        <w:rPr>
          <w:rFonts w:ascii="Times New Roman" w:hAnsi="Times New Roman" w:cs="Times New Roman"/>
          <w:sz w:val="24"/>
          <w:szCs w:val="24"/>
          <w:lang w:val="en-US"/>
        </w:rPr>
        <w:t xml:space="preserve"> broad groups such as biomass, fossil fuels, metals and ores and non-metallic minerals. </w:t>
      </w:r>
      <w:r w:rsidR="008F4B79">
        <w:rPr>
          <w:rFonts w:ascii="Times New Roman" w:hAnsi="Times New Roman" w:cs="Times New Roman"/>
          <w:sz w:val="24"/>
          <w:szCs w:val="24"/>
          <w:lang w:val="en-US"/>
        </w:rPr>
        <w:t xml:space="preserve">Water is typically accounted for separately. </w:t>
      </w:r>
      <w:r w:rsidR="00192FB9">
        <w:rPr>
          <w:rFonts w:ascii="Times New Roman" w:hAnsi="Times New Roman" w:cs="Times New Roman"/>
          <w:sz w:val="24"/>
          <w:szCs w:val="24"/>
          <w:lang w:val="en-US"/>
        </w:rPr>
        <w:t xml:space="preserve">When focusing on energy, </w:t>
      </w:r>
      <w:r w:rsidR="00D31C5B">
        <w:rPr>
          <w:rFonts w:ascii="Times New Roman" w:hAnsi="Times New Roman" w:cs="Times New Roman"/>
          <w:sz w:val="24"/>
          <w:szCs w:val="24"/>
          <w:lang w:val="en-US"/>
        </w:rPr>
        <w:t>some material</w:t>
      </w:r>
      <w:r w:rsidR="00C80007">
        <w:rPr>
          <w:rFonts w:ascii="Times New Roman" w:hAnsi="Times New Roman" w:cs="Times New Roman"/>
          <w:sz w:val="24"/>
          <w:szCs w:val="24"/>
          <w:lang w:val="en-US"/>
        </w:rPr>
        <w:t>s</w:t>
      </w:r>
      <w:r w:rsidR="00D31C5B">
        <w:rPr>
          <w:rFonts w:ascii="Times New Roman" w:hAnsi="Times New Roman" w:cs="Times New Roman"/>
          <w:sz w:val="24"/>
          <w:szCs w:val="24"/>
          <w:lang w:val="en-US"/>
        </w:rPr>
        <w:t xml:space="preserve"> (</w:t>
      </w:r>
      <w:proofErr w:type="spellStart"/>
      <w:r w:rsidR="00D31C5B">
        <w:rPr>
          <w:rFonts w:ascii="Times New Roman" w:hAnsi="Times New Roman" w:cs="Times New Roman"/>
          <w:sz w:val="24"/>
          <w:szCs w:val="24"/>
          <w:lang w:val="en-US"/>
        </w:rPr>
        <w:t>e.g</w:t>
      </w:r>
      <w:proofErr w:type="spellEnd"/>
      <w:r w:rsidR="00D31C5B">
        <w:rPr>
          <w:rFonts w:ascii="Times New Roman" w:hAnsi="Times New Roman" w:cs="Times New Roman"/>
          <w:sz w:val="24"/>
          <w:szCs w:val="24"/>
          <w:lang w:val="en-US"/>
        </w:rPr>
        <w:t xml:space="preserve"> energy carriers such as biomass or fossil fuels), as well as </w:t>
      </w:r>
      <w:r w:rsidR="00192FB9">
        <w:rPr>
          <w:rFonts w:ascii="Times New Roman" w:hAnsi="Times New Roman" w:cs="Times New Roman"/>
          <w:sz w:val="24"/>
          <w:szCs w:val="24"/>
          <w:lang w:val="en-US"/>
        </w:rPr>
        <w:t xml:space="preserve">‘non-material’ flows come into play, such as solar and hydropower, </w:t>
      </w:r>
      <w:r w:rsidR="001C21BA">
        <w:rPr>
          <w:rFonts w:ascii="Times New Roman" w:hAnsi="Times New Roman" w:cs="Times New Roman"/>
          <w:sz w:val="24"/>
          <w:szCs w:val="24"/>
          <w:lang w:val="en-US"/>
        </w:rPr>
        <w:t xml:space="preserve">electricity, </w:t>
      </w:r>
      <w:r w:rsidR="00192FB9">
        <w:rPr>
          <w:rFonts w:ascii="Times New Roman" w:hAnsi="Times New Roman" w:cs="Times New Roman"/>
          <w:sz w:val="24"/>
          <w:szCs w:val="24"/>
          <w:lang w:val="en-US"/>
        </w:rPr>
        <w:t xml:space="preserve">wind energy, geothermal heat and other </w:t>
      </w:r>
      <w:r w:rsidR="001C21BA">
        <w:rPr>
          <w:rFonts w:ascii="Times New Roman" w:hAnsi="Times New Roman" w:cs="Times New Roman"/>
          <w:sz w:val="24"/>
          <w:szCs w:val="24"/>
          <w:lang w:val="en-US"/>
        </w:rPr>
        <w:t xml:space="preserve">flows </w:t>
      </w:r>
      <w:r w:rsidR="00EA1E2C">
        <w:rPr>
          <w:rFonts w:ascii="Times New Roman" w:hAnsi="Times New Roman" w:cs="Times New Roman"/>
          <w:sz w:val="24"/>
          <w:szCs w:val="24"/>
          <w:lang w:val="en-US"/>
        </w:rPr>
        <w:fldChar w:fldCharType="begin"/>
      </w:r>
      <w:r w:rsidR="00EA1E2C">
        <w:rPr>
          <w:rFonts w:ascii="Times New Roman" w:hAnsi="Times New Roman" w:cs="Times New Roman"/>
          <w:sz w:val="24"/>
          <w:szCs w:val="24"/>
          <w:lang w:val="en-US"/>
        </w:rPr>
        <w:instrText xml:space="preserve"> ADDIN ZOTERO_ITEM CSL_CITATION {"citationID":"xowLknpZ","properties":{"formattedCitation":"(Haberl, 2001)","plainCitation":"(Haberl, 2001)","noteIndex":0},"citationItems":[{"id":492,"uris":["http://zotero.org/users/666791/items/ZVAE2ZSU"],"uri":["http://zotero.org/users/666791/items/ZVAE2ZSU"],"itemData":{"id":492,"type":"article-journal","abstract":"Based upon the currently emerging international consensus on how to account for the materials flows of industrialized countries, this article proposes methods to account for the energetic metabolism of societies. It argues that, to fully exploit the potential of the metabolism approach in the context of sustainable development, both energetic and material aspects of societal metabolism have to be taken into account. The article proposes concepts to empirically describe energy input, internal energy transformations, and energy utilization of societies by extending commonly used notions of energy statistics in a way that is compatible with current methods of materials flow analysis. Whereas energy statistics include only the energy used in technical devices for providing heat, light, mechanical work, and data processing, an accounting system for the energetic metabolism of societies should also consider flows of nutritional energy for both livestock and humans. Moreover, in assessing the energy input of a society, all inputs of energy-rich materials (and immaterial forms of energy such as electricity and light) that cross the boundary into the biophysical structures of society should be taken into consideration, regardless of the purpose for which they are eventually used. As a consequence, an energetic metabolism accounting system treats all biomass as energy input, instead of considering only the biomass used for technical energy generation, as energy statistics do. Part II in this set of articles will apply these concepts to different modes of societal organization and explore the significance of energetic metabolism for sustainable development. In particular, it will explore the significance for policies that aim at increasing the contribution of renewable energy, especially biomass.","container-title":"Journal of Industrial Ecology","DOI":"10.1162/108819801753358481","ISSN":"1530-9290","issue":"1","language":"en","page":"11-33","source":"Wiley Online Library","title":"The Energetic Metabolism of Societies Part I: Accounting Concepts","title-short":"The Energetic Metabolism of Societies Part I","volume":"5","author":[{"family":"Haberl","given":"Helmut"}],"issued":{"date-parts":[["2001",1,1]]}}}],"schema":"https://github.com/citation-style-language/schema/raw/master/csl-citation.json"} </w:instrText>
      </w:r>
      <w:r w:rsidR="00EA1E2C">
        <w:rPr>
          <w:rFonts w:ascii="Times New Roman" w:hAnsi="Times New Roman" w:cs="Times New Roman"/>
          <w:sz w:val="24"/>
          <w:szCs w:val="24"/>
          <w:lang w:val="en-US"/>
        </w:rPr>
        <w:fldChar w:fldCharType="separate"/>
      </w:r>
      <w:r w:rsidR="00EA1E2C" w:rsidRPr="00B06174">
        <w:rPr>
          <w:rFonts w:ascii="Times New Roman" w:hAnsi="Times New Roman" w:cs="Times New Roman"/>
          <w:sz w:val="24"/>
          <w:lang w:val="en-US"/>
        </w:rPr>
        <w:t>(Haberl, 2001)</w:t>
      </w:r>
      <w:r w:rsidR="00EA1E2C">
        <w:rPr>
          <w:rFonts w:ascii="Times New Roman" w:hAnsi="Times New Roman" w:cs="Times New Roman"/>
          <w:sz w:val="24"/>
          <w:szCs w:val="24"/>
          <w:lang w:val="en-US"/>
        </w:rPr>
        <w:fldChar w:fldCharType="end"/>
      </w:r>
      <w:r w:rsidR="00192FB9">
        <w:rPr>
          <w:rFonts w:ascii="Times New Roman" w:hAnsi="Times New Roman" w:cs="Times New Roman"/>
          <w:sz w:val="24"/>
          <w:szCs w:val="24"/>
          <w:lang w:val="en-US"/>
        </w:rPr>
        <w:t>.</w:t>
      </w:r>
    </w:p>
    <w:p w14:paraId="61837DEA" w14:textId="7555DAD3" w:rsidR="00FA6546" w:rsidRDefault="00FA6546" w:rsidP="00306ACB">
      <w:pPr>
        <w:spacing w:after="0" w:line="240" w:lineRule="auto"/>
        <w:rPr>
          <w:rFonts w:ascii="Times New Roman" w:hAnsi="Times New Roman" w:cs="Times New Roman"/>
          <w:sz w:val="24"/>
          <w:szCs w:val="24"/>
          <w:lang w:val="en-US"/>
        </w:rPr>
      </w:pPr>
    </w:p>
    <w:p w14:paraId="7E1D2E88" w14:textId="79940ECF" w:rsidR="00BE571F" w:rsidRDefault="00FA6546"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Socio-metabolic research has developed approaches to trace resource flows from extraction </w:t>
      </w:r>
      <w:r w:rsidR="00647498">
        <w:rPr>
          <w:rFonts w:ascii="Times New Roman" w:hAnsi="Times New Roman" w:cs="Times New Roman"/>
          <w:sz w:val="24"/>
          <w:szCs w:val="24"/>
          <w:lang w:val="en-US"/>
        </w:rPr>
        <w:t xml:space="preserve">of natural resources </w:t>
      </w:r>
      <w:r>
        <w:rPr>
          <w:rFonts w:ascii="Times New Roman" w:hAnsi="Times New Roman" w:cs="Times New Roman"/>
          <w:sz w:val="24"/>
          <w:szCs w:val="24"/>
          <w:lang w:val="en-US"/>
        </w:rPr>
        <w:t xml:space="preserve">through several stages of production, which often involve accumulation of long-lived structures (‘artefacts’), to consumption and finally the release of wastes and emissions (Fig. 1). </w:t>
      </w:r>
      <w:r w:rsidR="00EA1E2C">
        <w:rPr>
          <w:rFonts w:ascii="Times New Roman" w:hAnsi="Times New Roman" w:cs="Times New Roman"/>
          <w:sz w:val="24"/>
          <w:szCs w:val="24"/>
          <w:lang w:val="en-US"/>
        </w:rPr>
        <w:t xml:space="preserve">A large </w:t>
      </w:r>
      <w:r w:rsidR="00B02FAA">
        <w:rPr>
          <w:rFonts w:ascii="Times New Roman" w:hAnsi="Times New Roman" w:cs="Times New Roman"/>
          <w:sz w:val="24"/>
          <w:szCs w:val="24"/>
          <w:lang w:val="en-US"/>
        </w:rPr>
        <w:t xml:space="preserve">and growing </w:t>
      </w:r>
      <w:r w:rsidR="00EA1E2C">
        <w:rPr>
          <w:rFonts w:ascii="Times New Roman" w:hAnsi="Times New Roman" w:cs="Times New Roman"/>
          <w:sz w:val="24"/>
          <w:szCs w:val="24"/>
          <w:lang w:val="en-US"/>
        </w:rPr>
        <w:t xml:space="preserve">fraction of the material resources </w:t>
      </w:r>
      <w:r w:rsidR="00900532">
        <w:rPr>
          <w:rFonts w:ascii="Times New Roman" w:hAnsi="Times New Roman" w:cs="Times New Roman"/>
          <w:sz w:val="24"/>
          <w:szCs w:val="24"/>
          <w:lang w:val="en-US"/>
        </w:rPr>
        <w:t xml:space="preserve">is </w:t>
      </w:r>
      <w:r w:rsidR="00EA1E2C">
        <w:rPr>
          <w:rFonts w:ascii="Times New Roman" w:hAnsi="Times New Roman" w:cs="Times New Roman"/>
          <w:sz w:val="24"/>
          <w:szCs w:val="24"/>
          <w:lang w:val="en-US"/>
        </w:rPr>
        <w:t xml:space="preserve">used by societies to build up </w:t>
      </w:r>
      <w:r w:rsidR="001C21BA">
        <w:rPr>
          <w:rFonts w:ascii="Times New Roman" w:hAnsi="Times New Roman" w:cs="Times New Roman"/>
          <w:sz w:val="24"/>
          <w:szCs w:val="24"/>
          <w:lang w:val="en-US"/>
        </w:rPr>
        <w:t xml:space="preserve">artefacts, which prominently include </w:t>
      </w:r>
      <w:r w:rsidR="00EA1E2C">
        <w:rPr>
          <w:rFonts w:ascii="Times New Roman" w:hAnsi="Times New Roman" w:cs="Times New Roman"/>
          <w:sz w:val="24"/>
          <w:szCs w:val="24"/>
          <w:lang w:val="en-US"/>
        </w:rPr>
        <w:t>material structures such as infrastructures</w:t>
      </w:r>
      <w:r w:rsidR="001C21BA">
        <w:rPr>
          <w:rFonts w:ascii="Times New Roman" w:hAnsi="Times New Roman" w:cs="Times New Roman"/>
          <w:sz w:val="24"/>
          <w:szCs w:val="24"/>
          <w:lang w:val="en-US"/>
        </w:rPr>
        <w:t xml:space="preserve"> or</w:t>
      </w:r>
      <w:r w:rsidR="00EA1E2C">
        <w:rPr>
          <w:rFonts w:ascii="Times New Roman" w:hAnsi="Times New Roman" w:cs="Times New Roman"/>
          <w:sz w:val="24"/>
          <w:szCs w:val="24"/>
          <w:lang w:val="en-US"/>
        </w:rPr>
        <w:t xml:space="preserve"> buildings</w:t>
      </w:r>
      <w:r w:rsidR="001C21BA">
        <w:rPr>
          <w:rFonts w:ascii="Times New Roman" w:hAnsi="Times New Roman" w:cs="Times New Roman"/>
          <w:sz w:val="24"/>
          <w:szCs w:val="24"/>
          <w:lang w:val="en-US"/>
        </w:rPr>
        <w:t>, but also</w:t>
      </w:r>
      <w:r w:rsidR="00EA1E2C">
        <w:rPr>
          <w:rFonts w:ascii="Times New Roman" w:hAnsi="Times New Roman" w:cs="Times New Roman"/>
          <w:sz w:val="24"/>
          <w:szCs w:val="24"/>
          <w:lang w:val="en-US"/>
        </w:rPr>
        <w:t xml:space="preserve"> long-lived products (machinery, consumer products, etc.)</w:t>
      </w:r>
      <w:r w:rsidR="001C21BA">
        <w:rPr>
          <w:rFonts w:ascii="Times New Roman" w:hAnsi="Times New Roman" w:cs="Times New Roman"/>
          <w:sz w:val="24"/>
          <w:szCs w:val="24"/>
          <w:lang w:val="en-US"/>
        </w:rPr>
        <w:t xml:space="preserve"> accumulated by societies</w:t>
      </w:r>
      <w:r w:rsidR="00EA1E2C">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t>The</w:t>
      </w:r>
      <w:r w:rsidR="00EA1E2C">
        <w:rPr>
          <w:rFonts w:ascii="Times New Roman" w:hAnsi="Times New Roman" w:cs="Times New Roman"/>
          <w:sz w:val="24"/>
          <w:szCs w:val="24"/>
          <w:lang w:val="en-US"/>
        </w:rPr>
        <w:t>se non-living ‘biophysical structures of society’</w:t>
      </w:r>
      <w:r w:rsidR="00EA1E2C" w:rsidRPr="009D79B4">
        <w:rPr>
          <w:rFonts w:ascii="Times New Roman" w:hAnsi="Times New Roman" w:cs="Times New Roman"/>
          <w:sz w:val="24"/>
          <w:szCs w:val="24"/>
          <w:lang w:val="en-US"/>
        </w:rPr>
        <w:t xml:space="preserve"> </w:t>
      </w:r>
      <w:r w:rsidR="00EA1E2C">
        <w:rPr>
          <w:rFonts w:ascii="Times New Roman" w:hAnsi="Times New Roman" w:cs="Times New Roman"/>
          <w:sz w:val="24"/>
          <w:szCs w:val="24"/>
          <w:lang w:val="en-US"/>
        </w:rPr>
        <w:fldChar w:fldCharType="begin"/>
      </w:r>
      <w:r w:rsidR="00EB5B28">
        <w:rPr>
          <w:rFonts w:ascii="Times New Roman" w:hAnsi="Times New Roman" w:cs="Times New Roman"/>
          <w:sz w:val="24"/>
          <w:szCs w:val="24"/>
          <w:lang w:val="en-US"/>
        </w:rPr>
        <w:instrText xml:space="preserve"> ADDIN ZOTERO_ITEM CSL_CITATION {"citationID":"FH99RGtp","properties":{"formattedCitation":"(Haberl et al., 2004a)","plainCitation":"(Haberl et al., 2004a)","noteIndex":0},"citationItems":[{"id":525,"uris":["http://zotero.org/users/666791/items/E9RWTBCK"],"uri":["http://zotero.org/users/666791/items/E9RWTBCK"],"itemData":{"id":525,"type":"article-journal","abstract":"Sustainability science analyses society-nature interaction on a variety of spatial and temporal scales. By explaining the link between sustainability and socio-economic material and energy flows as well as with colonization of ecosystems, this paper introduces a conceptual framework for empirical applications featured in other contributions to this special issue. The paper discusses how the proposed material and energy flow accounting (MEFA) framework supports such analyses. This framework is an integrated toolbox to account for socio-economic metabolism and colonization of natural processes; above all, land use. We argue that, even though it is at present impossible to define precision sustainability thresholds with respect to many material and energy flows, the MEFA framework is a valuable tool because it tracks these flows in a consistent manner for regions of any scale over time.","container-title":"Land Use Policy","DOI":"16/j.landusepol.2003.10.013","ISSN":"0264-8377","issue":"3","page":"199-213","source":"ScienceDirect","title":"Progress towards sustainability? What the conceptual framework of material and energy flow accounting (MEFA) can offer","title-short":"Progress towards sustainability?","volume":"21","author":[{"family":"Haberl","given":"Helmut"},{"family":"Fischer-Kowalski","given":"Marina"},{"family":"Krausmann","given":"Fridolin"},{"family":"Weisz","given":"Helga"},{"family":"Winiwarter","given":"Verena"}],"issued":{"date-parts":[["2004",7]]}}}],"schema":"https://github.com/citation-style-language/schema/raw/master/csl-citation.json"} </w:instrText>
      </w:r>
      <w:r w:rsidR="00EA1E2C">
        <w:rPr>
          <w:rFonts w:ascii="Times New Roman" w:hAnsi="Times New Roman" w:cs="Times New Roman"/>
          <w:sz w:val="24"/>
          <w:szCs w:val="24"/>
          <w:lang w:val="en-US"/>
        </w:rPr>
        <w:fldChar w:fldCharType="separate"/>
      </w:r>
      <w:r w:rsidR="00EB5B28" w:rsidRPr="00EB5B28">
        <w:rPr>
          <w:rFonts w:ascii="Times New Roman" w:hAnsi="Times New Roman" w:cs="Times New Roman"/>
          <w:sz w:val="24"/>
          <w:lang w:val="en-US"/>
        </w:rPr>
        <w:t>(Haberl et al., 2004a)</w:t>
      </w:r>
      <w:r w:rsidR="00EA1E2C">
        <w:rPr>
          <w:rFonts w:ascii="Times New Roman" w:hAnsi="Times New Roman" w:cs="Times New Roman"/>
          <w:sz w:val="24"/>
          <w:szCs w:val="24"/>
          <w:lang w:val="en-US"/>
        </w:rPr>
        <w:fldChar w:fldCharType="end"/>
      </w:r>
      <w:r w:rsidR="00EA1E2C">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t xml:space="preserve">are referred to as </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artefacts</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fldChar w:fldCharType="begin"/>
      </w:r>
      <w:r w:rsidR="00EA1E2C" w:rsidRPr="00D95076">
        <w:rPr>
          <w:rFonts w:ascii="Times New Roman" w:hAnsi="Times New Roman" w:cs="Times New Roman"/>
          <w:sz w:val="24"/>
          <w:szCs w:val="24"/>
          <w:lang w:val="en-US"/>
        </w:rPr>
        <w:instrText xml:space="preserve"> ADDIN ZOTERO_ITEM CSL_CITATION {"citationID":"lbl92b9W","properties":{"formattedCitation":"(Fischer-Kowalski and Weisz, 1999)","plainCitation":"(Fischer-Kowalski and Weisz, 1999)","noteIndex":0},"citationItems":[{"id":1810,"uris":["http://zotero.org/users/666791/items/IB7X8QB5"],"uri":["http://zotero.org/users/666791/items/IB7X8QB5"],"itemData":{"id":1810,"type":"article-journal","container-title":"Advances in Human Ecology","page":"215-251","title":"Society as hybrid between material and symbolic realms","volume":"8","author":[{"family":"Fischer-Kowalski","given":"Marina"},{"family":"Weisz","given":"Helga"}],"issued":{"date-parts":[["1999"]]}}}],"schema":"https://github.com/citation-style-language/schema/raw/master/csl-citation.json"} </w:instrText>
      </w:r>
      <w:r w:rsidR="00EA1E2C" w:rsidRPr="00D95076">
        <w:rPr>
          <w:rFonts w:ascii="Times New Roman" w:hAnsi="Times New Roman" w:cs="Times New Roman"/>
          <w:sz w:val="24"/>
          <w:szCs w:val="24"/>
          <w:lang w:val="en-US"/>
        </w:rPr>
        <w:fldChar w:fldCharType="separate"/>
      </w:r>
      <w:r w:rsidR="00EA1E2C" w:rsidRPr="00D95076">
        <w:rPr>
          <w:rFonts w:ascii="Times New Roman" w:hAnsi="Times New Roman" w:cs="Times New Roman"/>
          <w:sz w:val="24"/>
          <w:lang w:val="en-US"/>
        </w:rPr>
        <w:t>(Fischer-Kowalski and Weisz, 1999)</w:t>
      </w:r>
      <w:r w:rsidR="00EA1E2C" w:rsidRPr="00D95076">
        <w:rPr>
          <w:rFonts w:ascii="Times New Roman" w:hAnsi="Times New Roman" w:cs="Times New Roman"/>
          <w:sz w:val="24"/>
          <w:szCs w:val="24"/>
          <w:lang w:val="en-US"/>
        </w:rPr>
        <w:fldChar w:fldCharType="end"/>
      </w:r>
      <w:r w:rsidR="00EA1E2C" w:rsidRPr="00D95076">
        <w:rPr>
          <w:rFonts w:ascii="Times New Roman" w:hAnsi="Times New Roman" w:cs="Times New Roman"/>
          <w:sz w:val="24"/>
          <w:szCs w:val="24"/>
          <w:lang w:val="en-US"/>
        </w:rPr>
        <w:t xml:space="preserve">, </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manufactured capital</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fldChar w:fldCharType="begin"/>
      </w:r>
      <w:r w:rsidR="00EA1E2C" w:rsidRPr="00D95076">
        <w:rPr>
          <w:rFonts w:ascii="Times New Roman" w:hAnsi="Times New Roman" w:cs="Times New Roman"/>
          <w:sz w:val="24"/>
          <w:szCs w:val="24"/>
          <w:lang w:val="en-US"/>
        </w:rPr>
        <w:instrText xml:space="preserve"> ADDIN ZOTERO_ITEM CSL_CITATION {"citationID":"D7OIBLdG","properties":{"formattedCitation":"(Weisz et al., 2015)","plainCitation":"(Weisz et al., 2015)","noteIndex":0},"citationItems":[{"id":1843,"uris":["http://zotero.org/users/666791/items/N4Z7FG8F"],"uri":["http://zotero.org/users/666791/items/N4Z7FG8F"],"itemData":{"id":1843,"type":"article-journal","container-title":"Proceedings of the National Academy of Sciences","DOI":"10.1073/pnas.1506532112","ISSN":"0027-8424, 1091-6490","issue":"20","journalAbbreviation":"PNAS","language":"en","note":"PMID: 25986375","page":"6260-6264","source":"www.pnas.org","title":"Industrial Ecology: The role of manufactured capital in sustainability","title-short":"Industrial Ecology","volume":"112","author":[{"family":"Weisz","given":"Helga"},{"family":"Suh","given":"Sangwon"},{"family":"Graedel","given":"T. E."}],"issued":{"date-parts":[["2015",5,19]]}}}],"schema":"https://github.com/citation-style-language/schema/raw/master/csl-citation.json"} </w:instrText>
      </w:r>
      <w:r w:rsidR="00EA1E2C" w:rsidRPr="00D95076">
        <w:rPr>
          <w:rFonts w:ascii="Times New Roman" w:hAnsi="Times New Roman" w:cs="Times New Roman"/>
          <w:sz w:val="24"/>
          <w:szCs w:val="24"/>
          <w:lang w:val="en-US"/>
        </w:rPr>
        <w:fldChar w:fldCharType="separate"/>
      </w:r>
      <w:r w:rsidR="00EA1E2C" w:rsidRPr="00D95076">
        <w:rPr>
          <w:rFonts w:ascii="Times New Roman" w:hAnsi="Times New Roman" w:cs="Times New Roman"/>
          <w:sz w:val="24"/>
          <w:lang w:val="en-US"/>
        </w:rPr>
        <w:t>(Weisz et al., 2015)</w:t>
      </w:r>
      <w:r w:rsidR="00EA1E2C" w:rsidRPr="00D95076">
        <w:rPr>
          <w:rFonts w:ascii="Times New Roman" w:hAnsi="Times New Roman" w:cs="Times New Roman"/>
          <w:sz w:val="24"/>
          <w:szCs w:val="24"/>
          <w:lang w:val="en-US"/>
        </w:rPr>
        <w:fldChar w:fldCharType="end"/>
      </w:r>
      <w:r w:rsidR="00EA1E2C" w:rsidRPr="00D95076">
        <w:rPr>
          <w:rFonts w:ascii="Times New Roman" w:hAnsi="Times New Roman" w:cs="Times New Roman"/>
          <w:sz w:val="24"/>
          <w:szCs w:val="24"/>
          <w:lang w:val="en-US"/>
        </w:rPr>
        <w:t xml:space="preserve">, </w:t>
      </w:r>
      <w:r w:rsidR="00EA1E2C">
        <w:rPr>
          <w:rFonts w:ascii="Times New Roman" w:hAnsi="Times New Roman" w:cs="Times New Roman"/>
          <w:sz w:val="24"/>
          <w:szCs w:val="24"/>
          <w:lang w:val="en-US"/>
        </w:rPr>
        <w:t>‘</w:t>
      </w:r>
      <w:proofErr w:type="spellStart"/>
      <w:r w:rsidR="00EA1E2C">
        <w:rPr>
          <w:rFonts w:ascii="Times New Roman" w:hAnsi="Times New Roman" w:cs="Times New Roman"/>
          <w:sz w:val="24"/>
          <w:szCs w:val="24"/>
          <w:lang w:val="en-US"/>
        </w:rPr>
        <w:t>technomass</w:t>
      </w:r>
      <w:proofErr w:type="spellEnd"/>
      <w:r w:rsidR="00EA1E2C">
        <w:rPr>
          <w:rFonts w:ascii="Times New Roman" w:hAnsi="Times New Roman" w:cs="Times New Roman"/>
          <w:sz w:val="24"/>
          <w:szCs w:val="24"/>
          <w:lang w:val="en-US"/>
        </w:rPr>
        <w:t xml:space="preserve">’ </w:t>
      </w:r>
      <w:r w:rsidR="00EA1E2C">
        <w:rPr>
          <w:rFonts w:ascii="Times New Roman" w:hAnsi="Times New Roman" w:cs="Times New Roman"/>
          <w:sz w:val="24"/>
          <w:szCs w:val="24"/>
          <w:lang w:val="en-US"/>
        </w:rPr>
        <w:fldChar w:fldCharType="begin"/>
      </w:r>
      <w:r w:rsidR="00EA1E2C">
        <w:rPr>
          <w:rFonts w:ascii="Times New Roman" w:hAnsi="Times New Roman" w:cs="Times New Roman"/>
          <w:sz w:val="24"/>
          <w:szCs w:val="24"/>
          <w:lang w:val="en-US"/>
        </w:rPr>
        <w:instrText xml:space="preserve"> ADDIN ZOTERO_ITEM CSL_CITATION {"citationID":"OXiuEOTI","properties":{"formattedCitation":"(Inostroza, 2014)","plainCitation":"(Inostroza, 2014)","noteIndex":0},"citationItems":[{"id":13157,"uris":["http://zotero.org/users/666791/items/2F8QRBWP"],"uri":["http://zotero.org/users/666791/items/2F8QRBWP"],"itemData":{"id":13157,"type":"article-journal","abstract":"Cities are complex systems of accumulated matter. The continuous process of matter accumulation in urban systems differs in intensity across the globe according to speciﬁc urban features, such as location and age of the urban tissue, and as a physical manifestation of metabolic lineaments, material accumulation should differ amongst cities. In this paper, a new indicator to measure this process of material accumulation is proposed, namely, the Technomass. Emulating ecology, which measures biomass in natural ecosystems, a sample of different urban tissues in a given city – Bogotá – was measured in terms of volume and rates of matter accumulation. Technomass is able to indicate overall asymptotic behaviour, speciﬁc spatial proﬁles and intensiﬁcation of rates in time. In metabolic terms, the indicator looks into the black box, providing the possibility to link metabolic behaviours with urban form and attempting to ﬁll the gap between urban planning, urban metabolism (UM) and Material Flow Analysis (MFA). This new indicator offers a broad scope of applications. Further possibilities and links to urban research and policy making are explored in the discussion section.","container-title":"Ecological Indicators","DOI":"10.1016/j.ecolind.2014.02.035","ISSN":"1470160X","language":"en","page":"10-19","source":"Crossref","title":"Measuring urban ecosystem functions through ‘Technomass’—A novel indicator to assess urban metabolism","volume":"42","author":[{"family":"Inostroza","given":"Luis"}],"issued":{"date-parts":[["2014",7]]}}}],"schema":"https://github.com/citation-style-language/schema/raw/master/csl-citation.json"} </w:instrText>
      </w:r>
      <w:r w:rsidR="00EA1E2C">
        <w:rPr>
          <w:rFonts w:ascii="Times New Roman" w:hAnsi="Times New Roman" w:cs="Times New Roman"/>
          <w:sz w:val="24"/>
          <w:szCs w:val="24"/>
          <w:lang w:val="en-US"/>
        </w:rPr>
        <w:fldChar w:fldCharType="separate"/>
      </w:r>
      <w:r w:rsidR="00EA1E2C" w:rsidRPr="00134C1C">
        <w:rPr>
          <w:rFonts w:ascii="Times New Roman" w:hAnsi="Times New Roman" w:cs="Times New Roman"/>
          <w:sz w:val="24"/>
          <w:lang w:val="en-US"/>
        </w:rPr>
        <w:t>(Inostroza, 2014)</w:t>
      </w:r>
      <w:r w:rsidR="00EA1E2C">
        <w:rPr>
          <w:rFonts w:ascii="Times New Roman" w:hAnsi="Times New Roman" w:cs="Times New Roman"/>
          <w:sz w:val="24"/>
          <w:szCs w:val="24"/>
          <w:lang w:val="en-US"/>
        </w:rPr>
        <w:fldChar w:fldCharType="end"/>
      </w:r>
      <w:r w:rsidR="00EA1E2C">
        <w:rPr>
          <w:rFonts w:ascii="Times New Roman" w:hAnsi="Times New Roman" w:cs="Times New Roman"/>
          <w:sz w:val="24"/>
          <w:szCs w:val="24"/>
          <w:lang w:val="en-US"/>
        </w:rPr>
        <w:t>, ‘</w:t>
      </w:r>
      <w:r w:rsidR="00EA1E2C" w:rsidRPr="00D95076">
        <w:rPr>
          <w:rFonts w:ascii="Times New Roman" w:hAnsi="Times New Roman" w:cs="Times New Roman"/>
          <w:sz w:val="24"/>
          <w:szCs w:val="24"/>
          <w:lang w:val="en-US"/>
        </w:rPr>
        <w:t>in-use stocks</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fldChar w:fldCharType="begin"/>
      </w:r>
      <w:r w:rsidR="00EA1E2C" w:rsidRPr="00D95076">
        <w:rPr>
          <w:rFonts w:ascii="Times New Roman" w:hAnsi="Times New Roman" w:cs="Times New Roman"/>
          <w:sz w:val="24"/>
          <w:szCs w:val="24"/>
          <w:lang w:val="en-US"/>
        </w:rPr>
        <w:instrText xml:space="preserve"> ADDIN ZOTERO_ITEM CSL_CITATION {"citationID":"b99mXWBm","properties":{"formattedCitation":"(Pauliuk and M\\uc0\\u252{}ller, 2014)","plainCitation":"(Pauliuk and Müller, 2014)","noteIndex":0},"citationItems":[{"id":1779,"uris":["http://zotero.org/users/666791/items/F2PJTTQV"],"uri":["http://zotero.org/users/666791/items/F2PJTTQV"],"itemData":{"id":1779,"type":"article-journal","abstract":"Human well-being includes the use of physical services from buildings, infrastructure, and consumer products. These in-use stocks link the services enjoyed by humans to energy and material consumption. Climate change mitigation requires us to transform current in-use stocks to decouple energy and material throughput from service provision. Assessing the potential environmental benefits of emissions mitigation and other sustainable development strategies requires a solid understanding of in-use stocks and their dynamics.\n\nWe identified the different roles of in-use stocks in the social metabolism and showed to what extent they are included in current impact assessment models. We extended state-of-the-art dynamic stock models by including direct and indirect energy demand and greenhouse gas emissions. We applied the new modeling framework to three case studies in the major sectors transportation, buildings, and industry. We assessed the emissions reduction potential of the decoupling strategies energy efficiency, material efficiency, and moderate lifestyle changes.\n\nFor the global steel industry and for residential buildings the emissions reduction potential of the above-mentioned strategies was so large that the benchmarks corresponding to the 2 °C climate target could be reached. Decoupling alone might be sufficient to reach the 2 °C benchmarks in some sectors. Considering decoupling next to supply side measures such as new energy technologies may make it easier to consider other objectives than emissions reduction. Decoupling may therefore revitalize the debate about sustainable development because it allows us to loosen the focus on climate change mitigation and put more weight on the economic, social, cultural, and other environmental aspects of sustainability.","container-title":"Global Environmental Change","DOI":"10.1016/j.gloenvcha.2013.11.006","ISSN":"0959-3780","journalAbbreviation":"Global Environmental Change","page":"132–142","source":"ScienceDirect","title":"The role of in-use stocks in the social metabolism and in climate change mitigation","volume":"24","author":[{"family":"Pauliuk","given":"Stefan"},{"family":"Müller","given":"Daniel B."}],"issued":{"date-parts":[["2014"]]}}}],"schema":"https://github.com/citation-style-language/schema/raw/master/csl-citation.json"} </w:instrText>
      </w:r>
      <w:r w:rsidR="00EA1E2C" w:rsidRPr="00D95076">
        <w:rPr>
          <w:rFonts w:ascii="Times New Roman" w:hAnsi="Times New Roman" w:cs="Times New Roman"/>
          <w:sz w:val="24"/>
          <w:szCs w:val="24"/>
          <w:lang w:val="en-US"/>
        </w:rPr>
        <w:fldChar w:fldCharType="separate"/>
      </w:r>
      <w:r w:rsidR="00EA1E2C" w:rsidRPr="00D95076">
        <w:rPr>
          <w:rFonts w:ascii="Times New Roman" w:hAnsi="Times New Roman" w:cs="Times New Roman"/>
          <w:sz w:val="24"/>
          <w:szCs w:val="24"/>
          <w:lang w:val="en-US"/>
        </w:rPr>
        <w:t>(Pauliuk and Müller, 2014)</w:t>
      </w:r>
      <w:r w:rsidR="00EA1E2C" w:rsidRPr="00D95076">
        <w:rPr>
          <w:rFonts w:ascii="Times New Roman" w:hAnsi="Times New Roman" w:cs="Times New Roman"/>
          <w:sz w:val="24"/>
          <w:szCs w:val="24"/>
          <w:lang w:val="en-US"/>
        </w:rPr>
        <w:fldChar w:fldCharType="end"/>
      </w:r>
      <w:r w:rsidR="00EA1E2C" w:rsidRPr="00D95076">
        <w:rPr>
          <w:rFonts w:ascii="Times New Roman" w:hAnsi="Times New Roman" w:cs="Times New Roman"/>
          <w:sz w:val="24"/>
          <w:szCs w:val="24"/>
          <w:lang w:val="en-US"/>
        </w:rPr>
        <w:t xml:space="preserve"> or just </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material stocks</w:t>
      </w:r>
      <w:r w:rsidR="00EA1E2C">
        <w:rPr>
          <w:rFonts w:ascii="Times New Roman" w:hAnsi="Times New Roman" w:cs="Times New Roman"/>
          <w:sz w:val="24"/>
          <w:szCs w:val="24"/>
          <w:lang w:val="en-US"/>
        </w:rPr>
        <w:t>’</w:t>
      </w:r>
      <w:r w:rsidR="00EA1E2C" w:rsidRPr="00D95076">
        <w:rPr>
          <w:rFonts w:ascii="Times New Roman" w:hAnsi="Times New Roman" w:cs="Times New Roman"/>
          <w:sz w:val="24"/>
          <w:szCs w:val="24"/>
          <w:lang w:val="en-US"/>
        </w:rPr>
        <w:t xml:space="preserve"> </w:t>
      </w:r>
      <w:r w:rsidR="00EA1E2C" w:rsidRPr="00D95076">
        <w:rPr>
          <w:rFonts w:ascii="Times New Roman" w:hAnsi="Times New Roman" w:cs="Times New Roman"/>
          <w:sz w:val="24"/>
          <w:szCs w:val="24"/>
          <w:lang w:val="en-US"/>
        </w:rPr>
        <w:fldChar w:fldCharType="begin"/>
      </w:r>
      <w:r w:rsidR="00EA1E2C" w:rsidRPr="00D95076">
        <w:rPr>
          <w:rFonts w:ascii="Times New Roman" w:hAnsi="Times New Roman" w:cs="Times New Roman"/>
          <w:sz w:val="24"/>
          <w:szCs w:val="24"/>
          <w:lang w:val="en-US"/>
        </w:rPr>
        <w:instrText xml:space="preserve"> ADDIN ZOTERO_ITEM CSL_CITATION {"citationID":"gMJ9tDHI","properties":{"formattedCitation":"(Haberl et al., 2019, 2017)","plainCitation":"(Haberl et al., 2019, 2017)","noteIndex":0},"citationItems":[{"id":15980,"uris":["http://zotero.org/users/666791/items/SXS8K78I"],"uri":["http://zotero.org/users/666791/items/SXS8K78I"],"itemData":{"id":15980,"type":"article-journal","abstract":"The United Nations Sustainable Development Goals and other high-level agreements acknowledge the linked nature of social and biophysical systems. This Review explains one research tradition, sociometabolic research, that explores these links. Sociometabolic research uses methods from systems science and allied areas to study the biophysical basis of economic activity. The authors use tangible examples from recent research to demonstrate strengths and weaknesses and then explore future directions.","container-title":"Nature Sustainability","DOI":"10.1038/s41893-019-0225-2","ISSN":"2398-9629","language":"En","page":"173-184","source":"www.nature.com","title":"Contributions of sociometabolic research to sustainability science","volume":"2","author":[{"family":"Haberl","given":"Helmut"},{"family":"Wiedenhofer","given":"Dominik"},{"family":"Pauliuk","given":"Stefan"},{"family":"Krausmann","given":"Fridolin"},{"family":"Müller","given":"Daniel B."},{"family":"Fischer-Kowalski","given":"Marina"}],"issued":{"date-parts":[["2019"]]}}},{"id":73,"uris":["http://zotero.org/users/666791/items/E2I43R4A"],"uri":["http://zotero.org/users/666791/items/E2I43R4A"],"itemData":{"id":73,"type":"article-journal","abstract":"Fundamental changes in the societal use of biophysical resources are required for a sustainability transformation. Current socioeconomic metabolism research traces flows of energy, materials or substances to capture resource use: input of raw materials or energy, their fate in production and consumption, and the discharge of wastes and emissions. This approach has yielded important insights into eco-efficiency and long-term drivers of resource use. But socio-metabolic research has not yet fully incorporated material stocks or their services, hence not completely exploiting the analytic power of the metabolism concept. This commentary argues for a material stock–flow–service nexus approach focused on the analysis of interrelations between material and energy flows, socioeconomic material stocks (“in-use stocks of materials”) and the services provided by specific stock/flow combinations. Analyzing the interrelations between stocks, flows and services will allow researchers to develop highly innovative indicators of eco-efficiency and open new research directions that will help to better understand biophysical foundations of transformations towards sustainability.","container-title":"Sustainability","DOI":"10.3390/su9071049","issue":"7","language":"en","page":"1049","source":"www.mdpi.com","title":"The Material Stock–Flow–Service Nexus: A New Approach for Tackling the Decoupling Conundrum","title-short":"The Material Stock–Flow–Service Nexus","volume":"9","author":[{"family":"Haberl","given":"Helmut"},{"family":"Wiedenhofer","given":"Dominik"},{"family":"Erb","given":"Karl-Heinz"},{"family":"Görg","given":"Christoph"},{"family":"Krausmann","given":"Fridolin"}],"issued":{"date-parts":[["2017",6,26]]}}}],"schema":"https://github.com/citation-style-language/schema/raw/master/csl-citation.json"} </w:instrText>
      </w:r>
      <w:r w:rsidR="00EA1E2C" w:rsidRPr="00D95076">
        <w:rPr>
          <w:rFonts w:ascii="Times New Roman" w:hAnsi="Times New Roman" w:cs="Times New Roman"/>
          <w:sz w:val="24"/>
          <w:szCs w:val="24"/>
          <w:lang w:val="en-US"/>
        </w:rPr>
        <w:fldChar w:fldCharType="separate"/>
      </w:r>
      <w:r w:rsidR="00EA1E2C" w:rsidRPr="00D95076">
        <w:rPr>
          <w:rFonts w:ascii="Times New Roman" w:hAnsi="Times New Roman" w:cs="Times New Roman"/>
          <w:sz w:val="24"/>
          <w:lang w:val="en-US"/>
        </w:rPr>
        <w:t>(Haberl et al., 2019, 2017)</w:t>
      </w:r>
      <w:r w:rsidR="00EA1E2C" w:rsidRPr="00D95076">
        <w:rPr>
          <w:rFonts w:ascii="Times New Roman" w:hAnsi="Times New Roman" w:cs="Times New Roman"/>
          <w:sz w:val="24"/>
          <w:szCs w:val="24"/>
          <w:lang w:val="en-US"/>
        </w:rPr>
        <w:fldChar w:fldCharType="end"/>
      </w:r>
      <w:r w:rsidR="00EA1E2C" w:rsidRPr="00D95076">
        <w:rPr>
          <w:rFonts w:ascii="Times New Roman" w:hAnsi="Times New Roman" w:cs="Times New Roman"/>
          <w:sz w:val="24"/>
          <w:szCs w:val="24"/>
          <w:lang w:val="en-US"/>
        </w:rPr>
        <w:t>; we here use the latter notion</w:t>
      </w:r>
      <w:r w:rsidR="00900532">
        <w:rPr>
          <w:rFonts w:ascii="Times New Roman" w:hAnsi="Times New Roman" w:cs="Times New Roman"/>
          <w:sz w:val="24"/>
          <w:szCs w:val="24"/>
          <w:lang w:val="en-US"/>
        </w:rPr>
        <w:t>.</w:t>
      </w:r>
      <w:r w:rsidR="00B06174">
        <w:rPr>
          <w:rFonts w:ascii="Times New Roman" w:hAnsi="Times New Roman" w:cs="Times New Roman"/>
          <w:sz w:val="24"/>
          <w:szCs w:val="24"/>
          <w:lang w:val="en-US"/>
        </w:rPr>
        <w:t xml:space="preserve"> Dissipative use of resources is mostly associated with the energy needed to construct</w:t>
      </w:r>
      <w:r w:rsidR="00BE571F">
        <w:rPr>
          <w:rFonts w:ascii="Times New Roman" w:hAnsi="Times New Roman" w:cs="Times New Roman"/>
          <w:sz w:val="24"/>
          <w:szCs w:val="24"/>
          <w:lang w:val="en-US"/>
        </w:rPr>
        <w:t>, maintain</w:t>
      </w:r>
      <w:r w:rsidR="00B06174">
        <w:rPr>
          <w:rFonts w:ascii="Times New Roman" w:hAnsi="Times New Roman" w:cs="Times New Roman"/>
          <w:sz w:val="24"/>
          <w:szCs w:val="24"/>
          <w:lang w:val="en-US"/>
        </w:rPr>
        <w:t xml:space="preserve"> and use these material stocks</w:t>
      </w:r>
      <w:r w:rsidR="00BE571F">
        <w:rPr>
          <w:rFonts w:ascii="Times New Roman" w:hAnsi="Times New Roman" w:cs="Times New Roman"/>
          <w:sz w:val="24"/>
          <w:szCs w:val="24"/>
          <w:lang w:val="en-US"/>
        </w:rPr>
        <w:t xml:space="preserve">. Wastes and emissions </w:t>
      </w:r>
      <w:r w:rsidR="00B06174">
        <w:rPr>
          <w:rFonts w:ascii="Times New Roman" w:hAnsi="Times New Roman" w:cs="Times New Roman"/>
          <w:sz w:val="24"/>
          <w:szCs w:val="24"/>
          <w:lang w:val="en-US"/>
        </w:rPr>
        <w:t>emerg</w:t>
      </w:r>
      <w:r w:rsidR="00BE571F">
        <w:rPr>
          <w:rFonts w:ascii="Times New Roman" w:hAnsi="Times New Roman" w:cs="Times New Roman"/>
          <w:sz w:val="24"/>
          <w:szCs w:val="24"/>
          <w:lang w:val="en-US"/>
        </w:rPr>
        <w:t>e</w:t>
      </w:r>
      <w:r w:rsidR="00B06174">
        <w:rPr>
          <w:rFonts w:ascii="Times New Roman" w:hAnsi="Times New Roman" w:cs="Times New Roman"/>
          <w:sz w:val="24"/>
          <w:szCs w:val="24"/>
          <w:lang w:val="en-US"/>
        </w:rPr>
        <w:t xml:space="preserve"> during the construction or fabrication</w:t>
      </w:r>
      <w:r w:rsidR="00BE571F">
        <w:rPr>
          <w:rFonts w:ascii="Times New Roman" w:hAnsi="Times New Roman" w:cs="Times New Roman"/>
          <w:sz w:val="24"/>
          <w:szCs w:val="24"/>
          <w:lang w:val="en-US"/>
        </w:rPr>
        <w:t xml:space="preserve"> of stocks, their use phase</w:t>
      </w:r>
      <w:r w:rsidR="00B06174">
        <w:rPr>
          <w:rFonts w:ascii="Times New Roman" w:hAnsi="Times New Roman" w:cs="Times New Roman"/>
          <w:sz w:val="24"/>
          <w:szCs w:val="24"/>
          <w:lang w:val="en-US"/>
        </w:rPr>
        <w:t>, and at the end of the</w:t>
      </w:r>
      <w:r w:rsidR="00BE571F">
        <w:rPr>
          <w:rFonts w:ascii="Times New Roman" w:hAnsi="Times New Roman" w:cs="Times New Roman"/>
          <w:sz w:val="24"/>
          <w:szCs w:val="24"/>
          <w:lang w:val="en-US"/>
        </w:rPr>
        <w:t>ir</w:t>
      </w:r>
      <w:r w:rsidR="00B06174">
        <w:rPr>
          <w:rFonts w:ascii="Times New Roman" w:hAnsi="Times New Roman" w:cs="Times New Roman"/>
          <w:sz w:val="24"/>
          <w:szCs w:val="24"/>
          <w:lang w:val="en-US"/>
        </w:rPr>
        <w:t xml:space="preserve"> lifetime.</w:t>
      </w:r>
      <w:r>
        <w:rPr>
          <w:rFonts w:ascii="Times New Roman" w:hAnsi="Times New Roman" w:cs="Times New Roman"/>
          <w:sz w:val="24"/>
          <w:szCs w:val="24"/>
          <w:lang w:val="en-US"/>
        </w:rPr>
        <w:t xml:space="preserve"> At all these stages, resource use is associated with pressures on biodiversity, as shown in Fig. 1.</w:t>
      </w:r>
    </w:p>
    <w:p w14:paraId="55614DD4" w14:textId="77777777" w:rsidR="00FA6546" w:rsidRPr="003F24AD" w:rsidRDefault="00FA6546" w:rsidP="00FA6546">
      <w:pPr>
        <w:spacing w:after="0" w:line="240" w:lineRule="auto"/>
        <w:rPr>
          <w:rFonts w:ascii="Times New Roman" w:hAnsi="Times New Roman" w:cs="Times New Roman"/>
          <w:sz w:val="24"/>
          <w:szCs w:val="24"/>
          <w:lang w:val="en-US"/>
        </w:rPr>
      </w:pPr>
    </w:p>
    <w:p w14:paraId="10F39709" w14:textId="4F31BBC2" w:rsidR="00FA6546" w:rsidRDefault="00D9392D" w:rsidP="00FA6546">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w:drawing>
          <wp:inline distT="0" distB="0" distL="0" distR="0" wp14:anchorId="41FCED13" wp14:editId="48DE0C3D">
            <wp:extent cx="5760720" cy="291782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1_SystemInteraction_fin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917825"/>
                    </a:xfrm>
                    <a:prstGeom prst="rect">
                      <a:avLst/>
                    </a:prstGeom>
                  </pic:spPr>
                </pic:pic>
              </a:graphicData>
            </a:graphic>
          </wp:inline>
        </w:drawing>
      </w:r>
    </w:p>
    <w:p w14:paraId="6BF5DFA7" w14:textId="5D9A7B33" w:rsidR="00FA6546" w:rsidRPr="00B1574E" w:rsidRDefault="00FA6546" w:rsidP="00FA6546">
      <w:pPr>
        <w:spacing w:after="0" w:line="240" w:lineRule="auto"/>
        <w:rPr>
          <w:rFonts w:ascii="Times New Roman" w:hAnsi="Times New Roman" w:cs="Times New Roman"/>
          <w:sz w:val="20"/>
          <w:szCs w:val="20"/>
          <w:lang w:val="en-US"/>
        </w:rPr>
      </w:pPr>
      <w:r w:rsidRPr="00B1574E">
        <w:rPr>
          <w:rFonts w:ascii="Times New Roman" w:hAnsi="Times New Roman" w:cs="Times New Roman"/>
          <w:b/>
          <w:sz w:val="20"/>
          <w:szCs w:val="20"/>
          <w:lang w:val="en-US"/>
        </w:rPr>
        <w:t xml:space="preserve">Fig. </w:t>
      </w:r>
      <w:r>
        <w:rPr>
          <w:rFonts w:ascii="Times New Roman" w:hAnsi="Times New Roman" w:cs="Times New Roman"/>
          <w:b/>
          <w:sz w:val="20"/>
          <w:szCs w:val="20"/>
          <w:lang w:val="en-US"/>
        </w:rPr>
        <w:t>1</w:t>
      </w:r>
      <w:r w:rsidRPr="00B1574E">
        <w:rPr>
          <w:rFonts w:ascii="Times New Roman" w:hAnsi="Times New Roman" w:cs="Times New Roman"/>
          <w:b/>
          <w:sz w:val="20"/>
          <w:szCs w:val="20"/>
          <w:lang w:val="en-US"/>
        </w:rPr>
        <w:t xml:space="preserve">. </w:t>
      </w:r>
      <w:r w:rsidRPr="00D573B3">
        <w:rPr>
          <w:rFonts w:ascii="Times New Roman" w:hAnsi="Times New Roman" w:cs="Times New Roman"/>
          <w:sz w:val="20"/>
          <w:szCs w:val="20"/>
          <w:lang w:val="en-US"/>
        </w:rPr>
        <w:t xml:space="preserve">Dominant drivers of current species loss </w:t>
      </w:r>
      <w:r w:rsidR="00BB5CA4">
        <w:rPr>
          <w:rFonts w:ascii="Times New Roman" w:hAnsi="Times New Roman" w:cs="Times New Roman"/>
          <w:sz w:val="20"/>
          <w:szCs w:val="20"/>
          <w:lang w:val="en-US"/>
        </w:rPr>
        <w:t>associated with social metabolism</w:t>
      </w:r>
      <w:r w:rsidR="00B013DD">
        <w:rPr>
          <w:rFonts w:ascii="Times New Roman" w:hAnsi="Times New Roman" w:cs="Times New Roman"/>
          <w:sz w:val="20"/>
          <w:szCs w:val="20"/>
          <w:lang w:val="en-US"/>
        </w:rPr>
        <w:t xml:space="preserve">, shown as </w:t>
      </w:r>
      <w:r w:rsidR="00BB5CA4">
        <w:rPr>
          <w:rFonts w:ascii="Times New Roman" w:hAnsi="Times New Roman" w:cs="Times New Roman"/>
          <w:sz w:val="20"/>
          <w:szCs w:val="20"/>
          <w:lang w:val="en-US"/>
        </w:rPr>
        <w:t>the relative importance of biodiversity threats for 8,600 threatened or near-threatened species according to the IUCN Red List</w:t>
      </w:r>
      <w:r>
        <w:rPr>
          <w:rFonts w:ascii="Times New Roman" w:hAnsi="Times New Roman" w:cs="Times New Roman"/>
          <w:sz w:val="20"/>
          <w:szCs w:val="20"/>
          <w:lang w:val="en-US"/>
        </w:rPr>
        <w:t xml:space="preserve">. </w:t>
      </w:r>
      <w:r w:rsidRPr="00D573B3">
        <w:rPr>
          <w:rFonts w:ascii="Times New Roman" w:hAnsi="Times New Roman" w:cs="Times New Roman"/>
          <w:sz w:val="20"/>
          <w:szCs w:val="20"/>
          <w:lang w:val="en-US"/>
        </w:rPr>
        <w:t xml:space="preserve">The </w:t>
      </w:r>
      <w:r>
        <w:rPr>
          <w:rFonts w:ascii="Times New Roman" w:hAnsi="Times New Roman" w:cs="Times New Roman"/>
          <w:sz w:val="20"/>
          <w:szCs w:val="20"/>
          <w:lang w:val="en-US"/>
        </w:rPr>
        <w:t xml:space="preserve">small insert </w:t>
      </w:r>
      <w:r w:rsidRPr="00D573B3">
        <w:rPr>
          <w:rFonts w:ascii="Times New Roman" w:hAnsi="Times New Roman" w:cs="Times New Roman"/>
          <w:sz w:val="20"/>
          <w:szCs w:val="20"/>
          <w:lang w:val="en-US"/>
        </w:rPr>
        <w:t xml:space="preserve">diagrams </w:t>
      </w:r>
      <w:r>
        <w:rPr>
          <w:rFonts w:ascii="Times New Roman" w:hAnsi="Times New Roman" w:cs="Times New Roman"/>
          <w:sz w:val="20"/>
          <w:szCs w:val="20"/>
          <w:lang w:val="en-US"/>
        </w:rPr>
        <w:t xml:space="preserve">depict </w:t>
      </w:r>
      <w:r w:rsidRPr="00D573B3">
        <w:rPr>
          <w:rFonts w:ascii="Times New Roman" w:hAnsi="Times New Roman" w:cs="Times New Roman"/>
          <w:sz w:val="20"/>
          <w:szCs w:val="20"/>
          <w:lang w:val="en-US"/>
        </w:rPr>
        <w:t>the number of species threatened by extraction</w:t>
      </w:r>
      <w:r w:rsidR="00B02FAA">
        <w:rPr>
          <w:rFonts w:ascii="Times New Roman" w:hAnsi="Times New Roman" w:cs="Times New Roman"/>
          <w:sz w:val="20"/>
          <w:szCs w:val="20"/>
          <w:lang w:val="en-US"/>
        </w:rPr>
        <w:t xml:space="preserve"> of natural resources</w:t>
      </w:r>
      <w:r w:rsidR="00BB5CA4">
        <w:rPr>
          <w:rFonts w:ascii="Times New Roman" w:hAnsi="Times New Roman" w:cs="Times New Roman"/>
          <w:sz w:val="20"/>
          <w:szCs w:val="20"/>
          <w:lang w:val="en-US"/>
        </w:rPr>
        <w:t xml:space="preserve"> (directly or indirectly)</w:t>
      </w:r>
      <w:r w:rsidRPr="00D573B3">
        <w:rPr>
          <w:rFonts w:ascii="Times New Roman" w:hAnsi="Times New Roman" w:cs="Times New Roman"/>
          <w:sz w:val="20"/>
          <w:szCs w:val="20"/>
          <w:lang w:val="en-US"/>
        </w:rPr>
        <w:t xml:space="preserve">, accumulation of materials </w:t>
      </w:r>
      <w:r w:rsidR="00B02FAA">
        <w:rPr>
          <w:rFonts w:ascii="Times New Roman" w:hAnsi="Times New Roman" w:cs="Times New Roman"/>
          <w:sz w:val="20"/>
          <w:szCs w:val="20"/>
          <w:lang w:val="en-US"/>
        </w:rPr>
        <w:t xml:space="preserve">within the socio-economic system </w:t>
      </w:r>
      <w:r w:rsidRPr="00D573B3">
        <w:rPr>
          <w:rFonts w:ascii="Times New Roman" w:hAnsi="Times New Roman" w:cs="Times New Roman"/>
          <w:sz w:val="20"/>
          <w:szCs w:val="20"/>
          <w:lang w:val="en-US"/>
        </w:rPr>
        <w:t xml:space="preserve">and </w:t>
      </w:r>
      <w:r>
        <w:rPr>
          <w:rFonts w:ascii="Times New Roman" w:hAnsi="Times New Roman" w:cs="Times New Roman"/>
          <w:sz w:val="20"/>
          <w:szCs w:val="20"/>
          <w:lang w:val="en-US"/>
        </w:rPr>
        <w:t>outflows of waste and emissions</w:t>
      </w:r>
      <w:r w:rsidR="00B02FAA">
        <w:rPr>
          <w:rFonts w:ascii="Times New Roman" w:hAnsi="Times New Roman" w:cs="Times New Roman"/>
          <w:sz w:val="20"/>
          <w:szCs w:val="20"/>
          <w:lang w:val="en-US"/>
        </w:rPr>
        <w:t xml:space="preserve"> to the environment</w:t>
      </w:r>
      <w:r w:rsidRPr="00B1574E">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B1574E">
        <w:rPr>
          <w:rFonts w:ascii="Times New Roman" w:hAnsi="Times New Roman" w:cs="Times New Roman"/>
          <w:sz w:val="20"/>
          <w:szCs w:val="20"/>
          <w:lang w:val="en-US"/>
        </w:rPr>
        <w:t>Own graph</w:t>
      </w:r>
      <w:r w:rsidR="00BB5CA4">
        <w:rPr>
          <w:rFonts w:ascii="Times New Roman" w:hAnsi="Times New Roman" w:cs="Times New Roman"/>
          <w:sz w:val="20"/>
          <w:szCs w:val="20"/>
          <w:lang w:val="en-US"/>
        </w:rPr>
        <w:t xml:space="preserve">, data </w:t>
      </w:r>
      <w:r w:rsidR="00B013DD">
        <w:rPr>
          <w:rFonts w:ascii="Times New Roman" w:hAnsi="Times New Roman" w:cs="Times New Roman"/>
          <w:sz w:val="20"/>
          <w:szCs w:val="20"/>
          <w:lang w:val="en-US"/>
        </w:rPr>
        <w:t xml:space="preserve">on biodiversity threats were derived </w:t>
      </w:r>
      <w:r w:rsidR="00BB5CA4">
        <w:rPr>
          <w:rFonts w:ascii="Times New Roman" w:hAnsi="Times New Roman" w:cs="Times New Roman"/>
          <w:sz w:val="20"/>
          <w:szCs w:val="20"/>
          <w:lang w:val="en-US"/>
        </w:rPr>
        <w:t xml:space="preserve">from </w:t>
      </w:r>
      <w:r w:rsidR="00BB5CA4">
        <w:rPr>
          <w:rFonts w:ascii="Times New Roman" w:hAnsi="Times New Roman" w:cs="Times New Roman"/>
          <w:sz w:val="20"/>
          <w:szCs w:val="20"/>
          <w:lang w:val="en-US"/>
        </w:rPr>
        <w:fldChar w:fldCharType="begin"/>
      </w:r>
      <w:r w:rsidR="00403886">
        <w:rPr>
          <w:rFonts w:ascii="Times New Roman" w:hAnsi="Times New Roman" w:cs="Times New Roman"/>
          <w:sz w:val="20"/>
          <w:szCs w:val="20"/>
          <w:lang w:val="en-US"/>
        </w:rPr>
        <w:instrText xml:space="preserve"> ADDIN ZOTERO_ITEM CSL_CITATION {"citationID":"BawX1xdD","properties":{"formattedCitation":"(Maxwell et al., 2016)","plainCitation":"(Maxwell et al., 2016)","noteIndex":0},"citationItems":[{"id":70932,"uris":["http://zotero.org/users/666791/items/YVUE3HI4"],"uri":["http://zotero.org/users/666791/items/YVUE3HI4"],"itemData":{"id":70932,"type":"article-journal","abstract":"The threats of old are still the dominant drivers of current species loss, indicates an analysis of IUCN Red List data by Sean Maxwell and colleagues.","container-title":"Nature News","DOI":"10.1038/536143a","issue":"7615","language":"en","note":"section: Comment","page":"143","source":"www.nature.com","title":"Biodiversity: The ravages of guns, nets and bulldozers","title-short":"Biodiversity","volume":"536","author":[{"family":"Maxwell","given":"Sean L."},{"family":"Fuller","given":"Richard A."},{"family":"Brooks","given":"Thomas M."},{"family":"Watson","given":"James E. M."}],"issued":{"date-parts":[["2016",8,11]]}}}],"schema":"https://github.com/citation-style-language/schema/raw/master/csl-citation.json"} </w:instrText>
      </w:r>
      <w:r w:rsidR="00BB5CA4">
        <w:rPr>
          <w:rFonts w:ascii="Times New Roman" w:hAnsi="Times New Roman" w:cs="Times New Roman"/>
          <w:sz w:val="20"/>
          <w:szCs w:val="20"/>
          <w:lang w:val="en-US"/>
        </w:rPr>
        <w:fldChar w:fldCharType="separate"/>
      </w:r>
      <w:r w:rsidR="00BB5CA4" w:rsidRPr="00BB5CA4">
        <w:rPr>
          <w:rFonts w:ascii="Times New Roman" w:hAnsi="Times New Roman" w:cs="Times New Roman"/>
          <w:sz w:val="20"/>
          <w:lang w:val="en-US"/>
        </w:rPr>
        <w:t>(Maxwell et al., 2016)</w:t>
      </w:r>
      <w:r w:rsidR="00BB5CA4">
        <w:rPr>
          <w:rFonts w:ascii="Times New Roman" w:hAnsi="Times New Roman" w:cs="Times New Roman"/>
          <w:sz w:val="20"/>
          <w:szCs w:val="20"/>
          <w:lang w:val="en-US"/>
        </w:rPr>
        <w:fldChar w:fldCharType="end"/>
      </w:r>
      <w:r w:rsidR="00BB5CA4">
        <w:rPr>
          <w:rFonts w:ascii="Times New Roman" w:hAnsi="Times New Roman" w:cs="Times New Roman"/>
          <w:sz w:val="20"/>
          <w:szCs w:val="20"/>
          <w:lang w:val="en-US"/>
        </w:rPr>
        <w:t>.</w:t>
      </w:r>
    </w:p>
    <w:p w14:paraId="5291EA06" w14:textId="77777777" w:rsidR="00FA6546" w:rsidRDefault="00FA6546" w:rsidP="00FA6546">
      <w:pPr>
        <w:spacing w:after="0" w:line="240" w:lineRule="auto"/>
        <w:rPr>
          <w:rFonts w:ascii="Times New Roman" w:hAnsi="Times New Roman" w:cs="Times New Roman"/>
          <w:sz w:val="24"/>
          <w:szCs w:val="24"/>
          <w:lang w:val="en-US"/>
        </w:rPr>
      </w:pPr>
    </w:p>
    <w:p w14:paraId="04665291" w14:textId="0339E66B" w:rsidR="00FA6546" w:rsidRDefault="00FA6546" w:rsidP="00FA6546">
      <w:pPr>
        <w:spacing w:after="0" w:line="240" w:lineRule="auto"/>
        <w:rPr>
          <w:rFonts w:ascii="Times New Roman" w:hAnsi="Times New Roman" w:cs="Times New Roman"/>
          <w:sz w:val="24"/>
          <w:szCs w:val="24"/>
          <w:lang w:val="en-US"/>
        </w:rPr>
      </w:pPr>
      <w:r w:rsidRPr="00B00053">
        <w:rPr>
          <w:rFonts w:ascii="Times New Roman" w:hAnsi="Times New Roman" w:cs="Times New Roman"/>
          <w:sz w:val="24"/>
          <w:szCs w:val="24"/>
          <w:lang w:val="en-US"/>
        </w:rPr>
        <w:t>By far the most critical drivers of biodiversity loss are overexploitation and agriculture</w:t>
      </w:r>
      <w:r w:rsidR="00BB5CA4">
        <w:rPr>
          <w:rFonts w:ascii="Times New Roman" w:hAnsi="Times New Roman" w:cs="Times New Roman"/>
          <w:sz w:val="24"/>
          <w:szCs w:val="24"/>
          <w:lang w:val="en-US"/>
        </w:rPr>
        <w:t xml:space="preserve"> or </w:t>
      </w:r>
      <w:r w:rsidRPr="00B00053">
        <w:rPr>
          <w:rFonts w:ascii="Times New Roman" w:hAnsi="Times New Roman" w:cs="Times New Roman"/>
          <w:sz w:val="24"/>
          <w:szCs w:val="24"/>
          <w:lang w:val="en-US"/>
        </w:rPr>
        <w:t>forestry</w:t>
      </w:r>
      <w:r>
        <w:rPr>
          <w:rFonts w:ascii="Times New Roman" w:hAnsi="Times New Roman" w:cs="Times New Roman"/>
          <w:sz w:val="24"/>
          <w:szCs w:val="24"/>
          <w:lang w:val="en-US"/>
        </w:rPr>
        <w:t xml:space="preserve">, </w:t>
      </w:r>
      <w:r w:rsidR="00BB5CA4">
        <w:rPr>
          <w:rFonts w:ascii="Times New Roman" w:hAnsi="Times New Roman" w:cs="Times New Roman"/>
          <w:sz w:val="24"/>
          <w:szCs w:val="24"/>
          <w:lang w:val="en-US"/>
        </w:rPr>
        <w:t xml:space="preserve">i.e. </w:t>
      </w:r>
      <w:r>
        <w:rPr>
          <w:rFonts w:ascii="Times New Roman" w:hAnsi="Times New Roman" w:cs="Times New Roman"/>
          <w:sz w:val="24"/>
          <w:szCs w:val="24"/>
          <w:lang w:val="en-US"/>
        </w:rPr>
        <w:t xml:space="preserve">activities </w:t>
      </w:r>
      <w:r w:rsidR="00BB5CA4">
        <w:rPr>
          <w:rFonts w:ascii="Times New Roman" w:hAnsi="Times New Roman" w:cs="Times New Roman"/>
          <w:sz w:val="24"/>
          <w:szCs w:val="24"/>
          <w:lang w:val="en-US"/>
        </w:rPr>
        <w:t>linked to raw material extraction</w:t>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{"citationID":"IzK1Lcif","properties":{"formattedCitation":"(IPBES, 2019)","plainCitation":"(IPBES, 2019)","noteIndex":0},"citationItems":[{"id":70243,"uris":["http://zotero.org/users/666791/items/Y45MZLF8"],"uri":["http://zotero.org/users/666791/items/Y45MZLF8"],"itemData":{"id":70243,"type":"book","event-place":"Bonn,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Services","author":[{"family":"IPBES","given":""}],"issued":{"date-parts":[["2019"]]}}}],"schema":"https://github.com/citation-style-language/schema/raw/master/csl-citation.json"} </w:instrText>
      </w:r>
      <w:r>
        <w:rPr>
          <w:rFonts w:ascii="Times New Roman" w:hAnsi="Times New Roman" w:cs="Times New Roman"/>
          <w:sz w:val="24"/>
          <w:szCs w:val="24"/>
          <w:lang w:val="en-US"/>
        </w:rPr>
        <w:fldChar w:fldCharType="separate"/>
      </w:r>
      <w:r w:rsidRPr="00672DA6">
        <w:rPr>
          <w:rFonts w:ascii="Times New Roman" w:hAnsi="Times New Roman" w:cs="Times New Roman"/>
          <w:sz w:val="24"/>
          <w:lang w:val="en-US"/>
        </w:rPr>
        <w:t>(IPBES, 2019)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Together with habitat loss, overexploitation is rapidly expanding into natural areas due to the increasing human demand for agricultural products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{"citationID":"vurvrWIl","properties":{"formattedCitation":"(Romero-Mu\\uc0\\u241{}oz et al., 2021)","plainCitation":"(Romero-Muñoz et al., 2021)","noteIndex":0},"citationItems":[{"id":71633,"uris":["http://zotero.org/users/666791/items/6K9EMXIY"],"uri":["http://zotero.org/users/666791/items/6K9EMXIY"],"itemData":{"id":71633,"type":"article-journal","abstract":"Global biodiversity is under high and rising anthropogenic pressure. Yet, how the taxonomic, phylogenetic, and functional facets of biodiversity are affected by different threats over time is unclear. This is particularly true for the two main drivers of the current biodiversity crisis: habitat destruction and overexploitation. We provide the first long-term assessment of multifaceted biodiversity changes caused by these threats for any tropical region. Focussing on larger mammals in South America's 1.1 million km2 Gran Chaco region, we assessed changes in multiple biodiversity facets between 1985 and 2015, determined which threats drive those changes, and identified remaining key areas for all biodiversity facets. Using habitat and threat maps, we found, first, that between 1985 and 2015 taxonomic (TD), phylogenetic (PD) and functional (FD) diversity all declined drastically across over half of the area assessed. FD declined about 50% faster than TD and PD, and these declines were mainly driven by species loss, rather than species turnover. Second, habitat destruction, hunting, and both threats together contributed 57%, 37%, and 6% to overall facet declines, respectively. However, hunting pressure increased where TD and PD declined most strongly, whereas habitat destruction disproportionally contributed to FD declines. Third, just 23% of the Chaco would have to be protected to safeguard the top 17% of all three facets. Our findings uncover a widespread impoverishment of mammal species richness, evolutionary history, and ecological functions across broad areas of the Chaco due to increasing habitat destruction and hunting. Moreover, our results pinpoint key areas that should be preserved and managed to maintain all facets of mammalian diversity across the Chaco. More generally, our work highlights how long-term changes in biodiversity facets can be assessed and attributed to specific threats, to better understand human impacts on biodiversity and to guide conservation planning to mitigate them.","container-title":"Global Change Biology","DOI":"10.1111/gcb.15418","ISSN":"1365-2486","issue":"4","language":"en","note":"_eprint: https://onlinelibrary.wiley.com/doi/pdf/10.1111/gcb.15418","page":"755-767","source":"Wiley Online Library","title":"Habitat destruction and overexploitation drive widespread declines in all facets of mammalian diversity in the Gran Chaco","volume":"27","author":[{"family":"Romero-Muñoz","given":"Alfredo"},{"family":"Fandos","given":"Guillermo"},{"family":"Benítez-López","given":"Ana"},{"family":"Kuemmerle","given":"Tobias"}],"issued":{"date-parts":[["2021"]]}}}],"schema":"https://github.com/citation-style-language/schema/raw/master/csl-citation.json"} </w:instrText>
      </w:r>
      <w:r>
        <w:rPr>
          <w:rFonts w:ascii="Times New Roman" w:hAnsi="Times New Roman" w:cs="Times New Roman"/>
          <w:sz w:val="24"/>
          <w:szCs w:val="24"/>
          <w:lang w:val="en-US"/>
        </w:rPr>
        <w:fldChar w:fldCharType="separate"/>
      </w:r>
      <w:r w:rsidRPr="00276ABC">
        <w:rPr>
          <w:rFonts w:ascii="Times New Roman" w:hAnsi="Times New Roman" w:cs="Times New Roman"/>
          <w:sz w:val="24"/>
          <w:szCs w:val="24"/>
          <w:lang w:val="en-US"/>
        </w:rPr>
        <w:t>(Romero-Muñoz et al., 2021)</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BB5CA4">
        <w:rPr>
          <w:rFonts w:ascii="Times New Roman" w:hAnsi="Times New Roman" w:cs="Times New Roman"/>
          <w:sz w:val="24"/>
          <w:szCs w:val="24"/>
          <w:lang w:val="en-US"/>
        </w:rPr>
        <w:t xml:space="preserve">Various processes of </w:t>
      </w:r>
      <w:r>
        <w:rPr>
          <w:rFonts w:ascii="Times New Roman" w:hAnsi="Times New Roman" w:cs="Times New Roman"/>
          <w:sz w:val="24"/>
          <w:szCs w:val="24"/>
          <w:lang w:val="en-US"/>
        </w:rPr>
        <w:t xml:space="preserve">agricultural intensification and </w:t>
      </w:r>
      <w:proofErr w:type="spellStart"/>
      <w:r>
        <w:rPr>
          <w:rFonts w:ascii="Times New Roman" w:hAnsi="Times New Roman" w:cs="Times New Roman"/>
          <w:sz w:val="24"/>
          <w:szCs w:val="24"/>
          <w:lang w:val="en-US"/>
        </w:rPr>
        <w:t>extensification</w:t>
      </w:r>
      <w:proofErr w:type="spellEnd"/>
      <w:r>
        <w:rPr>
          <w:rFonts w:ascii="Times New Roman" w:hAnsi="Times New Roman" w:cs="Times New Roman"/>
          <w:sz w:val="24"/>
          <w:szCs w:val="24"/>
          <w:lang w:val="en-US"/>
        </w:rPr>
        <w:t xml:space="preserve"> </w:t>
      </w:r>
      <w:r w:rsidR="00BB5CA4">
        <w:rPr>
          <w:rFonts w:ascii="Times New Roman" w:hAnsi="Times New Roman" w:cs="Times New Roman"/>
          <w:sz w:val="24"/>
          <w:szCs w:val="24"/>
          <w:lang w:val="en-US"/>
        </w:rPr>
        <w:t xml:space="preserve">occurred during the last centuries of the </w:t>
      </w:r>
      <w:r>
        <w:rPr>
          <w:rFonts w:ascii="Times New Roman" w:hAnsi="Times New Roman" w:cs="Times New Roman"/>
          <w:sz w:val="24"/>
          <w:szCs w:val="24"/>
          <w:lang w:val="en-US"/>
        </w:rPr>
        <w:t>industrial revolution.</w:t>
      </w:r>
      <w:r w:rsidR="00BB5CA4">
        <w:rPr>
          <w:rFonts w:ascii="Times New Roman" w:hAnsi="Times New Roman" w:cs="Times New Roman"/>
          <w:sz w:val="24"/>
          <w:szCs w:val="24"/>
          <w:lang w:val="en-US"/>
        </w:rPr>
        <w:t xml:space="preserve"> </w:t>
      </w:r>
      <w:r w:rsidR="00ED4FD6">
        <w:rPr>
          <w:rFonts w:ascii="Times New Roman" w:hAnsi="Times New Roman" w:cs="Times New Roman"/>
          <w:sz w:val="24"/>
          <w:szCs w:val="24"/>
          <w:lang w:val="en-US"/>
        </w:rPr>
        <w:t xml:space="preserve">Changes in land-use intensity </w:t>
      </w:r>
      <w:r>
        <w:rPr>
          <w:rFonts w:ascii="Times New Roman" w:hAnsi="Times New Roman" w:cs="Times New Roman"/>
          <w:sz w:val="24"/>
          <w:szCs w:val="24"/>
          <w:lang w:val="en-US"/>
        </w:rPr>
        <w:t xml:space="preserve">have been primary causes of </w:t>
      </w:r>
      <w:r w:rsidR="00BB5CA4">
        <w:rPr>
          <w:rFonts w:ascii="Times New Roman" w:hAnsi="Times New Roman" w:cs="Times New Roman"/>
          <w:sz w:val="24"/>
          <w:szCs w:val="24"/>
          <w:lang w:val="en-US"/>
        </w:rPr>
        <w:t xml:space="preserve">past and present biodiversity </w:t>
      </w:r>
      <w:r>
        <w:rPr>
          <w:rFonts w:ascii="Times New Roman" w:hAnsi="Times New Roman" w:cs="Times New Roman"/>
          <w:sz w:val="24"/>
          <w:szCs w:val="24"/>
          <w:lang w:val="en-US"/>
        </w:rPr>
        <w:t>loss</w:t>
      </w:r>
      <w:r w:rsidR="00BB5CA4">
        <w:rPr>
          <w:rFonts w:ascii="Times New Roman" w:hAnsi="Times New Roman" w:cs="Times New Roman"/>
          <w:sz w:val="24"/>
          <w:szCs w:val="24"/>
          <w:lang w:val="en-US"/>
        </w:rPr>
        <w:t>es</w:t>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{"citationID":"fpCfhV0Z","properties":{"formattedCitation":"(Lanz et al., 2018)","plainCitation":"(Lanz et al., 2018)","noteIndex":0},"citationItems":[{"id":71636,"uris":["http://zotero.org/users/666791/items/TY8269P8"],"uri":["http://zotero.org/users/666791/items/TY8269P8"],"itemData":{"id":71636,"type":"article-journal","abstract":"The world is banking on a major increase in food production, if the dietary needs and food preferences of an increasing, and increasingly rich, population are to be met. This requires the further expansion of modern agriculture, but modern agriculture rests on a small number of highly productive crops and its expansion has led to a significant loss of global biodiversity. Ecologists have shown that biodiversity loss results in lower plant productivity, while agricultural economists have linked biodiversity loss on farms with increasing variability of crop yields, and sometimes lower mean yields. In this paper we consider the macro-economic consequences of the continued expansion of particular forms of intensive, modern agriculture, with a focus on how the loss of biodiversity affects food production. We employ a quantitative, structurally estimated model of the global economy, which jointly determines economic growth, population and food demand, agricultural innovations and land conversion. We show that even small effects of agricultural expansion on productivity via biodiversity loss might be sufficient to warrant a moratorium on further land conversion.","container-title":"Ecological Economics","DOI":"10.1016/j.ecolecon.2017.07.018","ISSN":"0921-8009","journalAbbreviation":"Ecological Economics","language":"en","page":"260-277","source":"ScienceDirect","title":"The Expansion of Modern Agriculture and Global Biodiversity Decline: An Integrated Assessment","title-short":"The Expansion of Modern Agriculture and Global Biodiversity Decline","volume":"144","author":[{"family":"Lanz","given":"Bruno"},{"family":"Dietz","given":"Simon"},{"family":"Swanson","given":"Tim"}],"issued":{"date-parts":[["2018",2,1]]}}}],"schema":"https://github.com/citation-style-language/schema/raw/master/csl-citation.json"} </w:instrText>
      </w:r>
      <w:r>
        <w:rPr>
          <w:rFonts w:ascii="Times New Roman" w:hAnsi="Times New Roman" w:cs="Times New Roman"/>
          <w:sz w:val="24"/>
          <w:szCs w:val="24"/>
          <w:lang w:val="en-US"/>
        </w:rPr>
        <w:fldChar w:fldCharType="separate"/>
      </w:r>
      <w:r w:rsidRPr="00FA6546">
        <w:rPr>
          <w:rFonts w:ascii="Times New Roman" w:hAnsi="Times New Roman" w:cs="Times New Roman"/>
          <w:sz w:val="24"/>
          <w:lang w:val="en-US"/>
        </w:rPr>
        <w:t>(Lanz et al., 2018)</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BB5CA4">
        <w:rPr>
          <w:rFonts w:ascii="Times New Roman" w:hAnsi="Times New Roman" w:cs="Times New Roman"/>
          <w:sz w:val="24"/>
          <w:szCs w:val="24"/>
          <w:lang w:val="en-US"/>
        </w:rPr>
        <w:t xml:space="preserve">Energy production is an important additional </w:t>
      </w:r>
      <w:r>
        <w:rPr>
          <w:rFonts w:ascii="Times New Roman" w:hAnsi="Times New Roman" w:cs="Times New Roman"/>
          <w:sz w:val="24"/>
          <w:szCs w:val="24"/>
          <w:lang w:val="en-US"/>
        </w:rPr>
        <w:t>direct</w:t>
      </w:r>
      <w:r w:rsidR="00BB5CA4">
        <w:rPr>
          <w:rFonts w:ascii="Times New Roman" w:hAnsi="Times New Roman" w:cs="Times New Roman"/>
          <w:sz w:val="24"/>
          <w:szCs w:val="24"/>
          <w:lang w:val="en-US"/>
        </w:rPr>
        <w:t xml:space="preserve"> driver, </w:t>
      </w:r>
      <w:r w:rsidRPr="00B00053">
        <w:rPr>
          <w:rFonts w:ascii="Times New Roman" w:hAnsi="Times New Roman" w:cs="Times New Roman"/>
          <w:sz w:val="24"/>
          <w:szCs w:val="24"/>
          <w:lang w:val="en-US"/>
        </w:rPr>
        <w:t>threaten</w:t>
      </w:r>
      <w:r w:rsidR="00BB5CA4">
        <w:rPr>
          <w:rFonts w:ascii="Times New Roman" w:hAnsi="Times New Roman" w:cs="Times New Roman"/>
          <w:sz w:val="24"/>
          <w:szCs w:val="24"/>
          <w:lang w:val="en-US"/>
        </w:rPr>
        <w:t>ing</w:t>
      </w:r>
      <w:r w:rsidRPr="00B00053">
        <w:rPr>
          <w:rFonts w:ascii="Times New Roman" w:hAnsi="Times New Roman" w:cs="Times New Roman"/>
          <w:sz w:val="24"/>
          <w:szCs w:val="24"/>
          <w:lang w:val="en-US"/>
        </w:rPr>
        <w:t xml:space="preserve"> about one fifth of the species groups compared to overexploitation and agriculture. </w:t>
      </w:r>
      <w:r w:rsidR="00BB5CA4">
        <w:rPr>
          <w:rFonts w:ascii="Times New Roman" w:hAnsi="Times New Roman" w:cs="Times New Roman"/>
          <w:sz w:val="24"/>
          <w:szCs w:val="24"/>
          <w:lang w:val="en-US"/>
        </w:rPr>
        <w:t xml:space="preserve">Indirect threats related to </w:t>
      </w:r>
      <w:r w:rsidRPr="00B00053">
        <w:rPr>
          <w:rFonts w:ascii="Times New Roman" w:hAnsi="Times New Roman" w:cs="Times New Roman"/>
          <w:sz w:val="24"/>
          <w:szCs w:val="24"/>
          <w:lang w:val="en-US"/>
        </w:rPr>
        <w:t xml:space="preserve">the input side of social metabolism are (a) invasion and disease, (b) system modification such as fire and dams, and (c) human disturbance such as recreation, labor and war. Compared to the direct drivers, these indirect drivers affect </w:t>
      </w:r>
      <w:r w:rsidR="00BB5CA4">
        <w:rPr>
          <w:rFonts w:ascii="Times New Roman" w:hAnsi="Times New Roman" w:cs="Times New Roman"/>
          <w:sz w:val="24"/>
          <w:szCs w:val="24"/>
          <w:lang w:val="en-US"/>
        </w:rPr>
        <w:t xml:space="preserve">fewer </w:t>
      </w:r>
      <w:r w:rsidRPr="00B00053">
        <w:rPr>
          <w:rFonts w:ascii="Times New Roman" w:hAnsi="Times New Roman" w:cs="Times New Roman"/>
          <w:sz w:val="24"/>
          <w:szCs w:val="24"/>
          <w:lang w:val="en-US"/>
        </w:rPr>
        <w:t>species</w:t>
      </w:r>
      <w:r w:rsidR="00BB5CA4">
        <w:rPr>
          <w:rFonts w:ascii="Times New Roman" w:hAnsi="Times New Roman" w:cs="Times New Roman"/>
          <w:sz w:val="24"/>
          <w:szCs w:val="24"/>
          <w:lang w:val="en-US"/>
        </w:rPr>
        <w:t>, however</w:t>
      </w:r>
      <w:r w:rsidRPr="00B00053">
        <w:rPr>
          <w:rFonts w:ascii="Times New Roman" w:hAnsi="Times New Roman" w:cs="Times New Roman"/>
          <w:sz w:val="24"/>
          <w:szCs w:val="24"/>
          <w:lang w:val="en-US"/>
        </w:rPr>
        <w:t>.</w:t>
      </w:r>
    </w:p>
    <w:p w14:paraId="647A2B56" w14:textId="77777777" w:rsidR="00FA6546" w:rsidRDefault="00FA6546" w:rsidP="00FA6546">
      <w:pPr>
        <w:spacing w:after="0" w:line="240" w:lineRule="auto"/>
        <w:rPr>
          <w:rFonts w:ascii="Times New Roman" w:hAnsi="Times New Roman" w:cs="Times New Roman"/>
          <w:sz w:val="24"/>
          <w:szCs w:val="24"/>
          <w:lang w:val="en-US"/>
        </w:rPr>
      </w:pPr>
    </w:p>
    <w:p w14:paraId="309A39B1" w14:textId="6C0D5C0F" w:rsidR="00FA6546" w:rsidRDefault="00BB5CA4" w:rsidP="00FA654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00FA6546" w:rsidRPr="00990EF4">
        <w:rPr>
          <w:rFonts w:ascii="Times New Roman" w:hAnsi="Times New Roman" w:cs="Times New Roman"/>
          <w:sz w:val="24"/>
          <w:szCs w:val="24"/>
          <w:lang w:val="en-US"/>
        </w:rPr>
        <w:t xml:space="preserve">accumulation </w:t>
      </w:r>
      <w:r>
        <w:rPr>
          <w:rFonts w:ascii="Times New Roman" w:hAnsi="Times New Roman" w:cs="Times New Roman"/>
          <w:sz w:val="24"/>
          <w:szCs w:val="24"/>
          <w:lang w:val="en-US"/>
        </w:rPr>
        <w:t xml:space="preserve">of material stocks </w:t>
      </w:r>
      <w:r w:rsidR="00FA6546" w:rsidRPr="00990EF4">
        <w:rPr>
          <w:rFonts w:ascii="Times New Roman" w:hAnsi="Times New Roman" w:cs="Times New Roman"/>
          <w:sz w:val="24"/>
          <w:szCs w:val="24"/>
          <w:lang w:val="en-US"/>
        </w:rPr>
        <w:t>in building</w:t>
      </w:r>
      <w:r w:rsidR="00FA6546">
        <w:rPr>
          <w:rFonts w:ascii="Times New Roman" w:hAnsi="Times New Roman" w:cs="Times New Roman"/>
          <w:sz w:val="24"/>
          <w:szCs w:val="24"/>
          <w:lang w:val="en-US"/>
        </w:rPr>
        <w:t>s</w:t>
      </w:r>
      <w:r w:rsidR="00FA6546" w:rsidRPr="00990EF4">
        <w:rPr>
          <w:rFonts w:ascii="Times New Roman" w:hAnsi="Times New Roman" w:cs="Times New Roman"/>
          <w:sz w:val="24"/>
          <w:szCs w:val="24"/>
          <w:lang w:val="en-US"/>
        </w:rPr>
        <w:t xml:space="preserve"> and infrastructure</w:t>
      </w:r>
      <w:r>
        <w:rPr>
          <w:rFonts w:ascii="Times New Roman" w:hAnsi="Times New Roman" w:cs="Times New Roman"/>
          <w:sz w:val="24"/>
          <w:szCs w:val="24"/>
          <w:lang w:val="en-US"/>
        </w:rPr>
        <w:t xml:space="preserve">s associated with </w:t>
      </w:r>
      <w:r w:rsidR="00FA6546" w:rsidRPr="00990EF4">
        <w:rPr>
          <w:rFonts w:ascii="Times New Roman" w:hAnsi="Times New Roman" w:cs="Times New Roman"/>
          <w:sz w:val="24"/>
          <w:szCs w:val="24"/>
          <w:lang w:val="en-US"/>
        </w:rPr>
        <w:t xml:space="preserve">urban development </w:t>
      </w:r>
      <w:r>
        <w:rPr>
          <w:rFonts w:ascii="Times New Roman" w:hAnsi="Times New Roman" w:cs="Times New Roman"/>
          <w:sz w:val="24"/>
          <w:szCs w:val="24"/>
          <w:lang w:val="en-US"/>
        </w:rPr>
        <w:t xml:space="preserve">– </w:t>
      </w:r>
      <w:r w:rsidR="00FA6546" w:rsidRPr="00990EF4">
        <w:rPr>
          <w:rFonts w:ascii="Times New Roman" w:hAnsi="Times New Roman" w:cs="Times New Roman"/>
          <w:sz w:val="24"/>
          <w:szCs w:val="24"/>
          <w:lang w:val="en-US"/>
        </w:rPr>
        <w:t>housing, tourism</w:t>
      </w:r>
      <w:r>
        <w:rPr>
          <w:rFonts w:ascii="Times New Roman" w:hAnsi="Times New Roman" w:cs="Times New Roman"/>
          <w:sz w:val="24"/>
          <w:szCs w:val="24"/>
          <w:lang w:val="en-US"/>
        </w:rPr>
        <w:t>,</w:t>
      </w:r>
      <w:r w:rsidR="00FA6546" w:rsidRPr="00990EF4">
        <w:rPr>
          <w:rFonts w:ascii="Times New Roman" w:hAnsi="Times New Roman" w:cs="Times New Roman"/>
          <w:sz w:val="24"/>
          <w:szCs w:val="24"/>
          <w:lang w:val="en-US"/>
        </w:rPr>
        <w:t xml:space="preserve"> recreation, industry </w:t>
      </w:r>
      <w:r>
        <w:rPr>
          <w:rFonts w:ascii="Times New Roman" w:hAnsi="Times New Roman" w:cs="Times New Roman"/>
          <w:sz w:val="24"/>
          <w:szCs w:val="24"/>
          <w:lang w:val="en-US"/>
        </w:rPr>
        <w:t xml:space="preserve">and </w:t>
      </w:r>
      <w:r w:rsidR="00FA6546" w:rsidRPr="00990EF4">
        <w:rPr>
          <w:rFonts w:ascii="Times New Roman" w:hAnsi="Times New Roman" w:cs="Times New Roman"/>
          <w:sz w:val="24"/>
          <w:szCs w:val="24"/>
          <w:lang w:val="en-US"/>
        </w:rPr>
        <w:t>transport infrastructure</w:t>
      </w:r>
      <w:r>
        <w:rPr>
          <w:rFonts w:ascii="Times New Roman" w:hAnsi="Times New Roman" w:cs="Times New Roman"/>
          <w:sz w:val="24"/>
          <w:szCs w:val="24"/>
          <w:lang w:val="en-US"/>
        </w:rPr>
        <w:t>s</w:t>
      </w:r>
      <w:r w:rsidR="00FA6546" w:rsidRPr="00990EF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are hugely important drivers of </w:t>
      </w:r>
      <w:r w:rsidR="00FA6546">
        <w:rPr>
          <w:rFonts w:ascii="Times New Roman" w:hAnsi="Times New Roman" w:cs="Times New Roman"/>
          <w:sz w:val="24"/>
          <w:szCs w:val="24"/>
          <w:lang w:val="en-US"/>
        </w:rPr>
        <w:t>biodiversity loss</w:t>
      </w:r>
      <w:r w:rsidR="00FA6546" w:rsidRPr="00990EF4">
        <w:rPr>
          <w:rFonts w:ascii="Times New Roman" w:hAnsi="Times New Roman" w:cs="Times New Roman"/>
          <w:sz w:val="24"/>
          <w:szCs w:val="24"/>
          <w:lang w:val="en-US"/>
        </w:rPr>
        <w:t xml:space="preserve">. </w:t>
      </w:r>
      <w:r w:rsidR="00FA6546">
        <w:rPr>
          <w:rFonts w:ascii="Times New Roman" w:hAnsi="Times New Roman" w:cs="Times New Roman"/>
          <w:sz w:val="24"/>
          <w:szCs w:val="24"/>
          <w:lang w:val="en-US"/>
        </w:rPr>
        <w:t xml:space="preserve">Infrastructural expansion is a key </w:t>
      </w:r>
      <w:r>
        <w:rPr>
          <w:rFonts w:ascii="Times New Roman" w:hAnsi="Times New Roman" w:cs="Times New Roman"/>
          <w:sz w:val="24"/>
          <w:szCs w:val="24"/>
          <w:lang w:val="en-US"/>
        </w:rPr>
        <w:t xml:space="preserve">factor </w:t>
      </w:r>
      <w:r w:rsidR="00FA6546">
        <w:rPr>
          <w:rFonts w:ascii="Times New Roman" w:hAnsi="Times New Roman" w:cs="Times New Roman"/>
          <w:sz w:val="24"/>
          <w:szCs w:val="24"/>
          <w:lang w:val="en-US"/>
        </w:rPr>
        <w:fldChar w:fldCharType="begin"/>
      </w:r>
      <w:r w:rsidR="00FA6546">
        <w:rPr>
          <w:rFonts w:ascii="Times New Roman" w:hAnsi="Times New Roman" w:cs="Times New Roman"/>
          <w:sz w:val="24"/>
          <w:szCs w:val="24"/>
          <w:lang w:val="en-US"/>
        </w:rPr>
        <w:instrText xml:space="preserve"> ADDIN ZOTERO_ITEM CSL_CITATION {"citationID":"NEjo6km2","properties":{"formattedCitation":"(Laurance et al., 2015)","plainCitation":"(Laurance et al., 2015)","noteIndex":0},"citationItems":[{"id":71639,"uris":["http://zotero.org/users/666791/items/I25C2RGX"],"uri":["http://zotero.org/users/666791/items/I25C2RGX"],"itemData":{"id":71639,"type":"article-journal","abstract":"Infrastructures, such as roads, mines, and hydroelectric dams, are proliferating explosively. Often, this has serious direct and indirect environmental impacts. We highlight nine issues that should be considered by project proponents to better evaluate and limit the environmental risks of such developments.","container-title":"Current Biology","DOI":"10.1016/j.cub.2015.02.050","ISSN":"0960-9822","issue":"7","journalAbbreviation":"Current Biology","language":"en","page":"R259-R262","source":"ScienceDirect","title":"Reducing the global environmental impacts of rapid infrastructure expansion","volume":"25","author":[{"family":"Laurance","given":"William F."},{"family":"Peletier-Jellema","given":"Anna"},{"family":"Geenen","given":"Bart"},{"family":"Koster","given":"Harko"},{"family":"Verweij","given":"Pita"},{"family":"Van Dijck","given":"Pitou"},{"family":"Lovejoy","given":"Thomas E."},{"family":"Schleicher","given":"Judith"},{"family":"Van Kuijk","given":"Marijke"}],"issued":{"date-parts":[["2015",3,30]]}}}],"schema":"https://github.com/citation-style-language/schema/raw/master/csl-citation.json"} </w:instrText>
      </w:r>
      <w:r w:rsidR="00FA6546">
        <w:rPr>
          <w:rFonts w:ascii="Times New Roman" w:hAnsi="Times New Roman" w:cs="Times New Roman"/>
          <w:sz w:val="24"/>
          <w:szCs w:val="24"/>
          <w:lang w:val="en-US"/>
        </w:rPr>
        <w:fldChar w:fldCharType="separate"/>
      </w:r>
      <w:r w:rsidR="00FA6546" w:rsidRPr="00276ABC">
        <w:rPr>
          <w:rFonts w:ascii="Times New Roman" w:hAnsi="Times New Roman" w:cs="Times New Roman"/>
          <w:sz w:val="24"/>
          <w:lang w:val="en-US"/>
        </w:rPr>
        <w:t>(Laurance et al., 2015)</w:t>
      </w:r>
      <w:r w:rsidR="00FA6546">
        <w:rPr>
          <w:rFonts w:ascii="Times New Roman" w:hAnsi="Times New Roman" w:cs="Times New Roman"/>
          <w:sz w:val="24"/>
          <w:szCs w:val="24"/>
          <w:lang w:val="en-US"/>
        </w:rPr>
        <w:fldChar w:fldCharType="end"/>
      </w:r>
      <w:r w:rsidR="00FA6546">
        <w:rPr>
          <w:rFonts w:ascii="Times New Roman" w:hAnsi="Times New Roman" w:cs="Times New Roman"/>
          <w:sz w:val="24"/>
          <w:szCs w:val="24"/>
          <w:lang w:val="en-US"/>
        </w:rPr>
        <w:t xml:space="preserve"> affect</w:t>
      </w:r>
      <w:r>
        <w:rPr>
          <w:rFonts w:ascii="Times New Roman" w:hAnsi="Times New Roman" w:cs="Times New Roman"/>
          <w:sz w:val="24"/>
          <w:szCs w:val="24"/>
          <w:lang w:val="en-US"/>
        </w:rPr>
        <w:t>ing</w:t>
      </w:r>
      <w:r w:rsidR="00FA6546">
        <w:rPr>
          <w:rFonts w:ascii="Times New Roman" w:hAnsi="Times New Roman" w:cs="Times New Roman"/>
          <w:sz w:val="24"/>
          <w:szCs w:val="24"/>
          <w:lang w:val="en-US"/>
        </w:rPr>
        <w:t xml:space="preserve"> biodiversity in multiple ways such as habitat loss, fragmentation and facilitating further economic activity </w:t>
      </w:r>
      <w:r w:rsidR="00FA6546">
        <w:rPr>
          <w:rFonts w:ascii="Times New Roman" w:hAnsi="Times New Roman" w:cs="Times New Roman"/>
          <w:sz w:val="24"/>
          <w:szCs w:val="24"/>
          <w:lang w:val="en-US"/>
        </w:rPr>
        <w:fldChar w:fldCharType="begin"/>
      </w:r>
      <w:r w:rsidR="00DC2D34">
        <w:rPr>
          <w:rFonts w:ascii="Times New Roman" w:hAnsi="Times New Roman" w:cs="Times New Roman"/>
          <w:sz w:val="24"/>
          <w:szCs w:val="24"/>
          <w:lang w:val="en-US"/>
        </w:rPr>
        <w:instrText xml:space="preserve"> ADDIN ZOTERO_ITEM CSL_CITATION {"citationID":"mcUqsNtF","properties":{"formattedCitation":"(Torres et al., 2016; zu Ermgassen et al., 2019)","plainCitation":"(Torres et al., 2016; zu Ermgassen et al., 2019)","noteIndex":0},"citationItems":[{"id":71642,"uris":["http://zotero.org/users/666791/items/GMM3QH25"],"uri":["http://zotero.org/users/666791/items/GMM3QH25"],"itemData":{"id":71642,"type":"article-journal","abstract":"Habitat loss and deterioration represent the main threats to wildlife species, and are closely linked to the expansion of roads and human settlements. Unfortunately, large-scale effects of these structures remain generally overlooked. Here, we analyzed the European transportation infrastructure network and found that 50% of the continent is within 1.5 km of transportation infrastructure. We present a method for assessing the impacts from infrastructure on wildlife, based on functional response curves describing density reductions in birds and mammals (e.g., road-effect zones), and apply it to Spain as a case study. The imprint of infrastructure extends over most of the country (55.5% in the case of birds and 97.9% for mammals), with moderate declines predicted for birds (22.6% of individuals) and severe declines predicted for mammals (46.6%). Despite certain limitations, we suggest the approach proposed is widely applicable to the evaluation of effects of planned infrastructure developments under multiple scenarios, and propose an internationally coordinated strategy to update and improve it in the future.","container-title":"Proceedings of the National Academy of Sciences","DOI":"10.1073/pnas.1522488113","ISSN":"0027-8424, 1091-6490","issue":"30","journalAbbreviation":"PNAS","language":"en","note":"publisher: National Academy of Sciences\nsection: Biological Sciences\nPMID: 27402749","page":"8472-8477","source":"www.pnas.org","title":"Assessing large-scale wildlife responses to human infrastructure development","volume":"113","author":[{"family":"Torres","given":"Aurora"},{"family":"Jaeger","given":"Jochen A. G."},{"family":"Alonso","given":"Juan Carlos"}],"issued":{"date-parts":[["2016",7,26]]}}},{"id":71724,"uris":["http://zotero.org/users/666791/items/M3WY58S5"],"uri":["http://zotero.org/users/666791/items/M3WY58S5"],"itemData":{"id":71724,"type":"article-journal","abstract":"Over US$60 trillion is predicted to be spent on new infrastructure globally by 2040. Is it possible to meet UN Sustainable Development Goal (SDG) 9 (develop infrastructure networks) without sacrificing goals 14 and 15 (ending biodiversity loss)? We explore the potential role of “no net loss” (NNL) policies in reconciling these SDGs. We assess country-level overlaps between planned infrastructure expansion, infrastructure-threatened biodiversity, and national biodiversity compensation policies and find that around half of predicted infrastructure and infrastructure-threatened biodiversity falls within countries with some form of mandatory compensation policy. However, these policies currently have shortcomings, are unlikely to achieve NNL in biodiversity, and could risk doing more harm than good. We summarize policy transformations required for NNL policies to mitigate all infrastructure impacts on biodiversity. To achieve SDGs 9 alongside 14 and 15, capitalizing on the global coverage of mandatory compensation policies and rapidly transforming them into robust NNL policies (emphasizing impact avoidance) should be an urgent priority.","container-title":"One Earth","DOI":"10.1016/j.oneear.2019.10.019","ISSN":"2590-3322","issue":"3","journalAbbreviation":"One Earth","language":"en","page":"305-315","source":"ScienceDirect","title":"The Role of “No Net Loss” Policies in Conserving Biodiversity Threatened by the Global Infrastructure Boom","volume":"1","author":[{"family":"Ermgassen","given":"Sophus Olav Sven Emil","non-dropping-particle":"zu"},{"family":"Utamiputri","given":"Pratiwi"},{"family":"Bennun","given":"Leon"},{"family":"Edwards","given":"Stephen"},{"family":"Bull","given":"Joseph William"}],"issued":{"date-parts":[["2019",11,22]]}}}],"schema":"https://github.com/citation-style-language/schema/raw/master/csl-citation.json"} </w:instrText>
      </w:r>
      <w:r w:rsidR="00FA6546">
        <w:rPr>
          <w:rFonts w:ascii="Times New Roman" w:hAnsi="Times New Roman" w:cs="Times New Roman"/>
          <w:sz w:val="24"/>
          <w:szCs w:val="24"/>
          <w:lang w:val="en-US"/>
        </w:rPr>
        <w:fldChar w:fldCharType="separate"/>
      </w:r>
      <w:r w:rsidR="00DC2D34" w:rsidRPr="00CF4646">
        <w:rPr>
          <w:rFonts w:ascii="Times New Roman" w:hAnsi="Times New Roman" w:cs="Times New Roman"/>
          <w:sz w:val="24"/>
          <w:lang w:val="en-US"/>
        </w:rPr>
        <w:t xml:space="preserve">(Torres et al., 2016; </w:t>
      </w:r>
      <w:proofErr w:type="spellStart"/>
      <w:r w:rsidR="00DC2D34" w:rsidRPr="00CF4646">
        <w:rPr>
          <w:rFonts w:ascii="Times New Roman" w:hAnsi="Times New Roman" w:cs="Times New Roman"/>
          <w:sz w:val="24"/>
          <w:lang w:val="en-US"/>
        </w:rPr>
        <w:t>zu</w:t>
      </w:r>
      <w:proofErr w:type="spellEnd"/>
      <w:r w:rsidR="00DC2D34" w:rsidRPr="00CF4646">
        <w:rPr>
          <w:rFonts w:ascii="Times New Roman" w:hAnsi="Times New Roman" w:cs="Times New Roman"/>
          <w:sz w:val="24"/>
          <w:lang w:val="en-US"/>
        </w:rPr>
        <w:t xml:space="preserve"> </w:t>
      </w:r>
      <w:proofErr w:type="spellStart"/>
      <w:r w:rsidR="00DC2D34" w:rsidRPr="00CF4646">
        <w:rPr>
          <w:rFonts w:ascii="Times New Roman" w:hAnsi="Times New Roman" w:cs="Times New Roman"/>
          <w:sz w:val="24"/>
          <w:lang w:val="en-US"/>
        </w:rPr>
        <w:t>Ermgassen</w:t>
      </w:r>
      <w:proofErr w:type="spellEnd"/>
      <w:r w:rsidR="00DC2D34" w:rsidRPr="00CF4646">
        <w:rPr>
          <w:rFonts w:ascii="Times New Roman" w:hAnsi="Times New Roman" w:cs="Times New Roman"/>
          <w:sz w:val="24"/>
          <w:lang w:val="en-US"/>
        </w:rPr>
        <w:t xml:space="preserve"> et al., 2019)</w:t>
      </w:r>
      <w:r w:rsidR="00FA6546">
        <w:rPr>
          <w:rFonts w:ascii="Times New Roman" w:hAnsi="Times New Roman" w:cs="Times New Roman"/>
          <w:sz w:val="24"/>
          <w:szCs w:val="24"/>
          <w:lang w:val="en-US"/>
        </w:rPr>
        <w:fldChar w:fldCharType="end"/>
      </w:r>
      <w:r w:rsidR="00FA6546">
        <w:rPr>
          <w:rFonts w:ascii="Times New Roman" w:hAnsi="Times New Roman" w:cs="Times New Roman"/>
          <w:sz w:val="24"/>
          <w:szCs w:val="24"/>
          <w:lang w:val="en-GB"/>
        </w:rPr>
        <w:t xml:space="preserve">. </w:t>
      </w:r>
      <w:r w:rsidR="00FA6546">
        <w:rPr>
          <w:rFonts w:ascii="Times New Roman" w:hAnsi="Times New Roman" w:cs="Times New Roman"/>
          <w:sz w:val="24"/>
          <w:szCs w:val="24"/>
          <w:lang w:val="en-US"/>
        </w:rPr>
        <w:t>Nevertheless, c</w:t>
      </w:r>
      <w:r w:rsidR="00FA6546" w:rsidRPr="00990EF4">
        <w:rPr>
          <w:rFonts w:ascii="Times New Roman" w:hAnsi="Times New Roman" w:cs="Times New Roman"/>
          <w:sz w:val="24"/>
          <w:szCs w:val="24"/>
          <w:lang w:val="en-US"/>
        </w:rPr>
        <w:t>ompared to the number of species threatened by material ext</w:t>
      </w:r>
      <w:r w:rsidR="00FA6546">
        <w:rPr>
          <w:rFonts w:ascii="Times New Roman" w:hAnsi="Times New Roman" w:cs="Times New Roman"/>
          <w:sz w:val="24"/>
          <w:szCs w:val="24"/>
          <w:lang w:val="en-US"/>
        </w:rPr>
        <w:t>raction, material accumulation</w:t>
      </w:r>
      <w:r w:rsidR="00FA6546" w:rsidRPr="00990EF4">
        <w:rPr>
          <w:rFonts w:ascii="Times New Roman" w:hAnsi="Times New Roman" w:cs="Times New Roman"/>
          <w:sz w:val="24"/>
          <w:szCs w:val="24"/>
          <w:lang w:val="en-US"/>
        </w:rPr>
        <w:t xml:space="preserve"> threatens only about a quarter of the species studied in Maxwell et al. (2016).</w:t>
      </w:r>
      <w:r w:rsidR="00883A67">
        <w:rPr>
          <w:rFonts w:ascii="Times New Roman" w:hAnsi="Times New Roman" w:cs="Times New Roman"/>
          <w:sz w:val="24"/>
          <w:szCs w:val="24"/>
          <w:lang w:val="en-US"/>
        </w:rPr>
        <w:t xml:space="preserve"> On the output side, p</w:t>
      </w:r>
      <w:r w:rsidR="00FA6546" w:rsidRPr="00990EF4">
        <w:rPr>
          <w:rFonts w:ascii="Times New Roman" w:hAnsi="Times New Roman" w:cs="Times New Roman"/>
          <w:sz w:val="24"/>
          <w:szCs w:val="24"/>
          <w:lang w:val="en-US"/>
        </w:rPr>
        <w:t>ollution from agriculture, waste, industry and air</w:t>
      </w:r>
      <w:r w:rsidR="00FA6546">
        <w:rPr>
          <w:rFonts w:ascii="Times New Roman" w:hAnsi="Times New Roman" w:cs="Times New Roman"/>
          <w:sz w:val="24"/>
          <w:szCs w:val="24"/>
          <w:lang w:val="en-US"/>
        </w:rPr>
        <w:t>borne</w:t>
      </w:r>
      <w:r w:rsidR="00FA6546" w:rsidRPr="00990EF4">
        <w:rPr>
          <w:rFonts w:ascii="Times New Roman" w:hAnsi="Times New Roman" w:cs="Times New Roman"/>
          <w:sz w:val="24"/>
          <w:szCs w:val="24"/>
          <w:lang w:val="en-US"/>
        </w:rPr>
        <w:t xml:space="preserve"> </w:t>
      </w:r>
      <w:r w:rsidR="00FA6546">
        <w:rPr>
          <w:rFonts w:ascii="Times New Roman" w:hAnsi="Times New Roman" w:cs="Times New Roman"/>
          <w:sz w:val="24"/>
          <w:szCs w:val="24"/>
          <w:lang w:val="en-US"/>
        </w:rPr>
        <w:t xml:space="preserve">as well as climate change events </w:t>
      </w:r>
      <w:r w:rsidR="00FA6546" w:rsidRPr="00990EF4">
        <w:rPr>
          <w:rFonts w:ascii="Times New Roman" w:hAnsi="Times New Roman" w:cs="Times New Roman"/>
          <w:sz w:val="24"/>
          <w:szCs w:val="24"/>
          <w:lang w:val="en-US"/>
        </w:rPr>
        <w:t>threatens even less than a quarter of the species groups listed on the IUCN Red List. This first attempt to assign activities with impacts on biodiversity to societal metabolism demonstrates that the input side of metabolism through resource extraction causes the most relevant threats to species groups classified as threatened or near threatened.</w:t>
      </w:r>
    </w:p>
    <w:p w14:paraId="0409E2D1" w14:textId="77777777" w:rsidR="00FA6546" w:rsidRDefault="00FA6546" w:rsidP="00306ACB">
      <w:pPr>
        <w:spacing w:after="0" w:line="240" w:lineRule="auto"/>
        <w:rPr>
          <w:rFonts w:ascii="Times New Roman" w:hAnsi="Times New Roman" w:cs="Times New Roman"/>
          <w:sz w:val="24"/>
          <w:szCs w:val="24"/>
          <w:lang w:val="en-US"/>
        </w:rPr>
      </w:pPr>
    </w:p>
    <w:p w14:paraId="0580590F" w14:textId="35C49201" w:rsidR="00BE571F" w:rsidRDefault="00883A67"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Motivated by the appreciation of the many ways in which </w:t>
      </w:r>
      <w:r w:rsidR="00BE571F">
        <w:rPr>
          <w:rFonts w:ascii="Times New Roman" w:hAnsi="Times New Roman" w:cs="Times New Roman"/>
          <w:sz w:val="24"/>
          <w:szCs w:val="24"/>
          <w:lang w:val="en-US"/>
        </w:rPr>
        <w:t>social metabolism is associated with impacts on ecosystems and biodiversity</w:t>
      </w:r>
      <w:r>
        <w:rPr>
          <w:rFonts w:ascii="Times New Roman" w:hAnsi="Times New Roman" w:cs="Times New Roman"/>
          <w:sz w:val="24"/>
          <w:szCs w:val="24"/>
          <w:lang w:val="en-US"/>
        </w:rPr>
        <w:t>, t</w:t>
      </w:r>
      <w:r w:rsidR="00BE571F">
        <w:rPr>
          <w:rFonts w:ascii="Times New Roman" w:hAnsi="Times New Roman" w:cs="Times New Roman"/>
          <w:sz w:val="24"/>
          <w:szCs w:val="24"/>
          <w:lang w:val="en-US"/>
        </w:rPr>
        <w:t xml:space="preserve">his </w:t>
      </w:r>
      <w:r w:rsidR="002A45AC">
        <w:rPr>
          <w:rFonts w:ascii="Times New Roman" w:hAnsi="Times New Roman" w:cs="Times New Roman"/>
          <w:sz w:val="24"/>
          <w:szCs w:val="24"/>
          <w:lang w:val="en-US"/>
        </w:rPr>
        <w:t xml:space="preserve">article </w:t>
      </w:r>
      <w:r w:rsidR="00BE571F">
        <w:rPr>
          <w:rFonts w:ascii="Times New Roman" w:hAnsi="Times New Roman" w:cs="Times New Roman"/>
          <w:sz w:val="24"/>
          <w:szCs w:val="24"/>
          <w:lang w:val="en-US"/>
        </w:rPr>
        <w:t>provide</w:t>
      </w:r>
      <w:r w:rsidR="002A45AC">
        <w:rPr>
          <w:rFonts w:ascii="Times New Roman" w:hAnsi="Times New Roman" w:cs="Times New Roman"/>
          <w:sz w:val="24"/>
          <w:szCs w:val="24"/>
          <w:lang w:val="en-US"/>
        </w:rPr>
        <w:t>s</w:t>
      </w:r>
      <w:r w:rsidR="00BE571F">
        <w:rPr>
          <w:rFonts w:ascii="Times New Roman" w:hAnsi="Times New Roman" w:cs="Times New Roman"/>
          <w:sz w:val="24"/>
          <w:szCs w:val="24"/>
          <w:lang w:val="en-US"/>
        </w:rPr>
        <w:t xml:space="preserve"> a primer on social metabolism research fo</w:t>
      </w:r>
      <w:r w:rsidR="002A45AC">
        <w:rPr>
          <w:rFonts w:ascii="Times New Roman" w:hAnsi="Times New Roman" w:cs="Times New Roman"/>
          <w:sz w:val="24"/>
          <w:szCs w:val="24"/>
          <w:lang w:val="en-US"/>
        </w:rPr>
        <w:t xml:space="preserve">r the biodiversity science community as well as a review of current </w:t>
      </w:r>
      <w:r w:rsidR="002A45AC">
        <w:rPr>
          <w:rFonts w:ascii="Times New Roman" w:hAnsi="Times New Roman" w:cs="Times New Roman"/>
          <w:sz w:val="24"/>
          <w:szCs w:val="24"/>
          <w:lang w:val="en-US"/>
        </w:rPr>
        <w:lastRenderedPageBreak/>
        <w:t>knowledge on ecological and biodiversity effects of social metabolism</w:t>
      </w:r>
      <w:r w:rsidR="008E7CB1">
        <w:rPr>
          <w:rFonts w:ascii="Times New Roman" w:hAnsi="Times New Roman" w:cs="Times New Roman"/>
          <w:sz w:val="24"/>
          <w:szCs w:val="24"/>
          <w:lang w:val="en-US"/>
        </w:rPr>
        <w:t>; a special focus is put on biomass and land use as key components of social metabolism.</w:t>
      </w:r>
    </w:p>
    <w:p w14:paraId="3E7AF676" w14:textId="706E67EA" w:rsidR="00D3750B" w:rsidRPr="003F24AD" w:rsidRDefault="00D3750B" w:rsidP="00306ACB">
      <w:pPr>
        <w:spacing w:after="0" w:line="240" w:lineRule="auto"/>
        <w:rPr>
          <w:rFonts w:ascii="Times New Roman" w:hAnsi="Times New Roman" w:cs="Times New Roman"/>
          <w:sz w:val="24"/>
          <w:szCs w:val="24"/>
          <w:lang w:val="en-US"/>
        </w:rPr>
      </w:pPr>
    </w:p>
    <w:p w14:paraId="2A71F363" w14:textId="6F02900F" w:rsidR="007E74AE" w:rsidRPr="006E4FAF" w:rsidRDefault="00CF4646" w:rsidP="00306ACB">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w:t>
      </w:r>
      <w:r w:rsidR="00317DF7" w:rsidRPr="006E4FAF">
        <w:rPr>
          <w:rFonts w:ascii="Times New Roman" w:hAnsi="Times New Roman" w:cs="Times New Roman"/>
          <w:b/>
          <w:sz w:val="28"/>
          <w:szCs w:val="28"/>
          <w:lang w:val="en-US"/>
        </w:rPr>
        <w:t xml:space="preserve">. </w:t>
      </w:r>
      <w:r w:rsidR="002D1990" w:rsidRPr="006E4FAF">
        <w:rPr>
          <w:rFonts w:ascii="Times New Roman" w:hAnsi="Times New Roman" w:cs="Times New Roman"/>
          <w:b/>
          <w:sz w:val="28"/>
          <w:szCs w:val="28"/>
          <w:lang w:val="en-US"/>
        </w:rPr>
        <w:t xml:space="preserve">Societies’ use of </w:t>
      </w:r>
      <w:r w:rsidR="00355AF0">
        <w:rPr>
          <w:rFonts w:ascii="Times New Roman" w:hAnsi="Times New Roman" w:cs="Times New Roman"/>
          <w:b/>
          <w:sz w:val="28"/>
          <w:szCs w:val="28"/>
          <w:lang w:val="en-US"/>
        </w:rPr>
        <w:t>materials and energy</w:t>
      </w:r>
    </w:p>
    <w:p w14:paraId="4C110830" w14:textId="659A8736" w:rsidR="002D1990" w:rsidRPr="006E4FAF" w:rsidRDefault="00CF4646" w:rsidP="006E4FA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2</w:t>
      </w:r>
      <w:r w:rsidR="006E4FAF" w:rsidRPr="006E4FAF">
        <w:rPr>
          <w:rFonts w:ascii="Times New Roman" w:hAnsi="Times New Roman" w:cs="Times New Roman"/>
          <w:b/>
          <w:sz w:val="24"/>
          <w:szCs w:val="24"/>
          <w:lang w:val="en-US"/>
        </w:rPr>
        <w:t xml:space="preserve">.1 </w:t>
      </w:r>
      <w:r w:rsidR="00C24305">
        <w:rPr>
          <w:rFonts w:ascii="Times New Roman" w:hAnsi="Times New Roman" w:cs="Times New Roman"/>
          <w:b/>
          <w:sz w:val="24"/>
          <w:szCs w:val="24"/>
          <w:lang w:val="en-US"/>
        </w:rPr>
        <w:t xml:space="preserve">The development </w:t>
      </w:r>
      <w:r w:rsidR="002D1990" w:rsidRPr="006E4FAF">
        <w:rPr>
          <w:rFonts w:ascii="Times New Roman" w:hAnsi="Times New Roman" w:cs="Times New Roman"/>
          <w:b/>
          <w:sz w:val="24"/>
          <w:szCs w:val="24"/>
          <w:lang w:val="en-US"/>
        </w:rPr>
        <w:t xml:space="preserve">of the </w:t>
      </w:r>
      <w:r w:rsidR="00534C36">
        <w:rPr>
          <w:rFonts w:ascii="Times New Roman" w:hAnsi="Times New Roman" w:cs="Times New Roman"/>
          <w:b/>
          <w:sz w:val="24"/>
          <w:szCs w:val="24"/>
          <w:lang w:val="en-US"/>
        </w:rPr>
        <w:t>social metabolism</w:t>
      </w:r>
      <w:r w:rsidR="002D1990" w:rsidRPr="006E4FAF">
        <w:rPr>
          <w:rFonts w:ascii="Times New Roman" w:hAnsi="Times New Roman" w:cs="Times New Roman"/>
          <w:b/>
          <w:sz w:val="24"/>
          <w:szCs w:val="24"/>
          <w:lang w:val="en-US"/>
        </w:rPr>
        <w:t xml:space="preserve"> concept</w:t>
      </w:r>
    </w:p>
    <w:p w14:paraId="1B16A6E2" w14:textId="3017D182" w:rsidR="00AC18B2" w:rsidRDefault="00B06174" w:rsidP="00317DF7">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Precursors of current socio-metabolic thinking can be traced back into the second half of the 19</w:t>
      </w:r>
      <w:r w:rsidRPr="00B06174">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indeed to contemporaries of biologists like Jakob </w:t>
      </w:r>
      <w:proofErr w:type="spellStart"/>
      <w:r>
        <w:rPr>
          <w:rFonts w:ascii="Times New Roman" w:hAnsi="Times New Roman" w:cs="Times New Roman"/>
          <w:sz w:val="24"/>
          <w:szCs w:val="24"/>
          <w:lang w:val="en-US"/>
        </w:rPr>
        <w:t>Moleschott</w:t>
      </w:r>
      <w:proofErr w:type="spellEnd"/>
      <w:r>
        <w:rPr>
          <w:rFonts w:ascii="Times New Roman" w:hAnsi="Times New Roman" w:cs="Times New Roman"/>
          <w:sz w:val="24"/>
          <w:szCs w:val="24"/>
          <w:lang w:val="en-US"/>
        </w:rPr>
        <w:t xml:space="preserve">, who pioneered biological metabolism research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{"citationID":"ubkTlb3q","properties":{"formattedCitation":"(Fischer-Kowalski, 1998; Martinez-Alier, 1987)","plainCitation":"(Fischer-Kowalski, 1998; Martinez-Alier, 1987)","noteIndex":0},"citationItems":[{"id":2008,"uris":["http://zotero.org/users/666791/items/3RQXNUPN"],"uri":["http://zotero.org/users/666791/items/3RQXNUPN"],"itemData":{"id":2008,"type":"article-journal","abstract":"“Societal metabolism” provides the appropriate conceptual basis for the rapidly growing development and analylical and policy interest in materials flow analysis (MFA). Following the review of the earlier intellectual background of societal metabolism in the first installment of this two-part article, this paper focuses on the current state of the art by examining more recent research referring t o societal metabolism in terms of material and substance flows. An operational classification of the literature according to frame of reference (socioeconomic system, ecosystem), system level (global, national, regional, functional, temporal), and types of flows under consideration (materials, energy, substances) highlights some of its characteristic features. There follows an integrated discussion of some of the major conceptual and methodological properties of MFA, with a particular focus on the field of bulk materials flows on a national level, comparing the major empirical results. Finally, the theoretical stringency research productivity, and political relevance of the MFA-related studies are assessed.","container-title":"Journal of Industrial Ecology","DOI":"10.1162/jiec.1998.2.4.107","ISSN":"1530-9290","issue":"4","language":"en","page":"107-136","source":"Wiley Online Library","title":"Society's Metabolism: The Intellectual History of Materials Flow Analysis, Part I, 1860– 1970","volume":"2","author":[{"family":"Fischer-Kowalski","given":"Marina"}],"issued":{"date-parts":[["1998"]]}}},{"id":280,"uris":["http://zotero.org/users/666791/items/752ZUU7R"],"uri":["http://zotero.org/users/666791/items/752ZUU7R"],"itemData":{"id":280,"type":"book","event-place":"Oxford, UK","publisher":"Blackwell","publisher-place":"Oxford, UK","title":"Ecological Economics. Energy, Environment and Society","author":[{"family":"Martinez-Alier","given":"Joan"}],"issued":{"date-parts":[["1987"]]}}}],"schema":"https://github.com/citation-style-language/schema/raw/master/csl-citation.json"} </w:instrText>
      </w:r>
      <w:r>
        <w:rPr>
          <w:rFonts w:ascii="Times New Roman" w:hAnsi="Times New Roman" w:cs="Times New Roman"/>
          <w:sz w:val="24"/>
          <w:szCs w:val="24"/>
          <w:lang w:val="en-US"/>
        </w:rPr>
        <w:fldChar w:fldCharType="separate"/>
      </w:r>
      <w:r w:rsidRPr="00B06174">
        <w:rPr>
          <w:rFonts w:ascii="Times New Roman" w:hAnsi="Times New Roman" w:cs="Times New Roman"/>
          <w:sz w:val="24"/>
          <w:lang w:val="en-US"/>
        </w:rPr>
        <w:t>(Fischer-Kowalski, 1998; Martinez-Alier, 1987)</w:t>
      </w:r>
      <w:r>
        <w:rPr>
          <w:rFonts w:ascii="Times New Roman" w:hAnsi="Times New Roman" w:cs="Times New Roman"/>
          <w:sz w:val="24"/>
          <w:szCs w:val="24"/>
          <w:lang w:val="en-US"/>
        </w:rPr>
        <w:fldChar w:fldCharType="end"/>
      </w:r>
      <w:r w:rsidR="00040846">
        <w:rPr>
          <w:rFonts w:ascii="Times New Roman" w:hAnsi="Times New Roman" w:cs="Times New Roman"/>
          <w:sz w:val="24"/>
          <w:szCs w:val="24"/>
          <w:lang w:val="en-US"/>
        </w:rPr>
        <w:t>. Over the decades, a variety of approaches was developed</w:t>
      </w:r>
      <w:r w:rsidR="00AC18B2">
        <w:rPr>
          <w:rFonts w:ascii="Times New Roman" w:hAnsi="Times New Roman" w:cs="Times New Roman"/>
          <w:sz w:val="24"/>
          <w:szCs w:val="24"/>
          <w:lang w:val="en-US"/>
        </w:rPr>
        <w:t>. For example</w:t>
      </w:r>
      <w:r w:rsidR="00040846">
        <w:rPr>
          <w:rFonts w:ascii="Times New Roman" w:hAnsi="Times New Roman" w:cs="Times New Roman"/>
          <w:sz w:val="24"/>
          <w:szCs w:val="24"/>
          <w:lang w:val="en-US"/>
        </w:rPr>
        <w:t xml:space="preserve">, </w:t>
      </w:r>
      <w:proofErr w:type="spellStart"/>
      <w:r w:rsidR="00AC18B2">
        <w:rPr>
          <w:rFonts w:ascii="Times New Roman" w:hAnsi="Times New Roman" w:cs="Times New Roman"/>
          <w:sz w:val="24"/>
          <w:szCs w:val="24"/>
          <w:lang w:val="en-US"/>
        </w:rPr>
        <w:t>Sergeij</w:t>
      </w:r>
      <w:proofErr w:type="spellEnd"/>
      <w:r w:rsidR="00AC18B2">
        <w:rPr>
          <w:rFonts w:ascii="Times New Roman" w:hAnsi="Times New Roman" w:cs="Times New Roman"/>
          <w:sz w:val="24"/>
          <w:szCs w:val="24"/>
          <w:lang w:val="en-US"/>
        </w:rPr>
        <w:t xml:space="preserve"> </w:t>
      </w:r>
      <w:proofErr w:type="spellStart"/>
      <w:r w:rsidR="00AC18B2">
        <w:rPr>
          <w:rFonts w:ascii="Times New Roman" w:hAnsi="Times New Roman" w:cs="Times New Roman"/>
          <w:sz w:val="24"/>
          <w:szCs w:val="24"/>
          <w:lang w:val="en-US"/>
        </w:rPr>
        <w:t>Podholinski</w:t>
      </w:r>
      <w:proofErr w:type="spellEnd"/>
      <w:r w:rsidR="00AC18B2">
        <w:rPr>
          <w:rFonts w:ascii="Times New Roman" w:hAnsi="Times New Roman" w:cs="Times New Roman"/>
          <w:sz w:val="24"/>
          <w:szCs w:val="24"/>
          <w:lang w:val="en-US"/>
        </w:rPr>
        <w:t xml:space="preserve"> was concerned with </w:t>
      </w:r>
      <w:r w:rsidR="00040846">
        <w:rPr>
          <w:rFonts w:ascii="Times New Roman" w:hAnsi="Times New Roman" w:cs="Times New Roman"/>
          <w:sz w:val="24"/>
          <w:szCs w:val="24"/>
          <w:lang w:val="en-US"/>
        </w:rPr>
        <w:t xml:space="preserve">the energy return of agricultural labor inputs </w:t>
      </w:r>
      <w:r w:rsidR="00AC18B2">
        <w:rPr>
          <w:rFonts w:ascii="Times New Roman" w:hAnsi="Times New Roman" w:cs="Times New Roman"/>
          <w:sz w:val="24"/>
          <w:szCs w:val="24"/>
          <w:lang w:val="en-US"/>
        </w:rPr>
        <w:t>as a key factor associated with rural poverty</w:t>
      </w:r>
      <w:r w:rsidR="00AC18B2" w:rsidRPr="00AC18B2">
        <w:rPr>
          <w:rFonts w:ascii="Times New Roman" w:hAnsi="Times New Roman" w:cs="Times New Roman"/>
          <w:sz w:val="24"/>
          <w:szCs w:val="24"/>
          <w:lang w:val="en-US"/>
        </w:rPr>
        <w:t xml:space="preserve"> </w:t>
      </w:r>
      <w:r w:rsidR="00AC18B2">
        <w:rPr>
          <w:rFonts w:ascii="Times New Roman" w:hAnsi="Times New Roman" w:cs="Times New Roman"/>
          <w:sz w:val="24"/>
          <w:szCs w:val="24"/>
          <w:lang w:val="en-US"/>
        </w:rPr>
        <w:t>in the second half of the 19</w:t>
      </w:r>
      <w:r w:rsidR="00AC18B2" w:rsidRPr="00AC18B2">
        <w:rPr>
          <w:rFonts w:ascii="Times New Roman" w:hAnsi="Times New Roman" w:cs="Times New Roman"/>
          <w:sz w:val="24"/>
          <w:szCs w:val="24"/>
          <w:vertAlign w:val="superscript"/>
          <w:lang w:val="en-US"/>
        </w:rPr>
        <w:t>th</w:t>
      </w:r>
      <w:r w:rsidR="00AC18B2">
        <w:rPr>
          <w:rFonts w:ascii="Times New Roman" w:hAnsi="Times New Roman" w:cs="Times New Roman"/>
          <w:sz w:val="24"/>
          <w:szCs w:val="24"/>
          <w:lang w:val="en-US"/>
        </w:rPr>
        <w:t xml:space="preserve"> century. The </w:t>
      </w:r>
      <w:r w:rsidR="00040846">
        <w:rPr>
          <w:rFonts w:ascii="Times New Roman" w:hAnsi="Times New Roman" w:cs="Times New Roman"/>
          <w:sz w:val="24"/>
          <w:szCs w:val="24"/>
          <w:lang w:val="en-US"/>
        </w:rPr>
        <w:t>total amount and conversion efficiency of energy metabolized by a society</w:t>
      </w:r>
      <w:r w:rsidR="00AC18B2">
        <w:rPr>
          <w:rFonts w:ascii="Times New Roman" w:hAnsi="Times New Roman" w:cs="Times New Roman"/>
          <w:sz w:val="24"/>
          <w:szCs w:val="24"/>
          <w:lang w:val="en-US"/>
        </w:rPr>
        <w:t xml:space="preserve"> was </w:t>
      </w:r>
      <w:r w:rsidR="00040846">
        <w:rPr>
          <w:rFonts w:ascii="Times New Roman" w:hAnsi="Times New Roman" w:cs="Times New Roman"/>
          <w:sz w:val="24"/>
          <w:szCs w:val="24"/>
          <w:lang w:val="en-US"/>
        </w:rPr>
        <w:t xml:space="preserve">considered as a progress indicator </w:t>
      </w:r>
      <w:r w:rsidR="00AC18B2">
        <w:rPr>
          <w:rFonts w:ascii="Times New Roman" w:hAnsi="Times New Roman" w:cs="Times New Roman"/>
          <w:sz w:val="24"/>
          <w:szCs w:val="24"/>
          <w:lang w:val="en-US"/>
        </w:rPr>
        <w:t xml:space="preserve">by scholars like </w:t>
      </w:r>
      <w:r w:rsidR="00040846">
        <w:rPr>
          <w:rFonts w:ascii="Times New Roman" w:hAnsi="Times New Roman" w:cs="Times New Roman"/>
          <w:sz w:val="24"/>
          <w:szCs w:val="24"/>
          <w:lang w:val="en-US"/>
        </w:rPr>
        <w:t>Wilhelm Ostwald</w:t>
      </w:r>
      <w:r w:rsidR="00AC18B2">
        <w:rPr>
          <w:rFonts w:ascii="Times New Roman" w:hAnsi="Times New Roman" w:cs="Times New Roman"/>
          <w:sz w:val="24"/>
          <w:szCs w:val="24"/>
          <w:lang w:val="en-US"/>
        </w:rPr>
        <w:t xml:space="preserve"> and Leslie </w:t>
      </w:r>
      <w:r w:rsidR="00DB5510">
        <w:rPr>
          <w:rFonts w:ascii="Times New Roman" w:hAnsi="Times New Roman" w:cs="Times New Roman"/>
          <w:sz w:val="24"/>
          <w:szCs w:val="24"/>
          <w:lang w:val="en-US"/>
        </w:rPr>
        <w:t xml:space="preserve">White </w:t>
      </w:r>
      <w:r w:rsidR="00AC18B2">
        <w:rPr>
          <w:rFonts w:ascii="Times New Roman" w:hAnsi="Times New Roman" w:cs="Times New Roman"/>
          <w:sz w:val="24"/>
          <w:szCs w:val="24"/>
          <w:lang w:val="en-US"/>
        </w:rPr>
        <w:t>in the first half of the 20</w:t>
      </w:r>
      <w:r w:rsidR="00AC18B2" w:rsidRPr="00AC18B2">
        <w:rPr>
          <w:rFonts w:ascii="Times New Roman" w:hAnsi="Times New Roman" w:cs="Times New Roman"/>
          <w:sz w:val="24"/>
          <w:szCs w:val="24"/>
          <w:vertAlign w:val="superscript"/>
          <w:lang w:val="en-US"/>
        </w:rPr>
        <w:t>th</w:t>
      </w:r>
      <w:r w:rsidR="00AC18B2">
        <w:rPr>
          <w:rFonts w:ascii="Times New Roman" w:hAnsi="Times New Roman" w:cs="Times New Roman"/>
          <w:sz w:val="24"/>
          <w:szCs w:val="24"/>
          <w:lang w:val="en-US"/>
        </w:rPr>
        <w:t xml:space="preserve"> century. Cultural ecologists like Julian Steward focused on </w:t>
      </w:r>
      <w:r w:rsidR="00040846">
        <w:rPr>
          <w:rFonts w:ascii="Times New Roman" w:hAnsi="Times New Roman" w:cs="Times New Roman"/>
          <w:sz w:val="24"/>
          <w:szCs w:val="24"/>
          <w:lang w:val="en-US"/>
        </w:rPr>
        <w:t>energy and other resources used by a society as key feature</w:t>
      </w:r>
      <w:r w:rsidR="00AC18B2">
        <w:rPr>
          <w:rFonts w:ascii="Times New Roman" w:hAnsi="Times New Roman" w:cs="Times New Roman"/>
          <w:sz w:val="24"/>
          <w:szCs w:val="24"/>
          <w:lang w:val="en-US"/>
        </w:rPr>
        <w:t>s</w:t>
      </w:r>
      <w:r w:rsidR="00040846">
        <w:rPr>
          <w:rFonts w:ascii="Times New Roman" w:hAnsi="Times New Roman" w:cs="Times New Roman"/>
          <w:sz w:val="24"/>
          <w:szCs w:val="24"/>
          <w:lang w:val="en-US"/>
        </w:rPr>
        <w:t xml:space="preserve"> of any culture</w:t>
      </w:r>
      <w:r w:rsidR="002A45AC">
        <w:rPr>
          <w:rFonts w:ascii="Times New Roman" w:hAnsi="Times New Roman" w:cs="Times New Roman"/>
          <w:sz w:val="24"/>
          <w:szCs w:val="24"/>
          <w:lang w:val="en-US"/>
        </w:rPr>
        <w:t>’s</w:t>
      </w:r>
      <w:r w:rsidR="00AC18B2">
        <w:rPr>
          <w:rFonts w:ascii="Times New Roman" w:hAnsi="Times New Roman" w:cs="Times New Roman"/>
          <w:sz w:val="24"/>
          <w:szCs w:val="24"/>
          <w:lang w:val="en-US"/>
        </w:rPr>
        <w:t xml:space="preserve"> ‘cultural core’. Detailed overviews of these research strands are </w:t>
      </w:r>
      <w:r w:rsidR="00DB5510">
        <w:rPr>
          <w:rFonts w:ascii="Times New Roman" w:hAnsi="Times New Roman" w:cs="Times New Roman"/>
          <w:sz w:val="24"/>
          <w:szCs w:val="24"/>
          <w:lang w:val="en-US"/>
        </w:rPr>
        <w:t xml:space="preserve">available in the literature </w:t>
      </w:r>
      <w:r w:rsidR="00040846">
        <w:rPr>
          <w:rFonts w:ascii="Times New Roman" w:hAnsi="Times New Roman" w:cs="Times New Roman"/>
          <w:sz w:val="24"/>
          <w:szCs w:val="24"/>
          <w:lang w:val="en-US"/>
        </w:rPr>
        <w:fldChar w:fldCharType="begin"/>
      </w:r>
      <w:r w:rsidR="00D3703D">
        <w:rPr>
          <w:rFonts w:ascii="Times New Roman" w:hAnsi="Times New Roman" w:cs="Times New Roman"/>
          <w:sz w:val="24"/>
          <w:szCs w:val="24"/>
          <w:lang w:val="en-US"/>
        </w:rPr>
        <w:instrText xml:space="preserve"> ADDIN ZOTERO_ITEM CSL_CITATION {"citationID":"37k6Ivuj","properties":{"formattedCitation":"(Fischer-Kowalski, 1998; Martinez-Alier, 1987)","plainCitation":"(Fischer-Kowalski, 1998; Martinez-Alier, 1987)","noteIndex":0},"citationItems":[{"id":2008,"uris":["http://zotero.org/users/666791/items/3RQXNUPN"],"uri":["http://zotero.org/users/666791/items/3RQXNUPN"],"itemData":{"id":2008,"type":"article-journal","abstract":"“Societal metabolism” provides the appropriate conceptual basis for the rapidly growing development and analylical and policy interest in materials flow analysis (MFA). Following the review of the earlier intellectual background of societal metabolism in the first installment of this two-part article, this paper focuses on the current state of the art by examining more recent research referring t o societal metabolism in terms of material and substance flows. An operational classification of the literature according to frame of reference (socioeconomic system, ecosystem), system level (global, national, regional, functional, temporal), and types of flows under consideration (materials, energy, substances) highlights some of its characteristic features. There follows an integrated discussion of some of the major conceptual and methodological properties of MFA, with a particular focus on the field of bulk materials flows on a national level, comparing the major empirical results. Finally, the theoretical stringency research productivity, and political relevance of the MFA-related studies are assessed.","container-title":"Journal of Industrial Ecology","DOI":"10.1162/jiec.1998.2.4.107","ISSN":"1530-9290","issue":"4","language":"en","page":"107-136","source":"Wiley Online Library","title":"Society's Metabolism: The Intellectual History of Materials Flow Analysis, Part I, 1860– 1970","volume":"2","author":[{"family":"Fischer-Kowalski","given":"Marina"}],"issued":{"date-parts":[["1998"]]}}},{"id":280,"uris":["http://zotero.org/users/666791/items/752ZUU7R"],"uri":["http://zotero.org/users/666791/items/752ZUU7R"],"itemData":{"id":280,"type":"book","event-place":"Oxford, UK","publisher":"Blackwell","publisher-place":"Oxford, UK","title":"Ecological Economics. Energy, Environment and Society","author":[{"family":"Martinez-Alier","given":"Joan"}],"issued":{"date-parts":[["1987"]]}}}],"schema":"https://github.com/citation-style-language/schema/raw/master/csl-citation.json"} </w:instrText>
      </w:r>
      <w:r w:rsidR="00040846">
        <w:rPr>
          <w:rFonts w:ascii="Times New Roman" w:hAnsi="Times New Roman" w:cs="Times New Roman"/>
          <w:sz w:val="24"/>
          <w:szCs w:val="24"/>
          <w:lang w:val="en-US"/>
        </w:rPr>
        <w:fldChar w:fldCharType="separate"/>
      </w:r>
      <w:r w:rsidR="00040846" w:rsidRPr="00B06174">
        <w:rPr>
          <w:rFonts w:ascii="Times New Roman" w:hAnsi="Times New Roman" w:cs="Times New Roman"/>
          <w:sz w:val="24"/>
          <w:lang w:val="en-US"/>
        </w:rPr>
        <w:t>(Fischer-Kowalski, 1998; Martinez-Alier, 1987)</w:t>
      </w:r>
      <w:r w:rsidR="00040846">
        <w:rPr>
          <w:rFonts w:ascii="Times New Roman" w:hAnsi="Times New Roman" w:cs="Times New Roman"/>
          <w:sz w:val="24"/>
          <w:szCs w:val="24"/>
          <w:lang w:val="en-US"/>
        </w:rPr>
        <w:fldChar w:fldCharType="end"/>
      </w:r>
      <w:r w:rsidR="00040846">
        <w:rPr>
          <w:rFonts w:ascii="Times New Roman" w:hAnsi="Times New Roman" w:cs="Times New Roman"/>
          <w:sz w:val="24"/>
          <w:szCs w:val="24"/>
          <w:lang w:val="en-US"/>
        </w:rPr>
        <w:t xml:space="preserve">. </w:t>
      </w:r>
    </w:p>
    <w:p w14:paraId="1BE4A3B5" w14:textId="77777777" w:rsidR="00AC18B2" w:rsidRDefault="00AC18B2" w:rsidP="00317DF7">
      <w:pPr>
        <w:spacing w:after="0" w:line="240" w:lineRule="auto"/>
        <w:rPr>
          <w:rFonts w:ascii="Times New Roman" w:hAnsi="Times New Roman" w:cs="Times New Roman"/>
          <w:sz w:val="24"/>
          <w:szCs w:val="24"/>
          <w:lang w:val="en-US"/>
        </w:rPr>
      </w:pPr>
    </w:p>
    <w:p w14:paraId="6CF9685A" w14:textId="6B5333F3" w:rsidR="00B06174" w:rsidRDefault="00040846" w:rsidP="00317DF7">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first national material balance was established in the late 1960s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{"citationID":"yOmXaioA","properties":{"formattedCitation":"(Ayres and Kneese, 1969)","plainCitation":"(Ayres and Kneese, 1969)","noteIndex":0},"citationItems":[{"id":620,"uris":["http://zotero.org/users/666791/items/GW4QXZRU"],"uri":["http://zotero.org/users/666791/items/GW4QXZRU"],"itemData":{"id":620,"type":"article-journal","container-title":"American Economic Review","issue":"3","page":"282-297","title":"Production, Consumption, and Externalities","volume":"59","author":[{"family":"Ayres","given":"Robert U."},{"family":"Kneese","given":"Allen V."}],"issued":{"date-parts":[["1969"]]}}}],"schema":"https://github.com/citation-style-language/schema/raw/master/csl-citation.json"} </w:instrText>
      </w:r>
      <w:r>
        <w:rPr>
          <w:rFonts w:ascii="Times New Roman" w:hAnsi="Times New Roman" w:cs="Times New Roman"/>
          <w:sz w:val="24"/>
          <w:szCs w:val="24"/>
          <w:lang w:val="en-US"/>
        </w:rPr>
        <w:fldChar w:fldCharType="separate"/>
      </w:r>
      <w:r w:rsidRPr="00040846">
        <w:rPr>
          <w:rFonts w:ascii="Times New Roman" w:hAnsi="Times New Roman" w:cs="Times New Roman"/>
          <w:sz w:val="24"/>
          <w:lang w:val="en-US"/>
        </w:rPr>
        <w:t>(Ayres and Kneese, 1969)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r w:rsidR="00AC18B2">
        <w:rPr>
          <w:rFonts w:ascii="Times New Roman" w:hAnsi="Times New Roman" w:cs="Times New Roman"/>
          <w:sz w:val="24"/>
          <w:szCs w:val="24"/>
          <w:lang w:val="en-US"/>
        </w:rPr>
        <w:t xml:space="preserve"> During the 1990s, material flow analysis – a core approach of socio-metabolic research – </w:t>
      </w:r>
      <w:r w:rsidR="00D40098">
        <w:rPr>
          <w:rFonts w:ascii="Times New Roman" w:hAnsi="Times New Roman" w:cs="Times New Roman"/>
          <w:sz w:val="24"/>
          <w:szCs w:val="24"/>
          <w:lang w:val="en-US"/>
        </w:rPr>
        <w:t xml:space="preserve">was integrated into </w:t>
      </w:r>
      <w:r w:rsidR="00AC18B2">
        <w:rPr>
          <w:rFonts w:ascii="Times New Roman" w:hAnsi="Times New Roman" w:cs="Times New Roman"/>
          <w:sz w:val="24"/>
          <w:szCs w:val="24"/>
          <w:lang w:val="en-US"/>
        </w:rPr>
        <w:t xml:space="preserve">environmental statistics, first in the </w:t>
      </w:r>
      <w:r w:rsidR="00D3703D">
        <w:rPr>
          <w:rFonts w:ascii="Times New Roman" w:hAnsi="Times New Roman" w:cs="Times New Roman"/>
          <w:sz w:val="24"/>
          <w:szCs w:val="24"/>
          <w:lang w:val="en-US"/>
        </w:rPr>
        <w:t xml:space="preserve">European Union </w:t>
      </w:r>
      <w:r w:rsidR="00D3703D">
        <w:rPr>
          <w:rFonts w:ascii="Times New Roman" w:hAnsi="Times New Roman" w:cs="Times New Roman"/>
          <w:sz w:val="24"/>
          <w:szCs w:val="24"/>
          <w:lang w:val="en-US"/>
        </w:rPr>
        <w:fldChar w:fldCharType="begin"/>
      </w:r>
      <w:r w:rsidR="00D3703D">
        <w:rPr>
          <w:rFonts w:ascii="Times New Roman" w:hAnsi="Times New Roman" w:cs="Times New Roman"/>
          <w:sz w:val="24"/>
          <w:szCs w:val="24"/>
          <w:lang w:val="en-US"/>
        </w:rPr>
        <w:instrText xml:space="preserve"> ADDIN ZOTERO_ITEM CSL_CITATION {"citationID":"ZDx0M4Eh","properties":{"formattedCitation":"(Eurostat, 2007)","plainCitation":"(Eurostat, 2007)","noteIndex":0},"citationItems":[{"id":265,"uris":["http://zotero.org/users/666791/items/ENBUKFB9"],"uri":["http://zotero.org/users/666791/items/ENBUKFB9"],"itemData":{"id":265,"type":"book","event-place":"Luxembourg","publisher":"European Statistical Office Eurostat","publisher-place":"Luxembourg","title":"Economy-wide Material Flow Accounting. A Compilation Guide","author":[{"family":"Eurostat","given":""}],"issued":{"date-parts":[["2007"]]}}}],"schema":"https://github.com/citation-style-language/schema/raw/master/csl-citation.json"} </w:instrText>
      </w:r>
      <w:r w:rsidR="00D3703D">
        <w:rPr>
          <w:rFonts w:ascii="Times New Roman" w:hAnsi="Times New Roman" w:cs="Times New Roman"/>
          <w:sz w:val="24"/>
          <w:szCs w:val="24"/>
          <w:lang w:val="en-US"/>
        </w:rPr>
        <w:fldChar w:fldCharType="separate"/>
      </w:r>
      <w:r w:rsidR="00D3703D" w:rsidRPr="00D3703D">
        <w:rPr>
          <w:rFonts w:ascii="Times New Roman" w:hAnsi="Times New Roman" w:cs="Times New Roman"/>
          <w:sz w:val="24"/>
          <w:lang w:val="en-US"/>
        </w:rPr>
        <w:t>(Eurostat, 2007)</w:t>
      </w:r>
      <w:r w:rsidR="00D3703D">
        <w:rPr>
          <w:rFonts w:ascii="Times New Roman" w:hAnsi="Times New Roman" w:cs="Times New Roman"/>
          <w:sz w:val="24"/>
          <w:szCs w:val="24"/>
          <w:lang w:val="en-US"/>
        </w:rPr>
        <w:fldChar w:fldCharType="end"/>
      </w:r>
      <w:r w:rsidR="00AC18B2">
        <w:rPr>
          <w:rFonts w:ascii="Times New Roman" w:hAnsi="Times New Roman" w:cs="Times New Roman"/>
          <w:sz w:val="24"/>
          <w:szCs w:val="24"/>
          <w:lang w:val="en-US"/>
        </w:rPr>
        <w:t xml:space="preserve">, later </w:t>
      </w:r>
      <w:r w:rsidR="00D3703D">
        <w:rPr>
          <w:rFonts w:ascii="Times New Roman" w:hAnsi="Times New Roman" w:cs="Times New Roman"/>
          <w:sz w:val="24"/>
          <w:szCs w:val="24"/>
          <w:lang w:val="en-US"/>
        </w:rPr>
        <w:t xml:space="preserve">at the global level </w:t>
      </w:r>
      <w:r w:rsidR="00D3703D">
        <w:rPr>
          <w:rFonts w:ascii="Times New Roman" w:hAnsi="Times New Roman" w:cs="Times New Roman"/>
          <w:sz w:val="24"/>
          <w:szCs w:val="24"/>
          <w:lang w:val="en-US"/>
        </w:rPr>
        <w:fldChar w:fldCharType="begin"/>
      </w:r>
      <w:r w:rsidR="00D3703D">
        <w:rPr>
          <w:rFonts w:ascii="Times New Roman" w:hAnsi="Times New Roman" w:cs="Times New Roman"/>
          <w:sz w:val="24"/>
          <w:szCs w:val="24"/>
          <w:lang w:val="en-US"/>
        </w:rPr>
        <w:instrText xml:space="preserve"> ADDIN ZOTERO_ITEM CSL_CITATION {"citationID":"M0lhftYi","properties":{"formattedCitation":"(OECD, 2008; UNEP, 2016)","plainCitation":"(OECD, 2008; UNEP, 2016)","noteIndex":0},"citationItems":[{"id":12550,"uris":["http://zotero.org/users/666791/items/VAUUD8CV"],"uri":["http://zotero.org/users/666791/items/VAUUD8CV"],"itemData":{"id":12550,"type":"book","event-place":"Paris, France","publisher":"Organisation for Economic Co-Operation and Development","publisher-place":"Paris, France","title":"Measuring Material Flows and Resource Productivity. Volume I. The OECD Guide","author":[{"family":"OECD","given":""}],"issued":{"date-parts":[["2008"]]}}},{"id":2736,"uris":["http://zotero.org/users/666791/items/BKGZNXZX"],"uri":["http://zotero.org/users/666791/items/BKGZNXZX"],"itemData":{"id":2736,"type":"book","event-place":"Paris","publisher":"Assessment Report of the UNEP International Resource Panel. United Nations Environment Programme","publisher-place":"Paris","title":"Global Material Flows and Resource Productivity","author":[{"family":"UNEP","given":""}],"issued":{"date-parts":[["2016"]]}}}],"schema":"https://github.com/citation-style-language/schema/raw/master/csl-citation.json"} </w:instrText>
      </w:r>
      <w:r w:rsidR="00D3703D">
        <w:rPr>
          <w:rFonts w:ascii="Times New Roman" w:hAnsi="Times New Roman" w:cs="Times New Roman"/>
          <w:sz w:val="24"/>
          <w:szCs w:val="24"/>
          <w:lang w:val="en-US"/>
        </w:rPr>
        <w:fldChar w:fldCharType="separate"/>
      </w:r>
      <w:r w:rsidR="00D3703D" w:rsidRPr="00D3703D">
        <w:rPr>
          <w:rFonts w:ascii="Times New Roman" w:hAnsi="Times New Roman" w:cs="Times New Roman"/>
          <w:sz w:val="24"/>
          <w:lang w:val="en-US"/>
        </w:rPr>
        <w:t>(OECD, 2008; UNEP, 2016)</w:t>
      </w:r>
      <w:r w:rsidR="00D3703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Current socio-metabolic research includes several distinct research traditions, including studies of ‘urban metabolism’</w:t>
      </w:r>
      <w:r w:rsidR="00E24B1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fldChar w:fldCharType="begin"/>
      </w:r>
      <w:r w:rsidR="00E24B1D">
        <w:rPr>
          <w:rFonts w:ascii="Times New Roman" w:hAnsi="Times New Roman" w:cs="Times New Roman"/>
          <w:sz w:val="24"/>
          <w:szCs w:val="24"/>
          <w:lang w:val="en-US"/>
        </w:rPr>
        <w:instrText xml:space="preserve"> ADDIN ZOTERO_ITEM CSL_CITATION {"citationID":"UO4XAyF2","properties":{"formattedCitation":"(Kennedy et al., 2015)","plainCitation":"(Kennedy et al., 2015)","noteIndex":0},"citationItems":[{"id":2022,"uris":["http://zotero.org/users/666791/items/KCV6D6UU"],"uri":["http://zotero.org/users/666791/items/KCV6D6UU"],"itemData":{"id":2022,"type":"article-journal","abstract":"Understanding the drivers of energy and material flows of cities is important for addressing global environmental challenges. Accessing, sharing, and managing energy and material resources is particularly critical for megacities, which face enormous social stresses because of their sheer size and complexity. Here we quantify the energy and material flows through the world’s 27 megacities with populations greater than 10 million people as of 2010. Collectively the resource flows through megacities are largely consistent with scaling laws established in the emerging science of cities. Correlations are established for electricity consumption, heating and industrial fuel use, ground transportation energy use, water consumption, waste generation, and steel production in terms of heating-degree-days, urban form, economic activity, and population growth. The results help identify megacities exhibiting high and low levels of consumption and those making efficient use of resources. The correlation between per capita electricity use and urbanized area per capita is shown to be a consequence of gross building floor area per capita, which is found to increase for lower-density cities. Many of the megacities are growing rapidly in population but are growing even faster in terms of gross domestic product (GDP) and energy use. In the decade from 2001–2011, electricity use and ground transportation fuel use in megacities grew at approximately half the rate of GDP growth.","container-title":"Proceedings of the National Academy of Sciences","DOI":"10.1073/pnas.1504315112","ISSN":"0027-8424, 1091-6490","journalAbbreviation":"PNAS","language":"en","note":"PMID: 25918371","page":"5985–5990","source":"www.pnas.org","title":"Energy and material flows of megacities","volume":"112","author":[{"family":"Kennedy","given":"Christopher A."},{"family":"Stewart","given":"Iain"},{"family":"Facchini","given":"Angelo"},{"family":"Cersosimo","given":"Igor"},{"family":"Mele","given":"Renata"},{"family":"Chen","given":"Bin"},{"family":"Uda","given":"Mariko"},{"family":"Kansal","given":"Arun"},{"family":"Chiu","given":"Anthony"},{"family":"Kim","given":"Kwi-gon"},{"family":"Dubeux","given":"Carolina"},{"family":"Rovere","given":"Emilio Lebre La"},{"family":"Cunha","given":"Bruno"},{"family":"Pincetl","given":"Stephanie"},{"family":"Keirstead","given":"James"},{"family":"Barles","given":"Sabine"},{"family":"Pusaka","given":"Semerdanta"},{"family":"Gunawan","given":"Juniati"},{"family":"Adegbile","given":"Michael"},{"family":"Nazariha","given":"Mehrdad"},{"family":"Hoque","given":"Shamsul"},{"family":"Marcotullio","given":"Peter J."},{"family":"Otharán","given":"Florencia González"},{"family":"Genena","given":"Tarek"},{"family":"Ibrahim","given":"Nadine"},{"family":"Farooqui","given":"Rizwan"},{"family":"Cervantes","given":"Gemma"},{"family":"Sahin","given":"Ahmet Duran"}],"issued":{"date-parts":[["2015"]]}}}],"schema":"https://github.com/citation-style-language/schema/raw/master/csl-citation.json"} </w:instrText>
      </w:r>
      <w:r w:rsidR="00E24B1D">
        <w:rPr>
          <w:rFonts w:ascii="Times New Roman" w:hAnsi="Times New Roman" w:cs="Times New Roman"/>
          <w:sz w:val="24"/>
          <w:szCs w:val="24"/>
          <w:lang w:val="en-US"/>
        </w:rPr>
        <w:fldChar w:fldCharType="separate"/>
      </w:r>
      <w:r w:rsidR="00E24B1D" w:rsidRPr="00E24B1D">
        <w:rPr>
          <w:rFonts w:ascii="Times New Roman" w:hAnsi="Times New Roman" w:cs="Times New Roman"/>
          <w:sz w:val="24"/>
          <w:lang w:val="en-US"/>
        </w:rPr>
        <w:t>(Kennedy et al., 2015)</w:t>
      </w:r>
      <w:r w:rsidR="00E24B1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the ‘multiscale integrated analysis of societal and ecosystem metabolism’</w:t>
      </w:r>
      <w:r w:rsidR="00E24B1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fldChar w:fldCharType="begin"/>
      </w:r>
      <w:r w:rsidR="00E24B1D">
        <w:rPr>
          <w:rFonts w:ascii="Times New Roman" w:hAnsi="Times New Roman" w:cs="Times New Roman"/>
          <w:sz w:val="24"/>
          <w:szCs w:val="24"/>
          <w:lang w:val="en-US"/>
        </w:rPr>
        <w:instrText xml:space="preserve"> ADDIN ZOTERO_ITEM CSL_CITATION {"citationID":"UvKc9gFd","properties":{"formattedCitation":"(Giampietro and Mayumi, 2000)","plainCitation":"(Giampietro and Mayumi, 2000)","noteIndex":0},"citationItems":[{"id":71107,"uris":["http://zotero.org/users/666791/items/8KF8VIGH"],"uri":["http://zotero.org/users/666791/items/8KF8VIGH"],"itemData":{"id":71107,"type":"article-journal","abstract":"In this paper we present several concepts related to integrated analysis of societal metabolism across scales. First we introduce the concept of “dynamic energy budget” of human societies, which is based on the distinction between exosomatic and endosomatic energy flows and the possibility of establishing autocatalytic loops (egg-chicken patterns) among them. Second, we discuss the nature of the dramatic changes that the industrial revolution induced on the characteristics of societal metabolism. Finally, we discuss methodological problems related to the representation of complex adaptive systems. Dealing with sustainability of human societies requires the parallel use of non-equivalent descriptive domains. This, in turn, requires the ability of “scaling up and down” when moving across levels handling parallel non-reducible assessments.","container-title":"Population and Environment","DOI":"10.1023/A:1026691623300","ISSN":"1573-7810","issue":"2","journalAbbreviation":"Population and Environment","language":"en","page":"109-153","source":"Springer Link","title":"Multiple-Scale Integrated Assessment of Societal Metabolism: Introducing the Approach","title-short":"Multiple-Scale Integrated Assessment of Societal Metabolism","volume":"22","author":[{"family":"Giampietro","given":"Mario"},{"family":"Mayumi","given":"Kozo"}],"issued":{"date-parts":[["2000",11,1]]}}}],"schema":"https://github.com/citation-style-language/schema/raw/master/csl-citation.json"} </w:instrText>
      </w:r>
      <w:r w:rsidR="00E24B1D">
        <w:rPr>
          <w:rFonts w:ascii="Times New Roman" w:hAnsi="Times New Roman" w:cs="Times New Roman"/>
          <w:sz w:val="24"/>
          <w:szCs w:val="24"/>
          <w:lang w:val="en-US"/>
        </w:rPr>
        <w:fldChar w:fldCharType="separate"/>
      </w:r>
      <w:r w:rsidR="00E24B1D" w:rsidRPr="00E24B1D">
        <w:rPr>
          <w:rFonts w:ascii="Times New Roman" w:hAnsi="Times New Roman" w:cs="Times New Roman"/>
          <w:sz w:val="24"/>
          <w:lang w:val="en-US"/>
        </w:rPr>
        <w:t>(Giampietro and Mayumi, 2000)</w:t>
      </w:r>
      <w:r w:rsidR="00E24B1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‘biophysical economics’</w:t>
      </w:r>
      <w:r w:rsidR="00E24B1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fldChar w:fldCharType="begin"/>
      </w:r>
      <w:r w:rsidR="00E24B1D">
        <w:rPr>
          <w:rFonts w:ascii="Times New Roman" w:hAnsi="Times New Roman" w:cs="Times New Roman"/>
          <w:sz w:val="24"/>
          <w:szCs w:val="24"/>
          <w:lang w:val="en-US"/>
        </w:rPr>
        <w:instrText xml:space="preserve"> ADDIN ZOTERO_ITEM CSL_CITATION {"citationID":"g4eiKflR","properties":{"formattedCitation":"(Hall et al., 2001)","plainCitation":"(Hall et al., 2001)","noteIndex":0},"citationItems":[{"id":2848,"uris":["http://zotero.org/users/666791/items/QFHUI5AG"],"uri":["http://zotero.org/users/666791/items/QFHUI5AG"],"itemData":{"id":2848,"type":"article-journal","abstract":"“How long will researchers working in adjoining fields…abstain from expressing serious concern about the splendid isolation in which academic economics now finds itself?” Wassily Leontief, Nobel laureate in economics, asked almost two decades ago (Leontief 1982, p. 104). The question is extremely important, because economics is the foundation on which most decisions affecting agriculture, fisheries, the environment, and, indeed, most aspects of our daily lives are based. Natural scientists, including biological scientists, may have particular views on this or that economic policy, but few question the legitimacy of economics as a tool. We believe that, paraphrasing the great Prussian military historian Carl von Clausewitz, economics is too important to leave to the economists, and that natural scientists should not leave the procedures by which we undertake economics up to economists alone. Instead, natural scientists must contribute to a new discourse about...","container-title":"BioScience","DOI":"10.1641/0006-3568(2001)051[0663:TNTRTN]2.0.CO;2","ISSN":"0006-3568","issue":"8","journalAbbreviation":"BioScience","page":"663-673","source":"academic.oup.com","title":"The Need to Reintegrate the Natural Sciences with Economics","volume":"51","author":[{"family":"Hall","given":"Charles"},{"family":"Lindenberger","given":"Dietmar"},{"family":"Kümmel","given":"Reiner"},{"family":"Kroeger","given":"Timm"},{"family":"Eichhorn","given":"Wolfgang"}],"issued":{"date-parts":[["2001",8,1]]}}}],"schema":"https://github.com/citation-style-language/schema/raw/master/csl-citation.json"} </w:instrText>
      </w:r>
      <w:r w:rsidR="00E24B1D">
        <w:rPr>
          <w:rFonts w:ascii="Times New Roman" w:hAnsi="Times New Roman" w:cs="Times New Roman"/>
          <w:sz w:val="24"/>
          <w:szCs w:val="24"/>
          <w:lang w:val="en-US"/>
        </w:rPr>
        <w:fldChar w:fldCharType="separate"/>
      </w:r>
      <w:r w:rsidR="00E24B1D" w:rsidRPr="00E24B1D">
        <w:rPr>
          <w:rFonts w:ascii="Times New Roman" w:hAnsi="Times New Roman" w:cs="Times New Roman"/>
          <w:sz w:val="24"/>
          <w:lang w:val="en-US"/>
        </w:rPr>
        <w:t>(Hall et al., 2001)</w:t>
      </w:r>
      <w:r w:rsidR="00E24B1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‘material and energy flow analysis’</w:t>
      </w:r>
      <w:r w:rsidR="00E24B1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fldChar w:fldCharType="begin"/>
      </w:r>
      <w:r w:rsidR="00E24B1D">
        <w:rPr>
          <w:rFonts w:ascii="Times New Roman" w:hAnsi="Times New Roman" w:cs="Times New Roman"/>
          <w:sz w:val="24"/>
          <w:szCs w:val="24"/>
          <w:lang w:val="en-US"/>
        </w:rPr>
        <w:instrText xml:space="preserve"> ADDIN ZOTERO_ITEM CSL_CITATION {"citationID":"SzN9Ln7T","properties":{"formattedCitation":"(Fischer-Kowalski et al., 2011)","plainCitation":"(Fischer-Kowalski et al., 2011)","noteIndex":0},"citationItems":[{"id":552,"uris":["http://zotero.org/users/666791/items/D2GP8TT4"],"uri":["http://zotero.org/users/666791/items/D2GP8TT4"],"itemData":{"id":552,"type":"article-journal","container-title":"Journal of Industrial Ecology","DOI":"10.1111/j.1530-9290.2011.00366.x","ISSN":"10881980","issue":"6","page":"855–876","source":"CrossRef","title":"Methodology and Indicators of Economy-wide Material Flow Accounting - State of the Art and Reliability Across Sources","volume":"15","author":[{"family":"Fischer-Kowalski","given":"M."},{"family":"Krausmann","given":"F."},{"family":"Giljum","given":"S."},{"family":"Lutter","given":"S."},{"family":"Mayer","given":"A."},{"family":"Bringezu","given":"S."},{"family":"Moriguchi","given":"Y."},{"family":"Schütz","given":"H."},{"family":"Schandl","given":"H."},{"family":"Weisz","given":"H."}],"issued":{"date-parts":[["2011"]]}}}],"schema":"https://github.com/citation-style-language/schema/raw/master/csl-citation.json"} </w:instrText>
      </w:r>
      <w:r w:rsidR="00E24B1D">
        <w:rPr>
          <w:rFonts w:ascii="Times New Roman" w:hAnsi="Times New Roman" w:cs="Times New Roman"/>
          <w:sz w:val="24"/>
          <w:szCs w:val="24"/>
          <w:lang w:val="en-US"/>
        </w:rPr>
        <w:fldChar w:fldCharType="separate"/>
      </w:r>
      <w:r w:rsidR="00E24B1D" w:rsidRPr="00E24B1D">
        <w:rPr>
          <w:rFonts w:ascii="Times New Roman" w:hAnsi="Times New Roman" w:cs="Times New Roman"/>
          <w:sz w:val="24"/>
          <w:lang w:val="en-US"/>
        </w:rPr>
        <w:t>(Fischer-Kowalski et al., 2011)</w:t>
      </w:r>
      <w:r w:rsidR="00E24B1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xml:space="preserve"> and ‘environmentally extended input-output analysis’</w:t>
      </w:r>
      <w:r w:rsidR="00E24B1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fldChar w:fldCharType="begin"/>
      </w:r>
      <w:r w:rsidR="00E24B1D">
        <w:rPr>
          <w:rFonts w:ascii="Times New Roman" w:hAnsi="Times New Roman" w:cs="Times New Roman"/>
          <w:sz w:val="24"/>
          <w:szCs w:val="24"/>
          <w:lang w:val="en-US"/>
        </w:rPr>
        <w:instrText xml:space="preserve"> ADDIN ZOTERO_ITEM CSL_CITATION {"citationID":"Q6GbcNzC","properties":{"formattedCitation":"(Tukker and Dietzenbacher, 2013)","plainCitation":"(Tukker and Dietzenbacher, 2013)","noteIndex":0},"citationItems":[{"id":2536,"uris":["http://zotero.org/users/666791/items/PWJ9MRJF"],"uri":["http://zotero.org/users/666791/items/PWJ9MRJF"],"itemData":{"id":2536,"type":"article-journal","abstract":"This review is the introduction to a special issue of Economic Systems Research on the topic of global multiregional input–output (GMRIO) tables, models, and analysis. It provides a short historical context of GMRIO development and its applications (many of which deal with environmental extensions) and presents the rationale for the major database projects presented in this special issue. Then the six papers are briefly introduced. This is followed by a concluding comparison of the characteristics of the main GMRIO databases developed thus far and an outlook of potential further developments.","container-title":"Economic Systems Research","DOI":"10.1080/09535314.2012.761179","ISSN":"0953-5314","issue":"1","page":"1-19","source":"Taylor and Francis+NEJM","title":"Global Multiregional Input–Output Frameworks: An Introduction and Outlook","title-short":"Global Multiregional Input–Output Frameworks","volume":"25","author":[{"family":"Tukker","given":"Arnold"},{"family":"Dietzenbacher","given":"Erik"}],"issued":{"date-parts":[["2013",3,1]]}}}],"schema":"https://github.com/citation-style-language/schema/raw/master/csl-citation.json"} </w:instrText>
      </w:r>
      <w:r w:rsidR="00E24B1D">
        <w:rPr>
          <w:rFonts w:ascii="Times New Roman" w:hAnsi="Times New Roman" w:cs="Times New Roman"/>
          <w:sz w:val="24"/>
          <w:szCs w:val="24"/>
          <w:lang w:val="en-US"/>
        </w:rPr>
        <w:fldChar w:fldCharType="separate"/>
      </w:r>
      <w:r w:rsidR="00E24B1D" w:rsidRPr="00E24B1D">
        <w:rPr>
          <w:rFonts w:ascii="Times New Roman" w:hAnsi="Times New Roman" w:cs="Times New Roman"/>
          <w:sz w:val="24"/>
          <w:lang w:val="en-US"/>
        </w:rPr>
        <w:t>(Tukker and Dietzenbacher, 2013)</w:t>
      </w:r>
      <w:r w:rsidR="00E24B1D">
        <w:rPr>
          <w:rFonts w:ascii="Times New Roman" w:hAnsi="Times New Roman" w:cs="Times New Roman"/>
          <w:sz w:val="24"/>
          <w:szCs w:val="24"/>
          <w:lang w:val="en-US"/>
        </w:rPr>
        <w:fldChar w:fldCharType="end"/>
      </w:r>
      <w:r w:rsidR="00D3703D">
        <w:rPr>
          <w:rFonts w:ascii="Times New Roman" w:hAnsi="Times New Roman" w:cs="Times New Roman"/>
          <w:sz w:val="24"/>
          <w:szCs w:val="24"/>
          <w:lang w:val="en-US"/>
        </w:rPr>
        <w:t xml:space="preserve">. </w:t>
      </w:r>
      <w:r w:rsidR="00E24B1D">
        <w:rPr>
          <w:rFonts w:ascii="Times New Roman" w:hAnsi="Times New Roman" w:cs="Times New Roman"/>
          <w:sz w:val="24"/>
          <w:szCs w:val="24"/>
          <w:lang w:val="en-US"/>
        </w:rPr>
        <w:t xml:space="preserve">Adjacent approaches include the ‘ecological footprint’ </w:t>
      </w:r>
      <w:r w:rsidR="00A00525">
        <w:rPr>
          <w:rFonts w:ascii="Times New Roman" w:hAnsi="Times New Roman" w:cs="Times New Roman"/>
          <w:sz w:val="24"/>
          <w:szCs w:val="24"/>
          <w:lang w:val="en-US"/>
        </w:rPr>
        <w:fldChar w:fldCharType="begin"/>
      </w:r>
      <w:r w:rsidR="00A00525">
        <w:rPr>
          <w:rFonts w:ascii="Times New Roman" w:hAnsi="Times New Roman" w:cs="Times New Roman"/>
          <w:sz w:val="24"/>
          <w:szCs w:val="24"/>
          <w:lang w:val="en-US"/>
        </w:rPr>
        <w:instrText xml:space="preserve"> ADDIN ZOTERO_ITEM CSL_CITATION {"citationID":"NXcPGHeZ","properties":{"formattedCitation":"(Wackernagel and Rees, 1997)","plainCitation":"(Wackernagel and Rees, 1997)","noteIndex":0},"citationItems":[{"id":1338,"uris":["http://zotero.org/users/666791/items/TGE2DNVQ"],"uri":["http://zotero.org/users/666791/items/TGE2DNVQ"],"itemData":{"id":1338,"type":"book","event-place":"Gabriola Island, BC","publisher":"New Society Publishers","publisher-place":"Gabriola Island, BC","title":"Our Ecological Footprint: Reducing Human Impact on the Earth","author":[{"family":"Wackernagel","given":"Mathis"},{"family":"Rees","given":"William E."}],"issued":{"date-parts":[["1997"]]}}}],"schema":"https://github.com/citation-style-language/schema/raw/master/csl-citation.json"} </w:instrText>
      </w:r>
      <w:r w:rsidR="00A00525">
        <w:rPr>
          <w:rFonts w:ascii="Times New Roman" w:hAnsi="Times New Roman" w:cs="Times New Roman"/>
          <w:sz w:val="24"/>
          <w:szCs w:val="24"/>
          <w:lang w:val="en-US"/>
        </w:rPr>
        <w:fldChar w:fldCharType="separate"/>
      </w:r>
      <w:r w:rsidR="00A00525" w:rsidRPr="00A00525">
        <w:rPr>
          <w:rFonts w:ascii="Times New Roman" w:hAnsi="Times New Roman" w:cs="Times New Roman"/>
          <w:sz w:val="24"/>
          <w:lang w:val="en-US"/>
        </w:rPr>
        <w:t>(Wackernagel and Rees, 1997)</w:t>
      </w:r>
      <w:r w:rsidR="00A00525">
        <w:rPr>
          <w:rFonts w:ascii="Times New Roman" w:hAnsi="Times New Roman" w:cs="Times New Roman"/>
          <w:sz w:val="24"/>
          <w:szCs w:val="24"/>
          <w:lang w:val="en-US"/>
        </w:rPr>
        <w:fldChar w:fldCharType="end"/>
      </w:r>
      <w:r w:rsidR="00A00525">
        <w:rPr>
          <w:rFonts w:ascii="Times New Roman" w:hAnsi="Times New Roman" w:cs="Times New Roman"/>
          <w:sz w:val="24"/>
          <w:szCs w:val="24"/>
          <w:lang w:val="en-US"/>
        </w:rPr>
        <w:t xml:space="preserve">, life cycle assessment </w:t>
      </w:r>
      <w:r w:rsidR="00A00525">
        <w:rPr>
          <w:rFonts w:ascii="Times New Roman" w:hAnsi="Times New Roman" w:cs="Times New Roman"/>
          <w:sz w:val="24"/>
          <w:szCs w:val="24"/>
          <w:lang w:val="en-US"/>
        </w:rPr>
        <w:fldChar w:fldCharType="begin"/>
      </w:r>
      <w:r w:rsidR="00A00525">
        <w:rPr>
          <w:rFonts w:ascii="Times New Roman" w:hAnsi="Times New Roman" w:cs="Times New Roman"/>
          <w:sz w:val="24"/>
          <w:szCs w:val="24"/>
          <w:lang w:val="en-US"/>
        </w:rPr>
        <w:instrText xml:space="preserve"> ADDIN ZOTERO_ITEM CSL_CITATION {"citationID":"fYAw3KXL","properties":{"formattedCitation":"(Hellweg and Canals, 2014)","plainCitation":"(Hellweg and Canals, 2014)","noteIndex":0},"citationItems":[{"id":2825,"uris":["http://zotero.org/users/666791/items/SDAZIE9Z"],"uri":["http://zotero.org/users/666791/items/SDAZIE9Z"],"itemData":{"id":2825,"type":"article-journal","abstract":"In the modern economy, international value chains—production, use, and disposal of goods—have global environmental impacts. Life Cycle Assessment (LCA) aims to track these impacts and assess them from a systems perspective, identifying strategies for improvement without burden shifting. We review recent developments in LCA, including existing and emerging applications aimed at supporting environmentally informed decisions in policy-making, product development and procurement, and consumer choices. LCA constitutes a viable screening tool that can pinpoint environmental hotspots in complex value chains, but we also caution that completeness in scope comes at the price of simplifications and uncertainties. Future advances of LCA in enhancing regional detail and accuracy as well as broadening the assessment to economic and social aspects will make it more relevant for producers and consumers alike.","container-title":"Science","DOI":"10.1126/science.1248361","ISSN":"0036-8075, 1095-9203","issue":"6188","language":"en","note":"PMID: 24904154","page":"1109-1113","source":"science.sciencemag.org","title":"Emerging approaches, challenges and opportunities in life cycle assessment","volume":"344","author":[{"family":"Hellweg","given":"Stefanie"},{"family":"Canals","given":"Llorenç Milà","dropping-particle":"i"}],"issued":{"date-parts":[["2014",6,6]]}}}],"schema":"https://github.com/citation-style-language/schema/raw/master/csl-citation.json"} </w:instrText>
      </w:r>
      <w:r w:rsidR="00A00525">
        <w:rPr>
          <w:rFonts w:ascii="Times New Roman" w:hAnsi="Times New Roman" w:cs="Times New Roman"/>
          <w:sz w:val="24"/>
          <w:szCs w:val="24"/>
          <w:lang w:val="en-US"/>
        </w:rPr>
        <w:fldChar w:fldCharType="separate"/>
      </w:r>
      <w:r w:rsidR="00A00525" w:rsidRPr="00A00525">
        <w:rPr>
          <w:rFonts w:ascii="Times New Roman" w:hAnsi="Times New Roman" w:cs="Times New Roman"/>
          <w:sz w:val="24"/>
          <w:lang w:val="en-US"/>
        </w:rPr>
        <w:t>(Hellweg and Canals, 2014)</w:t>
      </w:r>
      <w:r w:rsidR="00A00525">
        <w:rPr>
          <w:rFonts w:ascii="Times New Roman" w:hAnsi="Times New Roman" w:cs="Times New Roman"/>
          <w:sz w:val="24"/>
          <w:szCs w:val="24"/>
          <w:lang w:val="en-US"/>
        </w:rPr>
        <w:fldChar w:fldCharType="end"/>
      </w:r>
      <w:r w:rsidR="00A00525">
        <w:rPr>
          <w:rFonts w:ascii="Times New Roman" w:hAnsi="Times New Roman" w:cs="Times New Roman"/>
          <w:sz w:val="24"/>
          <w:szCs w:val="24"/>
          <w:lang w:val="en-US"/>
        </w:rPr>
        <w:t xml:space="preserve"> and integrated assessment models </w:t>
      </w:r>
      <w:r w:rsidR="00A00525">
        <w:rPr>
          <w:rFonts w:ascii="Times New Roman" w:hAnsi="Times New Roman" w:cs="Times New Roman"/>
          <w:sz w:val="24"/>
          <w:szCs w:val="24"/>
          <w:lang w:val="en-US"/>
        </w:rPr>
        <w:fldChar w:fldCharType="begin"/>
      </w:r>
      <w:r w:rsidR="00A00525">
        <w:rPr>
          <w:rFonts w:ascii="Times New Roman" w:hAnsi="Times New Roman" w:cs="Times New Roman"/>
          <w:sz w:val="24"/>
          <w:szCs w:val="24"/>
          <w:lang w:val="en-US"/>
        </w:rPr>
        <w:instrText xml:space="preserve"> ADDIN ZOTERO_ITEM CSL_CITATION {"citationID":"xx7vCb6A","properties":{"formattedCitation":"(Pauliuk et al., 2017)","plainCitation":"(Pauliuk et al., 2017)","noteIndex":0},"citationItems":[{"id":2671,"uris":["http://zotero.org/users/666791/items/4GC474U2"],"uri":["http://zotero.org/users/666791/items/4GC474U2"],"itemData":{"id":2671,"type":"article-journal","abstract":"Technology-rich integrated assessment models (IAMs) address possible technology mixes and future costs of climate change mitigation by generating scenarios for the future industrial system. Industrial ecology (IE) focuses on the empirical analysis of this system. We conduct an in-depth review of five major IAMs from an IE perspective and reveal differences between the two fields regarding the modelling of linkages in the industrial system, focussing on AIM/CGE, GCAM, IMAGE, MESSAGE, and REMIND. IAMs ignore material cycles and recycling, incoherently describe the life-cycle impacts of technology, and miss linkages regarding buildings and infrastructure. Adding IE system linkages to IAMs adds new constraints and allows for studying new mitigation options, both of which may lead to more robust and policy-relevant mitigation scenarios.","container-title":"Nature Climate Change","DOI":"10.1038/nclimate3148","ISSN":"1758-678X","issue":"1","journalAbbreviation":"Nature Clim. Change","language":"en","page":"13-20","source":"www.nature.com","title":"Industrial ecology in integrated assessment models","volume":"7","author":[{"family":"Pauliuk","given":"Stefan"},{"family":"Arvesen","given":"Anders"},{"family":"Stadler","given":"Konstantin"},{"family":"Hertwich","given":"Edgar G."}],"issued":{"date-parts":[["2017",1]]}}}],"schema":"https://github.com/citation-style-language/schema/raw/master/csl-citation.json"} </w:instrText>
      </w:r>
      <w:r w:rsidR="00A00525">
        <w:rPr>
          <w:rFonts w:ascii="Times New Roman" w:hAnsi="Times New Roman" w:cs="Times New Roman"/>
          <w:sz w:val="24"/>
          <w:szCs w:val="24"/>
          <w:lang w:val="en-US"/>
        </w:rPr>
        <w:fldChar w:fldCharType="separate"/>
      </w:r>
      <w:r w:rsidR="00A00525" w:rsidRPr="00A00525">
        <w:rPr>
          <w:rFonts w:ascii="Times New Roman" w:hAnsi="Times New Roman" w:cs="Times New Roman"/>
          <w:sz w:val="24"/>
          <w:lang w:val="en-US"/>
        </w:rPr>
        <w:t>(Pauliuk et al., 2017)</w:t>
      </w:r>
      <w:r w:rsidR="00A00525">
        <w:rPr>
          <w:rFonts w:ascii="Times New Roman" w:hAnsi="Times New Roman" w:cs="Times New Roman"/>
          <w:sz w:val="24"/>
          <w:szCs w:val="24"/>
          <w:lang w:val="en-US"/>
        </w:rPr>
        <w:fldChar w:fldCharType="end"/>
      </w:r>
      <w:r w:rsidR="00A00525">
        <w:rPr>
          <w:rFonts w:ascii="Times New Roman" w:hAnsi="Times New Roman" w:cs="Times New Roman"/>
          <w:sz w:val="24"/>
          <w:szCs w:val="24"/>
          <w:lang w:val="en-US"/>
        </w:rPr>
        <w:t xml:space="preserve">. A recent overview of past and present research directions pursued in socio-metabolic research is </w:t>
      </w:r>
      <w:r w:rsidR="00A00525">
        <w:rPr>
          <w:rFonts w:ascii="Times New Roman" w:hAnsi="Times New Roman" w:cs="Times New Roman"/>
          <w:sz w:val="24"/>
          <w:szCs w:val="24"/>
          <w:lang w:val="en-US"/>
        </w:rPr>
        <w:fldChar w:fldCharType="begin"/>
      </w:r>
      <w:r w:rsidR="00A00525">
        <w:rPr>
          <w:rFonts w:ascii="Times New Roman" w:hAnsi="Times New Roman" w:cs="Times New Roman"/>
          <w:sz w:val="24"/>
          <w:szCs w:val="24"/>
          <w:lang w:val="en-US"/>
        </w:rPr>
        <w:instrText xml:space="preserve"> ADDIN ZOTERO_ITEM CSL_CITATION {"citationID":"UomepNLx","properties":{"formattedCitation":"(Haberl et al., 2019)","plainCitation":"(Haberl et al., 2019)","noteIndex":0},"citationItems":[{"id":15980,"uris":["http://zotero.org/users/666791/items/SXS8K78I"],"uri":["http://zotero.org/users/666791/items/SXS8K78I"],"itemData":{"id":15980,"type":"article-journal","abstract":"The United Nations Sustainable Development Goals and other high-level agreements acknowledge the linked nature of social and biophysical systems. This Review explains one research tradition, sociometabolic research, that explores these links. Sociometabolic research uses methods from systems science and allied areas to study the biophysical basis of economic activity. The authors use tangible examples from recent research to demonstrate strengths and weaknesses and then explore future directions.","container-title":"Nature Sustainability","DOI":"10.1038/s41893-019-0225-2","ISSN":"2398-9629","language":"En","page":"173-184","source":"www.nature.com","title":"Contributions of sociometabolic research to sustainability science","volume":"2","author":[{"family":"Haberl","given":"Helmut"},{"family":"Wiedenhofer","given":"Dominik"},{"family":"Pauliuk","given":"Stefan"},{"family":"Krausmann","given":"Fridolin"},{"family":"Müller","given":"Daniel B."},{"family":"Fischer-Kowalski","given":"Marina"}],"issued":{"date-parts":[["2019"]]}}}],"schema":"https://github.com/citation-style-language/schema/raw/master/csl-citation.json"} </w:instrText>
      </w:r>
      <w:r w:rsidR="00A00525">
        <w:rPr>
          <w:rFonts w:ascii="Times New Roman" w:hAnsi="Times New Roman" w:cs="Times New Roman"/>
          <w:sz w:val="24"/>
          <w:szCs w:val="24"/>
          <w:lang w:val="en-US"/>
        </w:rPr>
        <w:fldChar w:fldCharType="separate"/>
      </w:r>
      <w:r w:rsidR="00A00525" w:rsidRPr="00A00525">
        <w:rPr>
          <w:rFonts w:ascii="Times New Roman" w:hAnsi="Times New Roman" w:cs="Times New Roman"/>
          <w:sz w:val="24"/>
          <w:lang w:val="en-US"/>
        </w:rPr>
        <w:t>(Haberl et al., 2019)</w:t>
      </w:r>
      <w:r w:rsidR="00A00525">
        <w:rPr>
          <w:rFonts w:ascii="Times New Roman" w:hAnsi="Times New Roman" w:cs="Times New Roman"/>
          <w:sz w:val="24"/>
          <w:szCs w:val="24"/>
          <w:lang w:val="en-US"/>
        </w:rPr>
        <w:fldChar w:fldCharType="end"/>
      </w:r>
      <w:r w:rsidR="00A00525">
        <w:rPr>
          <w:rFonts w:ascii="Times New Roman" w:hAnsi="Times New Roman" w:cs="Times New Roman"/>
          <w:sz w:val="24"/>
          <w:szCs w:val="24"/>
          <w:lang w:val="en-US"/>
        </w:rPr>
        <w:t>.</w:t>
      </w:r>
    </w:p>
    <w:p w14:paraId="1E61E043" w14:textId="77777777" w:rsidR="00B06174" w:rsidRDefault="00B06174" w:rsidP="00317DF7">
      <w:pPr>
        <w:spacing w:after="0" w:line="240" w:lineRule="auto"/>
        <w:rPr>
          <w:rFonts w:ascii="Times New Roman" w:hAnsi="Times New Roman" w:cs="Times New Roman"/>
          <w:sz w:val="24"/>
          <w:szCs w:val="24"/>
          <w:lang w:val="en-US"/>
        </w:rPr>
      </w:pPr>
    </w:p>
    <w:p w14:paraId="0D44D992" w14:textId="6729D2AE" w:rsidR="00A00525" w:rsidRPr="00A00525" w:rsidRDefault="00CF4646" w:rsidP="00317DF7">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2</w:t>
      </w:r>
      <w:r w:rsidR="00A00525" w:rsidRPr="00A00525">
        <w:rPr>
          <w:rFonts w:ascii="Times New Roman" w:hAnsi="Times New Roman" w:cs="Times New Roman"/>
          <w:b/>
          <w:sz w:val="24"/>
          <w:szCs w:val="24"/>
          <w:lang w:val="en-US"/>
        </w:rPr>
        <w:t>.2 Ecological economics and the ‘scale of human activities’ in the earth system</w:t>
      </w:r>
    </w:p>
    <w:p w14:paraId="67E4D5B7" w14:textId="2B4B6940" w:rsidR="00317DF7" w:rsidRDefault="008B1CD4" w:rsidP="00317DF7">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From its inception, a </w:t>
      </w:r>
      <w:r w:rsidR="00D40098">
        <w:rPr>
          <w:rFonts w:ascii="Times New Roman" w:hAnsi="Times New Roman" w:cs="Times New Roman"/>
          <w:sz w:val="24"/>
          <w:szCs w:val="24"/>
          <w:lang w:val="en-US"/>
        </w:rPr>
        <w:t xml:space="preserve">key tenet </w:t>
      </w:r>
      <w:r>
        <w:rPr>
          <w:rFonts w:ascii="Times New Roman" w:hAnsi="Times New Roman" w:cs="Times New Roman"/>
          <w:sz w:val="24"/>
          <w:szCs w:val="24"/>
          <w:lang w:val="en-US"/>
        </w:rPr>
        <w:t>of scholars pursuing Ecological Economics has been – and still is – that the monetary valuation of costs and benefits is insufficient to capture key processes of society-nature interaction</w:t>
      </w:r>
      <w:r w:rsidR="006D0A9D">
        <w:rPr>
          <w:rFonts w:ascii="Times New Roman" w:hAnsi="Times New Roman" w:cs="Times New Roman"/>
          <w:sz w:val="24"/>
          <w:szCs w:val="24"/>
          <w:lang w:val="en-US"/>
        </w:rPr>
        <w:t xml:space="preserve"> </w:t>
      </w:r>
      <w:r w:rsidR="006D0A9D">
        <w:rPr>
          <w:rFonts w:ascii="Times New Roman" w:hAnsi="Times New Roman" w:cs="Times New Roman"/>
          <w:sz w:val="24"/>
          <w:szCs w:val="24"/>
          <w:lang w:val="en-US"/>
        </w:rPr>
        <w:fldChar w:fldCharType="begin"/>
      </w:r>
      <w:r w:rsidR="006D0A9D">
        <w:rPr>
          <w:rFonts w:ascii="Times New Roman" w:hAnsi="Times New Roman" w:cs="Times New Roman"/>
          <w:sz w:val="24"/>
          <w:szCs w:val="24"/>
          <w:lang w:val="en-US"/>
        </w:rPr>
        <w:instrText xml:space="preserve"> ADDIN ZOTERO_ITEM CSL_CITATION {"citationID":"ebB86jFd","properties":{"formattedCitation":"(Costanza, 1992)","plainCitation":"(Costanza, 1992)","noteIndex":0},"citationItems":[{"id":2477,"uris":["http://zotero.org/users/666791/items/RC696N9W"],"uri":["http://zotero.org/users/666791/items/RC696N9W"],"itemData":{"id":2477,"type":"book","ISBN":"0-231-07563-4","publisher":"Columbia University Press","title":"Ecological economics: the science and management of sustainability","author":[{"family":"Costanza","given":"Robert"}],"issued":{"date-parts":[["1992"]]}}}],"schema":"https://github.com/citation-style-language/schema/raw/master/csl-citation.json"} </w:instrText>
      </w:r>
      <w:r w:rsidR="006D0A9D">
        <w:rPr>
          <w:rFonts w:ascii="Times New Roman" w:hAnsi="Times New Roman" w:cs="Times New Roman"/>
          <w:sz w:val="24"/>
          <w:szCs w:val="24"/>
          <w:lang w:val="en-US"/>
        </w:rPr>
        <w:fldChar w:fldCharType="separate"/>
      </w:r>
      <w:r w:rsidR="006D0A9D" w:rsidRPr="006D0A9D">
        <w:rPr>
          <w:rFonts w:ascii="Times New Roman" w:hAnsi="Times New Roman" w:cs="Times New Roman"/>
          <w:sz w:val="24"/>
          <w:lang w:val="en-US"/>
        </w:rPr>
        <w:t>(Costanza, 1992)</w:t>
      </w:r>
      <w:r w:rsidR="006D0A9D">
        <w:rPr>
          <w:rFonts w:ascii="Times New Roman" w:hAnsi="Times New Roman" w:cs="Times New Roman"/>
          <w:sz w:val="24"/>
          <w:szCs w:val="24"/>
          <w:lang w:val="en-US"/>
        </w:rPr>
        <w:fldChar w:fldCharType="end"/>
      </w:r>
      <w:r w:rsidR="006D0A9D">
        <w:rPr>
          <w:rFonts w:ascii="Times New Roman" w:hAnsi="Times New Roman" w:cs="Times New Roman"/>
          <w:sz w:val="24"/>
          <w:szCs w:val="24"/>
          <w:lang w:val="en-US"/>
        </w:rPr>
        <w:t xml:space="preserve"> as well as environmental justice and conflicts </w:t>
      </w:r>
      <w:r w:rsidR="006D0A9D">
        <w:rPr>
          <w:rFonts w:ascii="Times New Roman" w:hAnsi="Times New Roman" w:cs="Times New Roman"/>
          <w:sz w:val="24"/>
          <w:szCs w:val="24"/>
          <w:lang w:val="en-US"/>
        </w:rPr>
        <w:fldChar w:fldCharType="begin"/>
      </w:r>
      <w:r w:rsidR="006D0A9D">
        <w:rPr>
          <w:rFonts w:ascii="Times New Roman" w:hAnsi="Times New Roman" w:cs="Times New Roman"/>
          <w:sz w:val="24"/>
          <w:szCs w:val="24"/>
          <w:lang w:val="en-US"/>
        </w:rPr>
        <w:instrText xml:space="preserve"> ADDIN ZOTERO_ITEM CSL_CITATION {"citationID":"4yqADqY2","properties":{"formattedCitation":"(Martinez-Alier, 2002)","plainCitation":"(Martinez-Alier, 2002)","noteIndex":0},"citationItems":[{"id":279,"uris":["http://zotero.org/users/666791/items/T4AZAKF4"],"uri":["http://zotero.org/users/666791/items/T4AZAKF4"],"itemData":{"id":279,"type":"book","event-place":"Cheltenham, UK and Northampton, USA","publisher":"Edward Elgar","publisher-place":"Cheltenham, UK and Northampton, USA","title":"The Environmentalism of the Poor. A Study of Ecological Conflicts and Valuation","author":[{"family":"Martinez-Alier","given":"Joan"}],"issued":{"date-parts":[["2002"]]}}}],"schema":"https://github.com/citation-style-language/schema/raw/master/csl-citation.json"} </w:instrText>
      </w:r>
      <w:r w:rsidR="006D0A9D">
        <w:rPr>
          <w:rFonts w:ascii="Times New Roman" w:hAnsi="Times New Roman" w:cs="Times New Roman"/>
          <w:sz w:val="24"/>
          <w:szCs w:val="24"/>
          <w:lang w:val="en-US"/>
        </w:rPr>
        <w:fldChar w:fldCharType="separate"/>
      </w:r>
      <w:r w:rsidR="006D0A9D" w:rsidRPr="006D0A9D">
        <w:rPr>
          <w:rFonts w:ascii="Times New Roman" w:hAnsi="Times New Roman" w:cs="Times New Roman"/>
          <w:sz w:val="24"/>
          <w:lang w:val="en-US"/>
        </w:rPr>
        <w:t>(Martinez-Alier, 2002)</w:t>
      </w:r>
      <w:r w:rsidR="006D0A9D">
        <w:rPr>
          <w:rFonts w:ascii="Times New Roman" w:hAnsi="Times New Roman" w:cs="Times New Roman"/>
          <w:sz w:val="24"/>
          <w:szCs w:val="24"/>
          <w:lang w:val="en-US"/>
        </w:rPr>
        <w:fldChar w:fldCharType="end"/>
      </w:r>
      <w:r w:rsidR="006D0A9D">
        <w:rPr>
          <w:rFonts w:ascii="Times New Roman" w:hAnsi="Times New Roman" w:cs="Times New Roman"/>
          <w:sz w:val="24"/>
          <w:szCs w:val="24"/>
          <w:lang w:val="en-US"/>
        </w:rPr>
        <w:t xml:space="preserve">. </w:t>
      </w:r>
      <w:r>
        <w:rPr>
          <w:rFonts w:ascii="Times New Roman" w:hAnsi="Times New Roman" w:cs="Times New Roman"/>
          <w:sz w:val="24"/>
          <w:szCs w:val="24"/>
          <w:lang w:val="en-US"/>
        </w:rPr>
        <w:t>Hence their critique of ‘weak sustainability’ concepts</w:t>
      </w:r>
      <w:r w:rsidR="006D0A9D">
        <w:rPr>
          <w:rFonts w:ascii="Times New Roman" w:hAnsi="Times New Roman" w:cs="Times New Roman"/>
          <w:sz w:val="24"/>
          <w:szCs w:val="24"/>
          <w:lang w:val="en-US"/>
        </w:rPr>
        <w:t xml:space="preserve"> prevalent in environmental economics, which basically extends cost-benefit analyses by considering environmental ‘externalities’ </w:t>
      </w:r>
      <w:r w:rsidR="006D0A9D">
        <w:rPr>
          <w:rFonts w:ascii="Times New Roman" w:hAnsi="Times New Roman" w:cs="Times New Roman"/>
          <w:sz w:val="24"/>
          <w:szCs w:val="24"/>
          <w:lang w:val="en-US"/>
        </w:rPr>
        <w:fldChar w:fldCharType="begin"/>
      </w:r>
      <w:r w:rsidR="006D0A9D">
        <w:rPr>
          <w:rFonts w:ascii="Times New Roman" w:hAnsi="Times New Roman" w:cs="Times New Roman"/>
          <w:sz w:val="24"/>
          <w:szCs w:val="24"/>
          <w:lang w:val="en-US"/>
        </w:rPr>
        <w:instrText xml:space="preserve"> ADDIN ZOTERO_ITEM CSL_CITATION {"citationID":"Y9r4z5fw","properties":{"formattedCitation":"(Drupp et al., 2020, 2018)","plainCitation":"(Drupp et al., 2020, 2018)","noteIndex":0},"citationItems":[{"id":62001,"uris":["http://zotero.org/users/666791/items/5ELC8SJF"],"uri":["http://zotero.org/users/666791/items/5ELC8SJF"],"itemData":{"id":62001,"type":"article-journal","abstract":"We survey the emerging research area of sustainability economics through a quantitative full-text analysis of peer-reviewed journal publications from 1987 to 2013. To identify relevant contributions, we draw on existing definitions of sustainability economics for a keyword-based identification strategy: a combined focus on (a) the human-nature relationship, (b) the long-term uncertain future, (c) normative orientation towards sustainability, and (d) economic analysis. Our analysis of a random subsample of 343 relevant papers reveals that (i) sustainability economics is a rapidly developing research area; (ii) while theoretical contributions shaped the area in earlier years, applied work now constitutes the largest share of contributions; (iii) the research landscape can be clustered into eleven research clusters. These range from participatory governance of social-ecological systems associated with the work of Elinor Ostrom to questions of intertemporal allocation and distribution applied to climate economics associated with the work of William Nordhaus; (iv) the research area is broad in scope and heterogeneous, and there is relatively little interaction between important clusters; (v) relevant contributions are published in more than 100 journals. Ten journals publish half of all contributions, led by Ecological Economics, and 40% appear in non-economics journals, underscoring the importance of interdisciplinary dialogue.","container-title":"Ecological Economics","DOI":"10.1016/j.ecolecon.2020.106620","ISSN":"0921-8009","journalAbbreviation":"Ecological Economics","language":"en","page":"106620","source":"ScienceDirect","title":"Between Ostrom and Nordhaus: The research landscape of sustainability economics","title-short":"Between Ostrom and Nordhaus","volume":"172","author":[{"family":"Drupp","given":"Moritz A."},{"family":"Baumgärtner","given":"Stefan"},{"family":"Meyer","given":"Moritz"},{"family":"Quaas","given":"Martin F."},{"family":"Wehrden","given":"Henrik","non-dropping-particle":"von"}],"issued":{"date-parts":[["2020",6,1]]}}},{"id":12585,"uris":["http://zotero.org/users/666791/items/E4RCHXDY"],"uri":["http://zotero.org/users/666791/items/E4RCHXDY"],"itemData":{"id":12585,"type":"article-journal","abstract":"Understanding what influences the value of nature is crucial for informing environmental policy. From a sustainability perspective, economic valuation should not only seek to determine a society's willingness to pay for environmental goods to devise an efficient allocation of scarce resources, but should also account for distributional effects to ensure justice. Yet, how economic inequality affects the value of non-market environmental goods remains understudied. Combining recently developed theoretical results with empirical evidence, this Commentary shows that more equal societies have a higher valuation for environmental public goods and that non-market benefits of environmental policy accrue over-proportionally to poorer households. On this ground, we discuss implications for environmental valuation, management and policy-making and identify a number of fruitful areas for future research. We conclude that environmental valuation should explicitly account for economic inequality, and that encompassing assessments of the distributional effects of environmental policies must consider the distribution of non-market environmental benefits.","container-title":"Ecological Economics","DOI":"10.1016/j.ecolecon.2018.03.029","ISSN":"0921-8009","journalAbbreviation":"Ecological Economics","page":"340-345","source":"ScienceDirect","title":"Economic Inequality and the Value of Nature","volume":"150","author":[{"family":"Drupp","given":"Moritz A."},{"family":"Meya","given":"Jasper N."},{"family":"Baumgärtner","given":"Stefan"},{"family":"Quaas","given":"Martin F."}],"issued":{"date-parts":[["2018",8,1]]}}}],"schema":"https://github.com/citation-style-language/schema/raw/master/csl-citation.json"} </w:instrText>
      </w:r>
      <w:r w:rsidR="006D0A9D">
        <w:rPr>
          <w:rFonts w:ascii="Times New Roman" w:hAnsi="Times New Roman" w:cs="Times New Roman"/>
          <w:sz w:val="24"/>
          <w:szCs w:val="24"/>
          <w:lang w:val="en-US"/>
        </w:rPr>
        <w:fldChar w:fldCharType="separate"/>
      </w:r>
      <w:r w:rsidR="006D0A9D" w:rsidRPr="006D0A9D">
        <w:rPr>
          <w:rFonts w:ascii="Times New Roman" w:hAnsi="Times New Roman" w:cs="Times New Roman"/>
          <w:sz w:val="24"/>
          <w:lang w:val="en-US"/>
        </w:rPr>
        <w:t>(Drupp et al., 2020, 2018)</w:t>
      </w:r>
      <w:r w:rsidR="006D0A9D">
        <w:rPr>
          <w:rFonts w:ascii="Times New Roman" w:hAnsi="Times New Roman" w:cs="Times New Roman"/>
          <w:sz w:val="24"/>
          <w:szCs w:val="24"/>
          <w:lang w:val="en-US"/>
        </w:rPr>
        <w:fldChar w:fldCharType="end"/>
      </w:r>
      <w:r w:rsidR="006D0A9D">
        <w:rPr>
          <w:rFonts w:ascii="Times New Roman" w:hAnsi="Times New Roman" w:cs="Times New Roman"/>
          <w:sz w:val="24"/>
          <w:szCs w:val="24"/>
          <w:lang w:val="en-US"/>
        </w:rPr>
        <w:t>.</w:t>
      </w:r>
      <w:r w:rsidR="005E354F">
        <w:rPr>
          <w:rFonts w:ascii="Times New Roman" w:hAnsi="Times New Roman" w:cs="Times New Roman"/>
          <w:sz w:val="24"/>
          <w:szCs w:val="24"/>
          <w:lang w:val="en-US"/>
        </w:rPr>
        <w:t xml:space="preserve"> Such considerations resulted in the establishment of scientific communities such as Ecological Economics, Industrial Ecology, Social Ecology and others, which rejected hegemonial claims of (neo)classical economics</w:t>
      </w:r>
      <w:r w:rsidR="00D40098">
        <w:rPr>
          <w:rFonts w:ascii="Times New Roman" w:hAnsi="Times New Roman" w:cs="Times New Roman"/>
          <w:sz w:val="24"/>
          <w:szCs w:val="24"/>
          <w:lang w:val="en-US"/>
        </w:rPr>
        <w:t xml:space="preserve"> that environmental issues could well be addressed within their conceptual approaches</w:t>
      </w:r>
      <w:r w:rsidR="005E354F">
        <w:rPr>
          <w:rFonts w:ascii="Times New Roman" w:hAnsi="Times New Roman" w:cs="Times New Roman"/>
          <w:sz w:val="24"/>
          <w:szCs w:val="24"/>
          <w:lang w:val="en-US"/>
        </w:rPr>
        <w:t xml:space="preserve">. Instead, proponents of these approaches insist on inter- and transdisciplinary research in which contributions from natural and social sciences as well as the humanities are combined on an equal footing </w:t>
      </w:r>
      <w:r w:rsidR="00321059">
        <w:rPr>
          <w:rFonts w:ascii="Times New Roman" w:hAnsi="Times New Roman" w:cs="Times New Roman"/>
          <w:sz w:val="24"/>
          <w:szCs w:val="24"/>
          <w:lang w:val="en-US"/>
        </w:rPr>
        <w:fldChar w:fldCharType="begin"/>
      </w:r>
      <w:r w:rsidR="00321059">
        <w:rPr>
          <w:rFonts w:ascii="Times New Roman" w:hAnsi="Times New Roman" w:cs="Times New Roman"/>
          <w:sz w:val="24"/>
          <w:szCs w:val="24"/>
          <w:lang w:val="en-US"/>
        </w:rPr>
        <w:instrText xml:space="preserve"> ADDIN ZOTERO_ITEM CSL_CITATION {"citationID":"MCGPoCqL","properties":{"formattedCitation":"(Fischer-Kowalski and Weisz, 1999; Haberl et al., 2016; Winiwarter, 2018)","plainCitation":"(Fischer-Kowalski and Weisz, 1999; Haberl et al., 2016; Winiwarter, 2018)","noteIndex":0},"citationItems":[{"id":1810,"uris":["http://zotero.org/users/666791/items/IB7X8QB5"],"uri":["http://zotero.org/users/666791/items/IB7X8QB5"],"itemData":{"id":1810,"type":"article-journal","container-title":"Advances in Human Ecology","page":"215-251","title":"Society as hybrid between material and symbolic realms","volume":"8","author":[{"family":"Fischer-Kowalski","given":"Marina"},{"family":"Weisz","given":"Helga"}],"issued":{"date-parts":[["1999"]]}}},{"id":2242,"uris":["http://zotero.org/users/666791/items/7CPZ44DV"],"uri":["http://zotero.org/users/666791/items/7CPZ44DV"],"itemData":{"id":2242,"type":"book","event-place":"Dordrecht","number-of-pages":"610","publisher":"Springer, Human-Environment Interactions, no. 5","publisher-place":"Dordrecht","title":"Social Ecology, Society-Nature Relations across Time and Space","author":[{"family":"Haberl","given":"Helmut"},{"family":"Fischer-Kowalski","given":"Marina"},{"family":"Krausmann","given":"Fridolin"},{"family":"Winiwarter","given":"Verena"}],"issued":{"date-parts":[["2016"]]}}},{"id":13113,"uris":["http://zotero.org/users/666791/items/4Z4XCJII"],"uri":["http://zotero.org/users/666791/items/4Z4XCJII"],"itemData":{"id":13113,"type":"article-journal","abstract":"Research about interdisciplinary research is less and less done by those doing it. This paper tries to reflect upon my own interdisciplinary practices and experiences. In the first part, I present an example of successful interdisciplinary research. Then, I attempt to introduce two nested cases of interdisciplinary scholarship and their development, one being my ‘Fakultät’ (which roughly equals a department) and the other, smaller one, being my research group. In the third part, I attempt to offer explanations for the development described with reference to some of the burgeoning literature on interdisciplinarity. Incentive structures, epistemological challenges such as disciplinary capture and structural effects of the hosting university are discussed. In a final section, othering as an inevitable process is used to elucidate the dynamics of developments within and beyond academia and to draw conclusions about the two cases presented.&lt;/p&gt;&lt;/div&gt;","container-title":"European Review","DOI":"10.1017/S1062798718000303","ISSN":"1062-7987, 1474-0575","issue":"S2","language":"en","page":"S85-S98","source":"Cambridge Core","title":"The Other Kind of Research: On the Ambivalent Ties between Disciplinary, Multi-, Inter- and Transdisciplinary Scholarship","title-short":"The Other Kind of Research","volume":"26","author":[{"family":"Winiwarter","given":"Verena"}],"issued":{"date-parts":[["2018"]]}}}],"schema":"https://github.com/citation-style-language/schema/raw/master/csl-citation.json"} </w:instrText>
      </w:r>
      <w:r w:rsidR="00321059">
        <w:rPr>
          <w:rFonts w:ascii="Times New Roman" w:hAnsi="Times New Roman" w:cs="Times New Roman"/>
          <w:sz w:val="24"/>
          <w:szCs w:val="24"/>
          <w:lang w:val="en-US"/>
        </w:rPr>
        <w:fldChar w:fldCharType="separate"/>
      </w:r>
      <w:r w:rsidR="00321059" w:rsidRPr="00321059">
        <w:rPr>
          <w:rFonts w:ascii="Times New Roman" w:hAnsi="Times New Roman" w:cs="Times New Roman"/>
          <w:sz w:val="24"/>
          <w:lang w:val="en-US"/>
        </w:rPr>
        <w:t>(Fischer-Kowalski and Weisz, 1999; Haberl et al., 2016; Winiwarter, 2018)</w:t>
      </w:r>
      <w:r w:rsidR="00321059">
        <w:rPr>
          <w:rFonts w:ascii="Times New Roman" w:hAnsi="Times New Roman" w:cs="Times New Roman"/>
          <w:sz w:val="24"/>
          <w:szCs w:val="24"/>
          <w:lang w:val="en-US"/>
        </w:rPr>
        <w:fldChar w:fldCharType="end"/>
      </w:r>
      <w:r w:rsidR="00321059">
        <w:rPr>
          <w:rFonts w:ascii="Times New Roman" w:hAnsi="Times New Roman" w:cs="Times New Roman"/>
          <w:sz w:val="24"/>
          <w:szCs w:val="24"/>
          <w:lang w:val="en-US"/>
        </w:rPr>
        <w:t>.</w:t>
      </w:r>
    </w:p>
    <w:p w14:paraId="59B8BD55" w14:textId="42C2DE9E" w:rsidR="00317DF7" w:rsidRDefault="00317DF7" w:rsidP="00317DF7">
      <w:pPr>
        <w:spacing w:after="0" w:line="240" w:lineRule="auto"/>
        <w:rPr>
          <w:rFonts w:ascii="Times New Roman" w:hAnsi="Times New Roman" w:cs="Times New Roman"/>
          <w:sz w:val="24"/>
          <w:szCs w:val="24"/>
          <w:lang w:val="en-US"/>
        </w:rPr>
      </w:pPr>
    </w:p>
    <w:p w14:paraId="671E4AF7" w14:textId="285B15C9" w:rsidR="00C24305" w:rsidRDefault="002A45AC" w:rsidP="00317DF7">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Accordingly, the quantif</w:t>
      </w:r>
      <w:r w:rsidR="00234C65">
        <w:rPr>
          <w:rFonts w:ascii="Times New Roman" w:hAnsi="Times New Roman" w:cs="Times New Roman"/>
          <w:sz w:val="24"/>
          <w:szCs w:val="24"/>
          <w:lang w:val="en-US"/>
        </w:rPr>
        <w:t>ication of</w:t>
      </w:r>
      <w:r>
        <w:rPr>
          <w:rFonts w:ascii="Times New Roman" w:hAnsi="Times New Roman" w:cs="Times New Roman"/>
          <w:sz w:val="24"/>
          <w:szCs w:val="24"/>
          <w:lang w:val="en-US"/>
        </w:rPr>
        <w:t xml:space="preserve"> the use of biophysical resources (energy, materials, as well as specific chemical compounds or substances) emerged as an important approach to the analysis of the ‘biophysical economy’ </w:t>
      </w:r>
      <w:r>
        <w:rPr>
          <w:rFonts w:ascii="Times New Roman" w:hAnsi="Times New Roman" w:cs="Times New Roman"/>
          <w:sz w:val="24"/>
          <w:szCs w:val="24"/>
          <w:lang w:val="en-US"/>
        </w:rPr>
        <w:fldChar w:fldCharType="begin"/>
      </w:r>
      <w:r w:rsidR="00DC2D34">
        <w:rPr>
          <w:rFonts w:ascii="Times New Roman" w:hAnsi="Times New Roman" w:cs="Times New Roman"/>
          <w:sz w:val="24"/>
          <w:szCs w:val="24"/>
          <w:lang w:val="en-US"/>
        </w:rPr>
        <w:instrText xml:space="preserve"> ADDIN ZOTERO_ITEM CSL_CITATION {"citationID":"6SypYVnJ","properties":{"formattedCitation":"(Ayres and Warr, 2009; Daniels, 2002; Gerber and Scheidel, 2018; Hall et al., 2001; K\\uc0\\u252{}mmel, 2011)","plainCitation":"(Ayres and Warr, 2009; Daniels, 2002; Gerber and Scheidel, 2018; Hall et al., 2001; Kümmel, 2011)","noteIndex":0},"citationItems":[{"id":1185,"uris":["http://zotero.org/users/666791/items/GSZGU53F"],"uri":["http://zotero.org/users/666791/items/GSZGU53F"],"itemData":{"id":1185,"type":"book","event-place":"Cheltenham, UK ; Northampton, MA","publisher":"Edward Elgar","publisher-place":"Cheltenham, UK ; Northampton, MA","title":"The Economic Growth Engine: How Energy And Work Drive Material Prosperity","author":[{"family":"Ayres","given":"Robert U."},{"family":"Warr","given":"Benjamin"}],"issued":{"date-parts":[["2009"]]}}},{"id":490,"uris":["http://zotero.org/users/666791/items/J89PI9C9"],"uri":["http://zotero.org/users/666791/items/J89PI9C9"],"itemData":{"id":490,"type":"article-journal","abstract":"This article is the second of a two-part series that describes and compares the essential features of nine “physical economy” approaches for mapping and quantifying the material demands of the human economy upon the natural environ-ment. These approaches are critical tools in the design and implementation of industrial ecology strategies for greater eco-efficiency and reduced environmental impacts of human economic activity. Part I of the series provided an overview, meth-odological classification, and comparison of a selected set of major materials flow analysis (MFA) and related techniques. This sequel includes a convenient reference and overview of the major metabolism measurement approaches in the form of a more detailed summary of the key specific analytical and other features of the approaches introduced in part I. The surveyed physical economy related environmental analysis ap-proaches include total material requirement and output mod-els, bulk MFA (IFF (Department of Social Ecology, Institute for Interdiscplinary Studies of Austrian Universities) material flow balance model variant), physical input-output tables, substance flow analysis, ecological footprint analysis, environmental space, material intensity per unit service, life-cycle assessment (LCA), the sustainable process index, and company-level MFA.","container-title":"Journal of Industrial Ecology","DOI":"10.1162/108819802320971641","ISSN":"1530-9290","issue":"1","language":"en","page":"65-88","source":"Wiley Online Library","title":"Approaches for Quantifying the Metabolism of Physical Economies: A Comparative Survey: Part II: Review of Individual Approaches","title-short":"Approaches for Quantifying the Metabolism of Physical Economies","volume":"6","author":[{"family":"Daniels","given":"Peter L"}],"issued":{"date-parts":[["2002",1,1]]}}},{"id":43,"uris":["http://zotero.org/users/666791/items/NI8GJFJ3"],"uri":["http://zotero.org/users/666791/items/NI8GJFJ3"],"itemData":{"id":43,"type":"article-journal","container-title":"Ecological Economics","DOI":"10.1016/j.ecolecon.2017.08.012","ISSN":"09218009","language":"en","page":"186-194","source":"CrossRef","title":"In Search of Substantive Economics: Comparing Today's Two Major Socio-metabolic Approaches to the Economy – MEFA and MuSIASEM","title-short":"In Search of Substantive Economics","volume":"144","author":[{"family":"Gerber","given":"Julien-François"},{"family":"Scheidel","given":"Arnim"}],"issued":{"date-parts":[["2018",2]]}}},{"id":2848,"uris":["http://zotero.org/users/666791/items/QFHUI5AG"],"uri":["http://zotero.org/users/666791/items/QFHUI5AG"],"itemData":{"id":2848,"type":"article-journal","abstract":"“How long will researchers working in adjoining fields…abstain from expressing serious concern about the splendid isolation in which academic economics now finds itself?” Wassily Leontief, Nobel laureate in economics, asked almost two decades ago (Leontief 1982, p. 104). The question is extremely important, because economics is the foundation on which most decisions affecting agriculture, fisheries, the environment, and, indeed, most aspects of our daily lives are based. Natural scientists, inclu</w:instrText>
      </w:r>
      <w:r w:rsidR="00DC2D34" w:rsidRPr="00DC2D34">
        <w:rPr>
          <w:rFonts w:ascii="Times New Roman" w:hAnsi="Times New Roman" w:cs="Times New Roman"/>
          <w:sz w:val="24"/>
          <w:szCs w:val="24"/>
        </w:rPr>
        <w:instrText xml:space="preserve">ding biological scientists, may have particular views on this or that economic policy, but few question the legitimacy of economics as a tool. We believe that, paraphrasing the great Prussian military historian Carl von Clausewitz, economics is too important to leave to the economists, and that natural scientists should not leave the procedures by which we undertake economics up to economists alone. Instead, natural scientists must contribute to a new discourse about...","container-title":"BioScience","DOI":"10.1641/0006-3568(2001)051[0663:TNTRTN]2.0.CO;2","ISSN":"0006-3568","issue":"8","journalAbbreviation":"BioScience","page":"663-673","source":"academic.oup.com","title":"The Need to Reintegrate the Natural Sciences with Economics","volume":"51","author":[{"family":"Hall","given":"Charles"},{"family":"Lindenberger","given":"Dietmar"},{"family":"Kümmel","given":"Reiner"},{"family":"Kroeger","given":"Timm"},{"family":"Eichhorn","given":"Wolfgang"}],"issued":{"date-parts":[["2001",8,1]]}}},{"id":2849,"uris":["http://zotero.org/users/666791/items/ZMD2IW9E"],"uri":["http://zotero.org/users/666791/items/ZMD2IW9E"],"itemData":{"id":2849,"type":"book","event-place":"New York","publisher":"Springer","publisher-place":"New York","title":"The Second Law of Economics, Energy, Entropy and the Origins of Wealth","author":[{"family":"Kümmel","given":"Reiner"}],"issued":{"date-parts":[["2011"]]}}}],"schema":"https://github.com/citation-style-language/schema/raw/master/csl-citation.json"} </w:instrText>
      </w:r>
      <w:r>
        <w:rPr>
          <w:rFonts w:ascii="Times New Roman" w:hAnsi="Times New Roman" w:cs="Times New Roman"/>
          <w:sz w:val="24"/>
          <w:szCs w:val="24"/>
          <w:lang w:val="en-US"/>
        </w:rPr>
        <w:fldChar w:fldCharType="separate"/>
      </w:r>
      <w:r w:rsidR="00DC2D34" w:rsidRPr="00DC2D34">
        <w:rPr>
          <w:rFonts w:ascii="Times New Roman" w:hAnsi="Times New Roman" w:cs="Times New Roman"/>
          <w:sz w:val="24"/>
          <w:szCs w:val="24"/>
        </w:rPr>
        <w:t>(Ayres and Warr, 2009; Daniels, 2002; Gerber and Scheidel, 2018; Hall et al., 2001; Kümmel, 2011)</w:t>
      </w:r>
      <w:r>
        <w:rPr>
          <w:rFonts w:ascii="Times New Roman" w:hAnsi="Times New Roman" w:cs="Times New Roman"/>
          <w:sz w:val="24"/>
          <w:szCs w:val="24"/>
          <w:lang w:val="en-US"/>
        </w:rPr>
        <w:fldChar w:fldCharType="end"/>
      </w:r>
      <w:r w:rsidRPr="00DC2D34">
        <w:rPr>
          <w:rFonts w:ascii="Times New Roman" w:hAnsi="Times New Roman" w:cs="Times New Roman"/>
          <w:sz w:val="24"/>
          <w:szCs w:val="24"/>
        </w:rPr>
        <w:t xml:space="preserve">. </w:t>
      </w:r>
      <w:r w:rsidR="00F91A56">
        <w:rPr>
          <w:rFonts w:ascii="Times New Roman" w:hAnsi="Times New Roman" w:cs="Times New Roman"/>
          <w:sz w:val="24"/>
          <w:szCs w:val="24"/>
          <w:lang w:val="en-US"/>
        </w:rPr>
        <w:t xml:space="preserve">Such research has revealed </w:t>
      </w:r>
      <w:r w:rsidR="002F0326">
        <w:rPr>
          <w:rFonts w:ascii="Times New Roman" w:hAnsi="Times New Roman" w:cs="Times New Roman"/>
          <w:sz w:val="24"/>
          <w:szCs w:val="24"/>
          <w:lang w:val="en-US"/>
        </w:rPr>
        <w:t xml:space="preserve">that human activities are becoming an increasingly important driver of processes in the earth system that alter global biogeochemical processes such as pools and fluxes of carbon, nitrogen or water, </w:t>
      </w:r>
      <w:r w:rsidR="002F0326">
        <w:rPr>
          <w:rFonts w:ascii="Times New Roman" w:hAnsi="Times New Roman" w:cs="Times New Roman"/>
          <w:sz w:val="24"/>
          <w:szCs w:val="24"/>
          <w:lang w:val="en-US"/>
        </w:rPr>
        <w:lastRenderedPageBreak/>
        <w:t>composition and diversity of biotic communities as well as the climate system</w:t>
      </w:r>
      <w:r w:rsidR="00F91A56">
        <w:rPr>
          <w:rFonts w:ascii="Times New Roman" w:hAnsi="Times New Roman" w:cs="Times New Roman"/>
          <w:sz w:val="24"/>
          <w:szCs w:val="24"/>
          <w:lang w:val="en-US"/>
        </w:rPr>
        <w:t xml:space="preserve">, hence supporting notions such as the ‘Anthropocene’ </w:t>
      </w:r>
      <w:r w:rsidR="00F91A56">
        <w:rPr>
          <w:rFonts w:ascii="Times New Roman" w:hAnsi="Times New Roman" w:cs="Times New Roman"/>
          <w:sz w:val="24"/>
          <w:szCs w:val="24"/>
          <w:lang w:val="en-US"/>
        </w:rPr>
        <w:fldChar w:fldCharType="begin"/>
      </w:r>
      <w:r w:rsidR="00F91A56">
        <w:rPr>
          <w:rFonts w:ascii="Times New Roman" w:hAnsi="Times New Roman" w:cs="Times New Roman"/>
          <w:sz w:val="24"/>
          <w:szCs w:val="24"/>
          <w:lang w:val="en-US"/>
        </w:rPr>
        <w:instrText xml:space="preserve"> ADDIN ZOTERO_ITEM CSL_CITATION {"citationID":"sLBfQYQK","properties":{"formattedCitation":"(Crutzen, 2002)","plainCitation":"(Crutzen, 2002)","noteIndex":0},"citationItems":[{"id":295,"uris":["http://zotero.org/users/666791/items/AFZHNUUK"],"uri":["http://zotero.org/users/666791/items/AFZHNUUK"],"itemData":{"id":295,"type":"article-journal","container-title":"Nature","issue":"6867","page":"23–23","source":"Google Scholar","title":"Geology of mankind","volume":"415","author":[{"family":"Crutzen","given":"P.J."}],"issued":{"date-parts":[["2002"]]}}}],"schema":"https://github.com/citation-style-language/schema/raw/master/csl-citation.json"} </w:instrText>
      </w:r>
      <w:r w:rsidR="00F91A56">
        <w:rPr>
          <w:rFonts w:ascii="Times New Roman" w:hAnsi="Times New Roman" w:cs="Times New Roman"/>
          <w:sz w:val="24"/>
          <w:szCs w:val="24"/>
          <w:lang w:val="en-US"/>
        </w:rPr>
        <w:fldChar w:fldCharType="separate"/>
      </w:r>
      <w:r w:rsidR="00F91A56" w:rsidRPr="00F91A56">
        <w:rPr>
          <w:rFonts w:ascii="Times New Roman" w:hAnsi="Times New Roman" w:cs="Times New Roman"/>
          <w:sz w:val="24"/>
          <w:lang w:val="en-US"/>
        </w:rPr>
        <w:t>(Crutzen, 2002)</w:t>
      </w:r>
      <w:r w:rsidR="00F91A56">
        <w:rPr>
          <w:rFonts w:ascii="Times New Roman" w:hAnsi="Times New Roman" w:cs="Times New Roman"/>
          <w:sz w:val="24"/>
          <w:szCs w:val="24"/>
          <w:lang w:val="en-US"/>
        </w:rPr>
        <w:fldChar w:fldCharType="end"/>
      </w:r>
      <w:r w:rsidR="002F0326">
        <w:rPr>
          <w:rFonts w:ascii="Times New Roman" w:hAnsi="Times New Roman" w:cs="Times New Roman"/>
          <w:sz w:val="24"/>
          <w:szCs w:val="24"/>
          <w:lang w:val="en-US"/>
        </w:rPr>
        <w:t xml:space="preserve">. Gauging the ‘scale’ of human activities on earth requires quantification of stocks and flows of biophysical resources associated with them, in other words, assessments of social metabolism </w:t>
      </w:r>
      <w:r w:rsidR="002F0326">
        <w:rPr>
          <w:rFonts w:ascii="Times New Roman" w:hAnsi="Times New Roman" w:cs="Times New Roman"/>
          <w:sz w:val="24"/>
          <w:szCs w:val="24"/>
          <w:lang w:val="en-US"/>
        </w:rPr>
        <w:fldChar w:fldCharType="begin"/>
      </w:r>
      <w:r w:rsidR="002F0326">
        <w:rPr>
          <w:rFonts w:ascii="Times New Roman" w:hAnsi="Times New Roman" w:cs="Times New Roman"/>
          <w:sz w:val="24"/>
          <w:szCs w:val="24"/>
          <w:lang w:val="en-US"/>
        </w:rPr>
        <w:instrText xml:space="preserve"> ADDIN ZOTERO_ITEM CSL_CITATION {"citationID":"d73YELcx","properties":{"formattedCitation":"(Boulding, 1972; Costanza, 1992; Daly, 1968; Martinez-Alier, 1987)","plainCitation":"(Boulding, 1972; Costanza, 1992; Daly, 1968; Martinez-Alier, 1987)","noteIndex":0},"citationItems":[{"id":619,"uris":["http://zotero.org/users/666791/items/783ZCUW8"],"uri":["http://zotero.org/users/666791/items/783ZCUW8"],"itemData":{"id":619,"type":"chapter","container-title":"Steady State Economics","event-place":"San Francisco","page":"121-132","publisher":"W.H. Freeman","publisher-place":"San Francisco","title":"The Economics of the Coming Spaceship Earth","author":[{"family":"Boulding","given":"Kenneth"}],"editor":[{"family":"Daly","given":"Herman E."}],"issued":{"date-parts":[["1972"]]}}},{"id":2477,"uris":["http://zotero.org/users/666791/items/RC696N9W"],"uri":["http://zotero.org/users/666791/items/RC696N9W"],"itemData":{"id":2477,"type":"book","ISBN":"0-231-07563-4","publisher":"Columbia University Press","title":"Ecological economics: the science and management of sustainability","author":[{"family":"Costanza","given":"Robert"}],"issued":{"date-parts":[["1992"]]}}},{"id":28848,"uris":["http://zotero.org/users/666791/items/MBCNEBID"],"uri":["http://zotero.org/users/666791/items/MBCNEBID"],"itemData":{"id":28848,"type":"article-journal","container-title":"Journal of Political Economy","DOI":"10.1086/259412","ISSN":"0022-3808","issue":"3","journalAbbreviation":"Journal of Political Economy","page":"392-406","source":"journals.uchicago.edu (Atypon)","title":"On Economics as a Life Science","volume":"76","author":[{"family":"Daly","given":"Herman E."}],"issued":{"date-parts":[["1968",5,1]]}}},{"id":280,"uris":["http://zotero.org/users/666791/items/752ZUU7R"],"uri":["http://zotero.org/users/666791/items/752ZUU7R"],"itemData":{"id":280,"type":"book","event-place":"Oxford, UK","publisher":"Blackwell","publisher-place":"Oxford, UK","title":"Ecological Economics. Energy, Environment and Society","author":[{"family":"Martinez-Alier","given":"Joan"}],"issued":{"date-parts":[["1987"]]}}}],"schema":"https://github.com/citation-style-language/schema/raw/master/csl-citation.json"} </w:instrText>
      </w:r>
      <w:r w:rsidR="002F0326">
        <w:rPr>
          <w:rFonts w:ascii="Times New Roman" w:hAnsi="Times New Roman" w:cs="Times New Roman"/>
          <w:sz w:val="24"/>
          <w:szCs w:val="24"/>
          <w:lang w:val="en-US"/>
        </w:rPr>
        <w:fldChar w:fldCharType="separate"/>
      </w:r>
      <w:r w:rsidR="002F0326" w:rsidRPr="002F0326">
        <w:rPr>
          <w:rFonts w:ascii="Times New Roman" w:hAnsi="Times New Roman" w:cs="Times New Roman"/>
          <w:sz w:val="24"/>
          <w:lang w:val="en-US"/>
        </w:rPr>
        <w:t>(Boulding, 1972; Costanza, 1992; Daly, 1968; Martinez-Alier, 1987)</w:t>
      </w:r>
      <w:r w:rsidR="002F0326">
        <w:rPr>
          <w:rFonts w:ascii="Times New Roman" w:hAnsi="Times New Roman" w:cs="Times New Roman"/>
          <w:sz w:val="24"/>
          <w:szCs w:val="24"/>
          <w:lang w:val="en-US"/>
        </w:rPr>
        <w:fldChar w:fldCharType="end"/>
      </w:r>
      <w:r w:rsidR="002F0326">
        <w:rPr>
          <w:rFonts w:ascii="Times New Roman" w:hAnsi="Times New Roman" w:cs="Times New Roman"/>
          <w:sz w:val="24"/>
          <w:szCs w:val="24"/>
          <w:lang w:val="en-US"/>
        </w:rPr>
        <w:t xml:space="preserve">. Today we know that the mass of all material stocks accumulated globally by humans is about as large as that of all living organisms on </w:t>
      </w:r>
      <w:r w:rsidR="005E354F">
        <w:rPr>
          <w:rFonts w:ascii="Times New Roman" w:hAnsi="Times New Roman" w:cs="Times New Roman"/>
          <w:sz w:val="24"/>
          <w:szCs w:val="24"/>
          <w:lang w:val="en-US"/>
        </w:rPr>
        <w:t xml:space="preserve">all land on </w:t>
      </w:r>
      <w:r w:rsidR="002F0326">
        <w:rPr>
          <w:rFonts w:ascii="Times New Roman" w:hAnsi="Times New Roman" w:cs="Times New Roman"/>
          <w:sz w:val="24"/>
          <w:szCs w:val="24"/>
          <w:lang w:val="en-US"/>
        </w:rPr>
        <w:t xml:space="preserve">earth </w:t>
      </w:r>
      <w:r w:rsidR="002F0326">
        <w:rPr>
          <w:rFonts w:ascii="Times New Roman" w:hAnsi="Times New Roman" w:cs="Times New Roman"/>
          <w:sz w:val="24"/>
          <w:szCs w:val="24"/>
          <w:lang w:val="en-US"/>
        </w:rPr>
        <w:fldChar w:fldCharType="begin"/>
      </w:r>
      <w:r w:rsidR="00F91A56">
        <w:rPr>
          <w:rFonts w:ascii="Times New Roman" w:hAnsi="Times New Roman" w:cs="Times New Roman"/>
          <w:sz w:val="24"/>
          <w:szCs w:val="24"/>
          <w:lang w:val="en-US"/>
        </w:rPr>
        <w:instrText xml:space="preserve"> ADDIN ZOTERO_ITEM CSL_CITATION {"citationID":"Pv3YzZNG","properties":{"formattedCitation":"(Elhacham et al., 2020; Erb et al., 2018; Krausmann et al., 2017b)","plainCitation":"(Elhacham et al., 2020; Erb et al., 2018; Krausmann et al., 2017b)","noteIndex":0},"citationItems":[{"id":70689,"uris":["http://zotero.org/users/666791/items/WXSQQN7F"],"uri":["http://zotero.org/users/666791/items/WXSQQN7F"],"itemData":{"id":70689,"type":"article-journal","abstract":"Humanity has become a dominant force in shaping the face of Earth1–9. An emerging question is how the overall material output of human activities compares to the overall natural biomass. Here we quantify the human-made mass, referred to as ‘anthropogenic mass’, and compare it to the overall living biomass on Earth, which currently equals approximately 1.1 teratonnes10,11. We find that Earth is exactly at the crossover point; in the year 2020 (± 6), the anthropogenic mass, which has recently doubled roughly every 20 years, will surpass all global living biomass. On average, for each person on the globe, anthropogenic mass equal to more than his or her bodyweight is produced every week. This quantification of the human enterprise gives a mass-based quantitative and symbolic characterization of the human-induced epoch of the Anthropocene.","container-title":"Nature","DOI":"10.1038/s41586-020-3010-5","ISSN":"1476-4687","language":"en","note":"publisher: Nature Publishing Group","page":"442-444","source":"www.nature.com","title":"Global human-made mass exceeds all living biomass","volume":"588","author":[{"family":"Elhacham","given":"Emily"},{"family":"Ben-Uri","given":"Liad"},{"family":"Grozovski","given":"Jonathan"},{"family":"Bar-On","given":"Yinon M."},{"family":"Milo","given":"Ron"}],"issued":{"date-parts":[["2020",12,9]]}}},{"id":12642,"uris":["http://zotero.org/users/666791/items/MDP65R6M"],"uri":["http://zotero.org/users/666791/items/MDP65R6M"],"itemData":{"id":12642,"type":"article-journal","abstract":"Carbon stocks in vegetation have a key role in the climate system1,2,3,4. However, the magnitude, patterns and uncertainties of carbon stocks and the effect of land use on the stocks remain poorly quantified. Here we show, using state-of-the-art datasets, that vegetation currently stores around 450 petagrams of carbon. In the hypothetical absence of land use, potential vegetation would store around 916 petagrams of carbon, under current climate conditions. This difference highlights the massive effect of land use on biomass stocks. Deforestation and other land-cover changes are responsible for 53–58% of the difference between current and potential biomass stocks. Land management effects (the biomass stock changes induced by land use within the same land cover) contribute 42–47%, but have been underestimated in the literature. Therefore, avoiding deforestation is necessary but not sufficient for mitigation of climate change. Our results imply that trade-offs exist between conserving carbon stocks on managed land and raising the contribution of biomass to raw material and energy supply for the mitigation of climate change. Efforts to raise biomass stocks are currently verifiable only in temperate forests, where their potential is limited. By contrast, large uncertainties hinder verification in the tropical forest, where the largest potential is located, pointing to challenges for the upcoming stocktaking exercises under the Paris agreement.","container-title":"Nature","DOI":"10.1038/nature25138","ISSN":"1476-4687","issue":"7686","language":"en","page":"73-76","source":"www.nature.com","title":"Unexpectedly large impact of forest management and grazing on global vegetation biomass","volume":"553","author":[{"family</w:instrText>
      </w:r>
      <w:r w:rsidR="00F91A56" w:rsidRPr="00F91A56">
        <w:rPr>
          <w:rFonts w:ascii="Times New Roman" w:hAnsi="Times New Roman" w:cs="Times New Roman"/>
          <w:sz w:val="24"/>
          <w:szCs w:val="24"/>
        </w:rPr>
        <w:instrText xml:space="preserve">":"Erb","given":"Karl-Heinz"},{"family":"Kastner","given":"Thomas"},{"family":"Plutzar","given":"Christoph"},{"family":"Bais","given":"Anna Liza S."},{"family":"Carvalhais","given":"Nuno"},{"family":"Fetzel","given":"Tamara"},{"family":"Gingrich","given":"Simone"},{"family":"Haberl","given":"Helmut"},{"family":"Lauk","given":"Christian"},{"family":"Niedertscheider","given":"Maria"},{"family":"Pongratz","given":"Julia"},{"family":"Thurner","given":"Martin"},{"family":"Luyssaert","given":"Sebastiaan"}],"issued":{"date-parts":[["2018",1]]}}},{"id":2700,"uris":["http://zotero.org/users/666791/items/CQ6IUX5T"],"uri":["http://zotero.org/users/666791/items/CQ6IUX5T"],"itemData":{"id":2700,"type":"article-journal","container-title":"Proceedings of the National Academy of Sciences of the USA","DOI":"https://doi.org/10.1073/pnas.1613773114","issue":"8","page":"1880-1885","title":"Global socioeconomic material stocks rise 23-fold over the 20th century and require half of annual resource use","volume":"114","author":[{"family":"Krausmann","given":"Fridolin"},{"family":"Wiedenhofer","given":"Dominik"},{"family":"Lauk","given":"Christian"},{"family":"Haas","given":"Willi"},{"family":"Tanikawa","given":"Hiroki"},{"family":"Fishman","given":"Tomer"},{"family":"Miatto","given":"Alessandro"},{"family":"Schandl","given":"Heinz"},{"family":"Haberl","given":"Helmut"}],"issued":{"date-parts":[["2017"]]}}}],"schema":"https://github.com/citation-style-language/schema/raw/master/csl-citation.json"} </w:instrText>
      </w:r>
      <w:r w:rsidR="002F0326">
        <w:rPr>
          <w:rFonts w:ascii="Times New Roman" w:hAnsi="Times New Roman" w:cs="Times New Roman"/>
          <w:sz w:val="24"/>
          <w:szCs w:val="24"/>
          <w:lang w:val="en-US"/>
        </w:rPr>
        <w:fldChar w:fldCharType="separate"/>
      </w:r>
      <w:r w:rsidR="00F91A56" w:rsidRPr="00F91A56">
        <w:rPr>
          <w:rFonts w:ascii="Times New Roman" w:hAnsi="Times New Roman" w:cs="Times New Roman"/>
          <w:sz w:val="24"/>
        </w:rPr>
        <w:t>(Elhacham et al., 2020; Erb et al., 2018; Krausmann et al., 2017b)</w:t>
      </w:r>
      <w:r w:rsidR="002F0326">
        <w:rPr>
          <w:rFonts w:ascii="Times New Roman" w:hAnsi="Times New Roman" w:cs="Times New Roman"/>
          <w:sz w:val="24"/>
          <w:szCs w:val="24"/>
          <w:lang w:val="en-US"/>
        </w:rPr>
        <w:fldChar w:fldCharType="end"/>
      </w:r>
      <w:r w:rsidR="002F0326" w:rsidRPr="005E354F">
        <w:rPr>
          <w:rFonts w:ascii="Times New Roman" w:hAnsi="Times New Roman" w:cs="Times New Roman"/>
          <w:sz w:val="24"/>
          <w:szCs w:val="24"/>
        </w:rPr>
        <w:t>.</w:t>
      </w:r>
      <w:r w:rsidR="005E354F" w:rsidRPr="005E354F">
        <w:rPr>
          <w:rFonts w:ascii="Times New Roman" w:hAnsi="Times New Roman" w:cs="Times New Roman"/>
          <w:sz w:val="24"/>
          <w:szCs w:val="24"/>
        </w:rPr>
        <w:t xml:space="preserve"> </w:t>
      </w:r>
    </w:p>
    <w:p w14:paraId="52FF0E7F" w14:textId="77777777" w:rsidR="00C24305" w:rsidRDefault="00C24305" w:rsidP="00317DF7">
      <w:pPr>
        <w:spacing w:after="0" w:line="240" w:lineRule="auto"/>
        <w:rPr>
          <w:rFonts w:ascii="Times New Roman" w:hAnsi="Times New Roman" w:cs="Times New Roman"/>
          <w:sz w:val="24"/>
          <w:szCs w:val="24"/>
        </w:rPr>
      </w:pPr>
    </w:p>
    <w:p w14:paraId="48E3285E" w14:textId="0FD25369" w:rsidR="002A45AC" w:rsidRPr="00C24305" w:rsidRDefault="00717C4B" w:rsidP="00317DF7">
      <w:pPr>
        <w:spacing w:after="0" w:line="240" w:lineRule="auto"/>
        <w:rPr>
          <w:rFonts w:ascii="Times New Roman" w:hAnsi="Times New Roman" w:cs="Times New Roman"/>
          <w:sz w:val="24"/>
          <w:szCs w:val="24"/>
          <w:lang w:val="en-US"/>
        </w:rPr>
      </w:pPr>
      <w:r w:rsidRPr="00717C4B">
        <w:rPr>
          <w:rFonts w:ascii="Times New Roman" w:hAnsi="Times New Roman" w:cs="Times New Roman"/>
          <w:sz w:val="24"/>
          <w:szCs w:val="24"/>
          <w:lang w:val="en-US"/>
        </w:rPr>
        <w:t>The ‚great acceleration‘ of human resource use and environmental i</w:t>
      </w:r>
      <w:r>
        <w:rPr>
          <w:rFonts w:ascii="Times New Roman" w:hAnsi="Times New Roman" w:cs="Times New Roman"/>
          <w:sz w:val="24"/>
          <w:szCs w:val="24"/>
          <w:lang w:val="en-US"/>
        </w:rPr>
        <w:t xml:space="preserve">mpacts in the last 100-200 years, in particular after World War II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{"citationID":"Hmx5bre0","properties":{"formattedCitation":"(Steffen et al., 2015)","plainCitation":"(Steffen et al., 2015)","noteIndex":0},"citationItems":[{"id":1654,"uris":["http://zotero.org/users/666791/items/J74JG6CB"],"uri":["http://zotero.org/users/666791/items/J74JG6CB"],"itemData":{"id":1654,"type":"article-journal","abstract":"The ‘Great Acceleration’ graphs, originally published in 2004 to show socio-economic and Earth System trends from 1750 to 2000, have now been updated to 2010. In the graphs of socio-economic trends, where the data permit, the activity of the wealthy (OECD) countries, those countries with emerging economies, and the rest of the world have now been differentiated. The dominant feature of the socio-economic trends is that the economic activity of the human enterprise continues to grow at a rapid rate. However, the differentiated graphs clearly show that strong equity issues are masked by considering global aggregates only. Most of the population growth since 1950 has been in the non-OECD world but the world’s economy (GDP), and hence consumption, is still strongly dominated by the OECD world. The Earth System indicators, in general, continued their long-term, post-industrial rise, although a few, such as atmospheric methane concentration and stratospheric ozone loss, showed a slowing or apparent stabilisation over the past decade. The post-1950 acceleration in the Earth System indicators remains clear. Only beyond the mid-20th century is there clear evidence for fundamental shifts in the state and functioning of the Earth System that are beyond the range of variability of the Holocene and driven by human activities. Thus, of all the candidates for a start date for the Anthropocene, the beginning of the Great Acceleration is by far the most convincing from an Earth System science perspective.","container-title":"The Anthropocene Review","DOI":"10.1177/2053019614564785","ISSN":"2053-0196, 2053-020X","issue":"1","journalAbbreviation":"The Anthropocene Review","language":"en","page":"81-98","source":"anr.sagepub.com","title":"The trajectory of the Anthropocene: The Great Acceleration","title-short":"The trajectory of the Anthropocene","volume":"2","author":[{"family":"Steffen","given":"Will"},{"family":"Broadgate","given":"Wendy"},{"family":"Deutsch","given":"Lisa"},{"family":"Gaffney","given":"Owen"},{"family":"Ludwig","given":"Cornelia"}],"issued":{"date-parts":[["2015"]]}}}],"schema":"https://github.com/citation-style-language/schema/raw/master/csl-citation.json"} </w:instrText>
      </w:r>
      <w:r>
        <w:rPr>
          <w:rFonts w:ascii="Times New Roman" w:hAnsi="Times New Roman" w:cs="Times New Roman"/>
          <w:sz w:val="24"/>
          <w:szCs w:val="24"/>
          <w:lang w:val="en-US"/>
        </w:rPr>
        <w:fldChar w:fldCharType="separate"/>
      </w:r>
      <w:r w:rsidRPr="00717C4B">
        <w:rPr>
          <w:rFonts w:ascii="Times New Roman" w:hAnsi="Times New Roman" w:cs="Times New Roman"/>
          <w:sz w:val="24"/>
          <w:lang w:val="en-US"/>
        </w:rPr>
        <w:t>(Steffen et al., 2015)</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provides evidence for the notion that sustainability (including solutions to the biodiversity crisis) will require far-reaching socio-ecological transformations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{"citationID":"GkQIU2Hi","properties":{"formattedCitation":"(Brand et al., 2021; G\\uc0\\u246{}rg et al., 2019)","plainCitation":"(Brand et al., 2021; Görg et al., 2019)","noteIndex":0},"citationItems":[{"id":71579,"uris":["http://zotero.org/users/666791/items/LNWTBNR7"],"uri":["http://zotero.org/users/666791/items/LNWTBNR7"],"itemData":{"id":71579,"type":"article-journal","abstract":"The planetary boundaries concept has profoundly changed the vocabulary and representation of global environmental issues. We bring a critical social science perspective to this framework through the notion of societal boundaries and aim to provide a more nuanced understanding of the social nature of thresholds. We start by highlighting the strengths and weaknesses of planetary boundaries from a social science perspective. We then focus on capitalist societies as a heuristic for discussing the expansionary dynamics, power relations, and lock-ins of modern societies that impel highly unsustainable societal relations with nature. While formulating societal boundaries implies a controversial process ‒ based on normative judgments, ethical concerns, and socio-political struggles ‒ it has the potential to offer guidelines for a just, social-ecological transformation. Collective autonomy and the politics of self-limitation are key elements of societal boundaries and are linked to important proposals and pluriverse experiences to integrate well-being and boundaries. The role of the state and propositions for radical alternative approaches to well-being have particular importance. We conclude with reflections on social freedom, defined as the right not to live at others’ expense. Toward the aim of defining boundaries through transdisciplinary and democratic processes, we seek to open a dialogue on these issues.","container-title":"Sustainability: Science, Practice and Policy","DOI":"10.1080/15487733.2021.1940754","ISSN":"null","issue":"1","note":"publisher: Taylor &amp; Francis\n_eprint: https://www.tandfonline.com/doi/pdf/10.1080/15487733.2021.1940754","page":"265-292","source":"Taylor and Francis+NEJM","title":"From planetary to societal boundaries: an argument for collectively defined self-limitation","title-short":"From planetary to societal boundaries","volume":"17","author":[{"family":"Brand","given":"Ulrich"},{"family":"Muraca","given":"Barbara"},{"family":"Pineault","given":"Éric"},{"family":"Sahakian","given":"Marlyne"},{"family":"Schaffartzik","given":"Anke"},{"family":"Novy","given":"Andreas"},{"family":"Streissler","given":"Christoph"},{"family":"Haberl","given":"Helmut"},{"family":"Asara","given":"Viviana"},{"family":"Dietz","given":"Kristina"},{"family":"Lang","given":"Miriam"},{"family":"Kothari","given":"Ashish"},{"family":"Smith","given":"Tone"},{"family":"Spash","given":"Clive"},{"family":"Brad","given":"Alina"},{"family":"Pichler","given":"Melanie"},{"family":"Plank","given":"Christina"},{"family":"Velegrakis","given":"Giorgos"},{"family":"Jahn","given":"Thomas"},{"family":"Carter","given":"Angela"},{"family":"Huan","given":"Qingzhi"},{"family":"Kallis","given":"Giorgos"},{"family":"Alier","given":"Joan Martínez"},{"family":"Riva","given":"Gabriel"},{"family":"Satgar","given":"Vishwas"},{"family":"Mantovani","given":"Emiliano Teran"},{"family":"Williams","given":"Michelle"},{"family":"Wissen","given":"Markus"},{"family":"Görg","given":"Christoph"}],"issued":{"date-parts":[["2021",1,1]]}}},{"id":58446,"uris":["http://zotero.org/users/666791/items/WPBU3ETJ"],"uri":["http://zotero.org/users/666791/items/WPBU3ETJ"],"itemData":{"id":58446,"type":"article-journal","abstract":"Despite considerable advancements over the last couple of years, research on the Anthropocene still faces at least two challenges: (1) integrating different approaches from natural, social and cultural sciences, and (2) clarifying the political relevance of this concept. To address these challenges, we propose an interdisciplinary approach from Social Ecology and Political Economy which combines research on social metabolism with a historical approach to capitalist development. We argue that such an interdisciplinary approach can help to better understand the Great Acceleration of production and consumption and the related surge in global resource flows. The observation of such an acceleration in the physical growth of societies, in turn, is perceived as the most convincing argument to explain fundamental shifts in the state and functioning of the Earth system, the Anthropocene. Our approach emphasizes that the Great Acceleration was not homogeneous, neither in space nor in time. Instead, spatial varieties and different historical trajectories must be considered which allow for the differentiation of two phases of accelerated resource use, taking place in different world regions. In this article, we propose an integrated research framework for the study of the Great Acceleration, illustrate the insights to which its application leads and discuss the political relevance of the Anthropocene for further research on social-ecological transformations.","container-title":"The Anthropocene Review","DOI":"10.1177/2053019619895034","ISSN":"2053-0196","journalAbbreviation":"The Anthropocene Review","language":"en","page":"2053019619895034","source":"SAGE Journals","title":"Scrutinizing the Great Acceleration: The Anthropocene and its analytic challenges for social-ecological transformations","title-short":"Scrutinizing the Great Acceleration","author":[{"family":"Görg","given":"Christoph"},{"family":"Plank","given":"Christina"},{"family":"Wiedenhofer","given":"Dominik"},{"family":"Mayer","given":"Andreas"},{"family":"Pichler","given":"Melanie"},{"family":"Schaffartzik","given":"Anke"},{"family":"Krausmann","given":"Fridolin"}],"issued":{"date-parts":[["2019",12,25]]}}}],"schema":"https://github.com/citation-style-language/schema/raw/master/csl-citation.json"} </w:instrText>
      </w:r>
      <w:r>
        <w:rPr>
          <w:rFonts w:ascii="Times New Roman" w:hAnsi="Times New Roman" w:cs="Times New Roman"/>
          <w:sz w:val="24"/>
          <w:szCs w:val="24"/>
          <w:lang w:val="en-US"/>
        </w:rPr>
        <w:fldChar w:fldCharType="separate"/>
      </w:r>
      <w:r w:rsidRPr="00717C4B">
        <w:rPr>
          <w:rFonts w:ascii="Times New Roman" w:hAnsi="Times New Roman" w:cs="Times New Roman"/>
          <w:sz w:val="24"/>
          <w:szCs w:val="24"/>
          <w:lang w:val="en-US"/>
        </w:rPr>
        <w:t>(Brand et al., 2021; Görg et al., 2019)</w:t>
      </w:r>
      <w:r>
        <w:rPr>
          <w:rFonts w:ascii="Times New Roman" w:hAnsi="Times New Roman" w:cs="Times New Roman"/>
          <w:sz w:val="24"/>
          <w:szCs w:val="24"/>
          <w:lang w:val="en-US"/>
        </w:rPr>
        <w:fldChar w:fldCharType="end"/>
      </w:r>
      <w:r w:rsidR="00C24305">
        <w:rPr>
          <w:rFonts w:ascii="Times New Roman" w:hAnsi="Times New Roman" w:cs="Times New Roman"/>
          <w:sz w:val="24"/>
          <w:szCs w:val="24"/>
          <w:lang w:val="en-US"/>
        </w:rPr>
        <w:t xml:space="preserve">. If sustainability goals such as staying within the 1.5-2.0° global heating limits </w:t>
      </w:r>
      <w:r w:rsidR="00C24305">
        <w:rPr>
          <w:rFonts w:ascii="Times New Roman" w:hAnsi="Times New Roman" w:cs="Times New Roman"/>
          <w:sz w:val="24"/>
          <w:szCs w:val="24"/>
          <w:lang w:val="en-US"/>
        </w:rPr>
        <w:fldChar w:fldCharType="begin"/>
      </w:r>
      <w:r w:rsidR="00C24305">
        <w:rPr>
          <w:rFonts w:ascii="Times New Roman" w:hAnsi="Times New Roman" w:cs="Times New Roman"/>
          <w:sz w:val="24"/>
          <w:szCs w:val="24"/>
          <w:lang w:val="en-US"/>
        </w:rPr>
        <w:instrText xml:space="preserve"> ADDIN ZOTERO_ITEM CSL_CITATION {"citationID":"Ii5z3Y1y","properties":{"formattedCitation":"(IPCC, 2018)","plainCitation":"(IPCC, 2018)","noteIndex":0},"citationItems":[{"id":13376,"uris":["http://zotero.org/users/666791/items/QC8ARPCL"],"uri":["http://zotero.org/users/666791/items/QC8ARPCL"],"itemData":{"id":13376,"type":"book","event-place":"Geneva, Switzerland","publisher":"WMO, UNEP","publisher-place":"Geneva, Switzerland","title":"Global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efforts to eradicate poverty","author":[{"family":"IPCC","given":""}],"issued":{"date-parts":[["2018"]]}}}],"schema":"https://github.com/citation-style-language/schema/raw/master/csl-citation.json"} </w:instrText>
      </w:r>
      <w:r w:rsidR="00C24305">
        <w:rPr>
          <w:rFonts w:ascii="Times New Roman" w:hAnsi="Times New Roman" w:cs="Times New Roman"/>
          <w:sz w:val="24"/>
          <w:szCs w:val="24"/>
          <w:lang w:val="en-US"/>
        </w:rPr>
        <w:fldChar w:fldCharType="separate"/>
      </w:r>
      <w:r w:rsidR="00C24305" w:rsidRPr="00C24305">
        <w:rPr>
          <w:rFonts w:ascii="Times New Roman" w:hAnsi="Times New Roman" w:cs="Times New Roman"/>
          <w:sz w:val="24"/>
          <w:lang w:val="en-US"/>
        </w:rPr>
        <w:t>(IPCC, 2018)</w:t>
      </w:r>
      <w:r w:rsidR="00C24305">
        <w:rPr>
          <w:rFonts w:ascii="Times New Roman" w:hAnsi="Times New Roman" w:cs="Times New Roman"/>
          <w:sz w:val="24"/>
          <w:szCs w:val="24"/>
          <w:lang w:val="en-US"/>
        </w:rPr>
        <w:fldChar w:fldCharType="end"/>
      </w:r>
      <w:r w:rsidR="00C24305">
        <w:rPr>
          <w:rFonts w:ascii="Times New Roman" w:hAnsi="Times New Roman" w:cs="Times New Roman"/>
          <w:sz w:val="24"/>
          <w:szCs w:val="24"/>
          <w:lang w:val="en-US"/>
        </w:rPr>
        <w:t xml:space="preserve"> or halting biodiversity loss </w:t>
      </w:r>
      <w:r w:rsidR="00C24305">
        <w:rPr>
          <w:rFonts w:ascii="Times New Roman" w:hAnsi="Times New Roman" w:cs="Times New Roman"/>
          <w:sz w:val="24"/>
          <w:szCs w:val="24"/>
          <w:lang w:val="en-US"/>
        </w:rPr>
        <w:fldChar w:fldCharType="begin"/>
      </w:r>
      <w:r w:rsidR="00C24305">
        <w:rPr>
          <w:rFonts w:ascii="Times New Roman" w:hAnsi="Times New Roman" w:cs="Times New Roman"/>
          <w:sz w:val="24"/>
          <w:szCs w:val="24"/>
          <w:lang w:val="en-US"/>
        </w:rPr>
        <w:instrText xml:space="preserve"> ADDIN ZOTERO_ITEM CSL_CITATION {"citationID":"ODRZBFRq","properties":{"formattedCitation":"(IPBES, 2019)","plainCitation":"(IPBES, 2019)","noteIndex":0},"citationItems":[{"id":70243,"uris":["http://zotero.org/users/666791/items/Y45MZLF8"],"uri":["http://zotero.org/users/666791/items/Y45MZLF8"],"itemData":{"id":70243,"type":"book","event-place":"Bonn,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Services","author":[{"family":"IPBES","given":""}],"issued":{"date-parts":[["2019"]]}}}],"schema":"https://github.com/citation-style-language/schema/raw/master/csl-citation.json"} </w:instrText>
      </w:r>
      <w:r w:rsidR="00C24305">
        <w:rPr>
          <w:rFonts w:ascii="Times New Roman" w:hAnsi="Times New Roman" w:cs="Times New Roman"/>
          <w:sz w:val="24"/>
          <w:szCs w:val="24"/>
          <w:lang w:val="en-US"/>
        </w:rPr>
        <w:fldChar w:fldCharType="separate"/>
      </w:r>
      <w:r w:rsidR="00C24305" w:rsidRPr="00C24305">
        <w:rPr>
          <w:rFonts w:ascii="Times New Roman" w:hAnsi="Times New Roman" w:cs="Times New Roman"/>
          <w:sz w:val="24"/>
          <w:lang w:val="en-US"/>
        </w:rPr>
        <w:t>(IPBES, 2019)</w:t>
      </w:r>
      <w:r w:rsidR="00C24305">
        <w:rPr>
          <w:rFonts w:ascii="Times New Roman" w:hAnsi="Times New Roman" w:cs="Times New Roman"/>
          <w:sz w:val="24"/>
          <w:szCs w:val="24"/>
          <w:lang w:val="en-US"/>
        </w:rPr>
        <w:fldChar w:fldCharType="end"/>
      </w:r>
      <w:r w:rsidR="00C24305">
        <w:rPr>
          <w:rFonts w:ascii="Times New Roman" w:hAnsi="Times New Roman" w:cs="Times New Roman"/>
          <w:sz w:val="24"/>
          <w:szCs w:val="24"/>
          <w:lang w:val="en-US"/>
        </w:rPr>
        <w:t xml:space="preserve"> are to be achieved, this will need to result in </w:t>
      </w:r>
      <w:r>
        <w:rPr>
          <w:rFonts w:ascii="Times New Roman" w:hAnsi="Times New Roman" w:cs="Times New Roman"/>
          <w:sz w:val="24"/>
          <w:szCs w:val="24"/>
          <w:lang w:val="en-US"/>
        </w:rPr>
        <w:t xml:space="preserve">fundamental changes in the patterns of resource use, i.e. social metabolism </w:t>
      </w:r>
      <w:r>
        <w:rPr>
          <w:rFonts w:ascii="Times New Roman" w:hAnsi="Times New Roman" w:cs="Times New Roman"/>
          <w:sz w:val="24"/>
          <w:szCs w:val="24"/>
          <w:lang w:val="en-US"/>
        </w:rPr>
        <w:fldChar w:fldCharType="begin"/>
      </w:r>
      <w:r w:rsidR="00EB5B28">
        <w:rPr>
          <w:rFonts w:ascii="Times New Roman" w:hAnsi="Times New Roman" w:cs="Times New Roman"/>
          <w:sz w:val="24"/>
          <w:szCs w:val="24"/>
          <w:lang w:val="en-US"/>
        </w:rPr>
        <w:instrText xml:space="preserve"> ADDIN ZOTERO_ITEM CSL_CITATION {"citationID":"cRPCLKGu","properties":{"formattedCitation":"(Fischer-Kowalski and Haberl, 2007; Haberl et al., 2004a; Krausmann et al., 2008)","plainCitation":"(Fischer-Kowalski and Haberl, 2007; Haberl et al., 2004a; Krausmann et al., 2008)","noteIndex":0},"citationItems":[{"id":335,"uris":["http://zotero.org/users/666791/items/S5UGBP4J"],"uri":["http://zotero.org/users/666791/items/S5UGBP4J"],"itemData":{"id":335,"type":"book","collection-title":"Advances in Ecological Economics (series editor: Jeroen van den Bergh)","event-place":"Cheltenham and Northampton","publisher":"Edward Elgar","publisher-place":"Cheltenham and Northampton","title":"Socioecological Transitions and Global Change. Trajectories of Social Metabolism and Land Use","author":[{"family":"Fischer-Kowalski","given":"Marina"},{"family":"Haberl","given":"Helmut"}],"issued":{"date-parts":[["2007"]]}}},{"id":525,"uris":["http://zotero.org/users/666791/items/E9RWTBCK"],"uri":["http://zotero.org/users/666791/items/E9RWTBCK"],"itemData":{"id":525,"type":"article-journal","abstract":"Sustainability science analyses society-nature interaction on a variety of spatial and temporal scales. By explaining the link between sustainability and socio-economic material and energy flows as well as with colonization of ecosystems, this paper introduces a conceptual framework for empirical applications featured in other contributions to this special issue. The paper discusses how the proposed material and energy flow accounting (MEFA) framework supports such analyses. This framework is an integrated toolbox to account for socio-economic metabolism and colonization of natural processes; above all, land use. We argue that, even though it is at present impossible to define precision sustainability thresholds with respect to many material and energy flows, the MEFA framework is a valuable tool because it tracks these flows in a consistent manner for regions of any scale over time.","container-title":"Land Use Policy","DOI":"16/j.landusepol.2003.10.013","ISSN":"0264-8377","issue":"3","page":"199-213","source":"ScienceDirect","title":"Progress towards sustainability? What the conceptual framework of material and energy flow accounting (MEFA) can offer","title-short":"Progress towards sustainability?","volume":"21","author":[{"family":"Haberl","given":"Helmut"},{"family":"Fischer-Kowalski","given":"Marina"},{"family":"Krausmann","given":"Fridolin"},{"family":"Weisz","given":"Helga"},{"family":"Winiwarter","given":</w:instrText>
      </w:r>
      <w:r w:rsidR="00EB5B28" w:rsidRPr="00EB5B28">
        <w:rPr>
          <w:rFonts w:ascii="Times New Roman" w:hAnsi="Times New Roman" w:cs="Times New Roman"/>
          <w:sz w:val="24"/>
          <w:szCs w:val="24"/>
        </w:rPr>
        <w:instrText xml:space="preserve">"Verena"}],"issued":{"date-parts":[["2004",7]]}}},{"id":493,"uris":["http://zotero.org/users/666791/items/GENWNSXC"],"uri":["http://zotero.org/users/666791/items/GENWNSXC"],"itemData":{"id":493,"type":"article-journal","abstract":"We present the concept of sociometabolic regimes and use it to analyze patterns of change in global social metabolism. Sociometabolic regimes represent dynamic equilibria of society–nature interactions and are characterized by typical patterns of material and energy flows (metabolic profiles). From this perspective, industrialization appears as a process of transition from the agrarian to the industrial regime. This article presents a global data set on the socioeconomic metabolism of 175 nations for the year 2000. We group the countries into six clusters differentiated by economic development and population density, reflecting the historical path of (agrarian) development and resource endowment.","container-title":"Journal of Industrial Ecology","DOI":"10.1111/j.1530-9290.2008.00065.x","ISSN":"1530-9290","issue":"5‐6","language":"en","page":"637-656","source":"Wiley Online Library","title":"The Global Sociometabolic Transition","volume":"12","author":[{"family":"Krausmann","given":"Fridolin"},{"family":"Fischer‐Kowalski","given":"Marina"},{"family":"Schandl","given":"Heinz"},{"family":"Eisenmenger","given":"Nina"}],"issued":{"date-parts":[["2008",10,1]]}}}],"schema":"https://github.com/citation-style-language/schema/raw/master/csl-citation.json"} </w:instrText>
      </w:r>
      <w:r>
        <w:rPr>
          <w:rFonts w:ascii="Times New Roman" w:hAnsi="Times New Roman" w:cs="Times New Roman"/>
          <w:sz w:val="24"/>
          <w:szCs w:val="24"/>
          <w:lang w:val="en-US"/>
        </w:rPr>
        <w:fldChar w:fldCharType="separate"/>
      </w:r>
      <w:r w:rsidR="00EB5B28" w:rsidRPr="00EB5B28">
        <w:rPr>
          <w:rFonts w:ascii="Times New Roman" w:hAnsi="Times New Roman" w:cs="Times New Roman"/>
          <w:sz w:val="24"/>
        </w:rPr>
        <w:t>(Fischer-Kowalski and Haberl, 2007; Haberl et al., 2004a; Krausmann et al., 2008)</w:t>
      </w:r>
      <w:r>
        <w:rPr>
          <w:rFonts w:ascii="Times New Roman" w:hAnsi="Times New Roman" w:cs="Times New Roman"/>
          <w:sz w:val="24"/>
          <w:szCs w:val="24"/>
          <w:lang w:val="en-US"/>
        </w:rPr>
        <w:fldChar w:fldCharType="end"/>
      </w:r>
      <w:r w:rsidRPr="00717C4B">
        <w:rPr>
          <w:rFonts w:ascii="Times New Roman" w:hAnsi="Times New Roman" w:cs="Times New Roman"/>
          <w:sz w:val="24"/>
          <w:szCs w:val="24"/>
        </w:rPr>
        <w:t>.</w:t>
      </w:r>
      <w:r w:rsidR="00C24305">
        <w:rPr>
          <w:rFonts w:ascii="Times New Roman" w:hAnsi="Times New Roman" w:cs="Times New Roman"/>
          <w:sz w:val="24"/>
          <w:szCs w:val="24"/>
        </w:rPr>
        <w:t xml:space="preserve"> </w:t>
      </w:r>
      <w:r w:rsidR="00C24305" w:rsidRPr="00C24305">
        <w:rPr>
          <w:rFonts w:ascii="Times New Roman" w:hAnsi="Times New Roman" w:cs="Times New Roman"/>
          <w:sz w:val="24"/>
          <w:szCs w:val="24"/>
          <w:lang w:val="en-US"/>
        </w:rPr>
        <w:t>For example, fossil fuels that currently provide ~80% of global p</w:t>
      </w:r>
      <w:r w:rsidR="00C24305">
        <w:rPr>
          <w:rFonts w:ascii="Times New Roman" w:hAnsi="Times New Roman" w:cs="Times New Roman"/>
          <w:sz w:val="24"/>
          <w:szCs w:val="24"/>
          <w:lang w:val="en-US"/>
        </w:rPr>
        <w:t xml:space="preserve">rimary energy need to be replaced by climate-neutral energy without surging pressures on terrestrial ecosystems </w:t>
      </w:r>
      <w:r w:rsidR="00C24305">
        <w:rPr>
          <w:rFonts w:ascii="Times New Roman" w:hAnsi="Times New Roman" w:cs="Times New Roman"/>
          <w:sz w:val="24"/>
          <w:szCs w:val="24"/>
          <w:lang w:val="en-US"/>
        </w:rPr>
        <w:fldChar w:fldCharType="begin"/>
      </w:r>
      <w:r w:rsidR="00C24305">
        <w:rPr>
          <w:rFonts w:ascii="Times New Roman" w:hAnsi="Times New Roman" w:cs="Times New Roman"/>
          <w:sz w:val="24"/>
          <w:szCs w:val="24"/>
          <w:lang w:val="en-US"/>
        </w:rPr>
        <w:instrText xml:space="preserve"> ADDIN ZOTERO_ITEM CSL_CITATION {"citationID":"bRyfDCKg","properties":{"formattedCitation":"(Krausmann et al., 2013)","plainCitation":"(Krausmann et al., 2013)","noteIndex":0},"citationItems":[{"id":1337,"uris":["http://zotero.org/users/666791/items/X66ZR7FN"],"uri":["http://zotero.org/users/666791/items/X66ZR7FN"],"itemData":{"id":1337,"type":"article-journal","abstract":"Global increases in population, consumption, and gross domestic product raise concerns about the sustainability of the current and future use of natural resources. The human appropriation of net primary production (HANPP) provides a useful measure of human intervention into the biosphere. The productive capacity of land is appropriated by harvesting or burning biomass and by converting natural ecosystems to managed lands with lower productivity. This work analyzes trends in HANPP from 1910 to 2005 and finds that although human population has grown fourfold and economic output 17-fold, global HANPP has only doubled. Despite this increase in efficiency, HANPP has still risen from 6.9 Gt of carbon per y in 1910 to 14.8 GtC/y in 2005, i.e., from 13% to 25% of the net primary production of potential vegetation. Biomass harvested per capita and year has slightly declined despite growth in consumption because of a decline in reliance on bioenergy and higher conversion efficiencies of primary biomass to products. The rise in efficiency is overwhelmingly due to increased crop yields, albeit frequently associated with substantial ecological costs, such as fossil energy inputs, soil degradation, and biodiversity loss. If humans can maintain the past trend lines in efficiency gains, we estimate that HANPP might only grow to 27–29% by 2050, but providing large amounts of bioenergy could increase global HANPP to 44%. This result calls for caution in refocusing the energy economy on land-based resources and for strategies that foster the continuation of increases in land-use efficiency without excessively increasing ecological costs of intensification.","container-title":"Proceedings of the National Academy of Sciences","DOI":"10.1073/pnas.1211349110","ISSN":"0027-8424, 1091-6490","issue":"25","journalAbbreviation":"PNAS","language":"en","note":"PMID: 23733940","page":"10324-10329","source":"www.pnas.org","title":"Global human appropriation of net primary production doubled in the 20th century","volume":"110","author":[{"family":"Krausmann","given":"Fridolin"},{"family":"Erb","given":"Karl-Heinz"},{"family":"Gingrich","given":"Simone"},{"family":"Haberl","given":"Helmut"},{"family":"Bondeau","given":"Alberte"},{"family":"Gaube","given":"Veronika"},{"family":"Lauk","given":"Christian"},{"family":"Plutzar","given":"Christoph"},{"family":"Searchinger","given":"Timothy D."}],"issued":{"date-parts":[["2013",6,18]]}}}],"schema":"https://github.com/citation-style-language/schema/raw/master/csl-citation.json"} </w:instrText>
      </w:r>
      <w:r w:rsidR="00C24305">
        <w:rPr>
          <w:rFonts w:ascii="Times New Roman" w:hAnsi="Times New Roman" w:cs="Times New Roman"/>
          <w:sz w:val="24"/>
          <w:szCs w:val="24"/>
          <w:lang w:val="en-US"/>
        </w:rPr>
        <w:fldChar w:fldCharType="separate"/>
      </w:r>
      <w:r w:rsidR="00C24305" w:rsidRPr="00C24305">
        <w:rPr>
          <w:rFonts w:ascii="Times New Roman" w:hAnsi="Times New Roman" w:cs="Times New Roman"/>
          <w:sz w:val="24"/>
          <w:lang w:val="en-US"/>
        </w:rPr>
        <w:t>(Krausmann et al., 2013)</w:t>
      </w:r>
      <w:r w:rsidR="00C24305">
        <w:rPr>
          <w:rFonts w:ascii="Times New Roman" w:hAnsi="Times New Roman" w:cs="Times New Roman"/>
          <w:sz w:val="24"/>
          <w:szCs w:val="24"/>
          <w:lang w:val="en-US"/>
        </w:rPr>
        <w:fldChar w:fldCharType="end"/>
      </w:r>
      <w:r w:rsidR="00C24305">
        <w:rPr>
          <w:rFonts w:ascii="Times New Roman" w:hAnsi="Times New Roman" w:cs="Times New Roman"/>
          <w:sz w:val="24"/>
          <w:szCs w:val="24"/>
          <w:lang w:val="en-US"/>
        </w:rPr>
        <w:t>. Attempts to reduce GHG emissions (or even sequester CO</w:t>
      </w:r>
      <w:r w:rsidR="00C24305" w:rsidRPr="00C24305">
        <w:rPr>
          <w:rFonts w:ascii="Times New Roman" w:hAnsi="Times New Roman" w:cs="Times New Roman"/>
          <w:sz w:val="24"/>
          <w:szCs w:val="24"/>
          <w:vertAlign w:val="subscript"/>
          <w:lang w:val="en-US"/>
        </w:rPr>
        <w:t>2</w:t>
      </w:r>
      <w:r w:rsidR="00C24305">
        <w:rPr>
          <w:rFonts w:ascii="Times New Roman" w:hAnsi="Times New Roman" w:cs="Times New Roman"/>
          <w:sz w:val="24"/>
          <w:szCs w:val="24"/>
          <w:lang w:val="en-US"/>
        </w:rPr>
        <w:t xml:space="preserve"> from the atmosphere) also need to be deployed without excessive land demand </w:t>
      </w:r>
      <w:r w:rsidR="00C24305">
        <w:rPr>
          <w:rFonts w:ascii="Times New Roman" w:hAnsi="Times New Roman" w:cs="Times New Roman"/>
          <w:sz w:val="24"/>
          <w:szCs w:val="24"/>
          <w:lang w:val="en-US"/>
        </w:rPr>
        <w:fldChar w:fldCharType="begin"/>
      </w:r>
      <w:r w:rsidR="00C24305">
        <w:rPr>
          <w:rFonts w:ascii="Times New Roman" w:hAnsi="Times New Roman" w:cs="Times New Roman"/>
          <w:sz w:val="24"/>
          <w:szCs w:val="24"/>
          <w:lang w:val="en-US"/>
        </w:rPr>
        <w:instrText xml:space="preserve"> ADDIN ZOTERO_ITEM CSL_CITATION {"citationID":"dWg3GdXg","properties":{"formattedCitation":"(Creutzig et al., 2021)","plainCitation":"(Creutzig et al., 2021)","noteIndex":0},"citationItems":[{"id":70899,"uris":["http://zotero.org/users/666791/items/9I38XPN9"],"uri":["http://zotero.org/users/666791/items/9I38XPN9"],"itemData":{"id":70899,"type":"article-journal","abstract":"The majority of scenarios that meet the goals of the Paris agreements exceed sustainability and precautionary thresholds in land, biodiversity and BECCS potentials. Risks may be best avoided by demand-side driven rapid decarbonization and less land-intensive carbon dioxide removal technologies.","container-title":"GCB Bioenergy","DOI":"https://doi.org/10.1111/gcbb.12798","ISSN":"1757-1707","issue":"n/a","language":"en","note":"_eprint: https://onlinelibrary.wiley.com/doi/pdf/10.1111/gcbb.12798","source":"Wiley Online Library","title":"Considering sustainability thresholds for BECCS in IPCC and biodiversity assessments","URL":"https://onlinelibrary.wiley.com/doi/abs/10.1111/gcbb.12798","volume":"n/a","author":[{"family":"Creutzig","given":"Felix"},{"family":"Erb","given":"Karl-Heinz"},{"family":"Haberl","given":"Helmut"},{"family":"Hof","given":"Christian"},{"family":"Hunsberger","given":"Carol"},{"family":"Roe","given":"Stephanie"}],"accessed":{"date-parts":[["2021",3,8]]},"issued":{"date-parts":[["2021"]]}}}],"schema":"https://github.com/citation-style-language/schema/raw/master/csl-citation.json"} </w:instrText>
      </w:r>
      <w:r w:rsidR="00C24305">
        <w:rPr>
          <w:rFonts w:ascii="Times New Roman" w:hAnsi="Times New Roman" w:cs="Times New Roman"/>
          <w:sz w:val="24"/>
          <w:szCs w:val="24"/>
          <w:lang w:val="en-US"/>
        </w:rPr>
        <w:fldChar w:fldCharType="separate"/>
      </w:r>
      <w:r w:rsidR="00C24305" w:rsidRPr="00C24305">
        <w:rPr>
          <w:rFonts w:ascii="Times New Roman" w:hAnsi="Times New Roman" w:cs="Times New Roman"/>
          <w:sz w:val="24"/>
          <w:lang w:val="en-US"/>
        </w:rPr>
        <w:t>(Creutzig et al., 2021)</w:t>
      </w:r>
      <w:r w:rsidR="00C24305">
        <w:rPr>
          <w:rFonts w:ascii="Times New Roman" w:hAnsi="Times New Roman" w:cs="Times New Roman"/>
          <w:sz w:val="24"/>
          <w:szCs w:val="24"/>
          <w:lang w:val="en-US"/>
        </w:rPr>
        <w:fldChar w:fldCharType="end"/>
      </w:r>
    </w:p>
    <w:p w14:paraId="35EFD3F1" w14:textId="2342817D" w:rsidR="00F91A56" w:rsidRPr="00C24305" w:rsidRDefault="00F91A56" w:rsidP="00317DF7">
      <w:pPr>
        <w:spacing w:after="0" w:line="240" w:lineRule="auto"/>
        <w:rPr>
          <w:rFonts w:ascii="Times New Roman" w:hAnsi="Times New Roman" w:cs="Times New Roman"/>
          <w:sz w:val="24"/>
          <w:szCs w:val="24"/>
          <w:lang w:val="en-US"/>
        </w:rPr>
      </w:pPr>
    </w:p>
    <w:p w14:paraId="1AD8E1EB" w14:textId="75010B2A" w:rsidR="00F41910" w:rsidRPr="00717C4B" w:rsidRDefault="00CF4646" w:rsidP="00717C4B">
      <w:pPr>
        <w:keepNext/>
        <w:keepLines/>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2</w:t>
      </w:r>
      <w:r w:rsidR="00F41910" w:rsidRPr="00717C4B">
        <w:rPr>
          <w:rFonts w:ascii="Times New Roman" w:hAnsi="Times New Roman" w:cs="Times New Roman"/>
          <w:b/>
          <w:sz w:val="24"/>
          <w:szCs w:val="24"/>
          <w:lang w:val="en-US"/>
        </w:rPr>
        <w:t xml:space="preserve">.3 </w:t>
      </w:r>
      <w:r w:rsidR="00717C4B" w:rsidRPr="00717C4B">
        <w:rPr>
          <w:rFonts w:ascii="Times New Roman" w:hAnsi="Times New Roman" w:cs="Times New Roman"/>
          <w:b/>
          <w:sz w:val="24"/>
          <w:szCs w:val="24"/>
          <w:lang w:val="en-US"/>
        </w:rPr>
        <w:t>Centennial global trajectories of social metabolism</w:t>
      </w:r>
    </w:p>
    <w:p w14:paraId="44D9FF37" w14:textId="5733581B" w:rsidR="00F91A56" w:rsidRDefault="00F91A56" w:rsidP="00F91A56">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Empirical socio</w:t>
      </w:r>
      <w:r w:rsidR="00C9510D">
        <w:rPr>
          <w:rFonts w:ascii="Times New Roman" w:hAnsi="Times New Roman" w:cs="Times New Roman"/>
          <w:sz w:val="24"/>
          <w:szCs w:val="24"/>
          <w:lang w:val="en-US"/>
        </w:rPr>
        <w:t>-</w:t>
      </w:r>
      <w:r>
        <w:rPr>
          <w:rFonts w:ascii="Times New Roman" w:hAnsi="Times New Roman" w:cs="Times New Roman"/>
          <w:sz w:val="24"/>
          <w:szCs w:val="24"/>
          <w:lang w:val="en-US"/>
        </w:rPr>
        <w:t xml:space="preserve">metabolic research usually applies Material and Energy Flow Analysis (MEFA) </w:t>
      </w:r>
      <w:r w:rsidR="00717C4B">
        <w:rPr>
          <w:rFonts w:ascii="Times New Roman" w:hAnsi="Times New Roman" w:cs="Times New Roman"/>
          <w:sz w:val="24"/>
          <w:szCs w:val="24"/>
          <w:lang w:val="en-US"/>
        </w:rPr>
        <w:t xml:space="preserve">methods </w:t>
      </w:r>
      <w:r>
        <w:rPr>
          <w:rFonts w:ascii="Times New Roman" w:hAnsi="Times New Roman" w:cs="Times New Roman"/>
          <w:sz w:val="24"/>
          <w:szCs w:val="24"/>
          <w:lang w:val="en-US"/>
        </w:rPr>
        <w:fldChar w:fldCharType="begin"/>
      </w:r>
      <w:r w:rsidR="00EB5B28">
        <w:rPr>
          <w:rFonts w:ascii="Times New Roman" w:hAnsi="Times New Roman" w:cs="Times New Roman"/>
          <w:sz w:val="24"/>
          <w:szCs w:val="24"/>
          <w:lang w:val="en-US"/>
        </w:rPr>
        <w:instrText xml:space="preserve"> ADDIN ZOTERO_ITEM CSL_CITATION {"citationID":"n7TVgKzk","properties":{"formattedCitation":"(Haberl et al., 2004a)","plainCitation":"(Haberl et al., 2004a)","noteIndex":0},"citationItems":[{"id":525,"uris":["http://zotero.org/users/666791/items/E9RWTBCK"],"uri":["http://zotero.org/users/666791/items/E9RWTBCK"],"itemData":{"id":525,"type":"article-journal","abstract":"Sustainability science analyses society-nature interaction on a variety of spatial and temporal scales. By explaining the link between sustainability and socio-economic material and energy flows as well as with colonization of ecosystems, this paper introduces a conceptual framework for empirical applications featured in other contributions to this special issue. The paper discusses how the proposed material and energy flow accounting (MEFA) framework supports such analyses. This framework is an integrated toolbox to account for socio-economic metabolism and colonization of natural processes; above all, land use. We argue that, even though it is at present impossible to define precision sustainability thresholds with respect to many material and energy flows, the MEFA framework is a valuable tool because it tracks these flows in a consistent manner for regions of any scale over time.","container-title":"Land Use Policy","DOI":"16/j.landusepol.2003.10.013","ISSN":"0264-8377","issue":"3","page":"199-213","source":"ScienceDirect","title":"Progress towards sustainability? What the conceptual framework of material and energy flow accounting (MEFA) can offer","title-short":"Progress towards sustainability?","volume":"21","author":[{"family":"Haberl","given":"Helmut"},{"family":"Fischer-Kowalski","given":"Marina"},{"family":"Krausmann","given":"Fridolin"},{"family":"Weisz","given":"Helga"},{"family":"Winiwarter","given":"Verena"}],"issued":{"date-parts":[["2004",7]]}}}],"schema":"https://github.com/citation-style-language/schema/raw/master/csl-citation.json"} </w:instrText>
      </w:r>
      <w:r>
        <w:rPr>
          <w:rFonts w:ascii="Times New Roman" w:hAnsi="Times New Roman" w:cs="Times New Roman"/>
          <w:sz w:val="24"/>
          <w:szCs w:val="24"/>
          <w:lang w:val="en-US"/>
        </w:rPr>
        <w:fldChar w:fldCharType="separate"/>
      </w:r>
      <w:r w:rsidR="00EB5B28" w:rsidRPr="00EB5B28">
        <w:rPr>
          <w:rFonts w:ascii="Times New Roman" w:hAnsi="Times New Roman" w:cs="Times New Roman"/>
          <w:sz w:val="24"/>
          <w:lang w:val="en-US"/>
        </w:rPr>
        <w:t>(Haberl et al., 2004a)</w:t>
      </w:r>
      <w:r>
        <w:rPr>
          <w:rFonts w:ascii="Times New Roman" w:hAnsi="Times New Roman" w:cs="Times New Roman"/>
          <w:sz w:val="24"/>
          <w:szCs w:val="24"/>
          <w:lang w:val="en-US"/>
        </w:rPr>
        <w:fldChar w:fldCharType="end"/>
      </w:r>
      <w:r w:rsidR="00C24305">
        <w:rPr>
          <w:rFonts w:ascii="Times New Roman" w:hAnsi="Times New Roman" w:cs="Times New Roman"/>
          <w:sz w:val="24"/>
          <w:szCs w:val="24"/>
          <w:lang w:val="en-US"/>
        </w:rPr>
        <w:t>; current review</w:t>
      </w:r>
      <w:r w:rsidR="003C0119">
        <w:rPr>
          <w:rFonts w:ascii="Times New Roman" w:hAnsi="Times New Roman" w:cs="Times New Roman"/>
          <w:sz w:val="24"/>
          <w:szCs w:val="24"/>
          <w:lang w:val="en-US"/>
        </w:rPr>
        <w:t>s</w:t>
      </w:r>
      <w:r w:rsidR="00C24305">
        <w:rPr>
          <w:rFonts w:ascii="Times New Roman" w:hAnsi="Times New Roman" w:cs="Times New Roman"/>
          <w:sz w:val="24"/>
          <w:szCs w:val="24"/>
          <w:lang w:val="en-US"/>
        </w:rPr>
        <w:t xml:space="preserve"> </w:t>
      </w:r>
      <w:r w:rsidR="003C0119">
        <w:rPr>
          <w:rFonts w:ascii="Times New Roman" w:hAnsi="Times New Roman" w:cs="Times New Roman"/>
          <w:sz w:val="24"/>
          <w:szCs w:val="24"/>
          <w:lang w:val="en-US"/>
        </w:rPr>
        <w:t>are</w:t>
      </w:r>
      <w:r w:rsidR="00C24305">
        <w:rPr>
          <w:rFonts w:ascii="Times New Roman" w:hAnsi="Times New Roman" w:cs="Times New Roman"/>
          <w:sz w:val="24"/>
          <w:szCs w:val="24"/>
          <w:lang w:val="en-US"/>
        </w:rPr>
        <w:t xml:space="preserve"> </w:t>
      </w:r>
      <w:r w:rsidR="00C24305">
        <w:rPr>
          <w:rFonts w:ascii="Times New Roman" w:hAnsi="Times New Roman" w:cs="Times New Roman"/>
          <w:sz w:val="24"/>
          <w:szCs w:val="24"/>
          <w:lang w:val="en-US"/>
        </w:rPr>
        <w:fldChar w:fldCharType="begin"/>
      </w:r>
      <w:r w:rsidR="003C0119">
        <w:rPr>
          <w:rFonts w:ascii="Times New Roman" w:hAnsi="Times New Roman" w:cs="Times New Roman"/>
          <w:sz w:val="24"/>
          <w:szCs w:val="24"/>
          <w:lang w:val="en-US"/>
        </w:rPr>
        <w:instrText xml:space="preserve"> ADDIN ZOTERO_ITEM CSL_CITATION {"citationID":"JbEXEqXH","properties":{"formattedCitation":"(Graedel, 2019; Krausmann et al., 2017a)","plainCitation":"(Graedel, 2019; Krausmann et al., 2017a)","noteIndex":0},"citationItems":[{"id":62374,"uris":["http://zotero.org/users/666791/items/A4K9ZVCM"],"uri":["http://zotero.org/users/666791/items/A4K9ZVCM"],"itemData":{"id":62374,"type":"article-journal","abstract":"Material flow analysis (MFA), a central methodology of industrial ecology, quantifies the ways in which the materials that enable modern society are used, reused, and lost. Sankey diagrams, termed the “visible language of industrial ecology”, are often employed to present MFA results. This Perspective assesses the history and current status of MFA, reviews the development of the methodology, presents current examples of metal, polymer, and fiber MFAs, and demonstrates that MFAs have been responsible for creating related industrial ecology specialties and stimulating connections between industrial ecology and a variety of engineering and social science fields. MFA approaches are now being linked with environmental input-output assessment, scenario development, and life cycle assessment, and these increasingly comprehensive assessments promise to be central tools for sustainable development and circular economy studies in the future. Current shortcomings and promising innovations are also presented, as are the implications of MFA results for corporate and national policy.","container-title":"Environmental Science &amp; Technology","DOI":"10.1021/acs.est.9b03413","ISSN":"0013-936X","issue":"21","journalAbbreviation":"Environ. Sci. Technol.","note":"publisher: American Chemical Society","page":"12188-12196","source":"ACS Publications","title":"Material Flow Analysis from Origin to Evolution","volume":"53","author":[{"family":"Graedel","given":"Thomas E."}],"issued":{"date-parts":[["2019",11,5]]}}},{"id":2900,"uris":["http://zotero.org/users/666791/items/J5J4Z5CX"],"uri":["http://zotero.org/users/666791/items/J5J4Z5CX"],"itemData":{"id":2900,"type":"article-journal","container-title":"Annual Review of Environment and Resources","page":"647-675","title":"Material Flow Accounting: Measuring Global Material Use for Sustainable Development","volume":"42","author":[{"family":"Krausmann","given":"Fridolin"},{"family":"Schandl","given":"Heinz"},{"family":"Eisenmenger","given":"Nina"},{"family":"Giljum","given":"Stefan"},{"family":"Jackson","given":"Tim"}],"issued":{"date-parts":[["2017"]]}}}],"schema":"https://github.com/citation-style-language/schema/raw/master/csl-citation.json"} </w:instrText>
      </w:r>
      <w:r w:rsidR="00C24305">
        <w:rPr>
          <w:rFonts w:ascii="Times New Roman" w:hAnsi="Times New Roman" w:cs="Times New Roman"/>
          <w:sz w:val="24"/>
          <w:szCs w:val="24"/>
          <w:lang w:val="en-US"/>
        </w:rPr>
        <w:fldChar w:fldCharType="separate"/>
      </w:r>
      <w:r w:rsidR="003C0119" w:rsidRPr="003C0119">
        <w:rPr>
          <w:rFonts w:ascii="Times New Roman" w:hAnsi="Times New Roman" w:cs="Times New Roman"/>
          <w:sz w:val="24"/>
          <w:lang w:val="en-US"/>
        </w:rPr>
        <w:t>(Graedel, 2019; Krausmann et al., 2017a)</w:t>
      </w:r>
      <w:r w:rsidR="00C24305">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C24305">
        <w:rPr>
          <w:rFonts w:ascii="Times New Roman" w:hAnsi="Times New Roman" w:cs="Times New Roman"/>
          <w:sz w:val="24"/>
          <w:szCs w:val="24"/>
          <w:lang w:val="en-US"/>
        </w:rPr>
        <w:t xml:space="preserve">This </w:t>
      </w:r>
      <w:r>
        <w:rPr>
          <w:rFonts w:ascii="Times New Roman" w:hAnsi="Times New Roman" w:cs="Times New Roman"/>
          <w:sz w:val="24"/>
          <w:szCs w:val="24"/>
          <w:lang w:val="en-US"/>
        </w:rPr>
        <w:t xml:space="preserve">research </w:t>
      </w:r>
      <w:r w:rsidR="00C24305">
        <w:rPr>
          <w:rFonts w:ascii="Times New Roman" w:hAnsi="Times New Roman" w:cs="Times New Roman"/>
          <w:sz w:val="24"/>
          <w:szCs w:val="24"/>
          <w:lang w:val="en-US"/>
        </w:rPr>
        <w:t>s</w:t>
      </w:r>
      <w:r>
        <w:rPr>
          <w:rFonts w:ascii="Times New Roman" w:hAnsi="Times New Roman" w:cs="Times New Roman"/>
          <w:sz w:val="24"/>
          <w:szCs w:val="24"/>
          <w:lang w:val="en-US"/>
        </w:rPr>
        <w:t xml:space="preserve">hows that resource use has risen considerably through most periods of human history, and the size of societies’ metabolism increased </w:t>
      </w:r>
      <w:r w:rsidR="003C0119">
        <w:rPr>
          <w:rFonts w:ascii="Times New Roman" w:hAnsi="Times New Roman" w:cs="Times New Roman"/>
          <w:sz w:val="24"/>
          <w:szCs w:val="24"/>
          <w:lang w:val="en-US"/>
        </w:rPr>
        <w:t xml:space="preserve">more or less </w:t>
      </w:r>
      <w:r>
        <w:rPr>
          <w:rFonts w:ascii="Times New Roman" w:hAnsi="Times New Roman" w:cs="Times New Roman"/>
          <w:sz w:val="24"/>
          <w:szCs w:val="24"/>
          <w:lang w:val="en-US"/>
        </w:rPr>
        <w:t>continuously over time. In particular since the onset of industrialization in the 18</w:t>
      </w:r>
      <w:r w:rsidRPr="00B1574E">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century, societies’ use of biophysical resources multiplied, driven by the combined effect of population growth, increasing economic activity and rising affluence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{"citationID":"ylsncxKf","properties":{"formattedCitation":"(Fischer-Kowalski et al., 2014)","plainCitation":"(Fischer-Kowalski et al., 2014)","noteIndex":0},"citationItems":[{"id":1405,"uris":["http://zotero.org/users/666791/items/M7SCZNA8"],"uri":["http://zotero.org/users/666791/items/M7SCZNA8"],"itemData":{"id":1405,"type":"article-journal","abstract":"We search for a valid and quantifiable description of how and when humans acquired the ability to dominate major features of the Earth System. While common approaches seek to quantify the human impact upon the carbon cycle by identifying the area of land cleared by humans, our point of departure is different human modes of subsistence, and we base our analysis on their social metabolism, in particular their energy metabolism. As a starting point, we use Ehrlich’s classical IPAT formula, and give it a specific interpretation: human impact on Earth = population size × affluence (interpreted as energy available per person) × technology – for each mode of subsistence. The overall impact (or rather human pressure) then equals the composite sum of these. We qualitatively describe the functional characteristics of hunter gatherers, agrarian and industrial modes of subsistence such as population dynamics, energy regime and the technologies by which they interact with their environment. In a ‘toy’ model, we translate these considerations into global numbers for the past millennia: we estimate the respective population sizes and affluence (energy), and finally also technology concerning its impact on the carbon cycle. We see a major historical dividing line around ad 1500: until then, human population growth and metabolic rates carry about equal weight in increasing human pressure on the environment approximately fivefold from the year ad 1 onwards. From then on, the overall pressure of humanity upon the Earth increases by one order of magnitude; energy intensity contributes to this rise by roughly tripling the impact of population growth. Technology, because it is based upon a shift from biomass to fossil fuels (and other ‘modern’ energy carriers), does not moderate this impact, but enhances it by a factor of 1.5.","container-title":"The Anthropocene Review","DOI":"10.1177/2053019613518033","ISSN":"2053-0196, 2053-020X","issue":"1","journalAbbreviation":"The Anthropocene Review","language":"en","page":"8-33","source":"anr.sagepub.com","title":"A sociometabolic reading of the Anthropocene: Modes of subsistence, population size and human impact on Earth","title-short":"A sociometabolic reading of the Anthropocene","volume":"1","author":[{"family":"Fischer-Kowalski","given":"Marina"},{"family":"Krausmann","given":"Fridolin"},{"family":"Pallua","given":"Irene"}],"issued":{"date-parts":[["2014",4,1]]}}}],"schema":"https://github.com/citation-style-language/schema/raw/master/csl-citation.json"} </w:instrText>
      </w:r>
      <w:r>
        <w:rPr>
          <w:rFonts w:ascii="Times New Roman" w:hAnsi="Times New Roman" w:cs="Times New Roman"/>
          <w:sz w:val="24"/>
          <w:szCs w:val="24"/>
          <w:lang w:val="en-US"/>
        </w:rPr>
        <w:fldChar w:fldCharType="separate"/>
      </w:r>
      <w:r w:rsidRPr="00B1574E">
        <w:rPr>
          <w:rFonts w:ascii="Times New Roman" w:hAnsi="Times New Roman" w:cs="Times New Roman"/>
          <w:sz w:val="24"/>
          <w:lang w:val="en-US"/>
        </w:rPr>
        <w:t>(Fischer-Kowalski et al., 2014)</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Figure </w:t>
      </w:r>
      <w:r w:rsidR="00BC0251">
        <w:rPr>
          <w:rFonts w:ascii="Times New Roman" w:hAnsi="Times New Roman" w:cs="Times New Roman"/>
          <w:sz w:val="24"/>
          <w:szCs w:val="24"/>
          <w:lang w:val="en-US"/>
        </w:rPr>
        <w:t>2</w:t>
      </w:r>
      <w:r>
        <w:rPr>
          <w:rFonts w:ascii="Times New Roman" w:hAnsi="Times New Roman" w:cs="Times New Roman"/>
          <w:sz w:val="24"/>
          <w:szCs w:val="24"/>
          <w:lang w:val="en-US"/>
        </w:rPr>
        <w:t xml:space="preserve"> shows the </w:t>
      </w:r>
      <w:r w:rsidR="007A5348">
        <w:rPr>
          <w:rFonts w:ascii="Times New Roman" w:hAnsi="Times New Roman" w:cs="Times New Roman"/>
          <w:sz w:val="24"/>
          <w:szCs w:val="24"/>
          <w:lang w:val="en-US"/>
        </w:rPr>
        <w:t xml:space="preserve">long-term </w:t>
      </w:r>
      <w:r>
        <w:rPr>
          <w:rFonts w:ascii="Times New Roman" w:hAnsi="Times New Roman" w:cs="Times New Roman"/>
          <w:sz w:val="24"/>
          <w:szCs w:val="24"/>
          <w:lang w:val="en-US"/>
        </w:rPr>
        <w:t xml:space="preserve">development of </w:t>
      </w:r>
      <w:r w:rsidR="007A5348">
        <w:rPr>
          <w:rFonts w:ascii="Times New Roman" w:hAnsi="Times New Roman" w:cs="Times New Roman"/>
          <w:sz w:val="24"/>
          <w:szCs w:val="24"/>
          <w:lang w:val="en-US"/>
        </w:rPr>
        <w:t xml:space="preserve">the </w:t>
      </w:r>
      <w:r>
        <w:rPr>
          <w:rFonts w:ascii="Times New Roman" w:hAnsi="Times New Roman" w:cs="Times New Roman"/>
          <w:sz w:val="24"/>
          <w:szCs w:val="24"/>
          <w:lang w:val="en-US"/>
        </w:rPr>
        <w:t>major components of global social metabolism</w:t>
      </w:r>
      <w:r w:rsidR="007A5348">
        <w:rPr>
          <w:rFonts w:ascii="Times New Roman" w:hAnsi="Times New Roman" w:cs="Times New Roman"/>
          <w:sz w:val="24"/>
          <w:szCs w:val="24"/>
          <w:lang w:val="en-US"/>
        </w:rPr>
        <w:t xml:space="preserve"> as depicted in Figure 1, i.e. the extraction of natural resources, the accumulation of materials in stocks and the outflows of wastes and emissions</w:t>
      </w:r>
      <w:r>
        <w:rPr>
          <w:rFonts w:ascii="Times New Roman" w:hAnsi="Times New Roman" w:cs="Times New Roman"/>
          <w:sz w:val="24"/>
          <w:szCs w:val="24"/>
          <w:lang w:val="en-US"/>
        </w:rPr>
        <w:t>. Global extraction and use of materials increased from seven Gt/</w:t>
      </w:r>
      <w:proofErr w:type="spellStart"/>
      <w:r>
        <w:rPr>
          <w:rFonts w:ascii="Times New Roman" w:hAnsi="Times New Roman" w:cs="Times New Roman"/>
          <w:sz w:val="24"/>
          <w:szCs w:val="24"/>
          <w:lang w:val="en-US"/>
        </w:rPr>
        <w:t>yr</w:t>
      </w:r>
      <w:proofErr w:type="spellEnd"/>
      <w:r>
        <w:rPr>
          <w:rFonts w:ascii="Times New Roman" w:hAnsi="Times New Roman" w:cs="Times New Roman"/>
          <w:sz w:val="24"/>
          <w:szCs w:val="24"/>
          <w:lang w:val="en-US"/>
        </w:rPr>
        <w:t xml:space="preserve"> in 1900 to 89 Gt/</w:t>
      </w:r>
      <w:proofErr w:type="spellStart"/>
      <w:r>
        <w:rPr>
          <w:rFonts w:ascii="Times New Roman" w:hAnsi="Times New Roman" w:cs="Times New Roman"/>
          <w:sz w:val="24"/>
          <w:szCs w:val="24"/>
          <w:lang w:val="en-US"/>
        </w:rPr>
        <w:t>yr</w:t>
      </w:r>
      <w:proofErr w:type="spellEnd"/>
      <w:r>
        <w:rPr>
          <w:rFonts w:ascii="Times New Roman" w:hAnsi="Times New Roman" w:cs="Times New Roman"/>
          <w:sz w:val="24"/>
          <w:szCs w:val="24"/>
          <w:lang w:val="en-US"/>
        </w:rPr>
        <w:t xml:space="preserve"> in 2015. Water extraction is not included in these numbers and is one to two order</w:t>
      </w:r>
      <w:r w:rsidR="003C0119">
        <w:rPr>
          <w:rFonts w:ascii="Times New Roman" w:hAnsi="Times New Roman" w:cs="Times New Roman"/>
          <w:sz w:val="24"/>
          <w:szCs w:val="24"/>
          <w:lang w:val="en-US"/>
        </w:rPr>
        <w:t>s</w:t>
      </w:r>
      <w:r>
        <w:rPr>
          <w:rFonts w:ascii="Times New Roman" w:hAnsi="Times New Roman" w:cs="Times New Roman"/>
          <w:sz w:val="24"/>
          <w:szCs w:val="24"/>
          <w:lang w:val="en-US"/>
        </w:rPr>
        <w:t xml:space="preserve"> of magnitude larger. It rose from 500 Gt/</w:t>
      </w:r>
      <w:proofErr w:type="spellStart"/>
      <w:r>
        <w:rPr>
          <w:rFonts w:ascii="Times New Roman" w:hAnsi="Times New Roman" w:cs="Times New Roman"/>
          <w:sz w:val="24"/>
          <w:szCs w:val="24"/>
          <w:lang w:val="en-US"/>
        </w:rPr>
        <w:t>yr</w:t>
      </w:r>
      <w:proofErr w:type="spellEnd"/>
      <w:r>
        <w:rPr>
          <w:rFonts w:ascii="Times New Roman" w:hAnsi="Times New Roman" w:cs="Times New Roman"/>
          <w:sz w:val="24"/>
          <w:szCs w:val="24"/>
          <w:lang w:val="en-US"/>
        </w:rPr>
        <w:t xml:space="preserve"> in 1900 to 4,000 Gt/</w:t>
      </w:r>
      <w:proofErr w:type="spellStart"/>
      <w:r>
        <w:rPr>
          <w:rFonts w:ascii="Times New Roman" w:hAnsi="Times New Roman" w:cs="Times New Roman"/>
          <w:sz w:val="24"/>
          <w:szCs w:val="24"/>
          <w:lang w:val="en-US"/>
        </w:rPr>
        <w:t>yr</w:t>
      </w:r>
      <w:proofErr w:type="spellEnd"/>
      <w:r>
        <w:rPr>
          <w:rFonts w:ascii="Times New Roman" w:hAnsi="Times New Roman" w:cs="Times New Roman"/>
          <w:sz w:val="24"/>
          <w:szCs w:val="24"/>
          <w:lang w:val="en-US"/>
        </w:rPr>
        <w:t xml:space="preserve"> in 2010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{"citationID":"3I2WjvCR","properties":{"formattedCitation":"(FAO, 2021a)","plainCitation":"(FAO, 2021a)","noteIndex":0},"citationItems":[{"id":71646,"uris":["http://zotero.org/users/666791/items/G7FN6XF8"],"uri":["http://zotero.org/users/666791/items/G7FN6XF8"],"itemData":{"id":71646,"type":"book","event-place":"online [fao.org/aquastat], accessed 30.7.2021","publisher":"Food and Agriculture Organization of the United Nations","publisher-place":"online [fao.org/aquastat], accessed 30.7.2021","title":"Aquastat - FAO's Global Information System on Water and Agriculture","author":[{"family":"FAO","given":""}],"issued":{"date-parts":[["2021"]]}}}],"schema":"https://github.com/citation-style-language/schema/raw/master/csl-citation.json"} </w:instrText>
      </w:r>
      <w:r>
        <w:rPr>
          <w:rFonts w:ascii="Times New Roman" w:hAnsi="Times New Roman" w:cs="Times New Roman"/>
          <w:sz w:val="24"/>
          <w:szCs w:val="24"/>
          <w:lang w:val="en-US"/>
        </w:rPr>
        <w:fldChar w:fldCharType="separate"/>
      </w:r>
      <w:r w:rsidRPr="000E5D40">
        <w:rPr>
          <w:rFonts w:ascii="Times New Roman" w:hAnsi="Times New Roman" w:cs="Times New Roman"/>
          <w:sz w:val="24"/>
          <w:lang w:val="en-US"/>
        </w:rPr>
        <w:t>(FAO, 2021a)</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p>
    <w:p w14:paraId="6CF5F88A" w14:textId="77777777" w:rsidR="00BC0251" w:rsidRDefault="00BC0251" w:rsidP="00BC0251">
      <w:pPr>
        <w:spacing w:after="0" w:line="240" w:lineRule="auto"/>
        <w:rPr>
          <w:rFonts w:ascii="Times New Roman" w:hAnsi="Times New Roman" w:cs="Times New Roman"/>
          <w:sz w:val="24"/>
          <w:szCs w:val="24"/>
          <w:lang w:val="en-US"/>
        </w:rPr>
      </w:pPr>
    </w:p>
    <w:p w14:paraId="36A44EDD" w14:textId="073E88C3" w:rsidR="00BC0251" w:rsidRDefault="00BC0251" w:rsidP="00BC0251">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An aggregate indication for t</w:t>
      </w:r>
      <w:r w:rsidRPr="000C1F33">
        <w:rPr>
          <w:rFonts w:ascii="Times New Roman" w:hAnsi="Times New Roman" w:cs="Times New Roman"/>
          <w:sz w:val="24"/>
          <w:szCs w:val="24"/>
          <w:lang w:val="en-US"/>
        </w:rPr>
        <w:t xml:space="preserve">he average intensity with which terrestrial ecosystems </w:t>
      </w:r>
      <w:r>
        <w:rPr>
          <w:rFonts w:ascii="Times New Roman" w:hAnsi="Times New Roman" w:cs="Times New Roman"/>
          <w:sz w:val="24"/>
          <w:szCs w:val="24"/>
          <w:lang w:val="en-US"/>
        </w:rPr>
        <w:t xml:space="preserve">in a country </w:t>
      </w:r>
      <w:r w:rsidRPr="000C1F33">
        <w:rPr>
          <w:rFonts w:ascii="Times New Roman" w:hAnsi="Times New Roman" w:cs="Times New Roman"/>
          <w:sz w:val="24"/>
          <w:szCs w:val="24"/>
          <w:lang w:val="en-US"/>
        </w:rPr>
        <w:t xml:space="preserve">are used for </w:t>
      </w:r>
      <w:r>
        <w:rPr>
          <w:rFonts w:ascii="Times New Roman" w:hAnsi="Times New Roman" w:cs="Times New Roman"/>
          <w:sz w:val="24"/>
          <w:szCs w:val="24"/>
          <w:lang w:val="en-US"/>
        </w:rPr>
        <w:t>material extraction</w:t>
      </w:r>
      <w:r w:rsidRPr="000C1F3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 given by material extraction per unit area and year. This ‘material extraction intensity’ globally </w:t>
      </w:r>
      <w:r w:rsidRPr="000C1F33">
        <w:rPr>
          <w:rFonts w:ascii="Times New Roman" w:hAnsi="Times New Roman" w:cs="Times New Roman"/>
          <w:sz w:val="24"/>
          <w:szCs w:val="24"/>
          <w:lang w:val="en-US"/>
        </w:rPr>
        <w:t xml:space="preserve">varies by two orders of magnitude </w:t>
      </w:r>
      <w:r>
        <w:rPr>
          <w:rFonts w:ascii="Times New Roman" w:hAnsi="Times New Roman" w:cs="Times New Roman"/>
          <w:sz w:val="24"/>
          <w:szCs w:val="24"/>
          <w:lang w:val="en-US"/>
        </w:rPr>
        <w:t xml:space="preserve">between </w:t>
      </w:r>
      <w:r w:rsidRPr="000C1F33">
        <w:rPr>
          <w:rFonts w:ascii="Times New Roman" w:hAnsi="Times New Roman" w:cs="Times New Roman"/>
          <w:sz w:val="24"/>
          <w:szCs w:val="24"/>
          <w:lang w:val="en-US"/>
        </w:rPr>
        <w:t>countries</w:t>
      </w:r>
      <w:r>
        <w:rPr>
          <w:rFonts w:ascii="Times New Roman" w:hAnsi="Times New Roman" w:cs="Times New Roman"/>
          <w:sz w:val="24"/>
          <w:szCs w:val="24"/>
          <w:lang w:val="en-US"/>
        </w:rPr>
        <w:t>.</w:t>
      </w:r>
      <w:r w:rsidRPr="000C1F3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National material flow data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{"citationID":"hay5xNhY","properties":{"formattedCitation":"(UNEP-IRP, 2021)","plainCitation":"(UNEP-IRP, 2021)","noteIndex":0},"citationItems":[{"id":71647,"uris":["http://zotero.org/users/666791/items/353GSEK8"],"uri":["http://zotero.org/users/666791/items/353GSEK8"],"itemData":{"id":71647,"type":"book","event-place":"online [https://www.resourcepanel.org/global-material-flows-database] accessed 30.7.2021","publisher":"United Nations Environment Programme - International Resource Panel","publisher-place":"online [https://www.resourcepanel.org/global-material-flows-database] accessed 30.7.2021","title":"International Resource Panel Global Material Flows Database","author":[{"family":"UNEP-IRP","given":""}],"issued":{"date-parts":[["2021"]]}}}],"schema":"https://github.com/citation-style-language/schema/raw/master/csl-citation.json"} </w:instrText>
      </w:r>
      <w:r>
        <w:rPr>
          <w:rFonts w:ascii="Times New Roman" w:hAnsi="Times New Roman" w:cs="Times New Roman"/>
          <w:sz w:val="24"/>
          <w:szCs w:val="24"/>
          <w:lang w:val="en-US"/>
        </w:rPr>
        <w:fldChar w:fldCharType="separate"/>
      </w:r>
      <w:r w:rsidRPr="00492C4D">
        <w:rPr>
          <w:rFonts w:ascii="Times New Roman" w:hAnsi="Times New Roman" w:cs="Times New Roman"/>
          <w:sz w:val="24"/>
          <w:lang w:val="en-US"/>
        </w:rPr>
        <w:t>(UNEP-IRP, 2021)</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for 2015 show that t</w:t>
      </w:r>
      <w:r w:rsidRPr="000C1F33">
        <w:rPr>
          <w:rFonts w:ascii="Times New Roman" w:hAnsi="Times New Roman" w:cs="Times New Roman"/>
          <w:sz w:val="24"/>
          <w:szCs w:val="24"/>
          <w:lang w:val="en-US"/>
        </w:rPr>
        <w:t xml:space="preserve">he highest level of average material extraction per unit of land </w:t>
      </w:r>
      <w:r>
        <w:rPr>
          <w:rFonts w:ascii="Times New Roman" w:hAnsi="Times New Roman" w:cs="Times New Roman"/>
          <w:sz w:val="24"/>
          <w:szCs w:val="24"/>
          <w:lang w:val="en-US"/>
        </w:rPr>
        <w:t>occurs</w:t>
      </w:r>
      <w:r w:rsidRPr="000C1F33">
        <w:rPr>
          <w:rFonts w:ascii="Times New Roman" w:hAnsi="Times New Roman" w:cs="Times New Roman"/>
          <w:sz w:val="24"/>
          <w:szCs w:val="24"/>
          <w:lang w:val="en-US"/>
        </w:rPr>
        <w:t xml:space="preserve"> in small oil producing countries like Bahrain or </w:t>
      </w:r>
      <w:proofErr w:type="spellStart"/>
      <w:r w:rsidRPr="000C1F33">
        <w:rPr>
          <w:rFonts w:ascii="Times New Roman" w:hAnsi="Times New Roman" w:cs="Times New Roman"/>
          <w:sz w:val="24"/>
          <w:szCs w:val="24"/>
          <w:lang w:val="en-US"/>
        </w:rPr>
        <w:t>Quatar</w:t>
      </w:r>
      <w:proofErr w:type="spellEnd"/>
      <w:r>
        <w:rPr>
          <w:rFonts w:ascii="Times New Roman" w:hAnsi="Times New Roman" w:cs="Times New Roman"/>
          <w:sz w:val="24"/>
          <w:szCs w:val="24"/>
          <w:lang w:val="en-US"/>
        </w:rPr>
        <w:t>,</w:t>
      </w:r>
      <w:r w:rsidRPr="000C1F33">
        <w:rPr>
          <w:rFonts w:ascii="Times New Roman" w:hAnsi="Times New Roman" w:cs="Times New Roman"/>
          <w:sz w:val="24"/>
          <w:szCs w:val="24"/>
          <w:lang w:val="en-US"/>
        </w:rPr>
        <w:t xml:space="preserve"> with over </w:t>
      </w:r>
      <w:r>
        <w:rPr>
          <w:rFonts w:ascii="Times New Roman" w:hAnsi="Times New Roman" w:cs="Times New Roman"/>
          <w:sz w:val="24"/>
          <w:szCs w:val="24"/>
          <w:lang w:val="en-US"/>
        </w:rPr>
        <w:t>ten</w:t>
      </w:r>
      <w:r w:rsidRPr="000C1F33">
        <w:rPr>
          <w:rFonts w:ascii="Times New Roman" w:hAnsi="Times New Roman" w:cs="Times New Roman"/>
          <w:sz w:val="24"/>
          <w:szCs w:val="24"/>
          <w:lang w:val="en-US"/>
        </w:rPr>
        <w:t xml:space="preserve"> kg/m²/</w:t>
      </w:r>
      <w:proofErr w:type="spellStart"/>
      <w:r w:rsidRPr="000C1F33">
        <w:rPr>
          <w:rFonts w:ascii="Times New Roman" w:hAnsi="Times New Roman" w:cs="Times New Roman"/>
          <w:sz w:val="24"/>
          <w:szCs w:val="24"/>
          <w:lang w:val="en-US"/>
        </w:rPr>
        <w:t>yr</w:t>
      </w:r>
      <w:proofErr w:type="spellEnd"/>
      <w:r>
        <w:rPr>
          <w:rFonts w:ascii="Times New Roman" w:hAnsi="Times New Roman" w:cs="Times New Roman"/>
          <w:sz w:val="24"/>
          <w:szCs w:val="24"/>
          <w:lang w:val="en-US"/>
        </w:rPr>
        <w:t>,</w:t>
      </w:r>
      <w:r w:rsidRPr="000C1F33">
        <w:rPr>
          <w:rFonts w:ascii="Times New Roman" w:hAnsi="Times New Roman" w:cs="Times New Roman"/>
          <w:sz w:val="24"/>
          <w:szCs w:val="24"/>
          <w:lang w:val="en-US"/>
        </w:rPr>
        <w:t xml:space="preserve"> followed by densely populated countries such as the Netherlands, </w:t>
      </w:r>
      <w:r>
        <w:rPr>
          <w:rFonts w:ascii="Times New Roman" w:hAnsi="Times New Roman" w:cs="Times New Roman"/>
          <w:sz w:val="24"/>
          <w:szCs w:val="24"/>
          <w:lang w:val="en-US"/>
        </w:rPr>
        <w:t xml:space="preserve">South </w:t>
      </w:r>
      <w:r w:rsidRPr="000C1F33">
        <w:rPr>
          <w:rFonts w:ascii="Times New Roman" w:hAnsi="Times New Roman" w:cs="Times New Roman"/>
          <w:sz w:val="24"/>
          <w:szCs w:val="24"/>
          <w:lang w:val="en-US"/>
        </w:rPr>
        <w:t xml:space="preserve">Korea or Vietnam with over </w:t>
      </w:r>
      <w:r>
        <w:rPr>
          <w:rFonts w:ascii="Times New Roman" w:hAnsi="Times New Roman" w:cs="Times New Roman"/>
          <w:sz w:val="24"/>
          <w:szCs w:val="24"/>
          <w:lang w:val="en-US"/>
        </w:rPr>
        <w:t>four</w:t>
      </w:r>
      <w:r w:rsidRPr="000C1F33">
        <w:rPr>
          <w:rFonts w:ascii="Times New Roman" w:hAnsi="Times New Roman" w:cs="Times New Roman"/>
          <w:sz w:val="24"/>
          <w:szCs w:val="24"/>
          <w:lang w:val="en-US"/>
        </w:rPr>
        <w:t xml:space="preserve"> kg/m²/yr. On the other end of the spectrum are many least develope</w:t>
      </w:r>
      <w:r>
        <w:rPr>
          <w:rFonts w:ascii="Times New Roman" w:hAnsi="Times New Roman" w:cs="Times New Roman"/>
          <w:sz w:val="24"/>
          <w:szCs w:val="24"/>
          <w:lang w:val="en-US"/>
        </w:rPr>
        <w:t>d</w:t>
      </w:r>
      <w:r w:rsidRPr="000C1F33">
        <w:rPr>
          <w:rFonts w:ascii="Times New Roman" w:hAnsi="Times New Roman" w:cs="Times New Roman"/>
          <w:sz w:val="24"/>
          <w:szCs w:val="24"/>
          <w:lang w:val="en-US"/>
        </w:rPr>
        <w:t xml:space="preserve"> countries</w:t>
      </w:r>
      <w:r>
        <w:rPr>
          <w:rFonts w:ascii="Times New Roman" w:hAnsi="Times New Roman" w:cs="Times New Roman"/>
          <w:sz w:val="24"/>
          <w:szCs w:val="24"/>
          <w:lang w:val="en-US"/>
        </w:rPr>
        <w:t xml:space="preserve"> often also with low population density</w:t>
      </w:r>
      <w:r w:rsidRPr="000C1F33">
        <w:rPr>
          <w:rFonts w:ascii="Times New Roman" w:hAnsi="Times New Roman" w:cs="Times New Roman"/>
          <w:sz w:val="24"/>
          <w:szCs w:val="24"/>
          <w:lang w:val="en-US"/>
        </w:rPr>
        <w:t xml:space="preserve"> in Sub-Saharan Africa with less than 0.1 kg/m²/yr</w:t>
      </w:r>
      <w:r>
        <w:rPr>
          <w:rFonts w:ascii="Times New Roman" w:hAnsi="Times New Roman" w:cs="Times New Roman"/>
          <w:sz w:val="24"/>
          <w:szCs w:val="24"/>
          <w:lang w:val="en-US"/>
        </w:rPr>
        <w:t>.</w:t>
      </w:r>
    </w:p>
    <w:p w14:paraId="53DC818B" w14:textId="77777777" w:rsidR="001003F2" w:rsidRDefault="001003F2" w:rsidP="00E063DB">
      <w:pPr>
        <w:spacing w:after="0" w:line="240" w:lineRule="auto"/>
        <w:rPr>
          <w:rFonts w:ascii="Times New Roman" w:hAnsi="Times New Roman" w:cs="Times New Roman"/>
          <w:sz w:val="24"/>
          <w:szCs w:val="24"/>
          <w:lang w:val="en-US"/>
        </w:rPr>
      </w:pPr>
    </w:p>
    <w:tbl>
      <w:tblPr>
        <w:tblStyle w:val="Tabellenraster"/>
        <w:tblW w:w="0" w:type="auto"/>
        <w:tblLook w:val="04A0" w:firstRow="1" w:lastRow="0" w:firstColumn="1" w:lastColumn="0" w:noHBand="0" w:noVBand="1"/>
      </w:tblPr>
      <w:tblGrid>
        <w:gridCol w:w="3050"/>
        <w:gridCol w:w="3021"/>
        <w:gridCol w:w="2991"/>
      </w:tblGrid>
      <w:tr w:rsidR="00AB5391" w:rsidRPr="002A45AC" w14:paraId="1A0950C5" w14:textId="77777777" w:rsidTr="007003E0">
        <w:tc>
          <w:tcPr>
            <w:tcW w:w="3065" w:type="dxa"/>
          </w:tcPr>
          <w:p w14:paraId="58245189" w14:textId="77777777" w:rsidR="001003F2" w:rsidRPr="002A45AC" w:rsidRDefault="001003F2" w:rsidP="00BC0251">
            <w:pPr>
              <w:keepNext/>
              <w:keepLines/>
              <w:rPr>
                <w:lang w:val="en-US"/>
              </w:rPr>
            </w:pPr>
            <w:r>
              <w:rPr>
                <w:noProof/>
                <w:lang w:eastAsia="de-AT"/>
              </w:rPr>
              <w:lastRenderedPageBreak/>
              <w:drawing>
                <wp:inline distT="0" distB="0" distL="0" distR="0" wp14:anchorId="3FD9158E" wp14:editId="061CC593">
                  <wp:extent cx="1824785" cy="2025303"/>
                  <wp:effectExtent l="0" t="0" r="4445"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3233" cy="2090173"/>
                          </a:xfrm>
                          <a:prstGeom prst="rect">
                            <a:avLst/>
                          </a:prstGeom>
                          <a:noFill/>
                        </pic:spPr>
                      </pic:pic>
                    </a:graphicData>
                  </a:graphic>
                </wp:inline>
              </w:drawing>
            </w:r>
          </w:p>
        </w:tc>
        <w:tc>
          <w:tcPr>
            <w:tcW w:w="2991" w:type="dxa"/>
          </w:tcPr>
          <w:p w14:paraId="0458D1C2" w14:textId="5291BD29" w:rsidR="001003F2" w:rsidRPr="002A45AC" w:rsidRDefault="00AB5391" w:rsidP="00BC0251">
            <w:pPr>
              <w:keepNext/>
              <w:keepLines/>
              <w:rPr>
                <w:lang w:val="en-US"/>
              </w:rPr>
            </w:pPr>
            <w:r>
              <w:rPr>
                <w:noProof/>
                <w:lang w:eastAsia="de-AT"/>
              </w:rPr>
              <w:drawing>
                <wp:inline distT="0" distB="0" distL="0" distR="0" wp14:anchorId="3A02BA36" wp14:editId="07D12FDF">
                  <wp:extent cx="1807210" cy="2005796"/>
                  <wp:effectExtent l="0" t="0" r="254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0190" cy="2020202"/>
                          </a:xfrm>
                          <a:prstGeom prst="rect">
                            <a:avLst/>
                          </a:prstGeom>
                          <a:noFill/>
                        </pic:spPr>
                      </pic:pic>
                    </a:graphicData>
                  </a:graphic>
                </wp:inline>
              </w:drawing>
            </w:r>
          </w:p>
        </w:tc>
        <w:tc>
          <w:tcPr>
            <w:tcW w:w="3006" w:type="dxa"/>
          </w:tcPr>
          <w:p w14:paraId="5E73C2E9" w14:textId="77777777" w:rsidR="001003F2" w:rsidRPr="002A45AC" w:rsidRDefault="001003F2" w:rsidP="00BC0251">
            <w:pPr>
              <w:keepNext/>
              <w:keepLines/>
              <w:rPr>
                <w:lang w:val="en-US"/>
              </w:rPr>
            </w:pPr>
            <w:r>
              <w:rPr>
                <w:noProof/>
                <w:lang w:eastAsia="de-AT"/>
              </w:rPr>
              <w:drawing>
                <wp:inline distT="0" distB="0" distL="0" distR="0" wp14:anchorId="52FE583F" wp14:editId="028C3A30">
                  <wp:extent cx="1787236" cy="1983628"/>
                  <wp:effectExtent l="0" t="0" r="381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5088" cy="2003441"/>
                          </a:xfrm>
                          <a:prstGeom prst="rect">
                            <a:avLst/>
                          </a:prstGeom>
                          <a:noFill/>
                        </pic:spPr>
                      </pic:pic>
                    </a:graphicData>
                  </a:graphic>
                </wp:inline>
              </w:drawing>
            </w:r>
          </w:p>
        </w:tc>
      </w:tr>
    </w:tbl>
    <w:p w14:paraId="726C4D29" w14:textId="623B8845" w:rsidR="001003F2" w:rsidRPr="00B1574E" w:rsidRDefault="001003F2" w:rsidP="00BC0251">
      <w:pPr>
        <w:keepNext/>
        <w:keepLines/>
        <w:spacing w:after="0" w:line="240" w:lineRule="auto"/>
        <w:rPr>
          <w:rFonts w:ascii="Times New Roman" w:hAnsi="Times New Roman" w:cs="Times New Roman"/>
          <w:sz w:val="20"/>
          <w:szCs w:val="20"/>
          <w:lang w:val="en-US"/>
        </w:rPr>
      </w:pPr>
      <w:r w:rsidRPr="00B1574E">
        <w:rPr>
          <w:rFonts w:ascii="Times New Roman" w:hAnsi="Times New Roman" w:cs="Times New Roman"/>
          <w:b/>
          <w:sz w:val="20"/>
          <w:szCs w:val="20"/>
          <w:lang w:val="en-US"/>
        </w:rPr>
        <w:t xml:space="preserve">Fig. </w:t>
      </w:r>
      <w:r w:rsidR="00BC0251">
        <w:rPr>
          <w:rFonts w:ascii="Times New Roman" w:hAnsi="Times New Roman" w:cs="Times New Roman"/>
          <w:b/>
          <w:sz w:val="20"/>
          <w:szCs w:val="20"/>
          <w:lang w:val="en-US"/>
        </w:rPr>
        <w:t>2</w:t>
      </w:r>
      <w:r w:rsidRPr="00B1574E">
        <w:rPr>
          <w:rFonts w:ascii="Times New Roman" w:hAnsi="Times New Roman" w:cs="Times New Roman"/>
          <w:b/>
          <w:sz w:val="20"/>
          <w:szCs w:val="20"/>
          <w:lang w:val="en-US"/>
        </w:rPr>
        <w:t xml:space="preserve">. </w:t>
      </w:r>
      <w:r w:rsidRPr="00B1574E">
        <w:rPr>
          <w:rFonts w:ascii="Times New Roman" w:hAnsi="Times New Roman" w:cs="Times New Roman"/>
          <w:sz w:val="20"/>
          <w:szCs w:val="20"/>
          <w:lang w:val="en-US"/>
        </w:rPr>
        <w:t xml:space="preserve">Global social metabolism from 1900 to 2015. (a) Extraction of materials, (b) materials accumulated in stocks of buildings, infrastructures and durable goods, (c) outflows of wastes and emissions. Outflows include balancing oxygen and water; emissions of water vapor are not shown. Own graph, data source </w:t>
      </w:r>
      <w:r w:rsidRPr="00B1574E">
        <w:rPr>
          <w:rFonts w:ascii="Times New Roman" w:hAnsi="Times New Roman" w:cs="Times New Roman"/>
          <w:sz w:val="20"/>
          <w:szCs w:val="20"/>
          <w:lang w:val="en-US"/>
        </w:rPr>
        <w:fldChar w:fldCharType="begin"/>
      </w:r>
      <w:r w:rsidR="00672DA6">
        <w:rPr>
          <w:rFonts w:ascii="Times New Roman" w:hAnsi="Times New Roman" w:cs="Times New Roman"/>
          <w:sz w:val="20"/>
          <w:szCs w:val="20"/>
          <w:lang w:val="en-US"/>
        </w:rPr>
        <w:instrText xml:space="preserve"> ADDIN ZOTERO_ITEM CSL_CITATION {"citationID":"7VGGLmhb","properties":{"formattedCitation":"(Krausmann et al., 2018)","plainCitation":"(Krausmann et al., 2018)","noteIndex":0},"citationItems":[{"id":12912,"uris":["http://zotero.org/users/666791/items/Y2ET6T7Q"],"uri":["http://zotero.org/users/666791/items/Y2ET6T7Q"],"itemData":{"id":12912,"type":"article-journal","abstract":"The size and structure of the socioeconomic metabolism are key for the planet’s sustainability. In this article, we provide a consistent assessment of the development of material flows through the global economy in the period 1900–2015 using material flow accounting in combination with results from dynamic stock-flow modelling. Based on this approach, we can trace materials from extraction to their use, their accumulation in in-use stocks and finally to outflows of wastes and emissions and provide a comprehensive picture of the evolution of societies metabolism during global industrialization. This enables outlooks on inflows and outflows, which environmental policy makers require for pursuing strategies towards a more sustainable resource use. Over the whole time period, we observe a growth in global material extraction by a factor of 12 to 89 Gt/yr. A shift from materials for dissipative use to stock building materials resulted in a massive increase of in-use stocks of materials to 961 Gt in 2015. Since materials increasingly accumulate in stocks, outflows of wastes are growing at a slower pace than inputs. In 2015, outflows amounted to 58 Gt/yr, of which 35% were solid wastes and 25% emissions, the reminder being excrements, dissipative use and water vapor. Our results indicate a significant acceleration of global material flows since the beginning of the 21st century. We show that this acceleration, which took off in 2002, was not a short-term phenomenon but continues since more than a decade. Between 2002 and 2015, global material extraction increased by 53% in spite of the 2008 economic crisis. Based on detailed data on material stocks and flows and information on their long-term historic development, we make a rough estimate of what a global convergence of metabolic patterns at the current level in industrialized countries paired with a continuation of past efficiency gains might imply for global material demand. We find that in such a scenario until 2050 average global metabolic rates double to 22 t/cap/yr and material extraction increases to around 218 Gt/yr. Overall the analysis indicates a grand challenge calling for urgent action, fostering a continuous and considerable reduction of material flows to acceptable levels.","container-title":"Global Environmental Change","DOI":"10.1016/j.gloenvcha.2018.07.003","ISSN":"0959-3780","journalAbbreviation":"Global Environmental Change","page":"131-140","source":"ScienceDirect","title":"From resource extraction to outflows of wastes and emissions: The socioeconomic metabolism of the global economy, 1900–2015","title-short":"From resource extraction to outflows of wastes and emissions","volume":"52","author":[{"family":"Krausmann","given":"Fridolin"},{"family":"Lauk","given":"Christian"},{"family":"Haas","given":"Willi"},{"family":"Wiedenhofer","given":"Dominik"}],"issued":{"date-parts":[["2018",9,1]]}}}],"schema":"https://github.com/citation-style-language/schema/raw/master/csl-citation.json"} </w:instrText>
      </w:r>
      <w:r w:rsidRPr="00B1574E">
        <w:rPr>
          <w:rFonts w:ascii="Times New Roman" w:hAnsi="Times New Roman" w:cs="Times New Roman"/>
          <w:sz w:val="20"/>
          <w:szCs w:val="20"/>
          <w:lang w:val="en-US"/>
        </w:rPr>
        <w:fldChar w:fldCharType="separate"/>
      </w:r>
      <w:r w:rsidRPr="00B1574E">
        <w:rPr>
          <w:rFonts w:ascii="Times New Roman" w:hAnsi="Times New Roman" w:cs="Times New Roman"/>
          <w:sz w:val="20"/>
          <w:szCs w:val="20"/>
          <w:lang w:val="en-US"/>
        </w:rPr>
        <w:t>(Krausmann et al., 2018)</w:t>
      </w:r>
      <w:r w:rsidRPr="00B1574E">
        <w:rPr>
          <w:rFonts w:ascii="Times New Roman" w:hAnsi="Times New Roman" w:cs="Times New Roman"/>
          <w:sz w:val="20"/>
          <w:szCs w:val="20"/>
          <w:lang w:val="en-US"/>
        </w:rPr>
        <w:fldChar w:fldCharType="end"/>
      </w:r>
    </w:p>
    <w:p w14:paraId="65C4DD73" w14:textId="77777777" w:rsidR="001003F2" w:rsidRDefault="001003F2" w:rsidP="00E063DB">
      <w:pPr>
        <w:spacing w:after="0" w:line="240" w:lineRule="auto"/>
        <w:rPr>
          <w:rFonts w:ascii="Times New Roman" w:hAnsi="Times New Roman" w:cs="Times New Roman"/>
          <w:sz w:val="24"/>
          <w:szCs w:val="24"/>
          <w:lang w:val="en-US"/>
        </w:rPr>
      </w:pPr>
    </w:p>
    <w:p w14:paraId="04CD18C2" w14:textId="74DB3628" w:rsidR="000C1F33" w:rsidRPr="00DA6911" w:rsidRDefault="00094FAF" w:rsidP="00E063D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Even though the </w:t>
      </w:r>
      <w:r w:rsidR="00DB0296">
        <w:rPr>
          <w:rFonts w:ascii="Times New Roman" w:hAnsi="Times New Roman" w:cs="Times New Roman"/>
          <w:sz w:val="24"/>
          <w:szCs w:val="24"/>
          <w:lang w:val="en-US"/>
        </w:rPr>
        <w:t>transition from</w:t>
      </w:r>
      <w:r>
        <w:rPr>
          <w:rFonts w:ascii="Times New Roman" w:hAnsi="Times New Roman" w:cs="Times New Roman"/>
          <w:sz w:val="24"/>
          <w:szCs w:val="24"/>
          <w:lang w:val="en-US"/>
        </w:rPr>
        <w:t xml:space="preserve"> </w:t>
      </w:r>
      <w:r w:rsidR="00DB0296">
        <w:rPr>
          <w:rFonts w:ascii="Times New Roman" w:hAnsi="Times New Roman" w:cs="Times New Roman"/>
          <w:sz w:val="24"/>
          <w:szCs w:val="24"/>
          <w:lang w:val="en-US"/>
        </w:rPr>
        <w:t xml:space="preserve">agrarian </w:t>
      </w:r>
      <w:r>
        <w:rPr>
          <w:rFonts w:ascii="Times New Roman" w:hAnsi="Times New Roman" w:cs="Times New Roman"/>
          <w:sz w:val="24"/>
          <w:szCs w:val="24"/>
          <w:lang w:val="en-US"/>
        </w:rPr>
        <w:t xml:space="preserve">to industrial societies involved fundamental changes in </w:t>
      </w:r>
      <w:r w:rsidR="00DB0296">
        <w:rPr>
          <w:rFonts w:ascii="Times New Roman" w:hAnsi="Times New Roman" w:cs="Times New Roman"/>
          <w:sz w:val="24"/>
          <w:szCs w:val="24"/>
          <w:lang w:val="en-US"/>
        </w:rPr>
        <w:t>societies</w:t>
      </w:r>
      <w:r>
        <w:rPr>
          <w:rFonts w:ascii="Times New Roman" w:hAnsi="Times New Roman" w:cs="Times New Roman"/>
          <w:sz w:val="24"/>
          <w:szCs w:val="24"/>
          <w:lang w:val="en-US"/>
        </w:rPr>
        <w:t xml:space="preserve">’ </w:t>
      </w:r>
      <w:r w:rsidR="0069306F">
        <w:rPr>
          <w:rFonts w:ascii="Times New Roman" w:hAnsi="Times New Roman" w:cs="Times New Roman"/>
          <w:sz w:val="24"/>
          <w:szCs w:val="24"/>
          <w:lang w:val="en-US"/>
        </w:rPr>
        <w:t>resource base</w:t>
      </w:r>
      <w:r>
        <w:rPr>
          <w:rFonts w:ascii="Times New Roman" w:hAnsi="Times New Roman" w:cs="Times New Roman"/>
          <w:sz w:val="24"/>
          <w:szCs w:val="24"/>
          <w:lang w:val="en-US"/>
        </w:rPr>
        <w:t xml:space="preserve"> from </w:t>
      </w:r>
      <w:r w:rsidR="00DB0296">
        <w:rPr>
          <w:rFonts w:ascii="Times New Roman" w:hAnsi="Times New Roman" w:cs="Times New Roman"/>
          <w:sz w:val="24"/>
          <w:szCs w:val="24"/>
          <w:lang w:val="en-US"/>
        </w:rPr>
        <w:t>biomass</w:t>
      </w:r>
      <w:r w:rsidR="0094621C">
        <w:rPr>
          <w:rFonts w:ascii="Times New Roman" w:hAnsi="Times New Roman" w:cs="Times New Roman"/>
          <w:sz w:val="24"/>
          <w:szCs w:val="24"/>
          <w:lang w:val="en-US"/>
        </w:rPr>
        <w:t xml:space="preserve"> </w:t>
      </w:r>
      <w:r w:rsidR="00DB0296">
        <w:rPr>
          <w:rFonts w:ascii="Times New Roman" w:hAnsi="Times New Roman" w:cs="Times New Roman"/>
          <w:sz w:val="24"/>
          <w:szCs w:val="24"/>
          <w:lang w:val="en-US"/>
        </w:rPr>
        <w:t xml:space="preserve">to </w:t>
      </w:r>
      <w:r>
        <w:rPr>
          <w:rFonts w:ascii="Times New Roman" w:hAnsi="Times New Roman" w:cs="Times New Roman"/>
          <w:sz w:val="24"/>
          <w:szCs w:val="24"/>
          <w:lang w:val="en-US"/>
        </w:rPr>
        <w:t xml:space="preserve">predominantly </w:t>
      </w:r>
      <w:r w:rsidR="00DB0808">
        <w:rPr>
          <w:rFonts w:ascii="Times New Roman" w:hAnsi="Times New Roman" w:cs="Times New Roman"/>
          <w:sz w:val="24"/>
          <w:szCs w:val="24"/>
          <w:lang w:val="en-US"/>
        </w:rPr>
        <w:t>lithospheric resources</w:t>
      </w:r>
      <w:r>
        <w:rPr>
          <w:rFonts w:ascii="Times New Roman" w:hAnsi="Times New Roman" w:cs="Times New Roman"/>
          <w:sz w:val="24"/>
          <w:szCs w:val="24"/>
          <w:lang w:val="en-US"/>
        </w:rPr>
        <w:t>,</w:t>
      </w:r>
      <w:r w:rsidR="00DB0808">
        <w:rPr>
          <w:rFonts w:ascii="Times New Roman" w:hAnsi="Times New Roman" w:cs="Times New Roman"/>
          <w:sz w:val="24"/>
          <w:szCs w:val="24"/>
          <w:lang w:val="en-US"/>
        </w:rPr>
        <w:t xml:space="preserve"> the extraction of biomass increased</w:t>
      </w:r>
      <w:r>
        <w:rPr>
          <w:rFonts w:ascii="Times New Roman" w:hAnsi="Times New Roman" w:cs="Times New Roman"/>
          <w:sz w:val="24"/>
          <w:szCs w:val="24"/>
          <w:lang w:val="en-US"/>
        </w:rPr>
        <w:t xml:space="preserve"> </w:t>
      </w:r>
      <w:r w:rsidR="00DA6911">
        <w:rPr>
          <w:rFonts w:ascii="Times New Roman" w:hAnsi="Times New Roman" w:cs="Times New Roman"/>
          <w:sz w:val="24"/>
          <w:szCs w:val="24"/>
          <w:lang w:val="en-US"/>
        </w:rPr>
        <w:t xml:space="preserve">more or less </w:t>
      </w:r>
      <w:r>
        <w:rPr>
          <w:rFonts w:ascii="Times New Roman" w:hAnsi="Times New Roman" w:cs="Times New Roman"/>
          <w:sz w:val="24"/>
          <w:szCs w:val="24"/>
          <w:lang w:val="en-US"/>
        </w:rPr>
        <w:t>continuously</w:t>
      </w:r>
      <w:r w:rsidR="0069306F">
        <w:rPr>
          <w:rFonts w:ascii="Times New Roman" w:hAnsi="Times New Roman" w:cs="Times New Roman"/>
          <w:sz w:val="24"/>
          <w:szCs w:val="24"/>
          <w:lang w:val="en-US"/>
        </w:rPr>
        <w:t xml:space="preserve"> (Fig. </w:t>
      </w:r>
      <w:r w:rsidR="004658F4">
        <w:rPr>
          <w:rFonts w:ascii="Times New Roman" w:hAnsi="Times New Roman" w:cs="Times New Roman"/>
          <w:sz w:val="24"/>
          <w:szCs w:val="24"/>
          <w:lang w:val="en-US"/>
        </w:rPr>
        <w:t>2</w:t>
      </w:r>
      <w:r w:rsidR="0069306F">
        <w:rPr>
          <w:rFonts w:ascii="Times New Roman" w:hAnsi="Times New Roman" w:cs="Times New Roman"/>
          <w:sz w:val="24"/>
          <w:szCs w:val="24"/>
          <w:lang w:val="en-US"/>
        </w:rPr>
        <w:t>a)</w:t>
      </w:r>
      <w:r w:rsidR="0094621C">
        <w:rPr>
          <w:rFonts w:ascii="Times New Roman" w:hAnsi="Times New Roman" w:cs="Times New Roman"/>
          <w:sz w:val="24"/>
          <w:szCs w:val="24"/>
          <w:lang w:val="en-US"/>
        </w:rPr>
        <w:t xml:space="preserve">. Global biomass use grew roughly </w:t>
      </w:r>
      <w:r>
        <w:rPr>
          <w:rFonts w:ascii="Times New Roman" w:hAnsi="Times New Roman" w:cs="Times New Roman"/>
          <w:sz w:val="24"/>
          <w:szCs w:val="24"/>
          <w:lang w:val="en-US"/>
        </w:rPr>
        <w:t xml:space="preserve">in parallel to </w:t>
      </w:r>
      <w:r w:rsidR="0094621C">
        <w:rPr>
          <w:rFonts w:ascii="Times New Roman" w:hAnsi="Times New Roman" w:cs="Times New Roman"/>
          <w:sz w:val="24"/>
          <w:szCs w:val="24"/>
          <w:lang w:val="en-US"/>
        </w:rPr>
        <w:t>global population</w:t>
      </w:r>
      <w:r>
        <w:rPr>
          <w:rFonts w:ascii="Times New Roman" w:hAnsi="Times New Roman" w:cs="Times New Roman"/>
          <w:sz w:val="24"/>
          <w:szCs w:val="24"/>
          <w:lang w:val="en-US"/>
        </w:rPr>
        <w:t xml:space="preserve">. </w:t>
      </w:r>
      <w:r w:rsidR="00ED4FD6">
        <w:rPr>
          <w:rFonts w:ascii="Times New Roman" w:hAnsi="Times New Roman" w:cs="Times New Roman"/>
          <w:sz w:val="24"/>
          <w:szCs w:val="24"/>
          <w:lang w:val="en-US"/>
        </w:rPr>
        <w:t xml:space="preserve">Growing </w:t>
      </w:r>
      <w:r>
        <w:rPr>
          <w:rFonts w:ascii="Times New Roman" w:hAnsi="Times New Roman" w:cs="Times New Roman"/>
          <w:sz w:val="24"/>
          <w:szCs w:val="24"/>
          <w:lang w:val="en-US"/>
        </w:rPr>
        <w:t xml:space="preserve">biomass use </w:t>
      </w:r>
      <w:r w:rsidR="0094621C">
        <w:rPr>
          <w:rFonts w:ascii="Times New Roman" w:hAnsi="Times New Roman" w:cs="Times New Roman"/>
          <w:sz w:val="24"/>
          <w:szCs w:val="24"/>
          <w:lang w:val="en-US"/>
        </w:rPr>
        <w:t xml:space="preserve">was </w:t>
      </w:r>
      <w:r>
        <w:rPr>
          <w:rFonts w:ascii="Times New Roman" w:hAnsi="Times New Roman" w:cs="Times New Roman"/>
          <w:sz w:val="24"/>
          <w:szCs w:val="24"/>
          <w:lang w:val="en-US"/>
        </w:rPr>
        <w:t xml:space="preserve">supported by </w:t>
      </w:r>
      <w:r w:rsidR="00DB0296">
        <w:rPr>
          <w:rFonts w:ascii="Times New Roman" w:hAnsi="Times New Roman" w:cs="Times New Roman"/>
          <w:sz w:val="24"/>
          <w:szCs w:val="24"/>
          <w:lang w:val="en-US"/>
        </w:rPr>
        <w:t xml:space="preserve">the expansion of land under cultivation and </w:t>
      </w:r>
      <w:r w:rsidR="00ED4FD6">
        <w:rPr>
          <w:rFonts w:ascii="Times New Roman" w:hAnsi="Times New Roman" w:cs="Times New Roman"/>
          <w:sz w:val="24"/>
          <w:szCs w:val="24"/>
          <w:lang w:val="en-US"/>
        </w:rPr>
        <w:t xml:space="preserve">by </w:t>
      </w:r>
      <w:r w:rsidR="00DB0296">
        <w:rPr>
          <w:rFonts w:ascii="Times New Roman" w:hAnsi="Times New Roman" w:cs="Times New Roman"/>
          <w:sz w:val="24"/>
          <w:szCs w:val="24"/>
          <w:lang w:val="en-US"/>
        </w:rPr>
        <w:t>increase</w:t>
      </w:r>
      <w:r>
        <w:rPr>
          <w:rFonts w:ascii="Times New Roman" w:hAnsi="Times New Roman" w:cs="Times New Roman"/>
          <w:sz w:val="24"/>
          <w:szCs w:val="24"/>
          <w:lang w:val="en-US"/>
        </w:rPr>
        <w:t>s</w:t>
      </w:r>
      <w:r w:rsidR="00DB0296">
        <w:rPr>
          <w:rFonts w:ascii="Times New Roman" w:hAnsi="Times New Roman" w:cs="Times New Roman"/>
          <w:sz w:val="24"/>
          <w:szCs w:val="24"/>
          <w:lang w:val="en-US"/>
        </w:rPr>
        <w:t xml:space="preserve"> in the intensity </w:t>
      </w:r>
      <w:r w:rsidR="00DA3791">
        <w:rPr>
          <w:rFonts w:ascii="Times New Roman" w:hAnsi="Times New Roman" w:cs="Times New Roman"/>
          <w:sz w:val="24"/>
          <w:szCs w:val="24"/>
          <w:lang w:val="en-US"/>
        </w:rPr>
        <w:t xml:space="preserve">with which agricultural and </w:t>
      </w:r>
      <w:r>
        <w:rPr>
          <w:rFonts w:ascii="Times New Roman" w:hAnsi="Times New Roman" w:cs="Times New Roman"/>
          <w:sz w:val="24"/>
          <w:szCs w:val="24"/>
          <w:lang w:val="en-US"/>
        </w:rPr>
        <w:t xml:space="preserve">forested </w:t>
      </w:r>
      <w:r w:rsidR="00DA3791">
        <w:rPr>
          <w:rFonts w:ascii="Times New Roman" w:hAnsi="Times New Roman" w:cs="Times New Roman"/>
          <w:sz w:val="24"/>
          <w:szCs w:val="24"/>
          <w:lang w:val="en-US"/>
        </w:rPr>
        <w:t>lands were used.</w:t>
      </w:r>
      <w:r w:rsidR="000C1F33">
        <w:rPr>
          <w:rFonts w:ascii="Times New Roman" w:hAnsi="Times New Roman" w:cs="Times New Roman"/>
          <w:sz w:val="24"/>
          <w:szCs w:val="24"/>
          <w:lang w:val="en-US"/>
        </w:rPr>
        <w:t xml:space="preserve"> In </w:t>
      </w:r>
      <w:r w:rsidR="00DB0808">
        <w:rPr>
          <w:rFonts w:ascii="Times New Roman" w:hAnsi="Times New Roman" w:cs="Times New Roman"/>
          <w:sz w:val="24"/>
          <w:szCs w:val="24"/>
          <w:lang w:val="en-US"/>
        </w:rPr>
        <w:t>2015</w:t>
      </w:r>
      <w:r>
        <w:rPr>
          <w:rFonts w:ascii="Times New Roman" w:hAnsi="Times New Roman" w:cs="Times New Roman"/>
          <w:sz w:val="24"/>
          <w:szCs w:val="24"/>
          <w:lang w:val="en-US"/>
        </w:rPr>
        <w:t>,</w:t>
      </w:r>
      <w:r w:rsidR="00DB0808">
        <w:rPr>
          <w:rFonts w:ascii="Times New Roman" w:hAnsi="Times New Roman" w:cs="Times New Roman"/>
          <w:sz w:val="24"/>
          <w:szCs w:val="24"/>
          <w:lang w:val="en-US"/>
        </w:rPr>
        <w:t xml:space="preserve"> </w:t>
      </w:r>
      <w:r w:rsidR="00DB0296">
        <w:rPr>
          <w:rFonts w:ascii="Times New Roman" w:hAnsi="Times New Roman" w:cs="Times New Roman"/>
          <w:sz w:val="24"/>
          <w:szCs w:val="24"/>
          <w:lang w:val="en-US"/>
        </w:rPr>
        <w:t>roughly 23 Gt/</w:t>
      </w:r>
      <w:proofErr w:type="spellStart"/>
      <w:r w:rsidR="00DB0296">
        <w:rPr>
          <w:rFonts w:ascii="Times New Roman" w:hAnsi="Times New Roman" w:cs="Times New Roman"/>
          <w:sz w:val="24"/>
          <w:szCs w:val="24"/>
          <w:lang w:val="en-US"/>
        </w:rPr>
        <w:t>yr</w:t>
      </w:r>
      <w:proofErr w:type="spellEnd"/>
      <w:r w:rsidR="00DB0808">
        <w:rPr>
          <w:rFonts w:ascii="Times New Roman" w:hAnsi="Times New Roman" w:cs="Times New Roman"/>
          <w:sz w:val="24"/>
          <w:szCs w:val="24"/>
          <w:lang w:val="en-US"/>
        </w:rPr>
        <w:t xml:space="preserve"> of biomass </w:t>
      </w:r>
      <w:r>
        <w:rPr>
          <w:rFonts w:ascii="Times New Roman" w:hAnsi="Times New Roman" w:cs="Times New Roman"/>
          <w:sz w:val="24"/>
          <w:szCs w:val="24"/>
          <w:lang w:val="en-US"/>
        </w:rPr>
        <w:t xml:space="preserve">were </w:t>
      </w:r>
      <w:r w:rsidR="00DB0808">
        <w:rPr>
          <w:rFonts w:ascii="Times New Roman" w:hAnsi="Times New Roman" w:cs="Times New Roman"/>
          <w:sz w:val="24"/>
          <w:szCs w:val="24"/>
          <w:lang w:val="en-US"/>
        </w:rPr>
        <w:t>extracted through agriculture and forestry</w:t>
      </w:r>
      <w:r w:rsidR="00DA3791">
        <w:rPr>
          <w:rFonts w:ascii="Times New Roman" w:hAnsi="Times New Roman" w:cs="Times New Roman"/>
          <w:sz w:val="24"/>
          <w:szCs w:val="24"/>
          <w:lang w:val="en-US"/>
        </w:rPr>
        <w:t xml:space="preserve">, </w:t>
      </w:r>
      <w:r w:rsidR="000C1F33">
        <w:rPr>
          <w:rFonts w:ascii="Times New Roman" w:hAnsi="Times New Roman" w:cs="Times New Roman"/>
          <w:sz w:val="24"/>
          <w:szCs w:val="24"/>
          <w:lang w:val="en-US"/>
        </w:rPr>
        <w:t>the activities with the largest global impact</w:t>
      </w:r>
      <w:r>
        <w:rPr>
          <w:rFonts w:ascii="Times New Roman" w:hAnsi="Times New Roman" w:cs="Times New Roman"/>
          <w:sz w:val="24"/>
          <w:szCs w:val="24"/>
          <w:lang w:val="en-US"/>
        </w:rPr>
        <w:t>s</w:t>
      </w:r>
      <w:r w:rsidR="000C1F33">
        <w:rPr>
          <w:rFonts w:ascii="Times New Roman" w:hAnsi="Times New Roman" w:cs="Times New Roman"/>
          <w:sz w:val="24"/>
          <w:szCs w:val="24"/>
          <w:lang w:val="en-US"/>
        </w:rPr>
        <w:t xml:space="preserve"> on biodiversity</w:t>
      </w:r>
      <w:r w:rsidR="0094621C">
        <w:rPr>
          <w:rFonts w:ascii="Times New Roman" w:hAnsi="Times New Roman" w:cs="Times New Roman"/>
          <w:sz w:val="24"/>
          <w:szCs w:val="24"/>
          <w:lang w:val="en-US"/>
        </w:rPr>
        <w:t>. F</w:t>
      </w:r>
      <w:r w:rsidR="00DB0808">
        <w:rPr>
          <w:rFonts w:ascii="Times New Roman" w:hAnsi="Times New Roman" w:cs="Times New Roman"/>
          <w:sz w:val="24"/>
          <w:szCs w:val="24"/>
          <w:lang w:val="en-US"/>
        </w:rPr>
        <w:t xml:space="preserve">ish capture </w:t>
      </w:r>
      <w:r w:rsidR="000B338C">
        <w:rPr>
          <w:rFonts w:ascii="Times New Roman" w:hAnsi="Times New Roman" w:cs="Times New Roman"/>
          <w:sz w:val="24"/>
          <w:szCs w:val="24"/>
          <w:lang w:val="en-US"/>
        </w:rPr>
        <w:t>i</w:t>
      </w:r>
      <w:r w:rsidR="00DB0808">
        <w:rPr>
          <w:rFonts w:ascii="Times New Roman" w:hAnsi="Times New Roman" w:cs="Times New Roman"/>
          <w:sz w:val="24"/>
          <w:szCs w:val="24"/>
          <w:lang w:val="en-US"/>
        </w:rPr>
        <w:t xml:space="preserve">s </w:t>
      </w:r>
      <w:r w:rsidR="000B338C">
        <w:rPr>
          <w:rFonts w:ascii="Times New Roman" w:hAnsi="Times New Roman" w:cs="Times New Roman"/>
          <w:sz w:val="24"/>
          <w:szCs w:val="24"/>
          <w:lang w:val="en-US"/>
        </w:rPr>
        <w:t xml:space="preserve">quantitatively </w:t>
      </w:r>
      <w:r w:rsidR="00DB0808">
        <w:rPr>
          <w:rFonts w:ascii="Times New Roman" w:hAnsi="Times New Roman" w:cs="Times New Roman"/>
          <w:sz w:val="24"/>
          <w:szCs w:val="24"/>
          <w:lang w:val="en-US"/>
        </w:rPr>
        <w:t xml:space="preserve">of </w:t>
      </w:r>
      <w:r w:rsidR="000C1F33">
        <w:rPr>
          <w:rFonts w:ascii="Times New Roman" w:hAnsi="Times New Roman" w:cs="Times New Roman"/>
          <w:sz w:val="24"/>
          <w:szCs w:val="24"/>
          <w:lang w:val="en-US"/>
        </w:rPr>
        <w:t xml:space="preserve">rather </w:t>
      </w:r>
      <w:r w:rsidR="00DB0808">
        <w:rPr>
          <w:rFonts w:ascii="Times New Roman" w:hAnsi="Times New Roman" w:cs="Times New Roman"/>
          <w:sz w:val="24"/>
          <w:szCs w:val="24"/>
          <w:lang w:val="en-US"/>
        </w:rPr>
        <w:t>minor significance (</w:t>
      </w:r>
      <w:r w:rsidR="00DB0296">
        <w:rPr>
          <w:rFonts w:ascii="Times New Roman" w:hAnsi="Times New Roman" w:cs="Times New Roman"/>
          <w:sz w:val="24"/>
          <w:szCs w:val="24"/>
          <w:lang w:val="en-US"/>
        </w:rPr>
        <w:t>0.1</w:t>
      </w:r>
      <w:r w:rsidR="00DB0808">
        <w:rPr>
          <w:rFonts w:ascii="Times New Roman" w:hAnsi="Times New Roman" w:cs="Times New Roman"/>
          <w:sz w:val="24"/>
          <w:szCs w:val="24"/>
          <w:lang w:val="en-US"/>
        </w:rPr>
        <w:t xml:space="preserve"> Gt/</w:t>
      </w:r>
      <w:proofErr w:type="spellStart"/>
      <w:r w:rsidR="00DB0808">
        <w:rPr>
          <w:rFonts w:ascii="Times New Roman" w:hAnsi="Times New Roman" w:cs="Times New Roman"/>
          <w:sz w:val="24"/>
          <w:szCs w:val="24"/>
          <w:lang w:val="en-US"/>
        </w:rPr>
        <w:t>yr</w:t>
      </w:r>
      <w:proofErr w:type="spellEnd"/>
      <w:r w:rsidR="0094621C">
        <w:rPr>
          <w:rFonts w:ascii="Times New Roman" w:hAnsi="Times New Roman" w:cs="Times New Roman"/>
          <w:sz w:val="24"/>
          <w:szCs w:val="24"/>
          <w:lang w:val="en-US"/>
        </w:rPr>
        <w:t xml:space="preserve"> in 2015</w:t>
      </w:r>
      <w:r w:rsidR="00DB0808">
        <w:rPr>
          <w:rFonts w:ascii="Times New Roman" w:hAnsi="Times New Roman" w:cs="Times New Roman"/>
          <w:sz w:val="24"/>
          <w:szCs w:val="24"/>
          <w:lang w:val="en-US"/>
        </w:rPr>
        <w:t>)</w:t>
      </w:r>
      <w:r w:rsidR="000B338C">
        <w:rPr>
          <w:rFonts w:ascii="Times New Roman" w:hAnsi="Times New Roman" w:cs="Times New Roman"/>
          <w:sz w:val="24"/>
          <w:szCs w:val="24"/>
          <w:lang w:val="en-US"/>
        </w:rPr>
        <w:t xml:space="preserve"> compared to the use of other resources – indeed it is almost invisible in Fig </w:t>
      </w:r>
      <w:r w:rsidR="004658F4">
        <w:rPr>
          <w:rFonts w:ascii="Times New Roman" w:hAnsi="Times New Roman" w:cs="Times New Roman"/>
          <w:sz w:val="24"/>
          <w:szCs w:val="24"/>
          <w:lang w:val="en-US"/>
        </w:rPr>
        <w:t>2a</w:t>
      </w:r>
      <w:r w:rsidR="000B338C">
        <w:rPr>
          <w:rFonts w:ascii="Times New Roman" w:hAnsi="Times New Roman" w:cs="Times New Roman"/>
          <w:sz w:val="24"/>
          <w:szCs w:val="24"/>
          <w:lang w:val="en-US"/>
        </w:rPr>
        <w:t xml:space="preserve">. However, </w:t>
      </w:r>
      <w:r w:rsidR="000C1F33">
        <w:rPr>
          <w:rFonts w:ascii="Times New Roman" w:hAnsi="Times New Roman" w:cs="Times New Roman"/>
          <w:sz w:val="24"/>
          <w:szCs w:val="24"/>
          <w:lang w:val="en-US"/>
        </w:rPr>
        <w:t>fisheries have c</w:t>
      </w:r>
      <w:r w:rsidR="00DB0808">
        <w:rPr>
          <w:rFonts w:ascii="Times New Roman" w:hAnsi="Times New Roman" w:cs="Times New Roman"/>
          <w:sz w:val="24"/>
          <w:szCs w:val="24"/>
          <w:lang w:val="en-US"/>
        </w:rPr>
        <w:t xml:space="preserve">onsiderable </w:t>
      </w:r>
      <w:r w:rsidR="000B338C">
        <w:rPr>
          <w:rFonts w:ascii="Times New Roman" w:hAnsi="Times New Roman" w:cs="Times New Roman"/>
          <w:sz w:val="24"/>
          <w:szCs w:val="24"/>
          <w:lang w:val="en-US"/>
        </w:rPr>
        <w:t xml:space="preserve">impacts on </w:t>
      </w:r>
      <w:r w:rsidR="00DB0808">
        <w:rPr>
          <w:rFonts w:ascii="Times New Roman" w:hAnsi="Times New Roman" w:cs="Times New Roman"/>
          <w:sz w:val="24"/>
          <w:szCs w:val="24"/>
          <w:lang w:val="en-US"/>
        </w:rPr>
        <w:t>biodiversity</w:t>
      </w:r>
      <w:r w:rsidR="00EF3F01">
        <w:rPr>
          <w:rFonts w:ascii="Times New Roman" w:hAnsi="Times New Roman" w:cs="Times New Roman"/>
          <w:sz w:val="24"/>
          <w:szCs w:val="24"/>
          <w:lang w:val="en-US"/>
        </w:rPr>
        <w:t>, mainly on marine ecosystems</w:t>
      </w:r>
      <w:r w:rsidR="00DA3791">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{"citationID":"tLufcbNg","properties":{"formattedCitation":"(Selig et al., 2014)","plainCitation":"(Selig et al., 2014)","noteIndex":0},"citationItems":[{"id":71547,"uris":["http://zotero.org/users/666791/items/8QQSKRS8"],"uri":["http://zotero.org/users/666791/items/8QQSKRS8"],"itemData":{"id":71547,"type":"article-journal","abstract":"In recent decades, many marine populations have experienced major declines in abundance, but we still know little about where management interventions may help protect the highest levels of marine biodiversity. We used modeled spatial distribution data for nearly 12,500 species to quantify global patterns of species richness and two measures of endemism. By combining these data with spatial information on cumulative human impacts, we identified priority areas where marine biodiversity is most and least impacted by human activities, both within Exclusive Economic Zones (EEZs) and Areas Beyond National Jurisdiction (ABNJ). Our analyses highlighted places that are both accepted priorities for marine conservation like the Coral Triangle, as well as less well-known locations in the southwest Indian Ocean, western Pacific Ocean, Arctic and Antarctic Oceans, and within semi-enclosed seas like the Mediterranean and Baltic Seas. Within highly impacted priority areas, climate and fishing were the biggest stressors. Although new priorities may arise as we continue to improve marine species range datasets, results from this work are an essential first step in guiding limited resources to regions where investment could best sustain marine biodiversity.","container-title":"PLOS ONE","DOI":"10.1371/journal.pone.0082898","ISSN":"1932-6203","issue":"1","journalAbbreviation":"PLOS ONE","language":"en","note":"publisher: Public Library of Science","page":"e82898","source":"PLoS Journals","title":"Global Priorities for Marine Biodiversity Conservation","volume":"9","author":[{"family":"Selig","given":"Elizabeth R."},{"family":"Turner","given":"Will R."},{"family":"Troëng","given":"Sebastian"},{"family":"Wallace","given":"Bryan P."},{"family":"Halpern","given":"Benjamin S."},{"family":"Kaschner","given":"Kristin"},{"family":"Lascelles","given":"Ben G."},{"family":"Carpenter","given":"Kent E."},{"family":"Mittermeier","given":"Russell A."}],"issued":{"date-parts":[["2014",1,8]]}}}],"schema":"https://github.com/citation-style-language/schema/raw/master/csl-citation.json"} </w:instrText>
      </w:r>
      <w:r>
        <w:rPr>
          <w:rFonts w:ascii="Times New Roman" w:hAnsi="Times New Roman" w:cs="Times New Roman"/>
          <w:sz w:val="24"/>
          <w:szCs w:val="24"/>
          <w:lang w:val="en-US"/>
        </w:rPr>
        <w:fldChar w:fldCharType="separate"/>
      </w:r>
      <w:r w:rsidRPr="00C15D09">
        <w:rPr>
          <w:rFonts w:ascii="Times New Roman" w:hAnsi="Times New Roman" w:cs="Times New Roman"/>
          <w:sz w:val="24"/>
          <w:lang w:val="en-GB"/>
        </w:rPr>
        <w:t>(Selig et al., 2014)</w:t>
      </w:r>
      <w:r>
        <w:rPr>
          <w:rFonts w:ascii="Times New Roman" w:hAnsi="Times New Roman" w:cs="Times New Roman"/>
          <w:sz w:val="24"/>
          <w:szCs w:val="24"/>
          <w:lang w:val="en-US"/>
        </w:rPr>
        <w:fldChar w:fldCharType="end"/>
      </w:r>
      <w:r w:rsidR="00DB0808">
        <w:rPr>
          <w:rFonts w:ascii="Times New Roman" w:hAnsi="Times New Roman" w:cs="Times New Roman"/>
          <w:sz w:val="24"/>
          <w:szCs w:val="24"/>
          <w:lang w:val="en-US"/>
        </w:rPr>
        <w:t>.</w:t>
      </w:r>
      <w:r w:rsidR="0094621C">
        <w:rPr>
          <w:rFonts w:ascii="Times New Roman" w:hAnsi="Times New Roman" w:cs="Times New Roman"/>
          <w:sz w:val="24"/>
          <w:szCs w:val="24"/>
          <w:lang w:val="en-US"/>
        </w:rPr>
        <w:t xml:space="preserve"> The extraction of mineral and fossil materials has been growing roughly </w:t>
      </w:r>
      <w:r w:rsidR="000B338C">
        <w:rPr>
          <w:rFonts w:ascii="Times New Roman" w:hAnsi="Times New Roman" w:cs="Times New Roman"/>
          <w:sz w:val="24"/>
          <w:szCs w:val="24"/>
          <w:lang w:val="en-US"/>
        </w:rPr>
        <w:t>at the same pace as</w:t>
      </w:r>
      <w:r w:rsidR="0094621C">
        <w:rPr>
          <w:rFonts w:ascii="Times New Roman" w:hAnsi="Times New Roman" w:cs="Times New Roman"/>
          <w:sz w:val="24"/>
          <w:szCs w:val="24"/>
          <w:lang w:val="en-US"/>
        </w:rPr>
        <w:t xml:space="preserve"> global GDP. This fraction of global resource extraction amounted to </w:t>
      </w:r>
      <w:r w:rsidR="00F24410">
        <w:rPr>
          <w:rFonts w:ascii="Times New Roman" w:hAnsi="Times New Roman" w:cs="Times New Roman"/>
          <w:sz w:val="24"/>
          <w:szCs w:val="24"/>
          <w:lang w:val="en-US"/>
        </w:rPr>
        <w:t>66</w:t>
      </w:r>
      <w:r w:rsidR="0094621C">
        <w:rPr>
          <w:rFonts w:ascii="Times New Roman" w:hAnsi="Times New Roman" w:cs="Times New Roman"/>
          <w:sz w:val="24"/>
          <w:szCs w:val="24"/>
          <w:lang w:val="en-US"/>
        </w:rPr>
        <w:t xml:space="preserve"> Gt/</w:t>
      </w:r>
      <w:proofErr w:type="spellStart"/>
      <w:r w:rsidR="0094621C">
        <w:rPr>
          <w:rFonts w:ascii="Times New Roman" w:hAnsi="Times New Roman" w:cs="Times New Roman"/>
          <w:sz w:val="24"/>
          <w:szCs w:val="24"/>
          <w:lang w:val="en-US"/>
        </w:rPr>
        <w:t>yr</w:t>
      </w:r>
      <w:proofErr w:type="spellEnd"/>
      <w:r w:rsidR="0094621C">
        <w:rPr>
          <w:rFonts w:ascii="Times New Roman" w:hAnsi="Times New Roman" w:cs="Times New Roman"/>
          <w:sz w:val="24"/>
          <w:szCs w:val="24"/>
          <w:lang w:val="en-US"/>
        </w:rPr>
        <w:t xml:space="preserve"> in 2015 and was </w:t>
      </w:r>
      <w:r w:rsidR="00DB0808">
        <w:rPr>
          <w:rFonts w:ascii="Times New Roman" w:hAnsi="Times New Roman" w:cs="Times New Roman"/>
          <w:sz w:val="24"/>
          <w:szCs w:val="24"/>
          <w:lang w:val="en-US"/>
        </w:rPr>
        <w:t>extracted t</w:t>
      </w:r>
      <w:r w:rsidR="000C1F33">
        <w:rPr>
          <w:rFonts w:ascii="Times New Roman" w:hAnsi="Times New Roman" w:cs="Times New Roman"/>
          <w:sz w:val="24"/>
          <w:szCs w:val="24"/>
          <w:lang w:val="en-US"/>
        </w:rPr>
        <w:t xml:space="preserve">hrough </w:t>
      </w:r>
      <w:r w:rsidR="00DB0808">
        <w:rPr>
          <w:rFonts w:ascii="Times New Roman" w:hAnsi="Times New Roman" w:cs="Times New Roman"/>
          <w:sz w:val="24"/>
          <w:szCs w:val="24"/>
          <w:lang w:val="en-US"/>
        </w:rPr>
        <w:t>mining</w:t>
      </w:r>
      <w:r w:rsidR="00DA3791">
        <w:rPr>
          <w:rFonts w:ascii="Times New Roman" w:hAnsi="Times New Roman" w:cs="Times New Roman"/>
          <w:sz w:val="24"/>
          <w:szCs w:val="24"/>
          <w:lang w:val="en-US"/>
        </w:rPr>
        <w:t xml:space="preserve">, </w:t>
      </w:r>
      <w:r w:rsidR="00DB0808">
        <w:rPr>
          <w:rFonts w:ascii="Times New Roman" w:hAnsi="Times New Roman" w:cs="Times New Roman"/>
          <w:sz w:val="24"/>
          <w:szCs w:val="24"/>
          <w:lang w:val="en-US"/>
        </w:rPr>
        <w:t>quarry</w:t>
      </w:r>
      <w:r w:rsidR="00DA3791">
        <w:rPr>
          <w:rFonts w:ascii="Times New Roman" w:hAnsi="Times New Roman" w:cs="Times New Roman"/>
          <w:sz w:val="24"/>
          <w:szCs w:val="24"/>
          <w:lang w:val="en-US"/>
        </w:rPr>
        <w:t>ing and oil/gas drilling</w:t>
      </w:r>
      <w:r w:rsidR="00DA6911">
        <w:rPr>
          <w:rFonts w:ascii="Times New Roman" w:hAnsi="Times New Roman" w:cs="Times New Roman"/>
          <w:sz w:val="24"/>
          <w:szCs w:val="24"/>
          <w:lang w:val="en-US"/>
        </w:rPr>
        <w:t xml:space="preserve">. </w:t>
      </w:r>
      <w:r w:rsidR="000B338C">
        <w:rPr>
          <w:rFonts w:ascii="Times New Roman" w:hAnsi="Times New Roman" w:cs="Times New Roman"/>
          <w:sz w:val="24"/>
          <w:szCs w:val="24"/>
          <w:lang w:val="en-US"/>
        </w:rPr>
        <w:t>M</w:t>
      </w:r>
      <w:r w:rsidR="00FE1407">
        <w:rPr>
          <w:rFonts w:ascii="Times New Roman" w:hAnsi="Times New Roman" w:cs="Times New Roman"/>
          <w:sz w:val="24"/>
          <w:szCs w:val="24"/>
          <w:lang w:val="en-US"/>
        </w:rPr>
        <w:t>in</w:t>
      </w:r>
      <w:r w:rsidR="00DA3791">
        <w:rPr>
          <w:rFonts w:ascii="Times New Roman" w:hAnsi="Times New Roman" w:cs="Times New Roman"/>
          <w:sz w:val="24"/>
          <w:szCs w:val="24"/>
          <w:lang w:val="en-US"/>
        </w:rPr>
        <w:t>ing operations</w:t>
      </w:r>
      <w:r w:rsidR="00FE1407">
        <w:rPr>
          <w:rFonts w:ascii="Times New Roman" w:hAnsi="Times New Roman" w:cs="Times New Roman"/>
          <w:sz w:val="24"/>
          <w:szCs w:val="24"/>
          <w:lang w:val="en-US"/>
        </w:rPr>
        <w:t xml:space="preserve"> occupy only a relatively small share of the global land area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{"citationID":"OyXIQDwr","properties":{"formattedCitation":"(Maus et al., 2020)","plainCitation":"(Maus et al., 2020)","noteIndex":0},"citationItems":[{"id":71550,"uris":["http://zotero.org/users/666791/items/QQKKITYE"],"uri":["http://zotero.org/users/666791/items/QQKKITYE"],"itemData":{"id":71550,"type":"article-journal","abstract":"The area used for mineral extraction is a key indicator for understanding and mitigating the environmental impacts caused by the extractive sector. To date, worldwide data products on mineral extraction do not report the area used by mining activities. In this paper, we contribute to filling this gap by presenting a new data set of mining extents derived by visual interpretation of satellite images. We delineated mining areas within a 10 km buffer from the approximate geographical coordinates of more than six thousand active mining sites across the globe. The result is a global-scale data set consisting of 21,060 polygons that add up to 57,277 km2. The polygons cover all mining above-ground features that could be identified from the satellite images, including open cuts, tailings dams, waste rock dumps, water ponds, and processing infrastructure. The data set is available for download from https://doi.org/10.1594/PANGAEA.910894and visualization at www.fineprint.global/viewer.","container-title":"Scientific Data","DOI":"10.1038/s41597-020-00624-w","ISSN":"2052-4463","issue":"1","journalAbbreviation":"Sci Data","language":"en","note":"Bandiera_abtest: a\nCc_license_type: cc_publicdomain\nCg_type: Nature Research Journals\nnumber: 1\nPrimary_atype: Research\npublisher: Nature Publishing Group\nSubject_term: Environmental economics;Environmental impact;Sustainability\nSubject_term_id: environmental-economics;environmental-impact;sustainability","page":"289","source":"www.nature.com","title":"A global-scale data set of mining areas","volume":"7","author":[{"family":"Maus","given":"Victor"},{"family":"Giljum","given":"Stefan"},{"family":"Gutschlhofer","given":"Jakob"},{"family":"Silva","given":"Dieison M.","non-dropping-particle":"da"},{"family":"Probst","given":"Michael"},{"family":"Gass","given":"Sidnei L. B."},{"family":"Luckeneder","given":"Sebastian"},{"family":"Lieber","given":"Mirko"},{"family":"McCallum","given":"Ian"}],"issued":{"date-parts":[["2020",9,8]]}}}],"schema":"https://github.com/citation-style-language/schema/raw/master/csl-citation.json"} </w:instrText>
      </w:r>
      <w:r>
        <w:rPr>
          <w:rFonts w:ascii="Times New Roman" w:hAnsi="Times New Roman" w:cs="Times New Roman"/>
          <w:sz w:val="24"/>
          <w:szCs w:val="24"/>
          <w:lang w:val="en-US"/>
        </w:rPr>
        <w:fldChar w:fldCharType="separate"/>
      </w:r>
      <w:r w:rsidRPr="00094FAF">
        <w:rPr>
          <w:rFonts w:ascii="Times New Roman" w:hAnsi="Times New Roman" w:cs="Times New Roman"/>
          <w:sz w:val="24"/>
          <w:lang w:val="en-US"/>
        </w:rPr>
        <w:t>(Maus et al., 2020)</w:t>
      </w:r>
      <w:r>
        <w:rPr>
          <w:rFonts w:ascii="Times New Roman" w:hAnsi="Times New Roman" w:cs="Times New Roman"/>
          <w:sz w:val="24"/>
          <w:szCs w:val="24"/>
          <w:lang w:val="en-US"/>
        </w:rPr>
        <w:fldChar w:fldCharType="end"/>
      </w:r>
      <w:r w:rsidR="00FE1407">
        <w:rPr>
          <w:rFonts w:ascii="Times New Roman" w:hAnsi="Times New Roman" w:cs="Times New Roman"/>
          <w:sz w:val="24"/>
          <w:szCs w:val="24"/>
          <w:lang w:val="en-US"/>
        </w:rPr>
        <w:t xml:space="preserve">, </w:t>
      </w:r>
      <w:r w:rsidR="00DA6911">
        <w:rPr>
          <w:rFonts w:ascii="Times New Roman" w:hAnsi="Times New Roman" w:cs="Times New Roman"/>
          <w:sz w:val="24"/>
          <w:szCs w:val="24"/>
          <w:lang w:val="en-US"/>
        </w:rPr>
        <w:t xml:space="preserve">but they </w:t>
      </w:r>
      <w:r w:rsidR="00DA3791">
        <w:rPr>
          <w:rFonts w:ascii="Times New Roman" w:hAnsi="Times New Roman" w:cs="Times New Roman"/>
          <w:sz w:val="24"/>
          <w:szCs w:val="24"/>
          <w:lang w:val="en-US"/>
        </w:rPr>
        <w:t xml:space="preserve">are </w:t>
      </w:r>
      <w:r w:rsidR="00DA6911">
        <w:rPr>
          <w:rFonts w:ascii="Times New Roman" w:hAnsi="Times New Roman" w:cs="Times New Roman"/>
          <w:sz w:val="24"/>
          <w:szCs w:val="24"/>
          <w:lang w:val="en-US"/>
        </w:rPr>
        <w:t xml:space="preserve">recognized as </w:t>
      </w:r>
      <w:r w:rsidR="00FE1407">
        <w:rPr>
          <w:rFonts w:ascii="Times New Roman" w:hAnsi="Times New Roman" w:cs="Times New Roman"/>
          <w:sz w:val="24"/>
          <w:szCs w:val="24"/>
          <w:lang w:val="en-US"/>
        </w:rPr>
        <w:t>a major threat to biodiversity</w:t>
      </w:r>
      <w:r w:rsidR="00DA6911">
        <w:rPr>
          <w:rFonts w:ascii="Times New Roman" w:hAnsi="Times New Roman" w:cs="Times New Roman"/>
          <w:sz w:val="24"/>
          <w:szCs w:val="24"/>
          <w:lang w:val="en-US"/>
        </w:rPr>
        <w:t>. A</w:t>
      </w:r>
      <w:r w:rsidR="00FE1407">
        <w:rPr>
          <w:rFonts w:ascii="Times New Roman" w:hAnsi="Times New Roman" w:cs="Times New Roman"/>
          <w:sz w:val="24"/>
          <w:szCs w:val="24"/>
          <w:lang w:val="en-US"/>
        </w:rPr>
        <w:t xml:space="preserve"> large share of mining operations are located in vulnerable and biodiversity</w:t>
      </w:r>
      <w:r w:rsidR="00DA6911">
        <w:rPr>
          <w:rFonts w:ascii="Times New Roman" w:hAnsi="Times New Roman" w:cs="Times New Roman"/>
          <w:sz w:val="24"/>
          <w:szCs w:val="24"/>
          <w:lang w:val="en-US"/>
        </w:rPr>
        <w:t>-</w:t>
      </w:r>
      <w:r w:rsidR="00FE1407">
        <w:rPr>
          <w:rFonts w:ascii="Times New Roman" w:hAnsi="Times New Roman" w:cs="Times New Roman"/>
          <w:sz w:val="24"/>
          <w:szCs w:val="24"/>
          <w:lang w:val="en-US"/>
        </w:rPr>
        <w:t>rich ecosystems</w:t>
      </w:r>
      <w:r w:rsidR="006C3C27">
        <w:rPr>
          <w:rFonts w:ascii="Times New Roman" w:hAnsi="Times New Roman" w:cs="Times New Roman"/>
          <w:sz w:val="24"/>
          <w:szCs w:val="24"/>
          <w:lang w:val="en-US"/>
        </w:rPr>
        <w:t xml:space="preserve"> and their impact </w:t>
      </w:r>
      <w:r w:rsidR="00F24410">
        <w:rPr>
          <w:rFonts w:ascii="Times New Roman" w:hAnsi="Times New Roman" w:cs="Times New Roman"/>
          <w:sz w:val="24"/>
          <w:szCs w:val="24"/>
          <w:lang w:val="en-US"/>
        </w:rPr>
        <w:t>extends far beyond the actual mine site</w:t>
      </w:r>
      <w:r w:rsidR="00FE1407">
        <w:rPr>
          <w:rFonts w:ascii="Times New Roman" w:hAnsi="Times New Roman" w:cs="Times New Roman"/>
          <w:sz w:val="24"/>
          <w:szCs w:val="24"/>
          <w:lang w:val="en-US"/>
        </w:rPr>
        <w:t xml:space="preserve"> </w:t>
      </w:r>
      <w:r w:rsidR="00DA6911">
        <w:rPr>
          <w:rFonts w:ascii="Times New Roman" w:hAnsi="Times New Roman" w:cs="Times New Roman"/>
          <w:sz w:val="24"/>
          <w:szCs w:val="24"/>
          <w:lang w:val="en-US"/>
        </w:rPr>
        <w:fldChar w:fldCharType="begin"/>
      </w:r>
      <w:r w:rsidR="00DA6911">
        <w:rPr>
          <w:rFonts w:ascii="Times New Roman" w:hAnsi="Times New Roman" w:cs="Times New Roman"/>
          <w:sz w:val="24"/>
          <w:szCs w:val="24"/>
          <w:lang w:val="en-US"/>
        </w:rPr>
        <w:instrText xml:space="preserve"> ADDIN ZOTERO_ITEM CSL_CITATION {"citationID":"VciXQwQZ","properties":{"formattedCitation":"(Luckeneder et al., 2021; Sonter et al., 2018)","plainCitation":"(Luckeneder et al., 2021; Sonter et al., 2018)","noteIndex":0},"citationItems":[{"id":71385,"uris":["http://zotero.org/users/666791/items/9L4UFW48"],"uri":["http://zotero.org/users/666791/items/9L4UFW48"],"itemData":{"id":71385,"type":"article-journal","abstract":"Mining activities induce profound changes to societies and the environment they inhabit. With global extraction of metal ores doubling over the past two decades, pressures related to mining have dramatically increased. In this paper, we explore where growing global metal extraction has particularly taken effect. Using fine-grain data, we investigate the spatial and temporal distribution of mining of nine metal ores (bauxite, copper, gold, iron, lead, manganese, nickel, silver and zinc) across approximately 3,000 sites of extraction worldwide between 2000 and 2019. To approach the related environmental implications, we intersect mining sites with terrestrial biomes, protected areas, and watersheds categorised by water availability. We find that 79% of global metal ore extraction in 2019 originated from five of the six most species-rich biomes, with mining volumes doubling since 2000 in tropical moist forest ecosystems. We also find that half of global metal ore extraction took place at 20 km or less from protected territories. Further, 90% of all considered extraction sites correspond to below-average relative water availability, with particularly copper and gold mining occurring in areas with significant water scarcity. Our study has far-reaching implications for future global and local policy and resource management responses to mitigate the negative effects of the expected expansion of metal mining.","container-title":"Global Environmental Change","DOI":"10.1016/j.gloenvcha.2021.102303","ISSN":"0959-3780","journalAbbreviation":"Global Environmental Change","language":"en","page":"102303","source":"ScienceDirect","title":"Surge in global metal mining threatens vulnerable ecosystems","volume":"69","author":[{"family":"Luckeneder","given":"Sebastian"},{"family":"Giljum","given":"Stefan"},{"family":"Schaffartzik","given":"Anke"},{"family":"Maus","given":"Victor"},{"family":"Tost","given":"Michael"}],"issued":{"date-parts":[["2021",7,1]]}}},{"id":71138,"uris":["http://zotero.org/users/666791/items/W7QSTTFV"],"uri":["http://zotero.org/users/666791/items/W7QSTTFV"],"itemData":{"id":71138,"type":"article-journal","abstract":"Mining poses serious and highly specific threats to biodiversity. However, mining can also be a means for financing alternative livelihood paths that, over the long-term, may prevent biodiversity loss. Complex and controversial issues associated with mining and biodiversity conservation are often simplified within a narrow frame oriented towards the negative impacts of mining at the site of extraction, rather than posed as a series of challenges for the conservation science community to embrace. Here, we synthesize core issues that, if better understood, may ensure coexi</w:instrText>
      </w:r>
      <w:r w:rsidR="00DA6911" w:rsidRPr="00C15D09">
        <w:rPr>
          <w:rFonts w:ascii="Times New Roman" w:hAnsi="Times New Roman" w:cs="Times New Roman"/>
          <w:sz w:val="24"/>
          <w:szCs w:val="24"/>
          <w:lang w:val="en-GB"/>
        </w:rPr>
        <w:instrText xml:space="preserve">stence between mining and conservation </w:instrText>
      </w:r>
      <w:r w:rsidR="00DA6911" w:rsidRPr="00DA6911">
        <w:rPr>
          <w:rFonts w:ascii="Times New Roman" w:hAnsi="Times New Roman" w:cs="Times New Roman"/>
          <w:sz w:val="24"/>
          <w:szCs w:val="24"/>
          <w:lang w:val="en-US"/>
        </w:rPr>
        <w:instrText xml:space="preserve">agendas. We illustrate how mining impacts biodiversity through diverse pathways and across spatial scales. We argue that traditional, site-based conservation approaches will have limited effect in preventing biodiversity loss against an increasing mining footprint, but opportunities to improve outcomes (e.g. through long-term strategic assessment and planning) do exist. While future mineral supply is uncertain, projections suggest demand will grow for many metals and shift mining operations towards more dispersed and biodiverse areas. Initiating dialogue between mining companies, policy-makers and conservation organizations is urgent, given the suite of international agendas simultaneously requiring more minerals but less biodiversity loss.","container-title":"Proceedings of the Royal Society B: Biological Sciences","DOI":"10.1098/rspb.2018.1926","issue":"1892","journalAbbreviation":"Proceedings of the Royal Society B: Biological Sciences","note":"publisher: Royal Society","page":"20181926","source":"royalsocietypublishing.org (Atypon)","title":"Mining and biodiversity: key issues and research needs in conservation science","title-short":"Mining and biodiversity","volume":"285","author":[{"family":"Sonter","given":"Laura J."},{"family":"Ali","given":"Saleem H."},{"family":"Watson","given":"James E. M."}],"issued":{"date-parts":[["2018",12,5]]}}}],"schema":"https://github.com/citation-style-language/schema/raw/master/csl-citation.json"} </w:instrText>
      </w:r>
      <w:r w:rsidR="00DA6911">
        <w:rPr>
          <w:rFonts w:ascii="Times New Roman" w:hAnsi="Times New Roman" w:cs="Times New Roman"/>
          <w:sz w:val="24"/>
          <w:szCs w:val="24"/>
          <w:lang w:val="en-US"/>
        </w:rPr>
        <w:fldChar w:fldCharType="separate"/>
      </w:r>
      <w:r w:rsidR="00DA6911" w:rsidRPr="00DA6911">
        <w:rPr>
          <w:rFonts w:ascii="Times New Roman" w:hAnsi="Times New Roman" w:cs="Times New Roman"/>
          <w:sz w:val="24"/>
          <w:lang w:val="en-US"/>
        </w:rPr>
        <w:t>(Luckeneder et al., 2021; Sonter et al., 2018)</w:t>
      </w:r>
      <w:r w:rsidR="00DA6911">
        <w:rPr>
          <w:rFonts w:ascii="Times New Roman" w:hAnsi="Times New Roman" w:cs="Times New Roman"/>
          <w:sz w:val="24"/>
          <w:szCs w:val="24"/>
          <w:lang w:val="en-US"/>
        </w:rPr>
        <w:fldChar w:fldCharType="end"/>
      </w:r>
      <w:r w:rsidR="00FE1407" w:rsidRPr="00DA6911">
        <w:rPr>
          <w:rFonts w:ascii="Times New Roman" w:hAnsi="Times New Roman" w:cs="Times New Roman"/>
          <w:sz w:val="24"/>
          <w:szCs w:val="24"/>
          <w:lang w:val="en-US"/>
        </w:rPr>
        <w:t>.</w:t>
      </w:r>
    </w:p>
    <w:p w14:paraId="76B91F0B" w14:textId="5C15CB27" w:rsidR="000C1F33" w:rsidRPr="00DA6911" w:rsidRDefault="000C1F33" w:rsidP="00E063DB">
      <w:pPr>
        <w:spacing w:after="0" w:line="240" w:lineRule="auto"/>
        <w:rPr>
          <w:rFonts w:ascii="Times New Roman" w:hAnsi="Times New Roman" w:cs="Times New Roman"/>
          <w:sz w:val="24"/>
          <w:szCs w:val="24"/>
          <w:lang w:val="en-US"/>
        </w:rPr>
      </w:pPr>
    </w:p>
    <w:p w14:paraId="0480DF32" w14:textId="39D1DFF0" w:rsidR="00F96D4B" w:rsidRDefault="000C1F33" w:rsidP="00E063D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numbers in Figure </w:t>
      </w:r>
      <w:r w:rsidR="00BC0251">
        <w:rPr>
          <w:rFonts w:ascii="Times New Roman" w:hAnsi="Times New Roman" w:cs="Times New Roman"/>
          <w:sz w:val="24"/>
          <w:szCs w:val="24"/>
          <w:lang w:val="en-US"/>
        </w:rPr>
        <w:t>2</w:t>
      </w:r>
      <w:r>
        <w:rPr>
          <w:rFonts w:ascii="Times New Roman" w:hAnsi="Times New Roman" w:cs="Times New Roman"/>
          <w:sz w:val="24"/>
          <w:szCs w:val="24"/>
          <w:lang w:val="en-US"/>
        </w:rPr>
        <w:t xml:space="preserve">a indicate that </w:t>
      </w:r>
      <w:r w:rsidR="00DB0808">
        <w:rPr>
          <w:rFonts w:ascii="Times New Roman" w:hAnsi="Times New Roman" w:cs="Times New Roman"/>
          <w:sz w:val="24"/>
          <w:szCs w:val="24"/>
          <w:lang w:val="en-US"/>
        </w:rPr>
        <w:t xml:space="preserve">a shift in the use of materials has </w:t>
      </w:r>
      <w:r>
        <w:rPr>
          <w:rFonts w:ascii="Times New Roman" w:hAnsi="Times New Roman" w:cs="Times New Roman"/>
          <w:sz w:val="24"/>
          <w:szCs w:val="24"/>
          <w:lang w:val="en-US"/>
        </w:rPr>
        <w:t>occurred</w:t>
      </w:r>
      <w:r w:rsidR="000B338C" w:rsidRPr="000B338C">
        <w:rPr>
          <w:rFonts w:ascii="Times New Roman" w:hAnsi="Times New Roman" w:cs="Times New Roman"/>
          <w:sz w:val="24"/>
          <w:szCs w:val="24"/>
          <w:lang w:val="en-US"/>
        </w:rPr>
        <w:t xml:space="preserve"> </w:t>
      </w:r>
      <w:r w:rsidR="000B338C">
        <w:rPr>
          <w:rFonts w:ascii="Times New Roman" w:hAnsi="Times New Roman" w:cs="Times New Roman"/>
          <w:sz w:val="24"/>
          <w:szCs w:val="24"/>
          <w:lang w:val="en-US"/>
        </w:rPr>
        <w:t>in the last century</w:t>
      </w:r>
      <w:r w:rsidR="00DB0808">
        <w:rPr>
          <w:rFonts w:ascii="Times New Roman" w:hAnsi="Times New Roman" w:cs="Times New Roman"/>
          <w:sz w:val="24"/>
          <w:szCs w:val="24"/>
          <w:lang w:val="en-US"/>
        </w:rPr>
        <w:t xml:space="preserve">, from </w:t>
      </w:r>
      <w:r w:rsidR="00C82ECB">
        <w:rPr>
          <w:rFonts w:ascii="Times New Roman" w:hAnsi="Times New Roman" w:cs="Times New Roman"/>
          <w:sz w:val="24"/>
          <w:szCs w:val="24"/>
          <w:lang w:val="en-US"/>
        </w:rPr>
        <w:t xml:space="preserve">so called throughput materials like </w:t>
      </w:r>
      <w:r w:rsidR="00DB0808">
        <w:rPr>
          <w:rFonts w:ascii="Times New Roman" w:hAnsi="Times New Roman" w:cs="Times New Roman"/>
          <w:sz w:val="24"/>
          <w:szCs w:val="24"/>
          <w:lang w:val="en-US"/>
        </w:rPr>
        <w:t>energy</w:t>
      </w:r>
      <w:r w:rsidR="00F24410">
        <w:rPr>
          <w:rFonts w:ascii="Times New Roman" w:hAnsi="Times New Roman" w:cs="Times New Roman"/>
          <w:sz w:val="24"/>
          <w:szCs w:val="24"/>
          <w:lang w:val="en-US"/>
        </w:rPr>
        <w:t xml:space="preserve"> carriers</w:t>
      </w:r>
      <w:r w:rsidR="00DB0808">
        <w:rPr>
          <w:rFonts w:ascii="Times New Roman" w:hAnsi="Times New Roman" w:cs="Times New Roman"/>
          <w:sz w:val="24"/>
          <w:szCs w:val="24"/>
          <w:lang w:val="en-US"/>
        </w:rPr>
        <w:t xml:space="preserve"> and food which </w:t>
      </w:r>
      <w:r w:rsidR="00C82ECB">
        <w:rPr>
          <w:rFonts w:ascii="Times New Roman" w:hAnsi="Times New Roman" w:cs="Times New Roman"/>
          <w:sz w:val="24"/>
          <w:szCs w:val="24"/>
          <w:lang w:val="en-US"/>
        </w:rPr>
        <w:t xml:space="preserve">are processed and used mostly within a year of extraction towards the accumulation of materials in stocks of buildings, infrastructures, machinery and other long living </w:t>
      </w:r>
      <w:r>
        <w:rPr>
          <w:rFonts w:ascii="Times New Roman" w:hAnsi="Times New Roman" w:cs="Times New Roman"/>
          <w:sz w:val="24"/>
          <w:szCs w:val="24"/>
          <w:lang w:val="en-US"/>
        </w:rPr>
        <w:t>artefacts</w:t>
      </w:r>
      <w:r w:rsidR="00C82ECB">
        <w:rPr>
          <w:rFonts w:ascii="Times New Roman" w:hAnsi="Times New Roman" w:cs="Times New Roman"/>
          <w:sz w:val="24"/>
          <w:szCs w:val="24"/>
          <w:lang w:val="en-US"/>
        </w:rPr>
        <w:t>. These materials</w:t>
      </w:r>
      <w:r w:rsidR="00E4518E">
        <w:rPr>
          <w:rFonts w:ascii="Times New Roman" w:hAnsi="Times New Roman" w:cs="Times New Roman"/>
          <w:sz w:val="24"/>
          <w:szCs w:val="24"/>
          <w:lang w:val="en-US"/>
        </w:rPr>
        <w:t>, mainly non-metallic construction minerals but also large quantities of metals, plastics or wood</w:t>
      </w:r>
      <w:r w:rsidR="00C82ECB">
        <w:rPr>
          <w:rFonts w:ascii="Times New Roman" w:hAnsi="Times New Roman" w:cs="Times New Roman"/>
          <w:sz w:val="24"/>
          <w:szCs w:val="24"/>
          <w:lang w:val="en-US"/>
        </w:rPr>
        <w:t xml:space="preserve"> remain in use for decades and are returned </w:t>
      </w:r>
      <w:r>
        <w:rPr>
          <w:rFonts w:ascii="Times New Roman" w:hAnsi="Times New Roman" w:cs="Times New Roman"/>
          <w:sz w:val="24"/>
          <w:szCs w:val="24"/>
          <w:lang w:val="en-US"/>
        </w:rPr>
        <w:t xml:space="preserve">to the environment </w:t>
      </w:r>
      <w:r w:rsidR="00C82ECB">
        <w:rPr>
          <w:rFonts w:ascii="Times New Roman" w:hAnsi="Times New Roman" w:cs="Times New Roman"/>
          <w:sz w:val="24"/>
          <w:szCs w:val="24"/>
          <w:lang w:val="en-US"/>
        </w:rPr>
        <w:t>as waste flows after the</w:t>
      </w:r>
      <w:r w:rsidR="00EF3F01">
        <w:rPr>
          <w:rFonts w:ascii="Times New Roman" w:hAnsi="Times New Roman" w:cs="Times New Roman"/>
          <w:sz w:val="24"/>
          <w:szCs w:val="24"/>
          <w:lang w:val="en-US"/>
        </w:rPr>
        <w:t xml:space="preserve"> end of their service</w:t>
      </w:r>
      <w:r w:rsidR="00DA6911">
        <w:rPr>
          <w:rFonts w:ascii="Times New Roman" w:hAnsi="Times New Roman" w:cs="Times New Roman"/>
          <w:sz w:val="24"/>
          <w:szCs w:val="24"/>
          <w:lang w:val="en-US"/>
        </w:rPr>
        <w:t>-</w:t>
      </w:r>
      <w:r w:rsidR="00EF3F01">
        <w:rPr>
          <w:rFonts w:ascii="Times New Roman" w:hAnsi="Times New Roman" w:cs="Times New Roman"/>
          <w:sz w:val="24"/>
          <w:szCs w:val="24"/>
          <w:lang w:val="en-US"/>
        </w:rPr>
        <w:t>lifetime</w:t>
      </w:r>
      <w:r w:rsidR="00DA6911">
        <w:rPr>
          <w:rFonts w:ascii="Times New Roman" w:hAnsi="Times New Roman" w:cs="Times New Roman"/>
          <w:sz w:val="24"/>
          <w:szCs w:val="24"/>
          <w:lang w:val="en-US"/>
        </w:rPr>
        <w:t>,</w:t>
      </w:r>
      <w:r w:rsidR="00EF3F01">
        <w:rPr>
          <w:rFonts w:ascii="Times New Roman" w:hAnsi="Times New Roman" w:cs="Times New Roman"/>
          <w:sz w:val="24"/>
          <w:szCs w:val="24"/>
          <w:lang w:val="en-US"/>
        </w:rPr>
        <w:t xml:space="preserve"> which may last from years to </w:t>
      </w:r>
      <w:r w:rsidR="00D06FB5">
        <w:rPr>
          <w:rFonts w:ascii="Times New Roman" w:hAnsi="Times New Roman" w:cs="Times New Roman"/>
          <w:sz w:val="24"/>
          <w:szCs w:val="24"/>
          <w:lang w:val="en-US"/>
        </w:rPr>
        <w:t xml:space="preserve">over </w:t>
      </w:r>
      <w:r w:rsidR="00EF3F01">
        <w:rPr>
          <w:rFonts w:ascii="Times New Roman" w:hAnsi="Times New Roman" w:cs="Times New Roman"/>
          <w:sz w:val="24"/>
          <w:szCs w:val="24"/>
          <w:lang w:val="en-US"/>
        </w:rPr>
        <w:t>a century</w:t>
      </w:r>
      <w:r w:rsidR="00C82ECB">
        <w:rPr>
          <w:rFonts w:ascii="Times New Roman" w:hAnsi="Times New Roman" w:cs="Times New Roman"/>
          <w:sz w:val="24"/>
          <w:szCs w:val="24"/>
          <w:lang w:val="en-US"/>
        </w:rPr>
        <w:t xml:space="preserve">. </w:t>
      </w:r>
      <w:r w:rsidR="00EC2F6D" w:rsidRPr="00EC2F6D">
        <w:rPr>
          <w:rFonts w:ascii="Times New Roman" w:hAnsi="Times New Roman" w:cs="Times New Roman"/>
          <w:sz w:val="24"/>
          <w:szCs w:val="24"/>
          <w:lang w:val="en-US"/>
        </w:rPr>
        <w:t xml:space="preserve">The share of </w:t>
      </w:r>
      <w:r w:rsidR="0069306F">
        <w:rPr>
          <w:rFonts w:ascii="Times New Roman" w:hAnsi="Times New Roman" w:cs="Times New Roman"/>
          <w:sz w:val="24"/>
          <w:szCs w:val="24"/>
          <w:lang w:val="en-US"/>
        </w:rPr>
        <w:t xml:space="preserve">these </w:t>
      </w:r>
      <w:r w:rsidR="00EC2F6D" w:rsidRPr="00EC2F6D">
        <w:rPr>
          <w:rFonts w:ascii="Times New Roman" w:hAnsi="Times New Roman" w:cs="Times New Roman"/>
          <w:sz w:val="24"/>
          <w:szCs w:val="24"/>
          <w:lang w:val="en-US"/>
        </w:rPr>
        <w:t>stock-building materials in total extraction has increased from 28% in 1900 to 59% in 2015</w:t>
      </w:r>
      <w:r w:rsidR="003C0119">
        <w:rPr>
          <w:rFonts w:ascii="Times New Roman" w:hAnsi="Times New Roman" w:cs="Times New Roman"/>
          <w:sz w:val="24"/>
          <w:szCs w:val="24"/>
          <w:lang w:val="en-US"/>
        </w:rPr>
        <w:t xml:space="preserve"> </w:t>
      </w:r>
      <w:r w:rsidR="003C0119">
        <w:rPr>
          <w:rFonts w:ascii="Times New Roman" w:hAnsi="Times New Roman" w:cs="Times New Roman"/>
          <w:sz w:val="24"/>
          <w:szCs w:val="24"/>
          <w:lang w:val="en-US"/>
        </w:rPr>
        <w:fldChar w:fldCharType="begin"/>
      </w:r>
      <w:r w:rsidR="003C0119">
        <w:rPr>
          <w:rFonts w:ascii="Times New Roman" w:hAnsi="Times New Roman" w:cs="Times New Roman"/>
          <w:sz w:val="24"/>
          <w:szCs w:val="24"/>
          <w:lang w:val="en-US"/>
        </w:rPr>
        <w:instrText xml:space="preserve"> ADDIN ZOTERO_ITEM CSL_CITATION {"citationID":"6QmnUrXk","properties":{"formattedCitation":"(Krausmann et al., 2018)","plainCitation":"(Krausmann et al., 2018)","noteIndex":0},"citationItems":[{"id":12912,"uris":["http://zotero.org/users/666791/items/Y2ET6T7Q"],"uri":["http://zotero.org/users/666791/items/Y2ET6T7Q"],"itemData":{"id":12912,"type":"article-journal","abstract":"The size and structure of the socioeconomic metabolism are key for the planet’s sustainability. In this article, we provide a consistent assessment of the development of material flows through the global economy in the period 1900–2015 using material flow accounting in combination with results from dynamic stock-flow modelling. Based on this approach, we can trace materials from extraction to their use, their accumulation in in-use stocks and finally to outflows of wastes and emissions and provide a comprehensive picture of the evolution of societies metabolism during global industrialization. This enables outlooks on inflows and outflows, which environmental policy makers require for pursuing strategies towards a more sustainable resource use. Over the whole time period, we observe a growth in global material extraction by a factor of 12 to 89 Gt/yr. A shift from materials for dissipative use to stock building materials resulted in a massive increase of in-use stocks of materials to 961 Gt in 2015. Since materials increasingly accumulate in stocks, outflows of wastes are growing at a slower pace than inputs. In 2015, outflows amounted to 58 Gt/yr, of which 35% were solid wastes and 25% emissions, the reminder being excrements, dissipative use and water vapor. Our results indicate a significant acceleration of global material flows since the beginning of the 21st century. We show that this acceleration, which took off in 2002, was not a short-term phenomenon but continues since more than a decade. Between 2002 and 2015, global material extraction increased by 53% in spite of the 2008 economic crisis. Based on detailed data on material stocks and flows and information on their long-term historic development, we make a rough estimate of what a global convergence of metabolic patterns at the current level in industrialized countries paired with a continuation of past efficiency gains might imply for global material demand. We find that in such a scenario until 2050 average global metabolic rates double to 22 t/cap/yr and material extraction increases to around 218 Gt/yr. Overall the analysis indicates a grand challenge calling for urgent action, fostering a continuous and considerable reduction of material flows to acceptable levels.","container-title":"Global Environmental Change","DOI":"10.1016/j.gloenvcha.2018.07.003","ISSN":"0959-3780","journalAbbreviation":"Global Environmental Change","page":"131-140","source":"ScienceDirect","title":"From resource extraction to outflows of wastes and emissions: The socioeconomic metabolism of the global economy, 1900–2015","title-short":"From resource extraction to outflows of wastes and emissions","volume":"52","author":[{"family":"Krausmann","given":"Fridolin"},{"family":"Lauk","given":"Christian"},{"family":"Haas","given":"Willi"},{"family":"Wiedenhofer","given":"Dominik"}],"issued":{"date-parts":[["2018",9,1]]}}}],"schema":"https://github.com/citation-style-language/schema/raw/master/csl-citation.json"} </w:instrText>
      </w:r>
      <w:r w:rsidR="003C0119">
        <w:rPr>
          <w:rFonts w:ascii="Times New Roman" w:hAnsi="Times New Roman" w:cs="Times New Roman"/>
          <w:sz w:val="24"/>
          <w:szCs w:val="24"/>
          <w:lang w:val="en-US"/>
        </w:rPr>
        <w:fldChar w:fldCharType="separate"/>
      </w:r>
      <w:r w:rsidR="003C0119" w:rsidRPr="003C0119">
        <w:rPr>
          <w:rFonts w:ascii="Times New Roman" w:hAnsi="Times New Roman" w:cs="Times New Roman"/>
          <w:sz w:val="24"/>
          <w:lang w:val="en-US"/>
        </w:rPr>
        <w:t>(Krausmann et al., 2018)</w:t>
      </w:r>
      <w:r w:rsidR="003C0119">
        <w:rPr>
          <w:rFonts w:ascii="Times New Roman" w:hAnsi="Times New Roman" w:cs="Times New Roman"/>
          <w:sz w:val="24"/>
          <w:szCs w:val="24"/>
          <w:lang w:val="en-US"/>
        </w:rPr>
        <w:fldChar w:fldCharType="end"/>
      </w:r>
      <w:r w:rsidR="00EC2F6D" w:rsidRPr="00EC2F6D">
        <w:rPr>
          <w:rFonts w:ascii="Times New Roman" w:hAnsi="Times New Roman" w:cs="Times New Roman"/>
          <w:sz w:val="24"/>
          <w:szCs w:val="24"/>
          <w:lang w:val="en-US"/>
        </w:rPr>
        <w:t xml:space="preserve">. As a consequence, </w:t>
      </w:r>
      <w:r w:rsidR="00EC2F6D">
        <w:rPr>
          <w:rFonts w:ascii="Times New Roman" w:hAnsi="Times New Roman" w:cs="Times New Roman"/>
          <w:sz w:val="24"/>
          <w:szCs w:val="24"/>
          <w:lang w:val="en-US"/>
        </w:rPr>
        <w:t>t</w:t>
      </w:r>
      <w:r w:rsidR="00C82ECB">
        <w:rPr>
          <w:rFonts w:ascii="Times New Roman" w:hAnsi="Times New Roman" w:cs="Times New Roman"/>
          <w:sz w:val="24"/>
          <w:szCs w:val="24"/>
          <w:lang w:val="en-US"/>
        </w:rPr>
        <w:t xml:space="preserve">he </w:t>
      </w:r>
      <w:r w:rsidR="00ED4FD6">
        <w:rPr>
          <w:rFonts w:ascii="Times New Roman" w:hAnsi="Times New Roman" w:cs="Times New Roman"/>
          <w:sz w:val="24"/>
          <w:szCs w:val="24"/>
          <w:lang w:val="en-US"/>
        </w:rPr>
        <w:t xml:space="preserve">mass </w:t>
      </w:r>
      <w:r w:rsidR="00C82ECB">
        <w:rPr>
          <w:rFonts w:ascii="Times New Roman" w:hAnsi="Times New Roman" w:cs="Times New Roman"/>
          <w:sz w:val="24"/>
          <w:szCs w:val="24"/>
          <w:lang w:val="en-US"/>
        </w:rPr>
        <w:t xml:space="preserve">of accumulated materials has increased </w:t>
      </w:r>
      <w:r w:rsidR="00D06FB5">
        <w:rPr>
          <w:rFonts w:ascii="Times New Roman" w:hAnsi="Times New Roman" w:cs="Times New Roman"/>
          <w:sz w:val="24"/>
          <w:szCs w:val="24"/>
          <w:lang w:val="en-US"/>
        </w:rPr>
        <w:t xml:space="preserve">at exponential rates </w:t>
      </w:r>
      <w:r w:rsidR="00EF3F01">
        <w:rPr>
          <w:rFonts w:ascii="Times New Roman" w:hAnsi="Times New Roman" w:cs="Times New Roman"/>
          <w:sz w:val="24"/>
          <w:szCs w:val="24"/>
          <w:lang w:val="en-US"/>
        </w:rPr>
        <w:t>in the last century</w:t>
      </w:r>
      <w:r w:rsidR="00F24410">
        <w:rPr>
          <w:rFonts w:ascii="Times New Roman" w:hAnsi="Times New Roman" w:cs="Times New Roman"/>
          <w:sz w:val="24"/>
          <w:szCs w:val="24"/>
          <w:lang w:val="en-US"/>
        </w:rPr>
        <w:t xml:space="preserve"> to </w:t>
      </w:r>
      <w:r>
        <w:rPr>
          <w:rFonts w:ascii="Times New Roman" w:hAnsi="Times New Roman" w:cs="Times New Roman"/>
          <w:sz w:val="24"/>
          <w:szCs w:val="24"/>
          <w:lang w:val="en-US"/>
        </w:rPr>
        <w:t>nearly 1</w:t>
      </w:r>
      <w:r w:rsidR="00ED4FD6">
        <w:rPr>
          <w:rFonts w:ascii="Times New Roman" w:hAnsi="Times New Roman" w:cs="Times New Roman"/>
          <w:sz w:val="24"/>
          <w:szCs w:val="24"/>
          <w:lang w:val="en-US"/>
        </w:rPr>
        <w:t>,</w:t>
      </w:r>
      <w:r>
        <w:rPr>
          <w:rFonts w:ascii="Times New Roman" w:hAnsi="Times New Roman" w:cs="Times New Roman"/>
          <w:sz w:val="24"/>
          <w:szCs w:val="24"/>
          <w:lang w:val="en-US"/>
        </w:rPr>
        <w:t xml:space="preserve">000 Gt in 2015 </w:t>
      </w:r>
      <w:r w:rsidR="00E70EFD">
        <w:rPr>
          <w:rFonts w:ascii="Times New Roman" w:hAnsi="Times New Roman" w:cs="Times New Roman"/>
          <w:sz w:val="24"/>
          <w:szCs w:val="24"/>
          <w:lang w:val="en-US"/>
        </w:rPr>
        <w:t>(Fig. 2b)</w:t>
      </w:r>
      <w:r w:rsidR="000B338C">
        <w:rPr>
          <w:rFonts w:ascii="Times New Roman" w:hAnsi="Times New Roman" w:cs="Times New Roman"/>
          <w:sz w:val="24"/>
          <w:szCs w:val="24"/>
          <w:lang w:val="en-US"/>
        </w:rPr>
        <w:t>. At that level</w:t>
      </w:r>
      <w:r w:rsidR="00ED4FD6">
        <w:rPr>
          <w:rFonts w:ascii="Times New Roman" w:hAnsi="Times New Roman" w:cs="Times New Roman"/>
          <w:sz w:val="24"/>
          <w:szCs w:val="24"/>
          <w:lang w:val="en-US"/>
        </w:rPr>
        <w:t>,</w:t>
      </w:r>
      <w:r w:rsidR="000B338C">
        <w:rPr>
          <w:rFonts w:ascii="Times New Roman" w:hAnsi="Times New Roman" w:cs="Times New Roman"/>
          <w:sz w:val="24"/>
          <w:szCs w:val="24"/>
          <w:lang w:val="en-US"/>
        </w:rPr>
        <w:t xml:space="preserve"> they </w:t>
      </w:r>
      <w:r>
        <w:rPr>
          <w:rFonts w:ascii="Times New Roman" w:hAnsi="Times New Roman" w:cs="Times New Roman"/>
          <w:sz w:val="24"/>
          <w:szCs w:val="24"/>
          <w:lang w:val="en-US"/>
        </w:rPr>
        <w:t xml:space="preserve">roughly equal the mass of all living biomass </w:t>
      </w:r>
      <w:r w:rsidR="00DA6911">
        <w:rPr>
          <w:rFonts w:ascii="Times New Roman" w:hAnsi="Times New Roman" w:cs="Times New Roman"/>
          <w:sz w:val="24"/>
          <w:szCs w:val="24"/>
          <w:lang w:val="en-US"/>
        </w:rPr>
        <w:t>o</w:t>
      </w:r>
      <w:r>
        <w:rPr>
          <w:rFonts w:ascii="Times New Roman" w:hAnsi="Times New Roman" w:cs="Times New Roman"/>
          <w:sz w:val="24"/>
          <w:szCs w:val="24"/>
          <w:lang w:val="en-US"/>
        </w:rPr>
        <w:t xml:space="preserve">n the planet </w:t>
      </w:r>
      <w:r w:rsidR="00DA6911">
        <w:rPr>
          <w:rFonts w:ascii="Times New Roman" w:hAnsi="Times New Roman" w:cs="Times New Roman"/>
          <w:sz w:val="24"/>
          <w:szCs w:val="24"/>
          <w:lang w:val="en-US"/>
        </w:rPr>
        <w:fldChar w:fldCharType="begin"/>
      </w:r>
      <w:r w:rsidR="000B338C">
        <w:rPr>
          <w:rFonts w:ascii="Times New Roman" w:hAnsi="Times New Roman" w:cs="Times New Roman"/>
          <w:sz w:val="24"/>
          <w:szCs w:val="24"/>
          <w:lang w:val="en-US"/>
        </w:rPr>
        <w:instrText xml:space="preserve"> ADDIN ZOTERO_ITEM CSL_CITATION {"citationID":"V3iawuFe","properties":{"formattedCitation":"(Elhacham et al., 2020; Erb et al., 2018)","plainCitation":"(Elhacham et al., 2020; Erb et al., 2018)","noteIndex":0},"citationItems":[{"id":70689,"uris":["http://zotero.org/users/666791/items/WXSQQN7F"],"uri":["http://zotero.org/users/666791/items/WXSQQN7F"],"itemData":{"id":70689,"type":"article-journal","abstract":"Humanity has become a dominant force in shaping the face of Earth1–9. An emerging question is how the overall material output of human activities compares to the overall natural biomass. Here we quantify the human-made mass, referred to as ‘anthropogenic mass’, and compare it to the overall living biomass on Earth, which currently equals approximately 1.1 teratonnes10,11. We find that Earth is exactly at the crossover point; in the year 2020 (± 6), the anthropogenic mass, which has recently doubled roughly every 20 years, will surpass all global living biomass. On average, for each person on the globe, anthropogenic mass equal to more than his or her bodyweight is produced every week. This quantification of the human enterprise gives a mass-based quantitative and symbolic characterization of the human-induced epoch of the Anthropocene.","container-title":"Nature","DOI":"10.1038/s41586-020-3010-5","ISSN":"1476-4687","language":"en","note":"publisher: Nature Publishing Group","page":"442-444","source":"www.nature.com","title":"Global human-made mass exceeds all living biomass","volume":"588","author":[{"family":"Elhacham","given":"Emily"},{"family":"Ben-Uri","given":"Liad"},{"family":"Grozovski","given":"Jonathan"},{"family":"Bar-On","given":"Yinon M."},{"family":"Milo","given":"Ron"}],"issued":{"date-parts":[["2020",12,9]]}}},{"id":12642,"uris":["http://zotero.org/users/666791/items/MDP65R6M"],"uri":["http://zotero.org/users/666791/items/MDP65R6M"],"itemData":{"id":12642,"type":"article-journal","abstract":"Carbon stocks in vegetation have a key role in the climate system1,2,3,4. However, the magnitude, patterns and uncertainties of carbon stocks and the effect of land use on the stocks remain poorly quantified. Here we show, using state-of-the-art datasets, that vegetation currently stores around 450 petagrams of carbon. In the hypothetical absence of land use, potential vegetation would store around 916 petagrams of carbon, under current climate conditions. This difference highlights the massive effect of land use on biomass stocks. Deforestation and other land-cover changes are responsible for 53–58% of the difference between current and potential biomass stocks. Land management effects (the biomass stock changes induced by land use within the same land cover) contribute 42–47%, but have been underestimated in the literature. Therefore, avoiding deforestation is necessary but not sufficient for mitigation of climate change. Our results imply that trade-offs exist between conserving carbon stocks on managed land and raising the contribution of biomass to raw material and energy supply for the mitigation of climate change. Efforts to raise biomass stocks are currently verifiable only in temperate forests, where their potential is limited. By contrast, large uncertainties hinder verification in the tropical forest, where the largest potential is located, pointing to challenges for the upcoming stocktaking exercises under the Paris agreement.","container-title":"Nature","DOI":"10.1038/nature25138","ISSN":"1476-4687","issue":"7686","language":"en","page":"73-76","source":"www.nature.com","title":"Unexpectedly large impact of forest management and grazing on global vegetation biomass","volume":"553","author":[{"family":"Erb","given":"Karl-Heinz"},{"family":"Kastner","given":"Thomas"},{"family":"Plutzar","given":"Christoph"},{"family":"Bais","given":"Anna Liza S."},{"family":"Carvalhais","given":"Nuno"},{"family":"Fetzel","given":"Tamara"},{"family":"Gingrich","given":"Simone"},{"family":"Haberl","given":"Helmut"},{"family":"Lauk","given":"Christian"},{"family":"Niedertscheider","given":"Maria"},{"family":"Pongratz","given":"Julia"},{"family":"Thurner","given":"Martin"},{"family":"Luyssaert","given":"Sebastiaan"}],"issued":{"date-parts":[["2018",1]]}}}],"schema":"https://github.com/citation-style-language/schema/raw/master/csl-citation.json"} </w:instrText>
      </w:r>
      <w:r w:rsidR="00DA6911">
        <w:rPr>
          <w:rFonts w:ascii="Times New Roman" w:hAnsi="Times New Roman" w:cs="Times New Roman"/>
          <w:sz w:val="24"/>
          <w:szCs w:val="24"/>
          <w:lang w:val="en-US"/>
        </w:rPr>
        <w:fldChar w:fldCharType="separate"/>
      </w:r>
      <w:r w:rsidR="000B338C" w:rsidRPr="00212084">
        <w:rPr>
          <w:rFonts w:ascii="Times New Roman" w:hAnsi="Times New Roman" w:cs="Times New Roman"/>
          <w:sz w:val="24"/>
          <w:lang w:val="en-US"/>
        </w:rPr>
        <w:t>(Elhacham et al., 2020; Erb et al., 2018)</w:t>
      </w:r>
      <w:r w:rsidR="00DA6911">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F96D4B">
        <w:rPr>
          <w:rFonts w:ascii="Times New Roman" w:hAnsi="Times New Roman" w:cs="Times New Roman"/>
          <w:sz w:val="24"/>
          <w:szCs w:val="24"/>
          <w:lang w:val="en-US"/>
        </w:rPr>
        <w:t xml:space="preserve">The accumulation of materials in stocks is related to the </w:t>
      </w:r>
      <w:r w:rsidR="00EF3F01">
        <w:rPr>
          <w:rFonts w:ascii="Times New Roman" w:hAnsi="Times New Roman" w:cs="Times New Roman"/>
          <w:sz w:val="24"/>
          <w:szCs w:val="24"/>
          <w:lang w:val="en-US"/>
        </w:rPr>
        <w:t xml:space="preserve">expansion </w:t>
      </w:r>
      <w:r w:rsidR="00F96D4B">
        <w:rPr>
          <w:rFonts w:ascii="Times New Roman" w:hAnsi="Times New Roman" w:cs="Times New Roman"/>
          <w:sz w:val="24"/>
          <w:szCs w:val="24"/>
          <w:lang w:val="en-US"/>
        </w:rPr>
        <w:t>of settlement and infrastructure land with a direct impact on biodiversity through soil sealing and habitat fragmentation.</w:t>
      </w:r>
      <w:r w:rsidR="00EF3F01">
        <w:rPr>
          <w:rFonts w:ascii="Times New Roman" w:hAnsi="Times New Roman" w:cs="Times New Roman"/>
          <w:sz w:val="24"/>
          <w:szCs w:val="24"/>
          <w:lang w:val="en-US"/>
        </w:rPr>
        <w:t xml:space="preserve"> From a socio-metabolic perspective, in use stocks determine the size of material flows, because the</w:t>
      </w:r>
      <w:r w:rsidR="0048617E">
        <w:rPr>
          <w:rFonts w:ascii="Times New Roman" w:hAnsi="Times New Roman" w:cs="Times New Roman"/>
          <w:sz w:val="24"/>
          <w:szCs w:val="24"/>
          <w:lang w:val="en-US"/>
        </w:rPr>
        <w:t>y</w:t>
      </w:r>
      <w:r w:rsidR="00EF3F01">
        <w:rPr>
          <w:rFonts w:ascii="Times New Roman" w:hAnsi="Times New Roman" w:cs="Times New Roman"/>
          <w:sz w:val="24"/>
          <w:szCs w:val="24"/>
          <w:lang w:val="en-US"/>
        </w:rPr>
        <w:t xml:space="preserve"> require large amounts of materials and energy </w:t>
      </w:r>
      <w:r w:rsidR="00F24410">
        <w:rPr>
          <w:rFonts w:ascii="Times New Roman" w:hAnsi="Times New Roman" w:cs="Times New Roman"/>
          <w:sz w:val="24"/>
          <w:szCs w:val="24"/>
          <w:lang w:val="en-US"/>
        </w:rPr>
        <w:t xml:space="preserve">not only </w:t>
      </w:r>
      <w:r w:rsidR="00EF3F01">
        <w:rPr>
          <w:rFonts w:ascii="Times New Roman" w:hAnsi="Times New Roman" w:cs="Times New Roman"/>
          <w:sz w:val="24"/>
          <w:szCs w:val="24"/>
          <w:lang w:val="en-US"/>
        </w:rPr>
        <w:t xml:space="preserve">for </w:t>
      </w:r>
      <w:r w:rsidR="00F24410">
        <w:rPr>
          <w:rFonts w:ascii="Times New Roman" w:hAnsi="Times New Roman" w:cs="Times New Roman"/>
          <w:sz w:val="24"/>
          <w:szCs w:val="24"/>
          <w:lang w:val="en-US"/>
        </w:rPr>
        <w:t xml:space="preserve">their </w:t>
      </w:r>
      <w:r w:rsidR="00EF3F01">
        <w:rPr>
          <w:rFonts w:ascii="Times New Roman" w:hAnsi="Times New Roman" w:cs="Times New Roman"/>
          <w:sz w:val="24"/>
          <w:szCs w:val="24"/>
          <w:lang w:val="en-US"/>
        </w:rPr>
        <w:t>production</w:t>
      </w:r>
      <w:r w:rsidR="00F24410">
        <w:rPr>
          <w:rFonts w:ascii="Times New Roman" w:hAnsi="Times New Roman" w:cs="Times New Roman"/>
          <w:sz w:val="24"/>
          <w:szCs w:val="24"/>
          <w:lang w:val="en-US"/>
        </w:rPr>
        <w:t xml:space="preserve"> but also for </w:t>
      </w:r>
      <w:r w:rsidR="00EF3F01">
        <w:rPr>
          <w:rFonts w:ascii="Times New Roman" w:hAnsi="Times New Roman" w:cs="Times New Roman"/>
          <w:sz w:val="24"/>
          <w:szCs w:val="24"/>
          <w:lang w:val="en-US"/>
        </w:rPr>
        <w:t>maintenance and use.</w:t>
      </w:r>
    </w:p>
    <w:p w14:paraId="7BA3195E" w14:textId="77777777" w:rsidR="00F96D4B" w:rsidRDefault="00F96D4B" w:rsidP="00E063DB">
      <w:pPr>
        <w:spacing w:after="0" w:line="240" w:lineRule="auto"/>
        <w:rPr>
          <w:rFonts w:ascii="Times New Roman" w:hAnsi="Times New Roman" w:cs="Times New Roman"/>
          <w:sz w:val="24"/>
          <w:szCs w:val="24"/>
          <w:lang w:val="en-US"/>
        </w:rPr>
      </w:pPr>
    </w:p>
    <w:p w14:paraId="250F4EBD" w14:textId="3E5C2146" w:rsidR="00F858E3" w:rsidRDefault="00F96D4B" w:rsidP="00E063D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With </w:t>
      </w:r>
      <w:r w:rsidR="003013A7">
        <w:rPr>
          <w:rFonts w:ascii="Times New Roman" w:hAnsi="Times New Roman" w:cs="Times New Roman"/>
          <w:sz w:val="24"/>
          <w:szCs w:val="24"/>
          <w:lang w:val="en-US"/>
        </w:rPr>
        <w:t>rising inflows</w:t>
      </w:r>
      <w:r w:rsidR="00B819D3">
        <w:rPr>
          <w:rFonts w:ascii="Times New Roman" w:hAnsi="Times New Roman" w:cs="Times New Roman"/>
          <w:sz w:val="24"/>
          <w:szCs w:val="24"/>
          <w:lang w:val="en-US"/>
        </w:rPr>
        <w:t>,</w:t>
      </w:r>
      <w:r w:rsidR="003013A7">
        <w:rPr>
          <w:rFonts w:ascii="Times New Roman" w:hAnsi="Times New Roman" w:cs="Times New Roman"/>
          <w:sz w:val="24"/>
          <w:szCs w:val="24"/>
          <w:lang w:val="en-US"/>
        </w:rPr>
        <w:t xml:space="preserve"> the outflow</w:t>
      </w:r>
      <w:r w:rsidR="000B338C">
        <w:rPr>
          <w:rFonts w:ascii="Times New Roman" w:hAnsi="Times New Roman" w:cs="Times New Roman"/>
          <w:sz w:val="24"/>
          <w:szCs w:val="24"/>
          <w:lang w:val="en-US"/>
        </w:rPr>
        <w:t>s</w:t>
      </w:r>
      <w:r w:rsidR="003013A7">
        <w:rPr>
          <w:rFonts w:ascii="Times New Roman" w:hAnsi="Times New Roman" w:cs="Times New Roman"/>
          <w:sz w:val="24"/>
          <w:szCs w:val="24"/>
          <w:lang w:val="en-US"/>
        </w:rPr>
        <w:t xml:space="preserve"> of wastes and emissions to the environment increase</w:t>
      </w:r>
      <w:r w:rsidR="000B338C">
        <w:rPr>
          <w:rFonts w:ascii="Times New Roman" w:hAnsi="Times New Roman" w:cs="Times New Roman"/>
          <w:sz w:val="24"/>
          <w:szCs w:val="24"/>
          <w:lang w:val="en-US"/>
        </w:rPr>
        <w:t xml:space="preserve"> as well</w:t>
      </w:r>
      <w:r w:rsidR="00ED4FD6">
        <w:rPr>
          <w:rFonts w:ascii="Times New Roman" w:hAnsi="Times New Roman" w:cs="Times New Roman"/>
          <w:sz w:val="24"/>
          <w:szCs w:val="24"/>
          <w:lang w:val="en-US"/>
        </w:rPr>
        <w:t xml:space="preserve"> (Figure 2c)</w:t>
      </w:r>
      <w:r w:rsidR="003013A7">
        <w:rPr>
          <w:rFonts w:ascii="Times New Roman" w:hAnsi="Times New Roman" w:cs="Times New Roman"/>
          <w:sz w:val="24"/>
          <w:szCs w:val="24"/>
          <w:lang w:val="en-US"/>
        </w:rPr>
        <w:t>, although with a certain delay due to the growing accumulation</w:t>
      </w:r>
      <w:r w:rsidR="00F24410">
        <w:rPr>
          <w:rFonts w:ascii="Times New Roman" w:hAnsi="Times New Roman" w:cs="Times New Roman"/>
          <w:sz w:val="24"/>
          <w:szCs w:val="24"/>
          <w:lang w:val="en-US"/>
        </w:rPr>
        <w:t xml:space="preserve"> of materials in long living stocks</w:t>
      </w:r>
      <w:r w:rsidR="003013A7">
        <w:rPr>
          <w:rFonts w:ascii="Times New Roman" w:hAnsi="Times New Roman" w:cs="Times New Roman"/>
          <w:sz w:val="24"/>
          <w:szCs w:val="24"/>
          <w:lang w:val="en-US"/>
        </w:rPr>
        <w:t xml:space="preserve">. </w:t>
      </w:r>
      <w:r w:rsidR="00BC0251">
        <w:rPr>
          <w:rFonts w:ascii="Times New Roman" w:hAnsi="Times New Roman" w:cs="Times New Roman"/>
          <w:sz w:val="24"/>
          <w:szCs w:val="24"/>
          <w:lang w:val="en-US"/>
        </w:rPr>
        <w:t>O</w:t>
      </w:r>
      <w:r w:rsidR="003013A7">
        <w:rPr>
          <w:rFonts w:ascii="Times New Roman" w:hAnsi="Times New Roman" w:cs="Times New Roman"/>
          <w:sz w:val="24"/>
          <w:szCs w:val="24"/>
          <w:lang w:val="en-US"/>
        </w:rPr>
        <w:t xml:space="preserve">utflows from society </w:t>
      </w:r>
      <w:r w:rsidR="00BC0251">
        <w:rPr>
          <w:rFonts w:ascii="Times New Roman" w:hAnsi="Times New Roman" w:cs="Times New Roman"/>
          <w:sz w:val="24"/>
          <w:szCs w:val="24"/>
          <w:lang w:val="en-US"/>
        </w:rPr>
        <w:t xml:space="preserve">are shown </w:t>
      </w:r>
      <w:r w:rsidR="003013A7">
        <w:rPr>
          <w:rFonts w:ascii="Times New Roman" w:hAnsi="Times New Roman" w:cs="Times New Roman"/>
          <w:sz w:val="24"/>
          <w:szCs w:val="24"/>
          <w:lang w:val="en-US"/>
        </w:rPr>
        <w:t>in terms of their actual mass</w:t>
      </w:r>
      <w:r w:rsidR="00BC0251">
        <w:rPr>
          <w:rFonts w:ascii="Times New Roman" w:hAnsi="Times New Roman" w:cs="Times New Roman"/>
          <w:sz w:val="24"/>
          <w:szCs w:val="24"/>
          <w:lang w:val="en-US"/>
        </w:rPr>
        <w:t xml:space="preserve"> in Fig</w:t>
      </w:r>
      <w:r w:rsidR="00ED4FD6">
        <w:rPr>
          <w:rFonts w:ascii="Times New Roman" w:hAnsi="Times New Roman" w:cs="Times New Roman"/>
          <w:sz w:val="24"/>
          <w:szCs w:val="24"/>
          <w:lang w:val="en-US"/>
        </w:rPr>
        <w:t>.</w:t>
      </w:r>
      <w:r w:rsidR="00BC0251">
        <w:rPr>
          <w:rFonts w:ascii="Times New Roman" w:hAnsi="Times New Roman" w:cs="Times New Roman"/>
          <w:sz w:val="24"/>
          <w:szCs w:val="24"/>
          <w:lang w:val="en-US"/>
        </w:rPr>
        <w:t xml:space="preserve"> 2</w:t>
      </w:r>
      <w:r w:rsidR="00ED4FD6">
        <w:rPr>
          <w:rFonts w:ascii="Times New Roman" w:hAnsi="Times New Roman" w:cs="Times New Roman"/>
          <w:sz w:val="24"/>
          <w:szCs w:val="24"/>
          <w:lang w:val="en-US"/>
        </w:rPr>
        <w:t>c</w:t>
      </w:r>
      <w:r w:rsidR="003013A7">
        <w:rPr>
          <w:rFonts w:ascii="Times New Roman" w:hAnsi="Times New Roman" w:cs="Times New Roman"/>
          <w:sz w:val="24"/>
          <w:szCs w:val="24"/>
          <w:lang w:val="en-US"/>
        </w:rPr>
        <w:t>, that is</w:t>
      </w:r>
      <w:r w:rsidR="00BC0251">
        <w:rPr>
          <w:rFonts w:ascii="Times New Roman" w:hAnsi="Times New Roman" w:cs="Times New Roman"/>
          <w:sz w:val="24"/>
          <w:szCs w:val="24"/>
          <w:lang w:val="en-US"/>
        </w:rPr>
        <w:t>,</w:t>
      </w:r>
      <w:r w:rsidR="003013A7">
        <w:rPr>
          <w:rFonts w:ascii="Times New Roman" w:hAnsi="Times New Roman" w:cs="Times New Roman"/>
          <w:sz w:val="24"/>
          <w:szCs w:val="24"/>
          <w:lang w:val="en-US"/>
        </w:rPr>
        <w:t xml:space="preserve"> including oxygen taken up during combustion or water contained in excrements</w:t>
      </w:r>
      <w:r w:rsidR="00EF3F01">
        <w:rPr>
          <w:rFonts w:ascii="Times New Roman" w:hAnsi="Times New Roman" w:cs="Times New Roman"/>
          <w:sz w:val="24"/>
          <w:szCs w:val="24"/>
          <w:lang w:val="en-US"/>
        </w:rPr>
        <w:t xml:space="preserve">; these </w:t>
      </w:r>
      <w:r w:rsidR="00B819D3">
        <w:rPr>
          <w:rFonts w:ascii="Times New Roman" w:hAnsi="Times New Roman" w:cs="Times New Roman"/>
          <w:sz w:val="24"/>
          <w:szCs w:val="24"/>
          <w:lang w:val="en-US"/>
        </w:rPr>
        <w:t>so-called</w:t>
      </w:r>
      <w:r w:rsidR="003013A7">
        <w:rPr>
          <w:rFonts w:ascii="Times New Roman" w:hAnsi="Times New Roman" w:cs="Times New Roman"/>
          <w:sz w:val="24"/>
          <w:szCs w:val="24"/>
          <w:lang w:val="en-US"/>
        </w:rPr>
        <w:t xml:space="preserve"> balancing flows are not included on the input side in Figure </w:t>
      </w:r>
      <w:r w:rsidR="00BC0251">
        <w:rPr>
          <w:rFonts w:ascii="Times New Roman" w:hAnsi="Times New Roman" w:cs="Times New Roman"/>
          <w:sz w:val="24"/>
          <w:szCs w:val="24"/>
          <w:lang w:val="en-US"/>
        </w:rPr>
        <w:t>2</w:t>
      </w:r>
      <w:r w:rsidR="003013A7">
        <w:rPr>
          <w:rFonts w:ascii="Times New Roman" w:hAnsi="Times New Roman" w:cs="Times New Roman"/>
          <w:sz w:val="24"/>
          <w:szCs w:val="24"/>
          <w:lang w:val="en-US"/>
        </w:rPr>
        <w:t>a</w:t>
      </w:r>
      <w:r w:rsidR="00EF3F01">
        <w:rPr>
          <w:rFonts w:ascii="Times New Roman" w:hAnsi="Times New Roman" w:cs="Times New Roman"/>
          <w:sz w:val="24"/>
          <w:szCs w:val="24"/>
          <w:lang w:val="en-US"/>
        </w:rPr>
        <w:t>, which is the reason why outflows appear to be larger than inflows</w:t>
      </w:r>
      <w:r w:rsidR="004C6A1F">
        <w:rPr>
          <w:rFonts w:ascii="Times New Roman" w:hAnsi="Times New Roman" w:cs="Times New Roman"/>
          <w:sz w:val="24"/>
          <w:szCs w:val="24"/>
          <w:lang w:val="en-US"/>
        </w:rPr>
        <w:t>. I</w:t>
      </w:r>
      <w:r w:rsidR="00EC2F6D" w:rsidRPr="00EC2F6D">
        <w:rPr>
          <w:rFonts w:ascii="Times New Roman" w:hAnsi="Times New Roman" w:cs="Times New Roman"/>
          <w:sz w:val="24"/>
          <w:szCs w:val="24"/>
          <w:lang w:val="en-US"/>
        </w:rPr>
        <w:t>f balancing oxygen and water is excluded, th</w:t>
      </w:r>
      <w:r w:rsidR="00BC0251">
        <w:rPr>
          <w:rFonts w:ascii="Times New Roman" w:hAnsi="Times New Roman" w:cs="Times New Roman"/>
          <w:sz w:val="24"/>
          <w:szCs w:val="24"/>
          <w:lang w:val="en-US"/>
        </w:rPr>
        <w:t>e</w:t>
      </w:r>
      <w:r w:rsidR="00EC2F6D" w:rsidRPr="00EC2F6D">
        <w:rPr>
          <w:rFonts w:ascii="Times New Roman" w:hAnsi="Times New Roman" w:cs="Times New Roman"/>
          <w:sz w:val="24"/>
          <w:szCs w:val="24"/>
          <w:lang w:val="en-US"/>
        </w:rPr>
        <w:t>n the mass of outflows is reduced to only half of the mass of material input in 2015</w:t>
      </w:r>
      <w:r w:rsidR="003013A7">
        <w:rPr>
          <w:rFonts w:ascii="Times New Roman" w:hAnsi="Times New Roman" w:cs="Times New Roman"/>
          <w:sz w:val="24"/>
          <w:szCs w:val="24"/>
          <w:lang w:val="en-US"/>
        </w:rPr>
        <w:t>. We find that the largest share of outflows are emissions</w:t>
      </w:r>
      <w:r w:rsidR="00E4518E">
        <w:rPr>
          <w:rFonts w:ascii="Times New Roman" w:hAnsi="Times New Roman" w:cs="Times New Roman"/>
          <w:sz w:val="24"/>
          <w:szCs w:val="24"/>
          <w:lang w:val="en-US"/>
        </w:rPr>
        <w:t xml:space="preserve"> (46 Gt/</w:t>
      </w:r>
      <w:proofErr w:type="spellStart"/>
      <w:r w:rsidR="00E4518E">
        <w:rPr>
          <w:rFonts w:ascii="Times New Roman" w:hAnsi="Times New Roman" w:cs="Times New Roman"/>
          <w:sz w:val="24"/>
          <w:szCs w:val="24"/>
          <w:lang w:val="en-US"/>
        </w:rPr>
        <w:t>yr</w:t>
      </w:r>
      <w:proofErr w:type="spellEnd"/>
      <w:r w:rsidR="00E4518E">
        <w:rPr>
          <w:rFonts w:ascii="Times New Roman" w:hAnsi="Times New Roman" w:cs="Times New Roman"/>
          <w:sz w:val="24"/>
          <w:szCs w:val="24"/>
          <w:lang w:val="en-US"/>
        </w:rPr>
        <w:t xml:space="preserve"> in 2015)</w:t>
      </w:r>
      <w:r w:rsidR="003013A7">
        <w:rPr>
          <w:rFonts w:ascii="Times New Roman" w:hAnsi="Times New Roman" w:cs="Times New Roman"/>
          <w:sz w:val="24"/>
          <w:szCs w:val="24"/>
          <w:lang w:val="en-US"/>
        </w:rPr>
        <w:t>, mostly CO</w:t>
      </w:r>
      <w:r w:rsidR="003013A7" w:rsidRPr="00DA6911">
        <w:rPr>
          <w:rFonts w:ascii="Times New Roman" w:hAnsi="Times New Roman" w:cs="Times New Roman"/>
          <w:sz w:val="24"/>
          <w:szCs w:val="24"/>
          <w:vertAlign w:val="subscript"/>
          <w:lang w:val="en-US"/>
        </w:rPr>
        <w:t>2</w:t>
      </w:r>
      <w:r w:rsidR="003013A7">
        <w:rPr>
          <w:rFonts w:ascii="Times New Roman" w:hAnsi="Times New Roman" w:cs="Times New Roman"/>
          <w:sz w:val="24"/>
          <w:szCs w:val="24"/>
          <w:lang w:val="en-US"/>
        </w:rPr>
        <w:t xml:space="preserve"> and other </w:t>
      </w:r>
      <w:r w:rsidR="00B819D3">
        <w:rPr>
          <w:rFonts w:ascii="Times New Roman" w:hAnsi="Times New Roman" w:cs="Times New Roman"/>
          <w:sz w:val="24"/>
          <w:szCs w:val="24"/>
          <w:lang w:val="en-US"/>
        </w:rPr>
        <w:t>greenhouse</w:t>
      </w:r>
      <w:r w:rsidR="003013A7">
        <w:rPr>
          <w:rFonts w:ascii="Times New Roman" w:hAnsi="Times New Roman" w:cs="Times New Roman"/>
          <w:sz w:val="24"/>
          <w:szCs w:val="24"/>
          <w:lang w:val="en-US"/>
        </w:rPr>
        <w:t xml:space="preserve"> gases which effect biodiversity mainly via their impact on the global climate system</w:t>
      </w:r>
      <w:r w:rsidR="00F24410">
        <w:rPr>
          <w:rFonts w:ascii="Times New Roman" w:hAnsi="Times New Roman" w:cs="Times New Roman"/>
          <w:sz w:val="24"/>
          <w:szCs w:val="24"/>
          <w:lang w:val="en-US"/>
        </w:rPr>
        <w:t xml:space="preserve">, but some emissions also effect ecosystems </w:t>
      </w:r>
      <w:r w:rsidR="00590CF1">
        <w:rPr>
          <w:rFonts w:ascii="Times New Roman" w:hAnsi="Times New Roman" w:cs="Times New Roman"/>
          <w:sz w:val="24"/>
          <w:szCs w:val="24"/>
          <w:lang w:val="en-US"/>
        </w:rPr>
        <w:t>through polluting</w:t>
      </w:r>
      <w:r w:rsidR="00EC2F6D">
        <w:rPr>
          <w:rFonts w:ascii="Times New Roman" w:hAnsi="Times New Roman" w:cs="Times New Roman"/>
          <w:sz w:val="24"/>
          <w:szCs w:val="24"/>
          <w:lang w:val="en-US"/>
        </w:rPr>
        <w:t xml:space="preserve"> (e.g. SO</w:t>
      </w:r>
      <w:r w:rsidR="00EC2F6D" w:rsidRPr="0048617E">
        <w:rPr>
          <w:rFonts w:ascii="Times New Roman" w:hAnsi="Times New Roman" w:cs="Times New Roman"/>
          <w:sz w:val="24"/>
          <w:szCs w:val="24"/>
          <w:vertAlign w:val="subscript"/>
          <w:lang w:val="en-US"/>
        </w:rPr>
        <w:t>2</w:t>
      </w:r>
      <w:r w:rsidR="00EC2F6D">
        <w:rPr>
          <w:rFonts w:ascii="Times New Roman" w:hAnsi="Times New Roman" w:cs="Times New Roman"/>
          <w:sz w:val="24"/>
          <w:szCs w:val="24"/>
          <w:lang w:val="en-US"/>
        </w:rPr>
        <w:t>)</w:t>
      </w:r>
      <w:r w:rsidR="00590CF1">
        <w:rPr>
          <w:rFonts w:ascii="Times New Roman" w:hAnsi="Times New Roman" w:cs="Times New Roman"/>
          <w:sz w:val="24"/>
          <w:szCs w:val="24"/>
          <w:lang w:val="en-US"/>
        </w:rPr>
        <w:t xml:space="preserve"> or fertilizing </w:t>
      </w:r>
      <w:r w:rsidR="00EC2F6D">
        <w:rPr>
          <w:rFonts w:ascii="Times New Roman" w:hAnsi="Times New Roman" w:cs="Times New Roman"/>
          <w:sz w:val="24"/>
          <w:szCs w:val="24"/>
          <w:lang w:val="en-US"/>
        </w:rPr>
        <w:t>(e.g. NO</w:t>
      </w:r>
      <w:r w:rsidR="00EC2F6D" w:rsidRPr="004C6A1F">
        <w:rPr>
          <w:rFonts w:ascii="Times New Roman" w:hAnsi="Times New Roman" w:cs="Times New Roman"/>
          <w:sz w:val="24"/>
          <w:szCs w:val="24"/>
          <w:vertAlign w:val="subscript"/>
          <w:lang w:val="en-US"/>
        </w:rPr>
        <w:t>x</w:t>
      </w:r>
      <w:r w:rsidR="00EC2F6D">
        <w:rPr>
          <w:rFonts w:ascii="Times New Roman" w:hAnsi="Times New Roman" w:cs="Times New Roman"/>
          <w:sz w:val="24"/>
          <w:szCs w:val="24"/>
          <w:lang w:val="en-US"/>
        </w:rPr>
        <w:t xml:space="preserve">) </w:t>
      </w:r>
      <w:r w:rsidR="00590CF1">
        <w:rPr>
          <w:rFonts w:ascii="Times New Roman" w:hAnsi="Times New Roman" w:cs="Times New Roman"/>
          <w:sz w:val="24"/>
          <w:szCs w:val="24"/>
          <w:lang w:val="en-US"/>
        </w:rPr>
        <w:t>effects</w:t>
      </w:r>
      <w:r w:rsidR="004C6A1F">
        <w:rPr>
          <w:rFonts w:ascii="Times New Roman" w:hAnsi="Times New Roman" w:cs="Times New Roman"/>
          <w:sz w:val="24"/>
          <w:szCs w:val="24"/>
          <w:lang w:val="en-US"/>
        </w:rPr>
        <w:t>. T</w:t>
      </w:r>
      <w:r w:rsidR="00E4518E">
        <w:rPr>
          <w:rFonts w:ascii="Times New Roman" w:hAnsi="Times New Roman" w:cs="Times New Roman"/>
          <w:sz w:val="24"/>
          <w:szCs w:val="24"/>
          <w:lang w:val="en-US"/>
        </w:rPr>
        <w:t xml:space="preserve">he second largest flow are biotic materials comprising </w:t>
      </w:r>
      <w:r w:rsidR="003013A7">
        <w:rPr>
          <w:rFonts w:ascii="Times New Roman" w:hAnsi="Times New Roman" w:cs="Times New Roman"/>
          <w:sz w:val="24"/>
          <w:szCs w:val="24"/>
          <w:lang w:val="en-US"/>
        </w:rPr>
        <w:t>excrements from humans and livestock and biomass wastes</w:t>
      </w:r>
      <w:r w:rsidR="00E4518E">
        <w:rPr>
          <w:rFonts w:ascii="Times New Roman" w:hAnsi="Times New Roman" w:cs="Times New Roman"/>
          <w:sz w:val="24"/>
          <w:szCs w:val="24"/>
          <w:lang w:val="en-US"/>
        </w:rPr>
        <w:t xml:space="preserve"> (25 Gt/</w:t>
      </w:r>
      <w:proofErr w:type="spellStart"/>
      <w:r w:rsidR="00E4518E">
        <w:rPr>
          <w:rFonts w:ascii="Times New Roman" w:hAnsi="Times New Roman" w:cs="Times New Roman"/>
          <w:sz w:val="24"/>
          <w:szCs w:val="24"/>
          <w:lang w:val="en-US"/>
        </w:rPr>
        <w:t>yr</w:t>
      </w:r>
      <w:proofErr w:type="spellEnd"/>
      <w:r w:rsidR="00E4518E">
        <w:rPr>
          <w:rFonts w:ascii="Times New Roman" w:hAnsi="Times New Roman" w:cs="Times New Roman"/>
          <w:sz w:val="24"/>
          <w:szCs w:val="24"/>
          <w:lang w:val="en-US"/>
        </w:rPr>
        <w:t>)</w:t>
      </w:r>
      <w:r w:rsidR="003013A7">
        <w:rPr>
          <w:rFonts w:ascii="Times New Roman" w:hAnsi="Times New Roman" w:cs="Times New Roman"/>
          <w:sz w:val="24"/>
          <w:szCs w:val="24"/>
          <w:lang w:val="en-US"/>
        </w:rPr>
        <w:t xml:space="preserve">. These flows </w:t>
      </w:r>
      <w:r w:rsidR="00590CF1">
        <w:rPr>
          <w:rFonts w:ascii="Times New Roman" w:hAnsi="Times New Roman" w:cs="Times New Roman"/>
          <w:sz w:val="24"/>
          <w:szCs w:val="24"/>
          <w:lang w:val="en-US"/>
        </w:rPr>
        <w:t xml:space="preserve">often </w:t>
      </w:r>
      <w:r w:rsidR="003013A7">
        <w:rPr>
          <w:rFonts w:ascii="Times New Roman" w:hAnsi="Times New Roman" w:cs="Times New Roman"/>
          <w:sz w:val="24"/>
          <w:szCs w:val="24"/>
          <w:lang w:val="en-US"/>
        </w:rPr>
        <w:t>return biomass and plant nutrients to managed ecosystems, but they can also have</w:t>
      </w:r>
      <w:r w:rsidR="00B819D3">
        <w:rPr>
          <w:rFonts w:ascii="Times New Roman" w:hAnsi="Times New Roman" w:cs="Times New Roman"/>
          <w:sz w:val="24"/>
          <w:szCs w:val="24"/>
          <w:lang w:val="en-US"/>
        </w:rPr>
        <w:t xml:space="preserve"> a negative impact on biodiversity </w:t>
      </w:r>
      <w:r w:rsidR="00ED4FD6">
        <w:rPr>
          <w:rFonts w:ascii="Times New Roman" w:hAnsi="Times New Roman" w:cs="Times New Roman"/>
          <w:sz w:val="24"/>
          <w:szCs w:val="24"/>
          <w:lang w:val="en-US"/>
        </w:rPr>
        <w:t>of specific ecosystems</w:t>
      </w:r>
      <w:r w:rsidR="00B819D3">
        <w:rPr>
          <w:rFonts w:ascii="Times New Roman" w:hAnsi="Times New Roman" w:cs="Times New Roman"/>
          <w:sz w:val="24"/>
          <w:szCs w:val="24"/>
          <w:lang w:val="en-US"/>
        </w:rPr>
        <w:t xml:space="preserve">. Industrial fertilizers </w:t>
      </w:r>
      <w:r w:rsidR="00E4518E">
        <w:rPr>
          <w:rFonts w:ascii="Times New Roman" w:hAnsi="Times New Roman" w:cs="Times New Roman"/>
          <w:sz w:val="24"/>
          <w:szCs w:val="24"/>
          <w:lang w:val="en-US"/>
        </w:rPr>
        <w:t>and other agrochemicals (0.6 Gt/</w:t>
      </w:r>
      <w:proofErr w:type="spellStart"/>
      <w:r w:rsidR="00E4518E">
        <w:rPr>
          <w:rFonts w:ascii="Times New Roman" w:hAnsi="Times New Roman" w:cs="Times New Roman"/>
          <w:sz w:val="24"/>
          <w:szCs w:val="24"/>
          <w:lang w:val="en-US"/>
        </w:rPr>
        <w:t>yr</w:t>
      </w:r>
      <w:proofErr w:type="spellEnd"/>
      <w:r w:rsidR="00E4518E">
        <w:rPr>
          <w:rFonts w:ascii="Times New Roman" w:hAnsi="Times New Roman" w:cs="Times New Roman"/>
          <w:sz w:val="24"/>
          <w:szCs w:val="24"/>
          <w:lang w:val="en-US"/>
        </w:rPr>
        <w:t xml:space="preserve">) are deliberately released to the environment and </w:t>
      </w:r>
      <w:r w:rsidR="00B819D3">
        <w:rPr>
          <w:rFonts w:ascii="Times New Roman" w:hAnsi="Times New Roman" w:cs="Times New Roman"/>
          <w:sz w:val="24"/>
          <w:szCs w:val="24"/>
          <w:lang w:val="en-US"/>
        </w:rPr>
        <w:t xml:space="preserve">are a comparatively small fraction of </w:t>
      </w:r>
      <w:r w:rsidR="00E4518E">
        <w:rPr>
          <w:rFonts w:ascii="Times New Roman" w:hAnsi="Times New Roman" w:cs="Times New Roman"/>
          <w:sz w:val="24"/>
          <w:szCs w:val="24"/>
          <w:lang w:val="en-US"/>
        </w:rPr>
        <w:t xml:space="preserve">total </w:t>
      </w:r>
      <w:r w:rsidR="00B819D3">
        <w:rPr>
          <w:rFonts w:ascii="Times New Roman" w:hAnsi="Times New Roman" w:cs="Times New Roman"/>
          <w:sz w:val="24"/>
          <w:szCs w:val="24"/>
          <w:lang w:val="en-US"/>
        </w:rPr>
        <w:t xml:space="preserve">outflows to nature but </w:t>
      </w:r>
      <w:r w:rsidR="00E4518E">
        <w:rPr>
          <w:rFonts w:ascii="Times New Roman" w:hAnsi="Times New Roman" w:cs="Times New Roman"/>
          <w:sz w:val="24"/>
          <w:szCs w:val="24"/>
          <w:lang w:val="en-US"/>
        </w:rPr>
        <w:t xml:space="preserve">may have </w:t>
      </w:r>
      <w:r w:rsidR="00B819D3">
        <w:rPr>
          <w:rFonts w:ascii="Times New Roman" w:hAnsi="Times New Roman" w:cs="Times New Roman"/>
          <w:sz w:val="24"/>
          <w:szCs w:val="24"/>
          <w:lang w:val="en-US"/>
        </w:rPr>
        <w:t xml:space="preserve">an over proportional impact on biodiversity. Solid waste </w:t>
      </w:r>
      <w:r w:rsidR="00E4518E">
        <w:rPr>
          <w:rFonts w:ascii="Times New Roman" w:hAnsi="Times New Roman" w:cs="Times New Roman"/>
          <w:sz w:val="24"/>
          <w:szCs w:val="24"/>
          <w:lang w:val="en-US"/>
        </w:rPr>
        <w:t>(other than biomass) amounted to</w:t>
      </w:r>
      <w:r w:rsidR="00B819D3">
        <w:rPr>
          <w:rFonts w:ascii="Times New Roman" w:hAnsi="Times New Roman" w:cs="Times New Roman"/>
          <w:sz w:val="24"/>
          <w:szCs w:val="24"/>
          <w:lang w:val="en-US"/>
        </w:rPr>
        <w:t xml:space="preserve"> 13 Gt/</w:t>
      </w:r>
      <w:proofErr w:type="spellStart"/>
      <w:r w:rsidR="00B819D3">
        <w:rPr>
          <w:rFonts w:ascii="Times New Roman" w:hAnsi="Times New Roman" w:cs="Times New Roman"/>
          <w:sz w:val="24"/>
          <w:szCs w:val="24"/>
          <w:lang w:val="en-US"/>
        </w:rPr>
        <w:t>yr</w:t>
      </w:r>
      <w:proofErr w:type="spellEnd"/>
      <w:r w:rsidR="00B819D3">
        <w:rPr>
          <w:rFonts w:ascii="Times New Roman" w:hAnsi="Times New Roman" w:cs="Times New Roman"/>
          <w:sz w:val="24"/>
          <w:szCs w:val="24"/>
          <w:lang w:val="en-US"/>
        </w:rPr>
        <w:t xml:space="preserve"> in 2015</w:t>
      </w:r>
      <w:r w:rsidR="00E4518E">
        <w:rPr>
          <w:rFonts w:ascii="Times New Roman" w:hAnsi="Times New Roman" w:cs="Times New Roman"/>
          <w:sz w:val="24"/>
          <w:szCs w:val="24"/>
          <w:lang w:val="en-US"/>
        </w:rPr>
        <w:t xml:space="preserve"> and </w:t>
      </w:r>
      <w:r w:rsidR="00B819D3">
        <w:rPr>
          <w:rFonts w:ascii="Times New Roman" w:hAnsi="Times New Roman" w:cs="Times New Roman"/>
          <w:sz w:val="24"/>
          <w:szCs w:val="24"/>
          <w:lang w:val="en-US"/>
        </w:rPr>
        <w:t xml:space="preserve">comprises construction and demolition waste, processing waste from industries and municipal waste and a broad range of materials </w:t>
      </w:r>
      <w:r w:rsidR="00E4518E">
        <w:rPr>
          <w:rFonts w:ascii="Times New Roman" w:hAnsi="Times New Roman" w:cs="Times New Roman"/>
          <w:sz w:val="24"/>
          <w:szCs w:val="24"/>
          <w:lang w:val="en-US"/>
        </w:rPr>
        <w:t>from concrete rubble to plastics and metals</w:t>
      </w:r>
      <w:r w:rsidR="00EC2F6D">
        <w:rPr>
          <w:rFonts w:ascii="Times New Roman" w:hAnsi="Times New Roman" w:cs="Times New Roman"/>
          <w:sz w:val="24"/>
          <w:szCs w:val="24"/>
          <w:lang w:val="en-US"/>
        </w:rPr>
        <w:t xml:space="preserve">. </w:t>
      </w:r>
      <w:r w:rsidR="00EC2F6D" w:rsidRPr="0048617E">
        <w:rPr>
          <w:rFonts w:ascii="Times New Roman" w:hAnsi="Times New Roman" w:cs="Times New Roman"/>
          <w:sz w:val="24"/>
          <w:szCs w:val="24"/>
          <w:lang w:val="en-US"/>
        </w:rPr>
        <w:t>The impact on biodiversity is broad and varies across materials and also depends on treatment.</w:t>
      </w:r>
      <w:r w:rsidR="00EC2F6D" w:rsidRPr="00EC2F6D">
        <w:rPr>
          <w:rFonts w:ascii="Times New Roman" w:hAnsi="Times New Roman" w:cs="Times New Roman"/>
          <w:sz w:val="24"/>
          <w:szCs w:val="24"/>
          <w:lang w:val="en-US"/>
        </w:rPr>
        <w:t xml:space="preserve"> </w:t>
      </w:r>
      <w:r w:rsidR="00EC2F6D" w:rsidRPr="0048617E">
        <w:rPr>
          <w:rFonts w:ascii="Times New Roman" w:hAnsi="Times New Roman" w:cs="Times New Roman"/>
          <w:sz w:val="24"/>
          <w:szCs w:val="24"/>
          <w:lang w:val="en-US"/>
        </w:rPr>
        <w:t xml:space="preserve">Globally, a large share of solid waste is returned to the environment without any treatment to uncontrolled landfills </w:t>
      </w:r>
      <w:r w:rsidR="0048617E">
        <w:rPr>
          <w:rFonts w:ascii="Times New Roman" w:hAnsi="Times New Roman" w:cs="Times New Roman"/>
          <w:sz w:val="24"/>
          <w:szCs w:val="24"/>
          <w:lang w:val="en-US"/>
        </w:rPr>
        <w:fldChar w:fldCharType="begin"/>
      </w:r>
      <w:r w:rsidR="0048617E">
        <w:rPr>
          <w:rFonts w:ascii="Times New Roman" w:hAnsi="Times New Roman" w:cs="Times New Roman"/>
          <w:sz w:val="24"/>
          <w:szCs w:val="24"/>
          <w:lang w:val="en-US"/>
        </w:rPr>
        <w:instrText xml:space="preserve"> ADDIN ZOTERO_ITEM CSL_CITATION {"citationID":"dWzhDVlc","properties":{"formattedCitation":"(Wilson et al., 2015)","plainCitation":"(Wilson et al., 2015)","noteIndex":0},"citationItems":[{"id":71648,"uris":["http://zotero.org/users/666791/items/NVJVELAB"],"uri":["http://zotero.org/users/666791/items/NVJVELAB"],"itemData":{"id":71648,"type":"book","event-place":"Nairobi","publisher":"United Nations Environment Programme","publisher-place":"Nairobi","title":"Global waste management outlook","author":[{"family":"Wilson","given":"D."},{"family":"Rodic","given":"L."},{"family":"Modak","given":"P."},{"family":"Soos","given":"R."},{"family":"Carpintero","given":"A."},{"family":"Velis","given":"K."},{"family":"Simonett","given":"O."}],"issued":{"date-parts":[["2015"]]}}}],"schema":"https://github.com/citation-style-language/schema/raw/master/csl-citation.json"} </w:instrText>
      </w:r>
      <w:r w:rsidR="0048617E">
        <w:rPr>
          <w:rFonts w:ascii="Times New Roman" w:hAnsi="Times New Roman" w:cs="Times New Roman"/>
          <w:sz w:val="24"/>
          <w:szCs w:val="24"/>
          <w:lang w:val="en-US"/>
        </w:rPr>
        <w:fldChar w:fldCharType="separate"/>
      </w:r>
      <w:r w:rsidR="0048617E" w:rsidRPr="0048617E">
        <w:rPr>
          <w:rFonts w:ascii="Times New Roman" w:hAnsi="Times New Roman" w:cs="Times New Roman"/>
          <w:sz w:val="24"/>
          <w:lang w:val="en-US"/>
        </w:rPr>
        <w:t>(Wilson et al., 2015)</w:t>
      </w:r>
      <w:r w:rsidR="0048617E">
        <w:rPr>
          <w:rFonts w:ascii="Times New Roman" w:hAnsi="Times New Roman" w:cs="Times New Roman"/>
          <w:sz w:val="24"/>
          <w:szCs w:val="24"/>
          <w:lang w:val="en-US"/>
        </w:rPr>
        <w:fldChar w:fldCharType="end"/>
      </w:r>
      <w:r w:rsidR="00EC2F6D" w:rsidRPr="0048617E">
        <w:rPr>
          <w:rFonts w:ascii="Times New Roman" w:hAnsi="Times New Roman" w:cs="Times New Roman"/>
          <w:sz w:val="24"/>
          <w:szCs w:val="24"/>
          <w:lang w:val="en-US"/>
        </w:rPr>
        <w:t>.</w:t>
      </w:r>
    </w:p>
    <w:p w14:paraId="0336E44A" w14:textId="4833D7ED" w:rsidR="00B6550E" w:rsidRDefault="00B6550E" w:rsidP="00E063DB">
      <w:pPr>
        <w:spacing w:after="0" w:line="240" w:lineRule="auto"/>
        <w:rPr>
          <w:rFonts w:ascii="Times New Roman" w:hAnsi="Times New Roman" w:cs="Times New Roman"/>
          <w:sz w:val="24"/>
          <w:szCs w:val="24"/>
          <w:lang w:val="en-US"/>
        </w:rPr>
      </w:pPr>
    </w:p>
    <w:p w14:paraId="07EF8B26" w14:textId="53954B3E" w:rsidR="00B6550E" w:rsidRPr="00B6550E" w:rsidRDefault="004F79E4" w:rsidP="00B6550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It is noteworthy that a</w:t>
      </w:r>
      <w:r w:rsidR="00B6550E" w:rsidRPr="00AC0925">
        <w:rPr>
          <w:rFonts w:ascii="Times New Roman" w:hAnsi="Times New Roman" w:cs="Times New Roman"/>
          <w:sz w:val="24"/>
          <w:szCs w:val="24"/>
          <w:lang w:val="en-US"/>
        </w:rPr>
        <w:t xml:space="preserve"> g</w:t>
      </w:r>
      <w:r w:rsidR="00B6550E" w:rsidRPr="00DA6911">
        <w:rPr>
          <w:rFonts w:ascii="Times New Roman" w:hAnsi="Times New Roman" w:cs="Times New Roman"/>
          <w:sz w:val="24"/>
          <w:szCs w:val="24"/>
          <w:lang w:val="en-US"/>
        </w:rPr>
        <w:t>rowing share of the extracted resources is traded internationally</w:t>
      </w:r>
      <w:r w:rsidR="00AC0925">
        <w:rPr>
          <w:rFonts w:ascii="Times New Roman" w:hAnsi="Times New Roman" w:cs="Times New Roman"/>
          <w:sz w:val="24"/>
          <w:szCs w:val="24"/>
          <w:lang w:val="en-US"/>
        </w:rPr>
        <w:t xml:space="preserve">. The mass </w:t>
      </w:r>
      <w:r w:rsidR="00EC2F6D">
        <w:rPr>
          <w:rFonts w:ascii="Times New Roman" w:hAnsi="Times New Roman" w:cs="Times New Roman"/>
          <w:sz w:val="24"/>
          <w:szCs w:val="24"/>
          <w:lang w:val="en-US"/>
        </w:rPr>
        <w:t xml:space="preserve">of </w:t>
      </w:r>
      <w:r w:rsidR="00AC0925">
        <w:rPr>
          <w:rFonts w:ascii="Times New Roman" w:hAnsi="Times New Roman" w:cs="Times New Roman"/>
          <w:sz w:val="24"/>
          <w:szCs w:val="24"/>
          <w:lang w:val="en-US"/>
        </w:rPr>
        <w:t xml:space="preserve">traded goods </w:t>
      </w:r>
      <w:r w:rsidR="00EC2F6D">
        <w:rPr>
          <w:rFonts w:ascii="Times New Roman" w:hAnsi="Times New Roman" w:cs="Times New Roman"/>
          <w:sz w:val="24"/>
          <w:szCs w:val="24"/>
          <w:lang w:val="en-US"/>
        </w:rPr>
        <w:t>has been</w:t>
      </w:r>
      <w:r w:rsidR="00AC0925">
        <w:rPr>
          <w:rFonts w:ascii="Times New Roman" w:hAnsi="Times New Roman" w:cs="Times New Roman"/>
          <w:sz w:val="24"/>
          <w:szCs w:val="24"/>
          <w:lang w:val="en-US"/>
        </w:rPr>
        <w:t xml:space="preserve"> growing faster than </w:t>
      </w:r>
      <w:r w:rsidR="00EC2F6D">
        <w:rPr>
          <w:rFonts w:ascii="Times New Roman" w:hAnsi="Times New Roman" w:cs="Times New Roman"/>
          <w:sz w:val="24"/>
          <w:szCs w:val="24"/>
          <w:lang w:val="en-US"/>
        </w:rPr>
        <w:t xml:space="preserve">global </w:t>
      </w:r>
      <w:r w:rsidR="00AC0925">
        <w:rPr>
          <w:rFonts w:ascii="Times New Roman" w:hAnsi="Times New Roman" w:cs="Times New Roman"/>
          <w:sz w:val="24"/>
          <w:szCs w:val="24"/>
          <w:lang w:val="en-US"/>
        </w:rPr>
        <w:t xml:space="preserve">GDP and resource extraction. </w:t>
      </w:r>
      <w:r w:rsidR="00B6550E" w:rsidRPr="00DA6911">
        <w:rPr>
          <w:rFonts w:ascii="Times New Roman" w:hAnsi="Times New Roman" w:cs="Times New Roman"/>
          <w:sz w:val="24"/>
          <w:szCs w:val="24"/>
          <w:lang w:val="en-US"/>
        </w:rPr>
        <w:t xml:space="preserve">Since 1961, when </w:t>
      </w:r>
      <w:r w:rsidR="002B47AC" w:rsidRPr="00AC0925">
        <w:rPr>
          <w:rFonts w:ascii="Times New Roman" w:hAnsi="Times New Roman" w:cs="Times New Roman"/>
          <w:sz w:val="24"/>
          <w:szCs w:val="24"/>
          <w:lang w:val="en-US"/>
        </w:rPr>
        <w:t xml:space="preserve">comprehensive </w:t>
      </w:r>
      <w:r w:rsidR="00B6550E" w:rsidRPr="00DA6911">
        <w:rPr>
          <w:rFonts w:ascii="Times New Roman" w:hAnsi="Times New Roman" w:cs="Times New Roman"/>
          <w:sz w:val="24"/>
          <w:szCs w:val="24"/>
          <w:lang w:val="en-US"/>
        </w:rPr>
        <w:t xml:space="preserve">data on global trade flows </w:t>
      </w:r>
      <w:r w:rsidR="00EC2F6D">
        <w:rPr>
          <w:rFonts w:ascii="Times New Roman" w:hAnsi="Times New Roman" w:cs="Times New Roman"/>
          <w:sz w:val="24"/>
          <w:szCs w:val="24"/>
          <w:lang w:val="en-US"/>
        </w:rPr>
        <w:t>bec</w:t>
      </w:r>
      <w:r w:rsidR="00347EBB">
        <w:rPr>
          <w:rFonts w:ascii="Times New Roman" w:hAnsi="Times New Roman" w:cs="Times New Roman"/>
          <w:sz w:val="24"/>
          <w:szCs w:val="24"/>
          <w:lang w:val="en-US"/>
        </w:rPr>
        <w:t>a</w:t>
      </w:r>
      <w:r w:rsidR="00EC2F6D">
        <w:rPr>
          <w:rFonts w:ascii="Times New Roman" w:hAnsi="Times New Roman" w:cs="Times New Roman"/>
          <w:sz w:val="24"/>
          <w:szCs w:val="24"/>
          <w:lang w:val="en-US"/>
        </w:rPr>
        <w:t>me available</w:t>
      </w:r>
      <w:r w:rsidR="00B6550E" w:rsidRPr="00DA6911">
        <w:rPr>
          <w:rFonts w:ascii="Times New Roman" w:hAnsi="Times New Roman" w:cs="Times New Roman"/>
          <w:sz w:val="24"/>
          <w:szCs w:val="24"/>
          <w:lang w:val="en-US"/>
        </w:rPr>
        <w:t xml:space="preserve">, the share of global exports in </w:t>
      </w:r>
      <w:r w:rsidR="00B6550E" w:rsidRPr="00AC0925">
        <w:rPr>
          <w:rFonts w:ascii="Times New Roman" w:hAnsi="Times New Roman" w:cs="Times New Roman"/>
          <w:sz w:val="24"/>
          <w:szCs w:val="24"/>
          <w:lang w:val="en-US"/>
        </w:rPr>
        <w:t>extraction</w:t>
      </w:r>
      <w:r w:rsidR="00B6550E" w:rsidRPr="00DA6911">
        <w:rPr>
          <w:rFonts w:ascii="Times New Roman" w:hAnsi="Times New Roman" w:cs="Times New Roman"/>
          <w:sz w:val="24"/>
          <w:szCs w:val="24"/>
          <w:lang w:val="en-US"/>
        </w:rPr>
        <w:t xml:space="preserve"> has </w:t>
      </w:r>
      <w:r w:rsidR="00355AF0">
        <w:rPr>
          <w:rFonts w:ascii="Times New Roman" w:hAnsi="Times New Roman" w:cs="Times New Roman"/>
          <w:sz w:val="24"/>
          <w:szCs w:val="24"/>
          <w:lang w:val="en-US"/>
        </w:rPr>
        <w:t>r</w:t>
      </w:r>
      <w:r w:rsidR="008C4CA5">
        <w:rPr>
          <w:rFonts w:ascii="Times New Roman" w:hAnsi="Times New Roman" w:cs="Times New Roman"/>
          <w:sz w:val="24"/>
          <w:szCs w:val="24"/>
          <w:lang w:val="en-US"/>
        </w:rPr>
        <w:t>isen</w:t>
      </w:r>
      <w:r w:rsidR="00355AF0">
        <w:rPr>
          <w:rFonts w:ascii="Times New Roman" w:hAnsi="Times New Roman" w:cs="Times New Roman"/>
          <w:sz w:val="24"/>
          <w:szCs w:val="24"/>
          <w:lang w:val="en-US"/>
        </w:rPr>
        <w:t xml:space="preserve"> </w:t>
      </w:r>
      <w:r w:rsidR="00B6550E" w:rsidRPr="00DA6911">
        <w:rPr>
          <w:rFonts w:ascii="Times New Roman" w:hAnsi="Times New Roman" w:cs="Times New Roman"/>
          <w:sz w:val="24"/>
          <w:szCs w:val="24"/>
          <w:lang w:val="en-US"/>
        </w:rPr>
        <w:t>from 5% to currently roughly 15%. In 2016 around 13 Gt/</w:t>
      </w:r>
      <w:proofErr w:type="spellStart"/>
      <w:r w:rsidR="00B6550E" w:rsidRPr="00DA6911">
        <w:rPr>
          <w:rFonts w:ascii="Times New Roman" w:hAnsi="Times New Roman" w:cs="Times New Roman"/>
          <w:sz w:val="24"/>
          <w:szCs w:val="24"/>
          <w:lang w:val="en-US"/>
        </w:rPr>
        <w:t>yr</w:t>
      </w:r>
      <w:proofErr w:type="spellEnd"/>
      <w:r w:rsidR="00B6550E" w:rsidRPr="00DA6911">
        <w:rPr>
          <w:rFonts w:ascii="Times New Roman" w:hAnsi="Times New Roman" w:cs="Times New Roman"/>
          <w:sz w:val="24"/>
          <w:szCs w:val="24"/>
          <w:lang w:val="en-US"/>
        </w:rPr>
        <w:t xml:space="preserve"> of materials (of which </w:t>
      </w:r>
      <w:r w:rsidR="00355AF0">
        <w:rPr>
          <w:rFonts w:ascii="Times New Roman" w:hAnsi="Times New Roman" w:cs="Times New Roman"/>
          <w:sz w:val="24"/>
          <w:szCs w:val="24"/>
          <w:lang w:val="en-US"/>
        </w:rPr>
        <w:t>two</w:t>
      </w:r>
      <w:r w:rsidR="00B6550E" w:rsidRPr="00DA6911">
        <w:rPr>
          <w:rFonts w:ascii="Times New Roman" w:hAnsi="Times New Roman" w:cs="Times New Roman"/>
          <w:sz w:val="24"/>
          <w:szCs w:val="24"/>
          <w:lang w:val="en-US"/>
        </w:rPr>
        <w:t xml:space="preserve"> Gt/</w:t>
      </w:r>
      <w:proofErr w:type="spellStart"/>
      <w:r w:rsidR="00B6550E" w:rsidRPr="00DA6911">
        <w:rPr>
          <w:rFonts w:ascii="Times New Roman" w:hAnsi="Times New Roman" w:cs="Times New Roman"/>
          <w:sz w:val="24"/>
          <w:szCs w:val="24"/>
          <w:lang w:val="en-US"/>
        </w:rPr>
        <w:t>yr</w:t>
      </w:r>
      <w:proofErr w:type="spellEnd"/>
      <w:r w:rsidR="00B6550E" w:rsidRPr="00DA6911">
        <w:rPr>
          <w:rFonts w:ascii="Times New Roman" w:hAnsi="Times New Roman" w:cs="Times New Roman"/>
          <w:sz w:val="24"/>
          <w:szCs w:val="24"/>
          <w:lang w:val="en-US"/>
        </w:rPr>
        <w:t xml:space="preserve"> </w:t>
      </w:r>
      <w:r w:rsidR="00ED4FD6">
        <w:rPr>
          <w:rFonts w:ascii="Times New Roman" w:hAnsi="Times New Roman" w:cs="Times New Roman"/>
          <w:sz w:val="24"/>
          <w:szCs w:val="24"/>
          <w:lang w:val="en-US"/>
        </w:rPr>
        <w:t xml:space="preserve">are </w:t>
      </w:r>
      <w:r w:rsidR="00B6550E" w:rsidRPr="00DA6911">
        <w:rPr>
          <w:rFonts w:ascii="Times New Roman" w:hAnsi="Times New Roman" w:cs="Times New Roman"/>
          <w:sz w:val="24"/>
          <w:szCs w:val="24"/>
          <w:lang w:val="en-US"/>
        </w:rPr>
        <w:t xml:space="preserve">biomass </w:t>
      </w:r>
      <w:r w:rsidR="00AC0925">
        <w:rPr>
          <w:rFonts w:ascii="Times New Roman" w:hAnsi="Times New Roman" w:cs="Times New Roman"/>
          <w:sz w:val="24"/>
          <w:szCs w:val="24"/>
          <w:lang w:val="en-US"/>
        </w:rPr>
        <w:t>products</w:t>
      </w:r>
      <w:r w:rsidR="00B6550E" w:rsidRPr="00DA6911">
        <w:rPr>
          <w:rFonts w:ascii="Times New Roman" w:hAnsi="Times New Roman" w:cs="Times New Roman"/>
          <w:sz w:val="24"/>
          <w:szCs w:val="24"/>
          <w:lang w:val="en-US"/>
        </w:rPr>
        <w:t xml:space="preserve">) </w:t>
      </w:r>
      <w:r w:rsidR="00355AF0">
        <w:rPr>
          <w:rFonts w:ascii="Times New Roman" w:hAnsi="Times New Roman" w:cs="Times New Roman"/>
          <w:sz w:val="24"/>
          <w:szCs w:val="24"/>
          <w:lang w:val="en-US"/>
        </w:rPr>
        <w:t xml:space="preserve">were </w:t>
      </w:r>
      <w:r w:rsidR="00B6550E" w:rsidRPr="00DA6911">
        <w:rPr>
          <w:rFonts w:ascii="Times New Roman" w:hAnsi="Times New Roman" w:cs="Times New Roman"/>
          <w:sz w:val="24"/>
          <w:szCs w:val="24"/>
          <w:lang w:val="en-US"/>
        </w:rPr>
        <w:t xml:space="preserve">shipped internationally. This </w:t>
      </w:r>
      <w:r w:rsidR="002B47AC" w:rsidRPr="00AC0925">
        <w:rPr>
          <w:rFonts w:ascii="Times New Roman" w:hAnsi="Times New Roman" w:cs="Times New Roman"/>
          <w:sz w:val="24"/>
          <w:szCs w:val="24"/>
          <w:lang w:val="en-US"/>
        </w:rPr>
        <w:t>expansion</w:t>
      </w:r>
      <w:r w:rsidR="00B6550E" w:rsidRPr="00DA6911">
        <w:rPr>
          <w:rFonts w:ascii="Times New Roman" w:hAnsi="Times New Roman" w:cs="Times New Roman"/>
          <w:sz w:val="24"/>
          <w:szCs w:val="24"/>
          <w:lang w:val="en-US"/>
        </w:rPr>
        <w:t xml:space="preserve"> of global teleconnections </w:t>
      </w:r>
      <w:r w:rsidR="00355AF0">
        <w:rPr>
          <w:rFonts w:ascii="Times New Roman" w:hAnsi="Times New Roman" w:cs="Times New Roman"/>
          <w:sz w:val="24"/>
          <w:szCs w:val="24"/>
          <w:lang w:val="en-US"/>
        </w:rPr>
        <w:fldChar w:fldCharType="begin"/>
      </w:r>
      <w:r w:rsidR="00355AF0">
        <w:rPr>
          <w:rFonts w:ascii="Times New Roman" w:hAnsi="Times New Roman" w:cs="Times New Roman"/>
          <w:sz w:val="24"/>
          <w:szCs w:val="24"/>
          <w:lang w:val="en-US"/>
        </w:rPr>
        <w:instrText xml:space="preserve"> ADDIN ZOTERO_ITEM CSL_CITATION {"citationID":"RKjMYvyv","properties":{"formattedCitation":"(Seto et al., 2012)","plainCitation":"(Seto et al., 2012)","noteIndex":0},"citationItems":[{"id":554,"uris":["http://zotero.org/users/666791/items/AN8WTEJ9"],"uri":["http://zotero.org/users/666791/items/AN8WTEJ9"],"itemData":{"id":554,"type":"article-journal","abstract":"This paper introduces urban land teleconnections as a conceptual framework that explicitly links land changes to underlying urbanization dynamics. We illustrate how three key themes that are currently addressed separately in the urban sustainability and land change literatures can lead to incorrect conclusions and misleading results when they are not examined jointly: the traditional system of land classification that is based on discrete categories and reinforces the false idea of a rural–urban dichotomy; the spatial quantification of land change that is based on place-based relationships, ignoring the connections between distant places, especially between urban functions and rural land uses; and the implicit assumptions about path dependency and sequential land changes that underlie current conceptualizations of land transitions. We then examine several environmental “grand challenges” and discuss how urban land teleconnections could help research communities frame scientific inquiries. Finally, we point to existing analytical approaches that can be used to advance development and application of the concept.","container-title":"Proceedings of the National Academy of Sciences","DOI":"10.1073/pnas.1117622109","ISSN":"0027-8424, 1091-6490","issue":"20","journalAbbreviation":"PNAS","language":"en","page":"7687-7692","source":"www.pnas.org","title":"Urban Land Teleconnections and Sustainability","volume":"109","author":[{"family":"Seto","given":"Karen C."},{"family":"Reenberg","given":"Anette"},{"family":"Boone","given":"Christopher G."},{"family":"Fragkias","given":"Michail"},{"family":"Haase","given":"Dagmar"},{"family":"Langanke","given":"Tobias"},{"family":"Marcotullio","given":"Peter"},{"family":"Munroe","given":"Darla K."},{"family":"Olah","given":"Branislav"},{"family":"Simon","given":"David"}],"issued":{"date-parts":[["2012"]]}}}],"schema":"https://github.com/citation-style-language/schema/raw/master/csl-citation.json"} </w:instrText>
      </w:r>
      <w:r w:rsidR="00355AF0">
        <w:rPr>
          <w:rFonts w:ascii="Times New Roman" w:hAnsi="Times New Roman" w:cs="Times New Roman"/>
          <w:sz w:val="24"/>
          <w:szCs w:val="24"/>
          <w:lang w:val="en-US"/>
        </w:rPr>
        <w:fldChar w:fldCharType="separate"/>
      </w:r>
      <w:r w:rsidR="00355AF0" w:rsidRPr="00355AF0">
        <w:rPr>
          <w:rFonts w:ascii="Times New Roman" w:hAnsi="Times New Roman" w:cs="Times New Roman"/>
          <w:sz w:val="24"/>
          <w:lang w:val="en-US"/>
        </w:rPr>
        <w:t>(Seto et al., 2012)</w:t>
      </w:r>
      <w:r w:rsidR="00355AF0">
        <w:rPr>
          <w:rFonts w:ascii="Times New Roman" w:hAnsi="Times New Roman" w:cs="Times New Roman"/>
          <w:sz w:val="24"/>
          <w:szCs w:val="24"/>
          <w:lang w:val="en-US"/>
        </w:rPr>
        <w:fldChar w:fldCharType="end"/>
      </w:r>
      <w:r w:rsidR="00355AF0">
        <w:rPr>
          <w:rFonts w:ascii="Times New Roman" w:hAnsi="Times New Roman" w:cs="Times New Roman"/>
          <w:sz w:val="24"/>
          <w:szCs w:val="24"/>
          <w:lang w:val="en-US"/>
        </w:rPr>
        <w:t xml:space="preserve"> </w:t>
      </w:r>
      <w:r w:rsidR="00B6550E" w:rsidRPr="00DA6911">
        <w:rPr>
          <w:rFonts w:ascii="Times New Roman" w:hAnsi="Times New Roman" w:cs="Times New Roman"/>
          <w:sz w:val="24"/>
          <w:szCs w:val="24"/>
          <w:lang w:val="en-US"/>
        </w:rPr>
        <w:t>has direct and indirect impact</w:t>
      </w:r>
      <w:r w:rsidR="00B6550E" w:rsidRPr="00AC0925">
        <w:rPr>
          <w:rFonts w:ascii="Times New Roman" w:hAnsi="Times New Roman" w:cs="Times New Roman"/>
          <w:sz w:val="24"/>
          <w:szCs w:val="24"/>
          <w:lang w:val="en-US"/>
        </w:rPr>
        <w:t>s</w:t>
      </w:r>
      <w:r w:rsidR="00B6550E" w:rsidRPr="00DA6911">
        <w:rPr>
          <w:rFonts w:ascii="Times New Roman" w:hAnsi="Times New Roman" w:cs="Times New Roman"/>
          <w:sz w:val="24"/>
          <w:szCs w:val="24"/>
          <w:lang w:val="en-US"/>
        </w:rPr>
        <w:t xml:space="preserve"> on biodiversity. The direct impact is through the intentional and unintentional transfer of species (invasive species, pathogens) across the globe</w:t>
      </w:r>
      <w:r w:rsidR="00DA6911">
        <w:rPr>
          <w:rFonts w:ascii="Times New Roman" w:hAnsi="Times New Roman" w:cs="Times New Roman"/>
          <w:sz w:val="24"/>
          <w:szCs w:val="24"/>
          <w:lang w:val="en-US"/>
        </w:rPr>
        <w:t xml:space="preserve"> </w:t>
      </w:r>
      <w:r w:rsidR="00F1331F">
        <w:rPr>
          <w:rFonts w:ascii="Times New Roman" w:hAnsi="Times New Roman" w:cs="Times New Roman"/>
          <w:sz w:val="24"/>
          <w:szCs w:val="24"/>
          <w:lang w:val="en-US"/>
        </w:rPr>
        <w:fldChar w:fldCharType="begin"/>
      </w:r>
      <w:r w:rsidR="00F1331F">
        <w:rPr>
          <w:rFonts w:ascii="Times New Roman" w:hAnsi="Times New Roman" w:cs="Times New Roman"/>
          <w:sz w:val="24"/>
          <w:szCs w:val="24"/>
          <w:lang w:val="en-US"/>
        </w:rPr>
        <w:instrText xml:space="preserve"> ADDIN ZOTERO_ITEM CSL_CITATION {"citationID":"6KsfIt1g","properties":{"formattedCitation":"(Westphal et al., 2008)","plainCitation":"(Westphal et al., 2008)","noteIndex":0},"citationItems":[{"id":71556,"uris":["http://zotero.org/users/666791/items/5D2ZF7FQ"],"uri":["http://zotero.org/users/666791/items/5D2ZF7FQ"],"itemData":{"id":71556,"type":"article-journal","container-title":"Biological Invasions","issue":"4","page":"391-398","title":"The link between international trade and the global distribution of invasive alien species","volume":"10","author":[{"family":"Westphal","given":"M.I."},{"family":"Browne","given":"M."},{"family":"MacKinnon","given":"K."},{"family":"Noble","given":"I."}],"issued":{"date-parts":[["2008"]]}}}],"schema":"https://github.com/citation-style-language/schema/raw/master/csl-citation.json"} </w:instrText>
      </w:r>
      <w:r w:rsidR="00F1331F">
        <w:rPr>
          <w:rFonts w:ascii="Times New Roman" w:hAnsi="Times New Roman" w:cs="Times New Roman"/>
          <w:sz w:val="24"/>
          <w:szCs w:val="24"/>
          <w:lang w:val="en-US"/>
        </w:rPr>
        <w:fldChar w:fldCharType="separate"/>
      </w:r>
      <w:r w:rsidR="00F1331F" w:rsidRPr="00F1331F">
        <w:rPr>
          <w:rFonts w:ascii="Times New Roman" w:hAnsi="Times New Roman" w:cs="Times New Roman"/>
          <w:sz w:val="24"/>
          <w:lang w:val="en-US"/>
        </w:rPr>
        <w:t>(Westphal et al., 2008)</w:t>
      </w:r>
      <w:r w:rsidR="00F1331F">
        <w:rPr>
          <w:rFonts w:ascii="Times New Roman" w:hAnsi="Times New Roman" w:cs="Times New Roman"/>
          <w:sz w:val="24"/>
          <w:szCs w:val="24"/>
          <w:lang w:val="en-US"/>
        </w:rPr>
        <w:fldChar w:fldCharType="end"/>
      </w:r>
      <w:r w:rsidR="002B47AC" w:rsidRPr="00AC0925">
        <w:rPr>
          <w:rFonts w:ascii="Times New Roman" w:hAnsi="Times New Roman" w:cs="Times New Roman"/>
          <w:sz w:val="24"/>
          <w:szCs w:val="24"/>
          <w:lang w:val="en-US"/>
        </w:rPr>
        <w:t xml:space="preserve"> that</w:t>
      </w:r>
      <w:r w:rsidR="00AC0925">
        <w:rPr>
          <w:rFonts w:ascii="Times New Roman" w:hAnsi="Times New Roman" w:cs="Times New Roman"/>
          <w:sz w:val="24"/>
          <w:szCs w:val="24"/>
          <w:lang w:val="en-US"/>
        </w:rPr>
        <w:t xml:space="preserve"> grows with </w:t>
      </w:r>
      <w:r w:rsidR="002B47AC" w:rsidRPr="00AC0925">
        <w:rPr>
          <w:rFonts w:ascii="Times New Roman" w:hAnsi="Times New Roman" w:cs="Times New Roman"/>
          <w:sz w:val="24"/>
          <w:szCs w:val="24"/>
          <w:lang w:val="en-US"/>
        </w:rPr>
        <w:t>trade flows</w:t>
      </w:r>
      <w:r w:rsidR="00B6550E" w:rsidRPr="00DA6911">
        <w:rPr>
          <w:rFonts w:ascii="Times New Roman" w:hAnsi="Times New Roman" w:cs="Times New Roman"/>
          <w:sz w:val="24"/>
          <w:szCs w:val="24"/>
          <w:lang w:val="en-US"/>
        </w:rPr>
        <w:t xml:space="preserve">, the indirect </w:t>
      </w:r>
      <w:r w:rsidR="00B6550E" w:rsidRPr="00AC0925">
        <w:rPr>
          <w:rFonts w:ascii="Times New Roman" w:hAnsi="Times New Roman" w:cs="Times New Roman"/>
          <w:sz w:val="24"/>
          <w:szCs w:val="24"/>
          <w:lang w:val="en-US"/>
        </w:rPr>
        <w:t xml:space="preserve">impact relates to the </w:t>
      </w:r>
      <w:r w:rsidR="002B47AC" w:rsidRPr="00AC0925">
        <w:rPr>
          <w:rFonts w:ascii="Times New Roman" w:hAnsi="Times New Roman" w:cs="Times New Roman"/>
          <w:sz w:val="24"/>
          <w:szCs w:val="24"/>
          <w:lang w:val="en-US"/>
        </w:rPr>
        <w:t>increasing decoupling of consumption from the place of extraction; to a large degree this implies that high consumption levels in the global North cause environmental impacts and biodiversity loss related to resource extraction in the global South</w:t>
      </w:r>
      <w:r w:rsidR="00AE5953">
        <w:rPr>
          <w:rFonts w:ascii="Times New Roman" w:hAnsi="Times New Roman" w:cs="Times New Roman"/>
          <w:sz w:val="24"/>
          <w:szCs w:val="24"/>
          <w:lang w:val="en-US"/>
        </w:rPr>
        <w:t xml:space="preserve"> </w:t>
      </w:r>
      <w:r w:rsidR="00AE5953">
        <w:rPr>
          <w:rFonts w:ascii="Times New Roman" w:hAnsi="Times New Roman" w:cs="Times New Roman"/>
          <w:sz w:val="24"/>
          <w:szCs w:val="24"/>
          <w:lang w:val="en-US"/>
        </w:rPr>
        <w:fldChar w:fldCharType="begin"/>
      </w:r>
      <w:r w:rsidR="00AE5953">
        <w:rPr>
          <w:rFonts w:ascii="Times New Roman" w:hAnsi="Times New Roman" w:cs="Times New Roman"/>
          <w:sz w:val="24"/>
          <w:szCs w:val="24"/>
          <w:lang w:val="en-US"/>
        </w:rPr>
        <w:instrText xml:space="preserve"> ADDIN ZOTERO_ITEM CSL_CITATION {"citationID":"mcdTEiCn","properties":{"formattedCitation":"(Lenzen et al., 2012)","plainCitation":"(Lenzen et al., 2012)","noteIndex":0},"citationItems":[{"id":672,"uris":["http://zotero.org/users/666791/items/F9F848AT"],"uri":["http://zotero.org/users/666791/items/F9F848AT"],"itemData":{"id":672,"type":"article-journal","abstract":"Human activities are causing Earth’s sixth major extinction event1—an accelerating decline of the world’s stocks of biological diversity at rates 100 to 1,000 times pre-human levels2. Historically, low-impact intrusion into species habitats arose from local demands for food, fuel and living space3. However, in today’s increasingly globalized economy, international trade chains accelerate habitat degradation far removed from the place of consumption. Although adverse effects of economic prosperity and economic inequality have been confirmed4, 5, the importance of international trade as a driver of threats to species is poorly understood. Here we show that a significant number of species are threatened as a result of international trade along complex routes, and that, in particular, consumers in developed countries cause threats to species through their demand of commodities that are ultimately produced in developing countries. We linked 25,000 Animalia species threat records from the International Union for Conservation of Nature Red List to more than 15,000 commodities produced in 187 countries and evaluated more than 5 billion supply chains in terms of their biodiversity impacts. Excluding invasive species, we found that 30% of global species threats are due to international trade. In many developed countries, the consumption of imported coffee, tea, sugar, textiles, fish and other manufactured items causes a biodiversity footprint that is larger abroad than at home. Our results emphasize the importance of examining biodiversity loss as a global systemic phenomenon, instead of looking at the degrading or polluting producers in isolation. We anticipate that our findings will facilitate better regulation, sustainable supply-chain certification and consumer product labelling.","container-title":"Nature","DOI":"10.1038/nature11145","ISSN":"0028-0836","issue":"7401","language":"en","page":"109-112","source":"www.nature.com","title":"International trade drives biodiversity threats in developing nations","volume":"486","author":[{"family":"Lenzen","given":"M."},{"family":"Moran","given":"D."},{"family":"Kanemoto","given":"K."},{"family":"Foran","given":"B."},{"family":"Lobefaro","given":"L."},{"family":"Geschke","given":"A."}],"issued":{"date-parts":[["2012",6,7]]}}}],"schema":"https://github.com/citation-style-language/schema/raw/master/csl-citation.json"} </w:instrText>
      </w:r>
      <w:r w:rsidR="00AE5953">
        <w:rPr>
          <w:rFonts w:ascii="Times New Roman" w:hAnsi="Times New Roman" w:cs="Times New Roman"/>
          <w:sz w:val="24"/>
          <w:szCs w:val="24"/>
          <w:lang w:val="en-US"/>
        </w:rPr>
        <w:fldChar w:fldCharType="separate"/>
      </w:r>
      <w:r w:rsidR="00AE5953" w:rsidRPr="00AE5953">
        <w:rPr>
          <w:rFonts w:ascii="Times New Roman" w:hAnsi="Times New Roman" w:cs="Times New Roman"/>
          <w:sz w:val="24"/>
          <w:lang w:val="en-US"/>
        </w:rPr>
        <w:t>(Lenzen et al., 2012)</w:t>
      </w:r>
      <w:r w:rsidR="00AE5953">
        <w:rPr>
          <w:rFonts w:ascii="Times New Roman" w:hAnsi="Times New Roman" w:cs="Times New Roman"/>
          <w:sz w:val="24"/>
          <w:szCs w:val="24"/>
          <w:lang w:val="en-US"/>
        </w:rPr>
        <w:fldChar w:fldCharType="end"/>
      </w:r>
      <w:r w:rsidR="00B6550E" w:rsidRPr="00AC0925">
        <w:rPr>
          <w:rFonts w:ascii="Times New Roman" w:hAnsi="Times New Roman" w:cs="Times New Roman"/>
          <w:sz w:val="24"/>
          <w:szCs w:val="24"/>
          <w:lang w:val="en-US"/>
        </w:rPr>
        <w:t>.</w:t>
      </w:r>
    </w:p>
    <w:p w14:paraId="4DBDCB9B" w14:textId="533765FA" w:rsidR="00F858E3" w:rsidRDefault="00F858E3" w:rsidP="00E063DB">
      <w:pPr>
        <w:spacing w:after="0" w:line="240" w:lineRule="auto"/>
        <w:rPr>
          <w:rFonts w:ascii="Times New Roman" w:hAnsi="Times New Roman" w:cs="Times New Roman"/>
          <w:sz w:val="24"/>
          <w:szCs w:val="24"/>
          <w:lang w:val="en-US"/>
        </w:rPr>
      </w:pPr>
    </w:p>
    <w:p w14:paraId="0F5019A4" w14:textId="2CF01FFE" w:rsidR="00355AF0" w:rsidRPr="00355AF0" w:rsidRDefault="00CF4646" w:rsidP="00E063DB">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00355AF0" w:rsidRPr="00355AF0">
        <w:rPr>
          <w:rFonts w:ascii="Times New Roman" w:hAnsi="Times New Roman" w:cs="Times New Roman"/>
          <w:b/>
          <w:sz w:val="28"/>
          <w:szCs w:val="28"/>
          <w:lang w:val="en-US"/>
        </w:rPr>
        <w:t xml:space="preserve">. </w:t>
      </w:r>
      <w:r w:rsidR="00212084">
        <w:rPr>
          <w:rFonts w:ascii="Times New Roman" w:hAnsi="Times New Roman" w:cs="Times New Roman"/>
          <w:b/>
          <w:sz w:val="28"/>
          <w:szCs w:val="28"/>
          <w:lang w:val="en-US"/>
        </w:rPr>
        <w:t>S</w:t>
      </w:r>
      <w:r w:rsidR="00355AF0" w:rsidRPr="00355AF0">
        <w:rPr>
          <w:rFonts w:ascii="Times New Roman" w:hAnsi="Times New Roman" w:cs="Times New Roman"/>
          <w:b/>
          <w:sz w:val="28"/>
          <w:szCs w:val="28"/>
          <w:lang w:val="en-US"/>
        </w:rPr>
        <w:t xml:space="preserve">ocial metabolism </w:t>
      </w:r>
      <w:r w:rsidR="00FA6546">
        <w:rPr>
          <w:rFonts w:ascii="Times New Roman" w:hAnsi="Times New Roman" w:cs="Times New Roman"/>
          <w:b/>
          <w:sz w:val="28"/>
          <w:szCs w:val="28"/>
          <w:lang w:val="en-US"/>
        </w:rPr>
        <w:t xml:space="preserve">as a driver of </w:t>
      </w:r>
      <w:r w:rsidR="00355AF0" w:rsidRPr="00355AF0">
        <w:rPr>
          <w:rFonts w:ascii="Times New Roman" w:hAnsi="Times New Roman" w:cs="Times New Roman"/>
          <w:b/>
          <w:sz w:val="28"/>
          <w:szCs w:val="28"/>
          <w:lang w:val="en-US"/>
        </w:rPr>
        <w:t>land use</w:t>
      </w:r>
    </w:p>
    <w:p w14:paraId="6F600CCB" w14:textId="605C56BC" w:rsidR="004F79E4" w:rsidRDefault="003F2F0C" w:rsidP="004F79E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Many </w:t>
      </w:r>
      <w:r w:rsidR="00554257">
        <w:rPr>
          <w:rFonts w:ascii="Times New Roman" w:hAnsi="Times New Roman" w:cs="Times New Roman"/>
          <w:sz w:val="24"/>
          <w:szCs w:val="24"/>
          <w:lang w:val="en-US"/>
        </w:rPr>
        <w:t xml:space="preserve">socio-metabolic </w:t>
      </w:r>
      <w:r>
        <w:rPr>
          <w:rFonts w:ascii="Times New Roman" w:hAnsi="Times New Roman" w:cs="Times New Roman"/>
          <w:sz w:val="24"/>
          <w:szCs w:val="24"/>
          <w:lang w:val="en-US"/>
        </w:rPr>
        <w:t>flows are directly related to land use</w:t>
      </w:r>
      <w:r w:rsidR="00AE5953">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554257">
        <w:rPr>
          <w:rFonts w:ascii="Times New Roman" w:hAnsi="Times New Roman" w:cs="Times New Roman"/>
          <w:sz w:val="24"/>
          <w:szCs w:val="24"/>
          <w:lang w:val="en-US"/>
        </w:rPr>
        <w:t xml:space="preserve">and humanity’s rapidly rising hunger for resources </w:t>
      </w:r>
      <w:r w:rsidR="00AE5953">
        <w:rPr>
          <w:rFonts w:ascii="Times New Roman" w:hAnsi="Times New Roman" w:cs="Times New Roman"/>
          <w:sz w:val="24"/>
          <w:szCs w:val="24"/>
          <w:lang w:val="en-US"/>
        </w:rPr>
        <w:t xml:space="preserve">has resulted in </w:t>
      </w:r>
      <w:r>
        <w:rPr>
          <w:rFonts w:ascii="Times New Roman" w:hAnsi="Times New Roman" w:cs="Times New Roman"/>
          <w:sz w:val="24"/>
          <w:szCs w:val="24"/>
          <w:lang w:val="en-US"/>
        </w:rPr>
        <w:t>a restructuring of large proportions of the Earth</w:t>
      </w:r>
      <w:r w:rsidR="00AE5953">
        <w:rPr>
          <w:rFonts w:ascii="Times New Roman" w:hAnsi="Times New Roman" w:cs="Times New Roman"/>
          <w:sz w:val="24"/>
          <w:szCs w:val="24"/>
          <w:lang w:val="en-US"/>
        </w:rPr>
        <w:t>’s</w:t>
      </w:r>
      <w:r>
        <w:rPr>
          <w:rFonts w:ascii="Times New Roman" w:hAnsi="Times New Roman" w:cs="Times New Roman"/>
          <w:sz w:val="24"/>
          <w:szCs w:val="24"/>
          <w:lang w:val="en-US"/>
        </w:rPr>
        <w:t xml:space="preserve"> surface</w:t>
      </w:r>
      <w:r w:rsidR="004F79E4">
        <w:rPr>
          <w:rFonts w:ascii="Times New Roman" w:hAnsi="Times New Roman" w:cs="Times New Roman"/>
          <w:sz w:val="24"/>
          <w:szCs w:val="24"/>
          <w:lang w:val="en-US"/>
        </w:rPr>
        <w:t xml:space="preserve">, thereby contributing </w:t>
      </w:r>
      <w:r w:rsidR="00D41FD7">
        <w:rPr>
          <w:rFonts w:ascii="Times New Roman" w:hAnsi="Times New Roman" w:cs="Times New Roman"/>
          <w:sz w:val="24"/>
          <w:szCs w:val="24"/>
          <w:lang w:val="en-US"/>
        </w:rPr>
        <w:t xml:space="preserve">a lot </w:t>
      </w:r>
      <w:r w:rsidR="004F79E4">
        <w:rPr>
          <w:rFonts w:ascii="Times New Roman" w:hAnsi="Times New Roman" w:cs="Times New Roman"/>
          <w:sz w:val="24"/>
          <w:szCs w:val="24"/>
          <w:lang w:val="en-US"/>
        </w:rPr>
        <w:t>to biodiversity loss</w:t>
      </w:r>
      <w:r w:rsidR="00BC0251">
        <w:rPr>
          <w:rFonts w:ascii="Times New Roman" w:hAnsi="Times New Roman" w:cs="Times New Roman"/>
          <w:sz w:val="24"/>
          <w:szCs w:val="24"/>
          <w:lang w:val="en-US"/>
        </w:rPr>
        <w:t xml:space="preserve"> (see Fig 1)</w:t>
      </w:r>
      <w:r>
        <w:rPr>
          <w:rFonts w:ascii="Times New Roman" w:hAnsi="Times New Roman" w:cs="Times New Roman"/>
          <w:sz w:val="24"/>
          <w:szCs w:val="24"/>
          <w:lang w:val="en-US"/>
        </w:rPr>
        <w:t xml:space="preserve">. </w:t>
      </w:r>
      <w:r w:rsidR="004F79E4">
        <w:rPr>
          <w:rFonts w:ascii="Times New Roman" w:hAnsi="Times New Roman" w:cs="Times New Roman"/>
          <w:sz w:val="24"/>
          <w:szCs w:val="24"/>
          <w:lang w:val="en-US"/>
        </w:rPr>
        <w:t xml:space="preserve">Social metabolism directly affects the ecosystems on many of the earth’s lands via land use, and contributes to environmental changes such as climate change that affect the biosphere in their entirety. Almost </w:t>
      </w:r>
      <w:r w:rsidR="004F79E4" w:rsidRPr="00884BD8">
        <w:rPr>
          <w:rFonts w:ascii="Times New Roman" w:hAnsi="Times New Roman" w:cs="Times New Roman"/>
          <w:sz w:val="24"/>
          <w:szCs w:val="24"/>
          <w:lang w:val="en-US"/>
        </w:rPr>
        <w:t xml:space="preserve">three quarters </w:t>
      </w:r>
      <w:r w:rsidR="004F79E4">
        <w:rPr>
          <w:rFonts w:ascii="Times New Roman" w:hAnsi="Times New Roman" w:cs="Times New Roman"/>
          <w:sz w:val="24"/>
          <w:szCs w:val="24"/>
          <w:lang w:val="en-US"/>
        </w:rPr>
        <w:t xml:space="preserve">of the earth’s land (except Greenland and Antarctica) </w:t>
      </w:r>
      <w:r w:rsidR="004F79E4" w:rsidRPr="00884BD8">
        <w:rPr>
          <w:rFonts w:ascii="Times New Roman" w:hAnsi="Times New Roman" w:cs="Times New Roman"/>
          <w:sz w:val="24"/>
          <w:szCs w:val="24"/>
          <w:lang w:val="en-US"/>
        </w:rPr>
        <w:t>are e</w:t>
      </w:r>
      <w:r w:rsidR="004F79E4">
        <w:rPr>
          <w:rFonts w:ascii="Times New Roman" w:hAnsi="Times New Roman" w:cs="Times New Roman"/>
          <w:sz w:val="24"/>
          <w:szCs w:val="24"/>
          <w:lang w:val="en-US"/>
        </w:rPr>
        <w:t xml:space="preserve">ither used for resource extraction, e.g. mining, forestry and agriculture, including livestock grazing, as settlement and infrastructure areas or for the deposition of wastes </w:t>
      </w:r>
      <w:r w:rsidR="004F79E4">
        <w:rPr>
          <w:rFonts w:ascii="Times New Roman" w:hAnsi="Times New Roman" w:cs="Times New Roman"/>
          <w:sz w:val="24"/>
          <w:szCs w:val="24"/>
          <w:lang w:val="en-US"/>
        </w:rPr>
        <w:fldChar w:fldCharType="begin"/>
      </w:r>
      <w:r w:rsidR="004F79E4">
        <w:rPr>
          <w:rFonts w:ascii="Times New Roman" w:hAnsi="Times New Roman" w:cs="Times New Roman"/>
          <w:sz w:val="24"/>
          <w:szCs w:val="24"/>
          <w:lang w:val="en-US"/>
        </w:rPr>
        <w:instrText xml:space="preserve"> ADDIN ZOTERO_ITEM CSL_CITATION {"citationID":"NSanm2xL","properties":{"formattedCitation":"(Erb et al., 2007)","plainCitation":"(Erb et al., 2007)","noteIndex":0},"citationItems":[{"id":579,"uris":["http://zotero.org/users/666791/items/REJUJUIF"],"uri":["http://zotero.org/users/666791/items/REJUJUIF"],"itemData":{"id":579,"type":"article-journal","container-title":"Journal of Land Use Science","DOI":"10.1080/17474230701622981","ISSN":"1747-423X","issue":"3","journalAbbreviation":"Journal of Land Use Science","page":"191-224","source":"CrossRef","title":"A comprehensive global 5 min resolution land-use data set for the year 2000 consistent with national census data","volume":"2","author":[{"family":"Erb","given":"Karl-Heinz"},{"family":"Gaube","given":"Veronika"},{"family":"Krausmann","given":"Fridolin"},{"family":"Plutzar","given":"Christoph"},{"family":"Bondeau","given":"Alberte"},{"family":"Haberl","given":"Helmut"}],"issued":{"date-parts":[["2007"]]}}}],"schema":"https://github.com/citation-style-language/schema/raw/master/csl-citation.json"} </w:instrText>
      </w:r>
      <w:r w:rsidR="004F79E4">
        <w:rPr>
          <w:rFonts w:ascii="Times New Roman" w:hAnsi="Times New Roman" w:cs="Times New Roman"/>
          <w:sz w:val="24"/>
          <w:szCs w:val="24"/>
          <w:lang w:val="en-US"/>
        </w:rPr>
        <w:fldChar w:fldCharType="separate"/>
      </w:r>
      <w:r w:rsidR="004F79E4" w:rsidRPr="00884BD8">
        <w:rPr>
          <w:rFonts w:ascii="Times New Roman" w:hAnsi="Times New Roman" w:cs="Times New Roman"/>
          <w:sz w:val="24"/>
          <w:lang w:val="en-US"/>
        </w:rPr>
        <w:t>(Erb et al., 2007)</w:t>
      </w:r>
      <w:r w:rsidR="004F79E4">
        <w:rPr>
          <w:rFonts w:ascii="Times New Roman" w:hAnsi="Times New Roman" w:cs="Times New Roman"/>
          <w:sz w:val="24"/>
          <w:szCs w:val="24"/>
          <w:lang w:val="en-US"/>
        </w:rPr>
        <w:fldChar w:fldCharType="end"/>
      </w:r>
      <w:r w:rsidR="004F79E4">
        <w:rPr>
          <w:rFonts w:ascii="Times New Roman" w:hAnsi="Times New Roman" w:cs="Times New Roman"/>
          <w:sz w:val="24"/>
          <w:szCs w:val="24"/>
          <w:lang w:val="en-US"/>
        </w:rPr>
        <w:t xml:space="preserve">. Only perhaps one quarter of the earth’s land (excluding Antarctica and Greenland) is still regarded as ‘wilderness,’ i.e. land largely devoid of direct human management and impacts. Most of that land is very cold, very dry or both, and hence of low biological productivity. It hosts deserts, mountaintops, arctic tundra and similar ecosystems. The only highly productive unused land are remnants of pristine forests, which cover some 5-7% of the earth’s lands </w:t>
      </w:r>
      <w:r w:rsidR="004F79E4">
        <w:rPr>
          <w:rFonts w:ascii="Times New Roman" w:hAnsi="Times New Roman" w:cs="Times New Roman"/>
          <w:sz w:val="24"/>
          <w:szCs w:val="24"/>
          <w:lang w:val="en-US"/>
        </w:rPr>
        <w:fldChar w:fldCharType="begin"/>
      </w:r>
      <w:r w:rsidR="004F79E4">
        <w:rPr>
          <w:rFonts w:ascii="Times New Roman" w:hAnsi="Times New Roman" w:cs="Times New Roman"/>
          <w:sz w:val="24"/>
          <w:szCs w:val="24"/>
          <w:lang w:val="en-US"/>
        </w:rPr>
        <w:instrText xml:space="preserve"> ADDIN ZOTERO_ITEM CSL_CITATION {"citationID":"pRpH08D4","properties":{"formattedCitation":"(Ellis et al., 2013; Erb et al., 2007; Venter et al., 2016)","plainCitation":"(Ellis et al., 2013; Erb et al., 2007; Venter et al., 2016)","noteIndex":0},"citationItems":[{"id":1102,"uris":["http://zotero.org/users/666791/items/EC6KN6C4"],"uri":["http://zotero.org/users/666791/items/EC6KN6C4"],"itemData":{"id":1102,"type":"article-journal","abstract":"Human use of land has transformed ecosystem pattern and process across most of the terrestrial biosphere, a global change often described as historically recent and potentially catastrophic for both humanity and the biosphere. Interdisciplinary paleoecological, archaeological, and historical studies challenge this view, indicating that land use has been extensive and sustained for millennia in some regions and that recent trends may represent as much a recovery as an acceleration. Here we synthesize recent scientific evidence and theory on the emergence, history, and future of land use as a process transforming the Earth System and use this to explain why relatively small human populations likely caused widespread and profound ecological changes more than 3,000 y ago, whereas the largest and wealthiest human populations in history are using less arable land per person every decade. Contrasting two spatially explicit global reconstructions of land-use history shows that reconstructions incorporating adaptive changes in land-use systems over time, including land-use intensification, offer a more spatially detailed and plausible assessment of our planet's history, with a biosphere and perhaps even climate long ago affected by humans. Although land-use processes are now shifting rapidly from historical patterns in both type and scale, integrative global land-use models that incorporate dynamic adaptations in human–environment relationships help to advance our understanding of both past and future land-use changes, including their sustainability and potential global effects.","container-title":"Proceedings of the National Academy of Sciences","DOI":"10.1073/pnas.1217241110","ISSN":"0027-8424, 1091-6490","issue":"20","journalAbbreviation":"PNAS","language":"en","note":"PMID: 23630271","page":"7978-7985","source":"www.pnas.org","title":"Used planet: A global history","title-short":"Used planet","volume":"110","author":[{"family":"Ellis","given":"Erle C."},{"family":"Kaplan","given":"Jed O."},{"family":"Fuller","given":"Dorian Q."},{"family":"Vavrus","given":"Steve"},{"family":"Goldewijk","given":"Kees Klein"},{"family":"Verburg","given":"Peter H."}],"issued":{"date-parts":[["2013"]]}}},{"id":579,"uris":["http://zotero.org/users/666791/items/REJUJUIF"],"uri":["http://zotero.org/users/666791/items/REJUJUIF"],"itemData":{"id":579,"type":"article-journal","container-title":"Journal of Land Use Science","DOI":"10.1080/17474230701622981","ISSN":"1747-423X","issue":"3","journalAbbreviation":"Journal of Land Use Science","page":"19</w:instrText>
      </w:r>
      <w:r w:rsidR="004F79E4" w:rsidRPr="00B06174">
        <w:rPr>
          <w:rFonts w:ascii="Times New Roman" w:hAnsi="Times New Roman" w:cs="Times New Roman"/>
          <w:sz w:val="24"/>
          <w:szCs w:val="24"/>
          <w:lang w:val="en-US"/>
        </w:rPr>
        <w:instrText xml:space="preserve">1-224","source":"CrossRef","title":"A comprehensive global 5 min resolution land-use data set for the year 2000 consistent with national census data","volume":"2","author":[{"family":"Erb","given":"Karl-Heinz"},{"family":"Gaube","given":"Veronika"},{"family":"Krausmann","given":"Fridolin"},{"family":"Plutzar","given":"Christoph"},{"family":"Bondeau","given":"Alberte"},{"family":"Haberl","given":"Helmut"}],"issued":{"date-parts":[["2007"]]}}},{"id":71110,"uris":["http://zotero.org/users/666791/items/XMNVW2CD"],"uri":["http://zotero.org/users/666791/items/XMNVW2CD"],"itemData":{"id":71110,"type":"article-journal","container-title":"Scientific Data","DOI":"10.1038/sdata.2016.67","ISSN":"2052-4463","issue":"1","journalAbbreviation":"Sci Data","language":"en","page":"160067","source":"DOI.org (Crossref)","title":"Global terrestrial Human Footprint maps for 1993 and 2009","volume":"3","author":[{"family":"Venter","given":"Oscar"},{"family":"Sanderson","given":"Eric W."},{"family":"Magrach","given":"Ainhoa"},{"family":"Allan","given":"James R."},{"family":"Beher","given":"Jutta"},{"family":"Jones","given":"Kendall R."},{"family":"Possingham","given":"Hugh P."},{"family":"Laurance","given":"William F."},{"family":"Wood","given":"Peter"},{"family":"Fekete","given":"Balázs M."},{"family":"Levy","given":"Marc A."},{"family":"Watson","given":"James E.M."}],"issued":{"date-parts":[["2016",12]]}}}],"schema":"https://github.com/citation-style-language/schema/raw/master/csl-citation.json"} </w:instrText>
      </w:r>
      <w:r w:rsidR="004F79E4">
        <w:rPr>
          <w:rFonts w:ascii="Times New Roman" w:hAnsi="Times New Roman" w:cs="Times New Roman"/>
          <w:sz w:val="24"/>
          <w:szCs w:val="24"/>
          <w:lang w:val="en-US"/>
        </w:rPr>
        <w:fldChar w:fldCharType="separate"/>
      </w:r>
      <w:r w:rsidR="004F79E4" w:rsidRPr="00B06174">
        <w:rPr>
          <w:rFonts w:ascii="Times New Roman" w:hAnsi="Times New Roman" w:cs="Times New Roman"/>
          <w:sz w:val="24"/>
          <w:lang w:val="en-US"/>
        </w:rPr>
        <w:t>(Ellis et al., 2013; Erb et al., 2007; Venter et al., 2016)</w:t>
      </w:r>
      <w:r w:rsidR="004F79E4">
        <w:rPr>
          <w:rFonts w:ascii="Times New Roman" w:hAnsi="Times New Roman" w:cs="Times New Roman"/>
          <w:sz w:val="24"/>
          <w:szCs w:val="24"/>
          <w:lang w:val="en-US"/>
        </w:rPr>
        <w:fldChar w:fldCharType="end"/>
      </w:r>
      <w:r w:rsidR="004F79E4" w:rsidRPr="00B06174">
        <w:rPr>
          <w:rFonts w:ascii="Times New Roman" w:hAnsi="Times New Roman" w:cs="Times New Roman"/>
          <w:sz w:val="24"/>
          <w:szCs w:val="24"/>
          <w:lang w:val="en-US"/>
        </w:rPr>
        <w:t>.</w:t>
      </w:r>
    </w:p>
    <w:p w14:paraId="5178421D" w14:textId="786F6CE0" w:rsidR="00BC0251" w:rsidRDefault="00BC0251" w:rsidP="004F79E4">
      <w:pPr>
        <w:spacing w:after="0" w:line="240" w:lineRule="auto"/>
        <w:rPr>
          <w:rFonts w:ascii="Times New Roman" w:hAnsi="Times New Roman" w:cs="Times New Roman"/>
          <w:sz w:val="24"/>
          <w:szCs w:val="24"/>
          <w:lang w:val="en-US"/>
        </w:rPr>
      </w:pPr>
    </w:p>
    <w:p w14:paraId="3296DA35" w14:textId="05F03AAF" w:rsidR="00BC0251" w:rsidRPr="000949CE" w:rsidRDefault="00BC0251" w:rsidP="00BC0251">
      <w:pPr>
        <w:spacing w:after="0" w:line="240" w:lineRule="auto"/>
        <w:rPr>
          <w:rFonts w:ascii="Times New Roman" w:hAnsi="Times New Roman" w:cs="Times New Roman"/>
          <w:sz w:val="24"/>
          <w:szCs w:val="24"/>
        </w:rPr>
      </w:pPr>
      <w:r>
        <w:rPr>
          <w:rFonts w:ascii="Times New Roman" w:hAnsi="Times New Roman" w:cs="Times New Roman"/>
          <w:sz w:val="24"/>
          <w:szCs w:val="24"/>
          <w:lang w:val="en-US"/>
        </w:rPr>
        <w:t>While mining and quarrying play a subordinate role at the global scale in terms of area requirements compared to the much larger areas used for agriculture and forestry, they have substantial impacts on ecosystems at regional scales and contribute to biodiversity loss</w:t>
      </w:r>
      <w:r w:rsidR="00E70EFD">
        <w:rPr>
          <w:rFonts w:ascii="Times New Roman" w:hAnsi="Times New Roman" w:cs="Times New Roman"/>
          <w:sz w:val="24"/>
          <w:szCs w:val="24"/>
          <w:lang w:val="en-US"/>
        </w:rPr>
        <w:t xml:space="preserve">, in particular </w:t>
      </w:r>
      <w:r w:rsidR="00332782">
        <w:rPr>
          <w:rFonts w:ascii="Times New Roman" w:hAnsi="Times New Roman" w:cs="Times New Roman"/>
          <w:sz w:val="24"/>
          <w:szCs w:val="24"/>
          <w:lang w:val="en-US"/>
        </w:rPr>
        <w:t>since</w:t>
      </w:r>
      <w:r w:rsidR="00E70EFD">
        <w:rPr>
          <w:rFonts w:ascii="Times New Roman" w:hAnsi="Times New Roman" w:cs="Times New Roman"/>
          <w:sz w:val="24"/>
          <w:szCs w:val="24"/>
          <w:lang w:val="en-US"/>
        </w:rPr>
        <w:t xml:space="preserve"> mining sites are </w:t>
      </w:r>
      <w:r w:rsidR="00332782">
        <w:rPr>
          <w:rFonts w:ascii="Times New Roman" w:hAnsi="Times New Roman" w:cs="Times New Roman"/>
          <w:sz w:val="24"/>
          <w:szCs w:val="24"/>
          <w:lang w:val="en-US"/>
        </w:rPr>
        <w:t xml:space="preserve">often </w:t>
      </w:r>
      <w:r w:rsidR="00E70EFD">
        <w:rPr>
          <w:rFonts w:ascii="Times New Roman" w:hAnsi="Times New Roman" w:cs="Times New Roman"/>
          <w:sz w:val="24"/>
          <w:szCs w:val="24"/>
          <w:lang w:val="en-US"/>
        </w:rPr>
        <w:t>located in vulnerable ecosystems</w:t>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sidR="003C0119">
        <w:rPr>
          <w:rFonts w:ascii="Times New Roman" w:hAnsi="Times New Roman" w:cs="Times New Roman"/>
          <w:sz w:val="24"/>
          <w:szCs w:val="24"/>
          <w:lang w:val="en-US"/>
        </w:rPr>
        <w:instrText xml:space="preserve"> ADDIN ZOTERO_ITEM CSL_CITATION {"citationID":"0XHhldUe","properties":{"formattedCitation":"(Luckeneder et al., 2021; Murgu\\uc0\\u237{}a et al., 2016; Sonter et al., 2018)","plainCitation":"(Luckeneder et al., 2021; Murguía et al., 2016; Sonter et al., 2018)","noteIndex":0},"citationItems":[{"id":71385,"uris":["http://zotero.org/users/666791/items/9L4UFW48"],"uri":["http://zotero.org/users/666791/items/9L4UFW48"],"itemData":{"id":71385,"type":"article-journal","abstract":"Mining activities induce profound changes to societies and the environment they inhabit. With global extraction of metal ores doubling over the past two decades, pressures related to mining have dramatically increased. In this paper, we explore where growing global metal extraction has particularly taken effect. Using fine-grain data, we investigate the spatial and temporal distribution of mining of nine metal ores (bauxite, copper, gold, iron, lead, manganese, nickel, silver and zinc) across approximately 3,000 sites of extraction worldwide between 2000 and 2019. To approach the related environmental implications, we intersect mining sites with terrestrial biomes, protected areas, and watersheds categorised by water availability. We find that 79% of global metal ore extraction in 2019 originated from five of the six most species-rich biomes, with mining volumes doubling since 2000 in tropical moist forest ecosystems. We also find that half of global metal ore extraction took place at 20 km or less from protected territories. Further, 90% of all considered extraction sites correspond to below-average relative water availability, with particularly copper and gold mining occurring in areas with significant water scarcity. Our study has far-reaching implications for future global and local policy and resource management responses to mitigate the negative effects of the expected expansion of metal mining.","container-title":"Global Environmental Change","DOI":"10.1016/j.gloenvcha.2021.102303","ISSN":"0959-3780","journalAbbreviation":"Global Environmental Change","language":"en","page":"102303","source":"ScienceDirect","title":"Surge in global metal mining threatens vulnerable ecosystems","volume":"69","author":[{"family":"Luckeneder","given":"Sebastian"},{"family":"Giljum","given":"Stefan"},{"family":"Schaffartzik","given":"Anke"},{"family":"Maus","given":"Victor"},{"family":"Tost","given":"Michael"}],"issued":{"date-parts":[["2021",7,1]]}}},{"id":71508,"uris":["http://zotero.org/users/666791/items/W9XFKHUR"],"uri":["http://zotero.org/users/666791/items/W9XFKHUR"],"itemData":{"id":71508,"type":"article-journal","abstract":"Biodiversity loss is widely recognized as a serious global environmental change process. While large-scale metal mining activities do not belong to the top drivers of such change, these operations exert or may intensify pressures on biodiversity by adversely changing habitats, directly and indirectly, at local and regional scales. So far, analyses of global spatial dynamics of mining and its burden on biodiversity focused on the overlap between mines and protected areas or areas of high value for conservation. However, it is less clear how operating metal mines are globally exerting pressure on zones of different biodiversity richness; a similar gap exists for unmined but known mineral deposits. By using vascular plants’ diversity as a proxy to quantify overall biodiversity, this study provides a first examination of the global spatial distribution of mines and deposits for five key metals across different biodiversity zones. The results indicate that mines and deposits are not randomly distributed, but concentrated within intermediate and high diversity zones, especially bauxite and silver. In contrast, iron, gold, and copper mines and deposits are closer to a more proportional distribution while showing a high concentration in the intermediate biodiversity zone. Considering the five metals together, 63% and 61% of available mines and deposits, respectively, are located in intermediate diversity zones, comprising 52% of the global land terrestrial surface. 23% of mines and 20% of ore deposits are located in areas of high plant diversity, covering 17% of the land. 13% of mines and 19% of deposits are in areas of low plant diversity, comprising 31% of the land surface. Thus, there seems to be potential for opening new mines in areas of low biodiversity in the future.","container-title":"Journal of Environmental Management","DOI":"10.1016/j.jenvman.2016.05.040","ISSN":"0301-4797","journalAbbreviation":"Journal of Environmental Management","language":"en","page":"409-420","source":"ScienceDirect","title":"Global direct pressures on biodiversity by large-scale metal mining: Spatial distribution and implications for conservation","title-short":"Global direct pressures on biodiversity by large-scale metal mining","volume":"180","author":[{"family":"Murguía","given":"Diego I."},{"family":"Bringezu","given":"Stefan"},{"family":"Schaldach","given":"Rüdiger"}],"issued":{"date-parts":[["2016",9,15]]}}},{"id":71138,"uris":["http://zotero.org/users/666791/items/W7QSTTFV"],"uri":["http://zotero.org/users/666791/items/W7QSTTFV"],"itemData":{"id":71138,"type":"article-journal","abstract":"Mining poses serious and highly specific threats to biodiversity. However, mining can also be a means for financing alternative livelihood paths that, over the long-term, may prevent biodiversity loss. Complex and controversial issues associated with mining and biodiversity conservation are often simplified within a narrow frame oriented towards the negative impacts of mining at the site of extraction, rather than posed as a series of challenges for the conservation science community to embrace. Here, we synthesize core issues that, if better understood, may ensure coexistence between mining and conservation agendas. We illustrate how mining impacts biodiversity through diverse pathways and across spatial scales. We argue that traditional, site-based conservation approaches will have limited effect in preventing biodiversity loss against an increasing mining footprint, but opportunities to improve outcomes (e.g. through long-term strategic assessment and planning) do exist. While future mineral supply is uncertain, projections suggest demand will grow for many metals and shift mining operations towards more dispersed and biodiverse areas. Initiating dialogue between mining companies, policy-makers and conservation organizations is urgent, given the suite of international agendas simultaneously requiring more minerals but less biodiversity loss.","container-title":"Proceedings of the Royal Society B: Biological Sciences","DOI":"10.1098/rspb.2018.1926","issue":"1892","journalAbbreviation":"Proceedings of the Royal Society B: Biological Sciences","note":"publisher: Royal Society","page":"20181926","source":"royalsocietypublishing.org (Atypon)","title":"Mining and biodiversity: key issues and research needs in conservation science","title-short":"Mining and biodiversity","volume":"285","author":[{"family":"Sonter","given":"Laura J."},{"family":"Ali","given":"Saleem H."},{"family":"Watson","given":"James E. M."}],"issued":{"date-parts":[["2018",12,5]]}}}],"schema":"https://github.com/citation-style-language/schema/raw/master/csl-citation.json"} </w:instrText>
      </w:r>
      <w:r>
        <w:rPr>
          <w:rFonts w:ascii="Times New Roman" w:hAnsi="Times New Roman" w:cs="Times New Roman"/>
          <w:sz w:val="24"/>
          <w:szCs w:val="24"/>
          <w:lang w:val="en-US"/>
        </w:rPr>
        <w:fldChar w:fldCharType="separate"/>
      </w:r>
      <w:r w:rsidR="003C0119" w:rsidRPr="00CF4646">
        <w:rPr>
          <w:rFonts w:ascii="Times New Roman" w:hAnsi="Times New Roman" w:cs="Times New Roman"/>
          <w:sz w:val="24"/>
          <w:szCs w:val="24"/>
          <w:lang w:val="en-US"/>
        </w:rPr>
        <w:t>(</w:t>
      </w:r>
      <w:proofErr w:type="spellStart"/>
      <w:r w:rsidR="003C0119" w:rsidRPr="00CF4646">
        <w:rPr>
          <w:rFonts w:ascii="Times New Roman" w:hAnsi="Times New Roman" w:cs="Times New Roman"/>
          <w:sz w:val="24"/>
          <w:szCs w:val="24"/>
          <w:lang w:val="en-US"/>
        </w:rPr>
        <w:t>Luckeneder</w:t>
      </w:r>
      <w:proofErr w:type="spellEnd"/>
      <w:r w:rsidR="003C0119" w:rsidRPr="00CF4646">
        <w:rPr>
          <w:rFonts w:ascii="Times New Roman" w:hAnsi="Times New Roman" w:cs="Times New Roman"/>
          <w:sz w:val="24"/>
          <w:szCs w:val="24"/>
          <w:lang w:val="en-US"/>
        </w:rPr>
        <w:t xml:space="preserve"> et al., 2021; </w:t>
      </w:r>
      <w:proofErr w:type="spellStart"/>
      <w:r w:rsidR="003C0119" w:rsidRPr="00CF4646">
        <w:rPr>
          <w:rFonts w:ascii="Times New Roman" w:hAnsi="Times New Roman" w:cs="Times New Roman"/>
          <w:sz w:val="24"/>
          <w:szCs w:val="24"/>
          <w:lang w:val="en-US"/>
        </w:rPr>
        <w:t>Murguía</w:t>
      </w:r>
      <w:proofErr w:type="spellEnd"/>
      <w:r w:rsidR="003C0119" w:rsidRPr="00CF4646">
        <w:rPr>
          <w:rFonts w:ascii="Times New Roman" w:hAnsi="Times New Roman" w:cs="Times New Roman"/>
          <w:sz w:val="24"/>
          <w:szCs w:val="24"/>
          <w:lang w:val="en-US"/>
        </w:rPr>
        <w:t xml:space="preserve"> et al., 2016; </w:t>
      </w:r>
      <w:proofErr w:type="spellStart"/>
      <w:r w:rsidR="003C0119" w:rsidRPr="00CF4646">
        <w:rPr>
          <w:rFonts w:ascii="Times New Roman" w:hAnsi="Times New Roman" w:cs="Times New Roman"/>
          <w:sz w:val="24"/>
          <w:szCs w:val="24"/>
          <w:lang w:val="en-US"/>
        </w:rPr>
        <w:t>Sonter</w:t>
      </w:r>
      <w:proofErr w:type="spellEnd"/>
      <w:r w:rsidR="003C0119" w:rsidRPr="00CF4646">
        <w:rPr>
          <w:rFonts w:ascii="Times New Roman" w:hAnsi="Times New Roman" w:cs="Times New Roman"/>
          <w:sz w:val="24"/>
          <w:szCs w:val="24"/>
          <w:lang w:val="en-US"/>
        </w:rPr>
        <w:t xml:space="preserve"> et al., 2018)</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In addition, marine and freshwater ecosystems and their biodiversity are also directly affected by resource extraction, e.g. through fisheries, sand dredging or off-shore oil and gas extraction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{"citationID":"emrdb7Rc","properties":{"formattedCitation":"(Fraser et al., 2017; Venegas-Li et al., 2019; Worm et al., 2006)","plainCitation":"(Fraser et al., 2017; Venegas-Li et al., 2019; Worm et al., 2006)","noteIndex":0},"citationItems":[{"id":71514,"uris":["http://zotero.org/users/666791/items/28BQ4QY6"],"uri":["http://zotero.org/users/666791/items/28BQ4QY6"],"itemData":{"id":71514,"type":"article-journal","abstract":"Dredging can have significant impacts on benthic marine organisms through mechanisms such as sedimentation and reduction in light availability as a result of increased suspension of sediments. Phototrophic marine organisms and those with limited mobility are particularly at risk from the effects of dredging. The potential impacts of dredging on benthic species depend on biological processes including feeding mechanism, mobility, life history characteristics (LHCs), stage of development and environmental conditions. Environmental windows (EWs) are a management technique in which dredging activities are permitted during specific periods throughout the year; avoiding periods of increased vulnerability for particular organisms in specific locations. In this review we identify these critical ecological processes for temperate and tropical marine benthic organisms; and examine if EWs could be used to mitigate dredging impacts using Western Australia (WA) as a case study. We examined LHCs for a range of marine taxa and identified, where possible, their vulnerability to dredging. Large gaps in knowledge exist for the timing of LHCs for major species of marine invertebrates, seagrasses and macroalgae, increasing uncertainty around their vulnerability to an increase in suspended sediments or light attenuation. We conclude that there is currently insufficient scientific basis to justify the adoption of generic EWs for dredging operations in WA for any group of organisms other than corals and possibly for temperate seagrasses. This is due to; 1) the temporal and spatial variation in the timing of known critical life history stages of different species; and 2) our current level of knowledge and understanding of the critical life history stages and characteristics for most taxa and for most areas being largely inadequate to justify any meaningful EW selection. As such, we suggest that EWs are only considered on a case-by-case basis to protect ecologically or economically important species for which sufficient location-specific information is available, with consideration of probable exposures associated with a given mode of dredging.","container-title":"Ecological Indicators","DOI":"10.1016/j.ecolind.2017.03.026","ISSN":"1470-160X","journalAbbreviation":"Ecological Indicators","language":"en","page":"229-242","source":"ScienceDirect","title":"Effects of dredging on critical ecological processes for marine invertebrates, seagrasses and macroalgae, and the potential for management with environmental windows using Western Australia as a case study","volume":"78","author":[{"family":"Fraser","given":"Matthew W."},{"family":"Short","given":"Jessie"},{"family":"Kendrick","given":"Gary"},{"family":"McLean","given":"Dianne"},{"family":"Keesing","given":"John"},{"family":"Byrne","given":"Maria"},{"family":"Caley","given":"M. Julian"},{"family":"Clarke","given":"Doug"},{"family":"Davis","given":"Andrew R."},{"family":"Erftemeijer","given":"Paul L. A."},{"family":"Field","given":"Stuart"},{"family":"Gustin-Craig","given":"Sam"},{"family":"Huisman","given":"John"},{"family":"Keough","given":"Mick"},{"family":"Lavery","given":"Paul S."},{"family":"Masini","given":"Ray"},{"family":"McMahon","given":"Kathryn"},{"family":"Mengersen","given":"Kerrie"},{"family":"Rasheed","given":"Michael"},{"family":"Statton","given":"John"},{"family":"Stoddart","given":"Jim"},{"family":"Wu","given":"Paul"}],"issued":{"date-parts":[["2017",7,1]]}}},{"id":71517,"uris":["http://zotero.org/users/666791/items/J5ZDQHAR"],"uri":["http://zotero.org/users/666791/items/J5ZDQHAR"],"itemData":{"id":71517,"type":"article-journal","abstract":"Increasing global energy demands have led to the ongoing intensification of hydrocarbon extraction from marine areas. Hydrocarbon extractive activities pose threats to native marine biodiversity, such as noise, light, and chemical pollution, physical changes to the sea floor, invasive species, and greenhouse gas emissions. Here, we assessed at a global scale the spatial overlap between offshore hydrocarbon activities and marine biodiversity (&gt;25,000 species, nine major ecosystems, and marine protected areas), and quantify the changes over time. We discovered that two-thirds of global offshore hydrocarbon activities occur in areas within the top 10% for species richness, range rarity, and proportional range rarity values globally. Thus, while hydrocarbon activities are undertaken in less than one percent of the ocean's area, they overlap with approximately 85% of all assessed species. Of conservation concern, 4% of species with the largest proportion of their range overlapping hydrocarbon activities are range restricted, potentially increasing their vulnerability to localized threats such as oil spills. While hydrocarbon activities have extended to greater depths since the mid-1990s, we found that the largest overlap is with coastal ecosystems, particularly estuaries, saltmarshes and mangroves. Furthermore, in most countries where offshore hydrocarbon exploration licensing blocks have been delineated, they do not overlap with marine protected areas (MPAs). Although this is positive in principle, many countries have far more licensing block areas than protected areas, and in some instances, MPA coverage is minimal. These findings suggest the need for marine spatial prioritization to help limit future spatial overlap between marine conservation priorities and hydrocarbon activities. Such prioritization can be informed by the spatial and quantitative baseline information provided here. In increasingly shared seascapes, prioritizing management actions that set both conservation and development targets could help minimize further declines of biodiversity and environmental changes at a global scale.","container-title":"Global Change Biology","DOI":"10.1111/gcb.14616","ISSN":"1365-2486","issue":"6","language":"en","note":"_eprint: https://onlinelibrary.wiley.com/doi/pdf/10.1111/gcb.14616","page":"2009-2020","source":"Wiley Online Library","title":"Global assessment of marine biodiversity potentially threatened by offshore hydrocarbon activities","volume":"25","author":[{"family":"Venegas-Li","given":"Rubén"},{"family":"Levin","given":"Noam"},{"family":"Morales-Barquero","given":"Lucía"},{"family":"Kaschner","given":"Kristin"},{"family":"Garilao","given":"Cristina"},{"family":"Kark","given":"Salit"}],"issued":{"date-parts":[["2019"]]}}},{"id":71510,"uris":["http://zotero.org/users/666791/items/BPZV5HI2"],"uri":["http://zotero.org/users/666791/items/BPZV5HI2"],"itemData":{"id":71510,"type":"article-journal","abstract":"&lt;p&gt;Human-dominated marine ecosystems are experiencing accelerating loss of populations and species, with largely unknown consequences. We analyzed local experiments, long-term regional time series, and global fisheries data to test how biodiversity loss affects marine ecosystem services across temporal and spatial scales. Overall, rates of resource collapse increased and recovery potential, stability,</w:instrText>
      </w:r>
      <w:r w:rsidRPr="00B1574E">
        <w:rPr>
          <w:rFonts w:ascii="Times New Roman" w:hAnsi="Times New Roman" w:cs="Times New Roman"/>
          <w:sz w:val="24"/>
          <w:szCs w:val="24"/>
        </w:rPr>
        <w:instrText xml:space="preserve"> and water quality decreased exponentially with declining diversity. Restoration of biodiversity, in contrast, increased productivity fourfold and decreased variability by 21%, on average. We conclude that marine biodiversity loss is increasingly impairing the ocean9s capacity to provide food, maintain water quality, and recover from perturbations. Yet available data suggest that at this point, these trends are still reversible.&lt;/p&gt;","container-title":"Science","DOI":"10.1126/science.1132294","ISSN":"0036-8075, 1095-9203","issue":"5800","language":"en","note":"publisher: American Association for the Advancement of Science\nsection: Research Article\nPMID: 17082450","page":"787-790","source":"science.sciencemag.org","title":"Impacts of Biodiversity Loss on Ocean Ecosystem Services","volume":"314","author":[{"family":"Worm","given":"Boris"},{"family":"Barbier","given":"Edward B."},{"family":"Beaumont","given":"Nicola"},{"family":"Duffy","given":"J. Emmett"},{"family":"Folke","given":"Carl"},{"family":"Halpern","given":"Benjamin S."},{"family":"Jackson","given":"Jeremy B. C."},{"family":"Lotze","given":"Heike K."},{"family":"Micheli","given":"Fiorenza"},{"family":"Palumbi","given":"Stephen R."},{"family":"Sala","given":"Enric"},{"family":"Selkoe","given":"Kimberley A."},{"family":"Stachowicz","given":"John J."},{"family":"Watson","given":"Reg"}],"issued":{"date-parts":[["2006",11,3]]}}}],"schema":"https://github.com/citation-style-language/schema/raw/master/csl-citation.json"} </w:instrText>
      </w:r>
      <w:r>
        <w:rPr>
          <w:rFonts w:ascii="Times New Roman" w:hAnsi="Times New Roman" w:cs="Times New Roman"/>
          <w:sz w:val="24"/>
          <w:szCs w:val="24"/>
          <w:lang w:val="en-US"/>
        </w:rPr>
        <w:fldChar w:fldCharType="separate"/>
      </w:r>
      <w:r w:rsidRPr="00B1574E">
        <w:rPr>
          <w:rFonts w:ascii="Times New Roman" w:hAnsi="Times New Roman" w:cs="Times New Roman"/>
          <w:sz w:val="24"/>
          <w:szCs w:val="24"/>
        </w:rPr>
        <w:t>(Fraser et al., 2017; Venegas-Li et al., 2019; Worm et al., 2006)</w:t>
      </w:r>
      <w:r>
        <w:rPr>
          <w:rFonts w:ascii="Times New Roman" w:hAnsi="Times New Roman" w:cs="Times New Roman"/>
          <w:sz w:val="24"/>
          <w:szCs w:val="24"/>
          <w:lang w:val="en-US"/>
        </w:rPr>
        <w:fldChar w:fldCharType="end"/>
      </w:r>
      <w:r w:rsidRPr="00B1574E">
        <w:rPr>
          <w:rFonts w:ascii="Times New Roman" w:hAnsi="Times New Roman" w:cs="Times New Roman"/>
          <w:sz w:val="24"/>
          <w:szCs w:val="24"/>
        </w:rPr>
        <w:t xml:space="preserve">. </w:t>
      </w:r>
    </w:p>
    <w:p w14:paraId="4363A3BD" w14:textId="2D9A63F5" w:rsidR="004F79E4" w:rsidRPr="000949CE" w:rsidRDefault="004F79E4" w:rsidP="004F79E4">
      <w:pPr>
        <w:spacing w:after="0" w:line="240" w:lineRule="auto"/>
        <w:rPr>
          <w:rFonts w:ascii="Times New Roman" w:hAnsi="Times New Roman" w:cs="Times New Roman"/>
          <w:sz w:val="24"/>
          <w:szCs w:val="24"/>
        </w:rPr>
      </w:pPr>
    </w:p>
    <w:p w14:paraId="3E15BDA0" w14:textId="38DAACD2" w:rsidR="00F60FC6" w:rsidRPr="00F60FC6" w:rsidRDefault="00CF4646" w:rsidP="00F60FC6">
      <w:pPr>
        <w:keepNext/>
        <w:keepLines/>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3</w:t>
      </w:r>
      <w:r w:rsidR="00F60FC6" w:rsidRPr="00F60FC6">
        <w:rPr>
          <w:rFonts w:ascii="Times New Roman" w:hAnsi="Times New Roman" w:cs="Times New Roman"/>
          <w:b/>
          <w:sz w:val="24"/>
          <w:szCs w:val="24"/>
          <w:lang w:val="en-US"/>
        </w:rPr>
        <w:t>.1 Land use and biomass metabolism – an integrated perspective</w:t>
      </w:r>
    </w:p>
    <w:p w14:paraId="17422AE3" w14:textId="3E6A44B4" w:rsidR="004F79E4" w:rsidRDefault="00BC0251" w:rsidP="004F79E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extraction of biomass requires the lion’s share of land needed for resource extraction. </w:t>
      </w:r>
      <w:r w:rsidR="003F2F0C">
        <w:rPr>
          <w:rFonts w:ascii="Times New Roman" w:hAnsi="Times New Roman" w:cs="Times New Roman"/>
          <w:sz w:val="24"/>
          <w:szCs w:val="24"/>
          <w:lang w:val="en-US"/>
        </w:rPr>
        <w:t>Agricultur</w:t>
      </w:r>
      <w:r w:rsidR="00017FD3">
        <w:rPr>
          <w:rFonts w:ascii="Times New Roman" w:hAnsi="Times New Roman" w:cs="Times New Roman"/>
          <w:sz w:val="24"/>
          <w:szCs w:val="24"/>
          <w:lang w:val="en-US"/>
        </w:rPr>
        <w:t>e</w:t>
      </w:r>
      <w:r w:rsidR="003F2F0C">
        <w:rPr>
          <w:rFonts w:ascii="Times New Roman" w:hAnsi="Times New Roman" w:cs="Times New Roman"/>
          <w:sz w:val="24"/>
          <w:szCs w:val="24"/>
          <w:lang w:val="en-US"/>
        </w:rPr>
        <w:t xml:space="preserve"> covers approximately half of the global land surface (without Greenland and Antarctica). </w:t>
      </w:r>
      <w:r w:rsidR="00BA5693">
        <w:rPr>
          <w:rFonts w:ascii="Times New Roman" w:hAnsi="Times New Roman" w:cs="Times New Roman"/>
          <w:sz w:val="24"/>
          <w:szCs w:val="24"/>
          <w:lang w:val="en-US"/>
        </w:rPr>
        <w:t>As shown in Figure 3, a</w:t>
      </w:r>
      <w:r w:rsidR="003F2F0C">
        <w:rPr>
          <w:rFonts w:ascii="Times New Roman" w:hAnsi="Times New Roman" w:cs="Times New Roman"/>
          <w:sz w:val="24"/>
          <w:szCs w:val="24"/>
          <w:lang w:val="en-US"/>
        </w:rPr>
        <w:t xml:space="preserve">round the year 2015, approximately 12% (16 Mkm²) of the global ice-free land surface </w:t>
      </w:r>
      <w:r w:rsidR="004F79E4">
        <w:rPr>
          <w:rFonts w:ascii="Times New Roman" w:hAnsi="Times New Roman" w:cs="Times New Roman"/>
          <w:sz w:val="24"/>
          <w:szCs w:val="24"/>
          <w:lang w:val="en-US"/>
        </w:rPr>
        <w:t>we</w:t>
      </w:r>
      <w:r w:rsidR="003F2F0C">
        <w:rPr>
          <w:rFonts w:ascii="Times New Roman" w:hAnsi="Times New Roman" w:cs="Times New Roman"/>
          <w:sz w:val="24"/>
          <w:szCs w:val="24"/>
          <w:lang w:val="en-US"/>
        </w:rPr>
        <w:t xml:space="preserve">re used as cropland. Land used </w:t>
      </w:r>
      <w:r w:rsidR="00BA5693">
        <w:rPr>
          <w:rFonts w:ascii="Times New Roman" w:hAnsi="Times New Roman" w:cs="Times New Roman"/>
          <w:sz w:val="24"/>
          <w:szCs w:val="24"/>
          <w:lang w:val="en-US"/>
        </w:rPr>
        <w:t xml:space="preserve">to graze </w:t>
      </w:r>
      <w:r w:rsidR="003F2F0C">
        <w:rPr>
          <w:rFonts w:ascii="Times New Roman" w:hAnsi="Times New Roman" w:cs="Times New Roman"/>
          <w:sz w:val="24"/>
          <w:szCs w:val="24"/>
          <w:lang w:val="en-US"/>
        </w:rPr>
        <w:t xml:space="preserve">livestock </w:t>
      </w:r>
      <w:r w:rsidR="00017FD3">
        <w:rPr>
          <w:rFonts w:ascii="Times New Roman" w:hAnsi="Times New Roman" w:cs="Times New Roman"/>
          <w:sz w:val="24"/>
          <w:szCs w:val="24"/>
          <w:lang w:val="en-US"/>
        </w:rPr>
        <w:t>amount</w:t>
      </w:r>
      <w:r w:rsidR="00EF22AE">
        <w:rPr>
          <w:rFonts w:ascii="Times New Roman" w:hAnsi="Times New Roman" w:cs="Times New Roman"/>
          <w:sz w:val="24"/>
          <w:szCs w:val="24"/>
          <w:lang w:val="en-US"/>
        </w:rPr>
        <w:t>ed</w:t>
      </w:r>
      <w:r w:rsidR="00017FD3">
        <w:rPr>
          <w:rFonts w:ascii="Times New Roman" w:hAnsi="Times New Roman" w:cs="Times New Roman"/>
          <w:sz w:val="24"/>
          <w:szCs w:val="24"/>
          <w:lang w:val="en-US"/>
        </w:rPr>
        <w:t xml:space="preserve"> to ~</w:t>
      </w:r>
      <w:r w:rsidR="003F2F0C">
        <w:rPr>
          <w:rFonts w:ascii="Times New Roman" w:hAnsi="Times New Roman" w:cs="Times New Roman"/>
          <w:sz w:val="24"/>
          <w:szCs w:val="24"/>
          <w:lang w:val="en-US"/>
        </w:rPr>
        <w:t xml:space="preserve">37% (48 Mkm²), making this the largest land-use category (albeit associated with large uncertainties). </w:t>
      </w:r>
      <w:r w:rsidR="00D32B3A">
        <w:rPr>
          <w:rFonts w:ascii="Times New Roman" w:hAnsi="Times New Roman" w:cs="Times New Roman"/>
          <w:sz w:val="24"/>
          <w:szCs w:val="24"/>
          <w:lang w:val="en-US"/>
        </w:rPr>
        <w:t xml:space="preserve">Parts of this </w:t>
      </w:r>
      <w:r w:rsidR="003F2F0C">
        <w:rPr>
          <w:rFonts w:ascii="Times New Roman" w:hAnsi="Times New Roman" w:cs="Times New Roman"/>
          <w:sz w:val="24"/>
          <w:szCs w:val="24"/>
          <w:lang w:val="en-US"/>
        </w:rPr>
        <w:t xml:space="preserve">land </w:t>
      </w:r>
      <w:r w:rsidR="00D32B3A">
        <w:rPr>
          <w:rFonts w:ascii="Times New Roman" w:hAnsi="Times New Roman" w:cs="Times New Roman"/>
          <w:sz w:val="24"/>
          <w:szCs w:val="24"/>
          <w:lang w:val="en-US"/>
        </w:rPr>
        <w:t xml:space="preserve">are </w:t>
      </w:r>
      <w:r w:rsidR="003F2F0C">
        <w:rPr>
          <w:rFonts w:ascii="Times New Roman" w:hAnsi="Times New Roman" w:cs="Times New Roman"/>
          <w:sz w:val="24"/>
          <w:szCs w:val="24"/>
          <w:lang w:val="en-US"/>
        </w:rPr>
        <w:t>heavily modified by agricultural activities with regard to habitats, life-forms, species composition and biogeoc</w:t>
      </w:r>
      <w:r w:rsidR="00347EBB">
        <w:rPr>
          <w:rFonts w:ascii="Times New Roman" w:hAnsi="Times New Roman" w:cs="Times New Roman"/>
          <w:sz w:val="24"/>
          <w:szCs w:val="24"/>
          <w:lang w:val="en-US"/>
        </w:rPr>
        <w:t>h</w:t>
      </w:r>
      <w:r w:rsidR="003F2F0C">
        <w:rPr>
          <w:rFonts w:ascii="Times New Roman" w:hAnsi="Times New Roman" w:cs="Times New Roman"/>
          <w:sz w:val="24"/>
          <w:szCs w:val="24"/>
          <w:lang w:val="en-US"/>
        </w:rPr>
        <w:t xml:space="preserve">emical processes (e.g. pastures on potential forest sites). </w:t>
      </w:r>
      <w:r w:rsidR="001A1988">
        <w:rPr>
          <w:rFonts w:ascii="Times New Roman" w:hAnsi="Times New Roman" w:cs="Times New Roman"/>
          <w:sz w:val="24"/>
          <w:szCs w:val="24"/>
          <w:lang w:val="en-US"/>
        </w:rPr>
        <w:t xml:space="preserve">Fig. </w:t>
      </w:r>
      <w:r w:rsidR="00A85121">
        <w:rPr>
          <w:rFonts w:ascii="Times New Roman" w:hAnsi="Times New Roman" w:cs="Times New Roman"/>
          <w:sz w:val="24"/>
          <w:szCs w:val="24"/>
          <w:lang w:val="en-US"/>
        </w:rPr>
        <w:t>3</w:t>
      </w:r>
      <w:r w:rsidR="001A1988">
        <w:rPr>
          <w:rFonts w:ascii="Times New Roman" w:hAnsi="Times New Roman" w:cs="Times New Roman"/>
          <w:sz w:val="24"/>
          <w:szCs w:val="24"/>
          <w:lang w:val="en-US"/>
        </w:rPr>
        <w:t xml:space="preserve"> indicates that </w:t>
      </w:r>
      <w:r w:rsidR="00720002">
        <w:rPr>
          <w:rFonts w:ascii="Times New Roman" w:hAnsi="Times New Roman" w:cs="Times New Roman"/>
          <w:sz w:val="24"/>
          <w:szCs w:val="24"/>
          <w:lang w:val="en-US"/>
        </w:rPr>
        <w:t xml:space="preserve">in 2015 </w:t>
      </w:r>
      <w:r w:rsidR="001A1988">
        <w:rPr>
          <w:rFonts w:ascii="Times New Roman" w:hAnsi="Times New Roman" w:cs="Times New Roman"/>
          <w:sz w:val="24"/>
          <w:szCs w:val="24"/>
          <w:lang w:val="en-US"/>
        </w:rPr>
        <w:t xml:space="preserve">roughly half of the </w:t>
      </w:r>
      <w:r w:rsidR="00D32B3A">
        <w:rPr>
          <w:rFonts w:ascii="Times New Roman" w:hAnsi="Times New Roman" w:cs="Times New Roman"/>
          <w:sz w:val="24"/>
          <w:szCs w:val="24"/>
          <w:lang w:val="en-US"/>
        </w:rPr>
        <w:t>14 Gt/</w:t>
      </w:r>
      <w:proofErr w:type="spellStart"/>
      <w:r w:rsidR="00D32B3A">
        <w:rPr>
          <w:rFonts w:ascii="Times New Roman" w:hAnsi="Times New Roman" w:cs="Times New Roman"/>
          <w:sz w:val="24"/>
          <w:szCs w:val="24"/>
          <w:lang w:val="en-US"/>
        </w:rPr>
        <w:t>yr</w:t>
      </w:r>
      <w:proofErr w:type="spellEnd"/>
      <w:r w:rsidR="00D32B3A">
        <w:rPr>
          <w:rFonts w:ascii="Times New Roman" w:hAnsi="Times New Roman" w:cs="Times New Roman"/>
          <w:sz w:val="24"/>
          <w:szCs w:val="24"/>
          <w:lang w:val="en-US"/>
        </w:rPr>
        <w:t xml:space="preserve"> of dry-matter </w:t>
      </w:r>
      <w:r w:rsidR="001A1988">
        <w:rPr>
          <w:rFonts w:ascii="Times New Roman" w:hAnsi="Times New Roman" w:cs="Times New Roman"/>
          <w:sz w:val="24"/>
          <w:szCs w:val="24"/>
          <w:lang w:val="en-US"/>
        </w:rPr>
        <w:t xml:space="preserve">biomass extracted from </w:t>
      </w:r>
      <w:r w:rsidR="00EF22AE">
        <w:rPr>
          <w:rFonts w:ascii="Times New Roman" w:hAnsi="Times New Roman" w:cs="Times New Roman"/>
          <w:sz w:val="24"/>
          <w:szCs w:val="24"/>
          <w:lang w:val="en-US"/>
        </w:rPr>
        <w:t xml:space="preserve">cropland and grazing </w:t>
      </w:r>
      <w:r w:rsidR="001A1988">
        <w:rPr>
          <w:rFonts w:ascii="Times New Roman" w:hAnsi="Times New Roman" w:cs="Times New Roman"/>
          <w:sz w:val="24"/>
          <w:szCs w:val="24"/>
          <w:lang w:val="en-US"/>
        </w:rPr>
        <w:t xml:space="preserve">land </w:t>
      </w:r>
      <w:r w:rsidR="00720002">
        <w:rPr>
          <w:rFonts w:ascii="Times New Roman" w:hAnsi="Times New Roman" w:cs="Times New Roman"/>
          <w:sz w:val="24"/>
          <w:szCs w:val="24"/>
          <w:lang w:val="en-US"/>
        </w:rPr>
        <w:t>was</w:t>
      </w:r>
      <w:r w:rsidR="001A1988">
        <w:rPr>
          <w:rFonts w:ascii="Times New Roman" w:hAnsi="Times New Roman" w:cs="Times New Roman"/>
          <w:sz w:val="24"/>
          <w:szCs w:val="24"/>
          <w:lang w:val="en-US"/>
        </w:rPr>
        <w:t xml:space="preserve"> used in the livestock sector </w:t>
      </w:r>
      <w:r w:rsidR="00720002">
        <w:rPr>
          <w:rFonts w:ascii="Times New Roman" w:hAnsi="Times New Roman" w:cs="Times New Roman"/>
          <w:sz w:val="24"/>
          <w:szCs w:val="24"/>
          <w:lang w:val="en-US"/>
        </w:rPr>
        <w:t xml:space="preserve">as feed or </w:t>
      </w:r>
      <w:r w:rsidR="001A1988">
        <w:rPr>
          <w:rFonts w:ascii="Times New Roman" w:hAnsi="Times New Roman" w:cs="Times New Roman"/>
          <w:sz w:val="24"/>
          <w:szCs w:val="24"/>
          <w:lang w:val="en-US"/>
        </w:rPr>
        <w:t>bedding material</w:t>
      </w:r>
      <w:r w:rsidR="00720002">
        <w:rPr>
          <w:rFonts w:ascii="Times New Roman" w:hAnsi="Times New Roman" w:cs="Times New Roman"/>
          <w:sz w:val="24"/>
          <w:szCs w:val="24"/>
          <w:lang w:val="en-US"/>
        </w:rPr>
        <w:t>, yielding only a small flow of food for human consumption</w:t>
      </w:r>
      <w:r w:rsidR="00D32B3A">
        <w:rPr>
          <w:rFonts w:ascii="Times New Roman" w:hAnsi="Times New Roman" w:cs="Times New Roman"/>
          <w:sz w:val="24"/>
          <w:szCs w:val="24"/>
          <w:lang w:val="en-US"/>
        </w:rPr>
        <w:t>.</w:t>
      </w:r>
      <w:r w:rsidR="00720002">
        <w:rPr>
          <w:rFonts w:ascii="Times New Roman" w:hAnsi="Times New Roman" w:cs="Times New Roman"/>
          <w:sz w:val="24"/>
          <w:szCs w:val="24"/>
          <w:lang w:val="en-US"/>
        </w:rPr>
        <w:t xml:space="preserve"> 2.5 Gt/</w:t>
      </w:r>
      <w:proofErr w:type="spellStart"/>
      <w:r w:rsidR="00720002">
        <w:rPr>
          <w:rFonts w:ascii="Times New Roman" w:hAnsi="Times New Roman" w:cs="Times New Roman"/>
          <w:sz w:val="24"/>
          <w:szCs w:val="24"/>
          <w:lang w:val="en-US"/>
        </w:rPr>
        <w:t>yr</w:t>
      </w:r>
      <w:proofErr w:type="spellEnd"/>
      <w:r w:rsidR="00720002">
        <w:rPr>
          <w:rFonts w:ascii="Times New Roman" w:hAnsi="Times New Roman" w:cs="Times New Roman"/>
          <w:sz w:val="24"/>
          <w:szCs w:val="24"/>
          <w:lang w:val="en-US"/>
        </w:rPr>
        <w:t xml:space="preserve"> </w:t>
      </w:r>
      <w:r w:rsidR="00D32B3A">
        <w:rPr>
          <w:rFonts w:ascii="Times New Roman" w:hAnsi="Times New Roman" w:cs="Times New Roman"/>
          <w:sz w:val="24"/>
          <w:szCs w:val="24"/>
          <w:lang w:val="en-US"/>
        </w:rPr>
        <w:t xml:space="preserve">dry-matter biomass, i.e. </w:t>
      </w:r>
      <w:r w:rsidR="00720002">
        <w:rPr>
          <w:rFonts w:ascii="Times New Roman" w:hAnsi="Times New Roman" w:cs="Times New Roman"/>
          <w:sz w:val="24"/>
          <w:szCs w:val="24"/>
          <w:lang w:val="en-US"/>
        </w:rPr>
        <w:t>28%</w:t>
      </w:r>
      <w:r w:rsidR="00D32B3A">
        <w:rPr>
          <w:rFonts w:ascii="Times New Roman" w:hAnsi="Times New Roman" w:cs="Times New Roman"/>
          <w:sz w:val="24"/>
          <w:szCs w:val="24"/>
          <w:lang w:val="en-US"/>
        </w:rPr>
        <w:t xml:space="preserve"> of the biomass extraction on </w:t>
      </w:r>
      <w:r w:rsidR="00720002">
        <w:rPr>
          <w:rFonts w:ascii="Times New Roman" w:hAnsi="Times New Roman" w:cs="Times New Roman"/>
          <w:sz w:val="24"/>
          <w:szCs w:val="24"/>
          <w:lang w:val="en-US"/>
        </w:rPr>
        <w:t>cropland</w:t>
      </w:r>
      <w:r w:rsidR="00D32B3A">
        <w:rPr>
          <w:rFonts w:ascii="Times New Roman" w:hAnsi="Times New Roman" w:cs="Times New Roman"/>
          <w:sz w:val="24"/>
          <w:szCs w:val="24"/>
          <w:lang w:val="en-US"/>
        </w:rPr>
        <w:t>,</w:t>
      </w:r>
      <w:r w:rsidR="00720002">
        <w:rPr>
          <w:rFonts w:ascii="Times New Roman" w:hAnsi="Times New Roman" w:cs="Times New Roman"/>
          <w:sz w:val="24"/>
          <w:szCs w:val="24"/>
          <w:lang w:val="en-US"/>
        </w:rPr>
        <w:t xml:space="preserve"> </w:t>
      </w:r>
      <w:r w:rsidR="00EF22AE">
        <w:rPr>
          <w:rFonts w:ascii="Times New Roman" w:hAnsi="Times New Roman" w:cs="Times New Roman"/>
          <w:sz w:val="24"/>
          <w:szCs w:val="24"/>
          <w:lang w:val="en-US"/>
        </w:rPr>
        <w:t>were</w:t>
      </w:r>
      <w:r w:rsidR="00720002">
        <w:rPr>
          <w:rFonts w:ascii="Times New Roman" w:hAnsi="Times New Roman" w:cs="Times New Roman"/>
          <w:sz w:val="24"/>
          <w:szCs w:val="24"/>
          <w:lang w:val="en-US"/>
        </w:rPr>
        <w:t xml:space="preserve"> processed into </w:t>
      </w:r>
      <w:r w:rsidR="003E5D46">
        <w:rPr>
          <w:rFonts w:ascii="Times New Roman" w:hAnsi="Times New Roman" w:cs="Times New Roman"/>
          <w:sz w:val="24"/>
          <w:szCs w:val="24"/>
          <w:lang w:val="en-US"/>
        </w:rPr>
        <w:t>plant-based</w:t>
      </w:r>
      <w:r w:rsidR="00720002">
        <w:rPr>
          <w:rFonts w:ascii="Times New Roman" w:hAnsi="Times New Roman" w:cs="Times New Roman"/>
          <w:sz w:val="24"/>
          <w:szCs w:val="24"/>
          <w:lang w:val="en-US"/>
        </w:rPr>
        <w:t xml:space="preserve"> food, </w:t>
      </w:r>
      <w:r w:rsidR="00EF22AE">
        <w:rPr>
          <w:rFonts w:ascii="Times New Roman" w:hAnsi="Times New Roman" w:cs="Times New Roman"/>
          <w:sz w:val="24"/>
          <w:szCs w:val="24"/>
          <w:lang w:val="en-US"/>
        </w:rPr>
        <w:t xml:space="preserve">while </w:t>
      </w:r>
      <w:r w:rsidR="00A85121">
        <w:rPr>
          <w:rFonts w:ascii="Times New Roman" w:hAnsi="Times New Roman" w:cs="Times New Roman"/>
          <w:sz w:val="24"/>
          <w:szCs w:val="24"/>
          <w:lang w:val="en-US"/>
        </w:rPr>
        <w:t xml:space="preserve">comparatively </w:t>
      </w:r>
      <w:r w:rsidR="00720002">
        <w:rPr>
          <w:rFonts w:ascii="Times New Roman" w:hAnsi="Times New Roman" w:cs="Times New Roman"/>
          <w:sz w:val="24"/>
          <w:szCs w:val="24"/>
          <w:lang w:val="en-US"/>
        </w:rPr>
        <w:t xml:space="preserve">minor shares </w:t>
      </w:r>
      <w:r w:rsidR="00EF22AE">
        <w:rPr>
          <w:rFonts w:ascii="Times New Roman" w:hAnsi="Times New Roman" w:cs="Times New Roman"/>
          <w:sz w:val="24"/>
          <w:szCs w:val="24"/>
          <w:lang w:val="en-US"/>
        </w:rPr>
        <w:t>were</w:t>
      </w:r>
      <w:r w:rsidR="00720002">
        <w:rPr>
          <w:rFonts w:ascii="Times New Roman" w:hAnsi="Times New Roman" w:cs="Times New Roman"/>
          <w:sz w:val="24"/>
          <w:szCs w:val="24"/>
          <w:lang w:val="en-US"/>
        </w:rPr>
        <w:t xml:space="preserve"> used as raw material or for energy provision</w:t>
      </w:r>
      <w:r w:rsidR="00D32B3A">
        <w:rPr>
          <w:rFonts w:ascii="Times New Roman" w:hAnsi="Times New Roman" w:cs="Times New Roman"/>
          <w:sz w:val="24"/>
          <w:szCs w:val="24"/>
          <w:lang w:val="en-US"/>
        </w:rPr>
        <w:t>. U</w:t>
      </w:r>
      <w:r w:rsidR="003E5D46">
        <w:rPr>
          <w:rFonts w:ascii="Times New Roman" w:hAnsi="Times New Roman" w:cs="Times New Roman"/>
          <w:sz w:val="24"/>
          <w:szCs w:val="24"/>
          <w:lang w:val="en-US"/>
        </w:rPr>
        <w:t>nused crop residues left on the field or burned</w:t>
      </w:r>
      <w:r w:rsidR="00D32B3A">
        <w:rPr>
          <w:rFonts w:ascii="Times New Roman" w:hAnsi="Times New Roman" w:cs="Times New Roman"/>
          <w:sz w:val="24"/>
          <w:szCs w:val="24"/>
          <w:lang w:val="en-US"/>
        </w:rPr>
        <w:t xml:space="preserve"> were a significant fraction of the total</w:t>
      </w:r>
      <w:r w:rsidR="001A1988">
        <w:rPr>
          <w:rFonts w:ascii="Times New Roman" w:hAnsi="Times New Roman" w:cs="Times New Roman"/>
          <w:sz w:val="24"/>
          <w:szCs w:val="24"/>
          <w:lang w:val="en-US"/>
        </w:rPr>
        <w:t xml:space="preserve">. </w:t>
      </w:r>
      <w:r w:rsidR="003F2F0C">
        <w:rPr>
          <w:rFonts w:ascii="Times New Roman" w:hAnsi="Times New Roman" w:cs="Times New Roman"/>
          <w:sz w:val="24"/>
          <w:szCs w:val="24"/>
          <w:lang w:val="en-US"/>
        </w:rPr>
        <w:t xml:space="preserve">Forested areas subject to forest management and harvest cover about </w:t>
      </w:r>
      <w:r w:rsidR="00BA5693">
        <w:rPr>
          <w:rFonts w:ascii="Times New Roman" w:hAnsi="Times New Roman" w:cs="Times New Roman"/>
          <w:sz w:val="24"/>
          <w:szCs w:val="24"/>
          <w:lang w:val="en-US"/>
        </w:rPr>
        <w:t xml:space="preserve">28 Mkm² or </w:t>
      </w:r>
      <w:r w:rsidR="003F2F0C">
        <w:rPr>
          <w:rFonts w:ascii="Times New Roman" w:hAnsi="Times New Roman" w:cs="Times New Roman"/>
          <w:sz w:val="24"/>
          <w:szCs w:val="24"/>
          <w:lang w:val="en-US"/>
        </w:rPr>
        <w:t xml:space="preserve">one fifth of the land surface, while </w:t>
      </w:r>
      <w:r w:rsidR="00AA6129">
        <w:rPr>
          <w:rFonts w:ascii="Times New Roman" w:hAnsi="Times New Roman" w:cs="Times New Roman"/>
          <w:sz w:val="24"/>
          <w:szCs w:val="24"/>
          <w:lang w:val="en-US"/>
        </w:rPr>
        <w:t>the area of remain</w:t>
      </w:r>
      <w:r w:rsidR="00347EBB">
        <w:rPr>
          <w:rFonts w:ascii="Times New Roman" w:hAnsi="Times New Roman" w:cs="Times New Roman"/>
          <w:sz w:val="24"/>
          <w:szCs w:val="24"/>
          <w:lang w:val="en-US"/>
        </w:rPr>
        <w:t>i</w:t>
      </w:r>
      <w:r w:rsidR="00AA6129">
        <w:rPr>
          <w:rFonts w:ascii="Times New Roman" w:hAnsi="Times New Roman" w:cs="Times New Roman"/>
          <w:sz w:val="24"/>
          <w:szCs w:val="24"/>
          <w:lang w:val="en-US"/>
        </w:rPr>
        <w:t xml:space="preserve">ng, untouched forests amounts to </w:t>
      </w:r>
      <w:r w:rsidR="003F2F0C">
        <w:rPr>
          <w:rFonts w:ascii="Times New Roman" w:hAnsi="Times New Roman" w:cs="Times New Roman"/>
          <w:sz w:val="24"/>
          <w:szCs w:val="24"/>
          <w:lang w:val="en-US"/>
        </w:rPr>
        <w:t xml:space="preserve">about 9% of the </w:t>
      </w:r>
      <w:r w:rsidR="00AA6129">
        <w:rPr>
          <w:rFonts w:ascii="Times New Roman" w:hAnsi="Times New Roman" w:cs="Times New Roman"/>
          <w:sz w:val="24"/>
          <w:szCs w:val="24"/>
          <w:lang w:val="en-US"/>
        </w:rPr>
        <w:t xml:space="preserve">global land </w:t>
      </w:r>
      <w:r w:rsidR="003F2F0C">
        <w:rPr>
          <w:rFonts w:ascii="Times New Roman" w:hAnsi="Times New Roman" w:cs="Times New Roman"/>
          <w:sz w:val="24"/>
          <w:szCs w:val="24"/>
          <w:lang w:val="en-US"/>
        </w:rPr>
        <w:t>area</w:t>
      </w:r>
      <w:r w:rsidR="009F2D9B">
        <w:rPr>
          <w:rFonts w:ascii="Times New Roman" w:hAnsi="Times New Roman" w:cs="Times New Roman"/>
          <w:sz w:val="24"/>
          <w:szCs w:val="24"/>
          <w:lang w:val="en-US"/>
        </w:rPr>
        <w:t>, or less than one third of remaining forests</w:t>
      </w:r>
      <w:r w:rsidR="00AA6129">
        <w:rPr>
          <w:rFonts w:ascii="Times New Roman" w:hAnsi="Times New Roman" w:cs="Times New Roman"/>
          <w:sz w:val="24"/>
          <w:szCs w:val="24"/>
          <w:lang w:val="en-US"/>
        </w:rPr>
        <w:t xml:space="preserve"> </w:t>
      </w:r>
      <w:r w:rsidR="00AE5953">
        <w:rPr>
          <w:rFonts w:ascii="Times New Roman" w:hAnsi="Times New Roman" w:cs="Times New Roman"/>
          <w:sz w:val="24"/>
          <w:szCs w:val="24"/>
          <w:lang w:val="en-US"/>
        </w:rPr>
        <w:fldChar w:fldCharType="begin"/>
      </w:r>
      <w:r w:rsidR="00AE5953">
        <w:rPr>
          <w:rFonts w:ascii="Times New Roman" w:hAnsi="Times New Roman" w:cs="Times New Roman"/>
          <w:sz w:val="24"/>
          <w:szCs w:val="24"/>
          <w:lang w:val="en-US"/>
        </w:rPr>
        <w:instrText xml:space="preserve"> ADDIN ZOTERO_ITEM CSL_CITATION {"citationID":"bPsKxwwi","properties":{"formattedCitation":"(Arneth et al., 2019)","plainCitation":"(Arneth et al., 2019)","noteIndex":0},"citationItems":[{"id":69269,"uris":["http://zotero.org/groups/226309/items/KVEQIXM6"],"uri":["http://zotero.org/groups/226309/items/KVEQIXM6"],"itemData":{"id":69269,"type":"chapter","container-title":"IPCC, 2019: Climate Change and Land: an IPCC special report on climate change, desertification, land degradation, sustainable land management, food security, and greenhouse gas fluxes in terrestrial ecosystems","language":"en","page":"77-129","publisher":"Cambridge University Press","title":"Framing and context","URL":"https://www.ipcc.ch/site/assets/uploads/sites/4/2019/12/04_Chapter-1.pdf","author":[{"family":"Arneth","given":"Almut"},{"family":"Denton","given":"Fatima"},{"family":"Fahmuddin","given":"Agus"},{"family":"Elbehri","given":"Aziz"},{"family":"Erb","given":"Karlheinz"},{"family":"Elasha","given":"Balgis Osman"},{"family":"Rahimi","given":"Mohammad"},{"family":"Rounsevell","given":"Mark"},{"family":"Spence","given":"Adrian"},{"family":"Valentini","given":"Riccardo"}],"editor":[{"family":"Shukla","given":"P. R."},{"family":"Skea","given":"J."},{"family":"Calvo Buendia","given":"E."},{"family":"Masson-Delmotte","given":"V."},{"family":"Pörtner","given":"H.-O."},{"family":"Roberts","given":"D.C."},{"family":"Zhai","given":"P."},{"family":"Slade","given":"R."},{"family":"Connors","given":"S."},{"family":"Diemen","given":"R.","non-dropping-particle":"van"},{"family":"Ferrat","given":"M."},{"family":"Haughey","given":"E."},{"family":"Luz","given":"S."},{"family":"Neogi","given":"S."},{"family":"Pathak","given":"M."},{"family":"Petzold","given":"J."},{"family":"Portugal-Pereira","given":"J."},{"family":"Vyas","given":"P."},{"family":"Huntley","given":"E."},{"family":"Kissick","given":"K."},{"family":"Belkacemi","given":"M."},{"family":"Malley","given":"J."}],"issued":{"date-parts":[["2019"]]}}}],"schema":"https://github.com/citation-style-language/schema/raw/master/csl-citation.json"} </w:instrText>
      </w:r>
      <w:r w:rsidR="00AE5953">
        <w:rPr>
          <w:rFonts w:ascii="Times New Roman" w:hAnsi="Times New Roman" w:cs="Times New Roman"/>
          <w:sz w:val="24"/>
          <w:szCs w:val="24"/>
          <w:lang w:val="en-US"/>
        </w:rPr>
        <w:fldChar w:fldCharType="separate"/>
      </w:r>
      <w:r w:rsidR="00AE5953" w:rsidRPr="00AE5953">
        <w:rPr>
          <w:rFonts w:ascii="Times New Roman" w:hAnsi="Times New Roman" w:cs="Times New Roman"/>
          <w:sz w:val="24"/>
          <w:lang w:val="en-US"/>
        </w:rPr>
        <w:t>(Arneth et al., 2019)</w:t>
      </w:r>
      <w:r w:rsidR="00AE5953">
        <w:rPr>
          <w:rFonts w:ascii="Times New Roman" w:hAnsi="Times New Roman" w:cs="Times New Roman"/>
          <w:sz w:val="24"/>
          <w:szCs w:val="24"/>
          <w:lang w:val="en-US"/>
        </w:rPr>
        <w:fldChar w:fldCharType="end"/>
      </w:r>
      <w:r w:rsidR="003F2F0C">
        <w:rPr>
          <w:rFonts w:ascii="Times New Roman" w:hAnsi="Times New Roman" w:cs="Times New Roman"/>
          <w:sz w:val="24"/>
          <w:szCs w:val="24"/>
          <w:lang w:val="en-US"/>
        </w:rPr>
        <w:t xml:space="preserve">. </w:t>
      </w:r>
      <w:r w:rsidR="003E5D46">
        <w:rPr>
          <w:rFonts w:ascii="Times New Roman" w:hAnsi="Times New Roman" w:cs="Times New Roman"/>
          <w:sz w:val="24"/>
          <w:szCs w:val="24"/>
          <w:lang w:val="en-US"/>
        </w:rPr>
        <w:t>Of the 2 Gt/</w:t>
      </w:r>
      <w:proofErr w:type="spellStart"/>
      <w:r w:rsidR="003E5D46">
        <w:rPr>
          <w:rFonts w:ascii="Times New Roman" w:hAnsi="Times New Roman" w:cs="Times New Roman"/>
          <w:sz w:val="24"/>
          <w:szCs w:val="24"/>
          <w:lang w:val="en-US"/>
        </w:rPr>
        <w:t>yr</w:t>
      </w:r>
      <w:proofErr w:type="spellEnd"/>
      <w:r w:rsidR="003E5D46">
        <w:rPr>
          <w:rFonts w:ascii="Times New Roman" w:hAnsi="Times New Roman" w:cs="Times New Roman"/>
          <w:sz w:val="24"/>
          <w:szCs w:val="24"/>
          <w:lang w:val="en-US"/>
        </w:rPr>
        <w:t xml:space="preserve"> of wood </w:t>
      </w:r>
      <w:r w:rsidR="00D32B3A">
        <w:rPr>
          <w:rFonts w:ascii="Times New Roman" w:hAnsi="Times New Roman" w:cs="Times New Roman"/>
          <w:sz w:val="24"/>
          <w:szCs w:val="24"/>
          <w:lang w:val="en-US"/>
        </w:rPr>
        <w:t xml:space="preserve">(dry-matter) </w:t>
      </w:r>
      <w:r w:rsidR="003E5D46">
        <w:rPr>
          <w:rFonts w:ascii="Times New Roman" w:hAnsi="Times New Roman" w:cs="Times New Roman"/>
          <w:sz w:val="24"/>
          <w:szCs w:val="24"/>
          <w:lang w:val="en-US"/>
        </w:rPr>
        <w:t xml:space="preserve">extracted from forest ecosystems, roughly half </w:t>
      </w:r>
      <w:r w:rsidR="00EF22AE">
        <w:rPr>
          <w:rFonts w:ascii="Times New Roman" w:hAnsi="Times New Roman" w:cs="Times New Roman"/>
          <w:sz w:val="24"/>
          <w:szCs w:val="24"/>
          <w:lang w:val="en-US"/>
        </w:rPr>
        <w:t>was</w:t>
      </w:r>
      <w:r w:rsidR="003E5D46">
        <w:rPr>
          <w:rFonts w:ascii="Times New Roman" w:hAnsi="Times New Roman" w:cs="Times New Roman"/>
          <w:sz w:val="24"/>
          <w:szCs w:val="24"/>
          <w:lang w:val="en-US"/>
        </w:rPr>
        <w:t xml:space="preserve"> used as fuel and the other half as timber.</w:t>
      </w:r>
      <w:r w:rsidR="00EF22AE">
        <w:rPr>
          <w:rFonts w:ascii="Times New Roman" w:hAnsi="Times New Roman" w:cs="Times New Roman"/>
          <w:sz w:val="24"/>
          <w:szCs w:val="24"/>
          <w:lang w:val="en-US"/>
        </w:rPr>
        <w:t xml:space="preserve"> </w:t>
      </w:r>
      <w:r w:rsidR="00A85121">
        <w:rPr>
          <w:rFonts w:ascii="Times New Roman" w:hAnsi="Times New Roman" w:cs="Times New Roman"/>
          <w:sz w:val="24"/>
          <w:szCs w:val="24"/>
          <w:lang w:val="en-US"/>
        </w:rPr>
        <w:t xml:space="preserve">Of all the extracted biomass, only </w:t>
      </w:r>
      <w:r w:rsidR="00EF22AE">
        <w:rPr>
          <w:rFonts w:ascii="Times New Roman" w:hAnsi="Times New Roman" w:cs="Times New Roman"/>
          <w:sz w:val="24"/>
          <w:szCs w:val="24"/>
          <w:lang w:val="en-US"/>
        </w:rPr>
        <w:t>4.2 Gt</w:t>
      </w:r>
      <w:r w:rsidR="00A85121">
        <w:rPr>
          <w:rFonts w:ascii="Times New Roman" w:hAnsi="Times New Roman" w:cs="Times New Roman"/>
          <w:sz w:val="24"/>
          <w:szCs w:val="24"/>
          <w:lang w:val="en-US"/>
        </w:rPr>
        <w:t>/</w:t>
      </w:r>
      <w:proofErr w:type="spellStart"/>
      <w:r w:rsidR="00A85121">
        <w:rPr>
          <w:rFonts w:ascii="Times New Roman" w:hAnsi="Times New Roman" w:cs="Times New Roman"/>
          <w:sz w:val="24"/>
          <w:szCs w:val="24"/>
          <w:lang w:val="en-US"/>
        </w:rPr>
        <w:t>yr</w:t>
      </w:r>
      <w:proofErr w:type="spellEnd"/>
      <w:r w:rsidR="00EF22AE">
        <w:rPr>
          <w:rFonts w:ascii="Times New Roman" w:hAnsi="Times New Roman" w:cs="Times New Roman"/>
          <w:sz w:val="24"/>
          <w:szCs w:val="24"/>
          <w:lang w:val="en-US"/>
        </w:rPr>
        <w:t xml:space="preserve"> of biomass </w:t>
      </w:r>
      <w:r w:rsidR="00A85121">
        <w:rPr>
          <w:rFonts w:ascii="Times New Roman" w:hAnsi="Times New Roman" w:cs="Times New Roman"/>
          <w:sz w:val="24"/>
          <w:szCs w:val="24"/>
          <w:lang w:val="en-US"/>
        </w:rPr>
        <w:t xml:space="preserve">were available for final consumption of which 40% </w:t>
      </w:r>
      <w:r w:rsidR="00BF5308">
        <w:rPr>
          <w:rFonts w:ascii="Times New Roman" w:hAnsi="Times New Roman" w:cs="Times New Roman"/>
          <w:sz w:val="24"/>
          <w:szCs w:val="24"/>
          <w:lang w:val="en-US"/>
        </w:rPr>
        <w:t>were</w:t>
      </w:r>
      <w:r w:rsidR="00A85121">
        <w:rPr>
          <w:rFonts w:ascii="Times New Roman" w:hAnsi="Times New Roman" w:cs="Times New Roman"/>
          <w:sz w:val="24"/>
          <w:szCs w:val="24"/>
          <w:lang w:val="en-US"/>
        </w:rPr>
        <w:t xml:space="preserve"> used as food, 33% as raw material and 27% for energy provision.</w:t>
      </w:r>
    </w:p>
    <w:p w14:paraId="47783DFB" w14:textId="391220DD" w:rsidR="00D574CF" w:rsidRDefault="00D574CF" w:rsidP="00AB70AA">
      <w:pPr>
        <w:spacing w:after="0" w:line="240" w:lineRule="auto"/>
        <w:rPr>
          <w:rFonts w:ascii="Times New Roman" w:hAnsi="Times New Roman" w:cs="Times New Roman"/>
          <w:sz w:val="24"/>
          <w:szCs w:val="24"/>
          <w:lang w:val="en-US"/>
        </w:rPr>
      </w:pPr>
    </w:p>
    <w:p w14:paraId="16DC7F69" w14:textId="77777777" w:rsidR="00BC0251" w:rsidRDefault="00BC0251" w:rsidP="00BC0251">
      <w:pPr>
        <w:spacing w:after="0" w:line="240" w:lineRule="auto"/>
        <w:rPr>
          <w:rFonts w:ascii="Times New Roman" w:hAnsi="Times New Roman" w:cs="Times New Roman"/>
          <w:sz w:val="24"/>
          <w:szCs w:val="24"/>
          <w:lang w:val="en-US"/>
        </w:rPr>
      </w:pPr>
      <w:r w:rsidRPr="009A7FC2">
        <w:rPr>
          <w:rFonts w:ascii="Times New Roman" w:hAnsi="Times New Roman" w:cs="Times New Roman"/>
          <w:noProof/>
          <w:sz w:val="24"/>
          <w:szCs w:val="24"/>
          <w:lang w:eastAsia="de-AT"/>
        </w:rPr>
        <w:lastRenderedPageBreak/>
        <w:drawing>
          <wp:inline distT="0" distB="0" distL="0" distR="0" wp14:anchorId="2BA1D1C1" wp14:editId="73A77D83">
            <wp:extent cx="4667250" cy="3742751"/>
            <wp:effectExtent l="0" t="0" r="0" b="0"/>
            <wp:docPr id="1" name="Grafik 2">
              <a:extLst xmlns:a="http://schemas.openxmlformats.org/drawingml/2006/main">
                <a:ext uri="{FF2B5EF4-FFF2-40B4-BE49-F238E27FC236}">
                  <a16:creationId xmlns:a16="http://schemas.microsoft.com/office/drawing/2014/main" id="{B4CF35DE-E307-481A-B0AE-A74E0F1306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a:extLst>
                        <a:ext uri="{FF2B5EF4-FFF2-40B4-BE49-F238E27FC236}">
                          <a16:creationId xmlns:a16="http://schemas.microsoft.com/office/drawing/2014/main" id="{B4CF35DE-E307-481A-B0AE-A74E0F13065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13400" cy="3779760"/>
                    </a:xfrm>
                    <a:prstGeom prst="rect">
                      <a:avLst/>
                    </a:prstGeom>
                  </pic:spPr>
                </pic:pic>
              </a:graphicData>
            </a:graphic>
          </wp:inline>
        </w:drawing>
      </w:r>
    </w:p>
    <w:p w14:paraId="241097F2" w14:textId="09BFD3EB" w:rsidR="00BC0251" w:rsidRPr="00B1574E" w:rsidRDefault="00BC0251" w:rsidP="00BC0251">
      <w:pPr>
        <w:spacing w:after="0" w:line="240" w:lineRule="auto"/>
        <w:rPr>
          <w:rFonts w:ascii="Times New Roman" w:hAnsi="Times New Roman" w:cs="Times New Roman"/>
          <w:sz w:val="20"/>
          <w:szCs w:val="20"/>
          <w:lang w:val="en-US"/>
        </w:rPr>
      </w:pPr>
      <w:r w:rsidRPr="00B1574E">
        <w:rPr>
          <w:rFonts w:ascii="Times New Roman" w:hAnsi="Times New Roman" w:cs="Times New Roman"/>
          <w:b/>
          <w:sz w:val="20"/>
          <w:szCs w:val="20"/>
          <w:lang w:val="en-US"/>
        </w:rPr>
        <w:t xml:space="preserve">Fig. </w:t>
      </w:r>
      <w:r>
        <w:rPr>
          <w:rFonts w:ascii="Times New Roman" w:hAnsi="Times New Roman" w:cs="Times New Roman"/>
          <w:b/>
          <w:sz w:val="20"/>
          <w:szCs w:val="20"/>
          <w:lang w:val="en-US"/>
        </w:rPr>
        <w:t>3</w:t>
      </w:r>
      <w:r w:rsidRPr="00B1574E">
        <w:rPr>
          <w:rFonts w:ascii="Times New Roman" w:hAnsi="Times New Roman" w:cs="Times New Roman"/>
          <w:b/>
          <w:sz w:val="20"/>
          <w:szCs w:val="20"/>
          <w:lang w:val="en-US"/>
        </w:rPr>
        <w:t>.</w:t>
      </w:r>
      <w:r w:rsidRPr="00B1574E">
        <w:rPr>
          <w:rFonts w:ascii="Times New Roman" w:hAnsi="Times New Roman" w:cs="Times New Roman"/>
          <w:sz w:val="20"/>
          <w:szCs w:val="20"/>
          <w:lang w:val="en-US"/>
        </w:rPr>
        <w:t xml:space="preserve"> </w:t>
      </w:r>
      <w:r>
        <w:rPr>
          <w:rFonts w:ascii="Times New Roman" w:hAnsi="Times New Roman" w:cs="Times New Roman"/>
          <w:sz w:val="20"/>
          <w:szCs w:val="20"/>
          <w:lang w:val="en-US"/>
        </w:rPr>
        <w:t>Linkages between land use (left-hand side of the diagram) and global biomass metabolism. The graph depicts g</w:t>
      </w:r>
      <w:r w:rsidRPr="00B1574E">
        <w:rPr>
          <w:rFonts w:ascii="Times New Roman" w:hAnsi="Times New Roman" w:cs="Times New Roman"/>
          <w:sz w:val="20"/>
          <w:szCs w:val="20"/>
          <w:lang w:val="en-US"/>
        </w:rPr>
        <w:t xml:space="preserve">lobal biomass flows </w:t>
      </w:r>
      <w:r w:rsidR="003C0119">
        <w:rPr>
          <w:rFonts w:ascii="Times New Roman" w:hAnsi="Times New Roman" w:cs="Times New Roman"/>
          <w:sz w:val="20"/>
          <w:szCs w:val="20"/>
          <w:lang w:val="en-US"/>
        </w:rPr>
        <w:t>in dry matter</w:t>
      </w:r>
      <w:r w:rsidR="00BF5308">
        <w:rPr>
          <w:rFonts w:ascii="Times New Roman" w:hAnsi="Times New Roman" w:cs="Times New Roman"/>
          <w:sz w:val="20"/>
          <w:szCs w:val="20"/>
          <w:lang w:val="en-US"/>
        </w:rPr>
        <w:t xml:space="preserve"> </w:t>
      </w:r>
      <w:r w:rsidRPr="00B1574E">
        <w:rPr>
          <w:rFonts w:ascii="Times New Roman" w:hAnsi="Times New Roman" w:cs="Times New Roman"/>
          <w:sz w:val="20"/>
          <w:szCs w:val="20"/>
          <w:lang w:val="en-US"/>
        </w:rPr>
        <w:t>from extraction to consumption and outflows to the environment</w:t>
      </w:r>
      <w:r>
        <w:rPr>
          <w:rFonts w:ascii="Times New Roman" w:hAnsi="Times New Roman" w:cs="Times New Roman"/>
          <w:sz w:val="20"/>
          <w:szCs w:val="20"/>
          <w:lang w:val="en-US"/>
        </w:rPr>
        <w:t>; the thickness of the arrows is roughly proportional to the mass of the respective flows. Own diagram, data from</w:t>
      </w:r>
      <w:r w:rsidR="00BF5308">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BC0251">
        <w:rPr>
          <w:rFonts w:ascii="Times New Roman" w:hAnsi="Times New Roman" w:cs="Times New Roman"/>
          <w:sz w:val="20"/>
          <w:szCs w:val="20"/>
          <w:lang w:val="en-US"/>
        </w:rPr>
        <w:fldChar w:fldCharType="begin"/>
      </w:r>
      <w:r w:rsidR="003C0119">
        <w:rPr>
          <w:rFonts w:ascii="Times New Roman" w:hAnsi="Times New Roman" w:cs="Times New Roman"/>
          <w:sz w:val="20"/>
          <w:szCs w:val="20"/>
          <w:lang w:val="en-US"/>
        </w:rPr>
        <w:instrText xml:space="preserve"> ADDIN ZOTERO_ITEM CSL_CITATION {"citationID":"VfVxutdQ","properties":{"formattedCitation":"(Arneth et al., 2019; Krausmann et al., 2018)","plainCitation":"(Arneth et al., 2019; Krausmann et al., 2018)","noteIndex":0},"citationItems":[{"id":69269,"uris":["http://zotero.org/groups/226309/items/KVEQIXM6"],"uri":["http://zotero.org/groups/226309/items/KVEQIXM6"],"itemData":{"id":69269,"type":"chapter","container-title":"IPCC, 2019: Climate Change and Land: an IPCC special report on climate change, desertification, land degradation, sustainable land management, food security, and greenhouse gas fluxes in terrestrial ecosystems","language":"en","page":"77-129","publisher":"Cambridge University Press","title":"Framing and context","URL":"https://www.ipcc.ch/site/assets/uploads/sites/4/2019/12/04_Chapter-1.pdf","author":[{"family":"Arneth","given":"Almut"},{"family":"Denton","given":"Fatima"},{"family":"Fahmuddin","given":"Agus"},{"family":"Elbehri","given":"Aziz"},{"family":"Erb","given":"Karlheinz"},{"family":"Elasha","given":"Balgis Osman"},{"family":"Rahimi","given":"Mohammad"},{"family":"Rounsevell","given":"Mark"},{"family":"Spence","given":"Adrian"},{"family":"Valentini","given":"Riccardo"}],"editor":[{"family":"Shukla","given":"P. R."},{"family":"Skea","given":"J."},{"family":"Calvo Buendia","given":"E."},{"family":"Masson-Delmotte","given":"V."},{"family":"Pörtner","given":"H.-O."},{"family":"Roberts","given":"D.C."},{"family":"Zhai","given":"P."},{"family":"Slade","given":"R."},{"family":"Connors","given":"S."},{"family":"Diemen","given":"R.","non-dropping-particle":"van"},{"family":"Ferrat","given":"M."},{"family":"Haughey","given":"E."},{"family":"Luz","given":"S."},{"family":"Neogi","given":"S."},{"family":"Pathak","given":"M."},{"family":"Petzold","given":"J."},{"family":"Portugal-Pereira","given":"J."},{"family":"Vyas","given":"P."},{"family":"Huntley","given":"E."},{"family":"Kissick","given":"K."},{"family":"Belkacemi","given":"M."},{"family":"Malley","given":"J."}],"issued":{"date-parts":[["2019"]]}}},{"id":12912,"uris":["http://zotero.org/users/666791/items/Y2ET6T7Q"],"uri":["http://zotero.org/users/666791/items/Y2ET6T7Q"],"itemData":{"id":12912,"type":"article-journal","abstract":"The size and structure of the socioeconomic metabolism are key for the planet’s sustainability. In this article, we provide a consistent assessment of the development of material flows through the global economy in the period 1900–2015 using material flow accounting in combination with results from dynamic stock-flow modelling. Based on this approach, we can trace materials from extraction to their use, their accumulation in in-use stocks and finally to outflows of wastes and emissions and provide a comprehensive picture of the evolution of societies metabolism during global industrialization. This enables outlooks on inflows and outflows, which environmental policy makers require for pursuing strategies towards a more sustainable resource use. Over the whole time period, we observe a growth in global material extraction by a factor of 12 to 89 Gt/yr. A shift from materials for dissipative use to stock building materials resulted in a massive increase of in-use stocks of materials to 961 Gt in 2015. Since materials increasingly accumulate in stocks, outflows of wastes are growing at a slower pace than inputs. In 2015, outflows amounted to 58 Gt/yr, of which 35% were solid wastes and 25% emissions, the reminder being excrements, dissipative use and water vapor. Our results indicate a significant acceleration of global material flows since the beginning of the 21st century. We show that this acceleration, which took off in 2002, was not a short-term phenomenon but continues since more than a decade. Between 2002 and 2015, global material extraction increased by 53% in spite of the 2008 economic crisis. Based on detailed data on material stocks and flows and information on their long-term historic development, we make a rough estimate of what a global convergence of metabolic patterns at the current level in industrialized countries paired with a continuation of past efficiency gains might imply for global material demand. We find that in such a scenario until 2050 average global metabolic rates double to 22 t/cap/yr and material extraction increases to around 218 Gt/yr. Overall the analysis indicates a grand challenge calling for urgent action, fostering a continuous and considerable reduction of material flows to acceptable levels.","container-title":"Global Environmental Change","DOI":"10.1016/j.gloenvcha.2018.07.003","ISSN":"0959-3780","journalAbbreviation":"Global Environmental Change","page":"131-140","source":"ScienceDirect","title":"From resource extraction to outflows of wastes and emissions: The socioeconomic metabolism of the global economy, 1900–2015","title-short":"From resource extraction to outflows of wastes and emissions","volume":"52","author":[{"family":"Krausmann","given":"Fridolin"},{"family":"Lauk","given":"Christian"},{"family":"Haas","given":"Willi"},{"family":"Wiedenhofer","given":"Dominik"}],"issued":{"date-parts":[["2018",9,1]]}}}],"schema":"https://github.com/citation-style-language/schema/raw/master/csl-citation.json"} </w:instrText>
      </w:r>
      <w:r w:rsidRPr="00BC0251">
        <w:rPr>
          <w:rFonts w:ascii="Times New Roman" w:hAnsi="Times New Roman" w:cs="Times New Roman"/>
          <w:sz w:val="20"/>
          <w:szCs w:val="20"/>
          <w:lang w:val="en-US"/>
        </w:rPr>
        <w:fldChar w:fldCharType="separate"/>
      </w:r>
      <w:r w:rsidR="003C0119" w:rsidRPr="00CF4646">
        <w:rPr>
          <w:rFonts w:ascii="Times New Roman" w:hAnsi="Times New Roman" w:cs="Times New Roman"/>
          <w:sz w:val="20"/>
          <w:lang w:val="en-US"/>
        </w:rPr>
        <w:t>(</w:t>
      </w:r>
      <w:proofErr w:type="spellStart"/>
      <w:r w:rsidR="003C0119" w:rsidRPr="00CF4646">
        <w:rPr>
          <w:rFonts w:ascii="Times New Roman" w:hAnsi="Times New Roman" w:cs="Times New Roman"/>
          <w:sz w:val="20"/>
          <w:lang w:val="en-US"/>
        </w:rPr>
        <w:t>Arneth</w:t>
      </w:r>
      <w:proofErr w:type="spellEnd"/>
      <w:r w:rsidR="003C0119" w:rsidRPr="00CF4646">
        <w:rPr>
          <w:rFonts w:ascii="Times New Roman" w:hAnsi="Times New Roman" w:cs="Times New Roman"/>
          <w:sz w:val="20"/>
          <w:lang w:val="en-US"/>
        </w:rPr>
        <w:t xml:space="preserve"> et al., 2019; </w:t>
      </w:r>
      <w:proofErr w:type="spellStart"/>
      <w:r w:rsidR="003C0119" w:rsidRPr="00CF4646">
        <w:rPr>
          <w:rFonts w:ascii="Times New Roman" w:hAnsi="Times New Roman" w:cs="Times New Roman"/>
          <w:sz w:val="20"/>
          <w:lang w:val="en-US"/>
        </w:rPr>
        <w:t>Krausmann</w:t>
      </w:r>
      <w:proofErr w:type="spellEnd"/>
      <w:r w:rsidR="003C0119" w:rsidRPr="00CF4646">
        <w:rPr>
          <w:rFonts w:ascii="Times New Roman" w:hAnsi="Times New Roman" w:cs="Times New Roman"/>
          <w:sz w:val="20"/>
          <w:lang w:val="en-US"/>
        </w:rPr>
        <w:t xml:space="preserve"> et al., 2018)</w:t>
      </w:r>
      <w:r w:rsidRPr="00BC0251">
        <w:rPr>
          <w:rFonts w:ascii="Times New Roman" w:hAnsi="Times New Roman" w:cs="Times New Roman"/>
          <w:sz w:val="20"/>
          <w:szCs w:val="20"/>
          <w:lang w:val="en-US"/>
        </w:rPr>
        <w:fldChar w:fldCharType="end"/>
      </w:r>
      <w:r>
        <w:rPr>
          <w:rFonts w:ascii="Times New Roman" w:hAnsi="Times New Roman" w:cs="Times New Roman"/>
          <w:sz w:val="20"/>
          <w:szCs w:val="20"/>
          <w:lang w:val="en-US"/>
        </w:rPr>
        <w:t>.</w:t>
      </w:r>
    </w:p>
    <w:p w14:paraId="23E2EED8" w14:textId="77777777" w:rsidR="00BC0251" w:rsidRDefault="00BC0251" w:rsidP="00AB70AA">
      <w:pPr>
        <w:spacing w:after="0" w:line="240" w:lineRule="auto"/>
        <w:rPr>
          <w:rFonts w:ascii="Times New Roman" w:hAnsi="Times New Roman" w:cs="Times New Roman"/>
          <w:sz w:val="24"/>
          <w:szCs w:val="24"/>
          <w:lang w:val="en-US"/>
        </w:rPr>
      </w:pPr>
    </w:p>
    <w:p w14:paraId="20335A30" w14:textId="69F1AB0A" w:rsidR="00BC0251" w:rsidRDefault="00D574CF" w:rsidP="00AB70A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This current situation is the outcome of drastic </w:t>
      </w:r>
      <w:r w:rsidR="00234C65">
        <w:rPr>
          <w:rFonts w:ascii="Times New Roman" w:hAnsi="Times New Roman" w:cs="Times New Roman"/>
          <w:sz w:val="24"/>
          <w:szCs w:val="24"/>
          <w:lang w:val="en-US"/>
        </w:rPr>
        <w:t xml:space="preserve">alterations of </w:t>
      </w:r>
      <w:r w:rsidR="003F2F0C">
        <w:rPr>
          <w:rFonts w:ascii="Times New Roman" w:hAnsi="Times New Roman" w:cs="Times New Roman"/>
          <w:sz w:val="24"/>
          <w:szCs w:val="24"/>
          <w:lang w:val="en-US"/>
        </w:rPr>
        <w:t xml:space="preserve">land use </w:t>
      </w:r>
      <w:r>
        <w:rPr>
          <w:rFonts w:ascii="Times New Roman" w:hAnsi="Times New Roman" w:cs="Times New Roman"/>
          <w:sz w:val="24"/>
          <w:szCs w:val="24"/>
          <w:lang w:val="en-US"/>
        </w:rPr>
        <w:t>in the last centuries</w:t>
      </w:r>
      <w:r w:rsidR="00AE5953">
        <w:rPr>
          <w:rFonts w:ascii="Times New Roman" w:hAnsi="Times New Roman" w:cs="Times New Roman"/>
          <w:sz w:val="24"/>
          <w:szCs w:val="24"/>
          <w:lang w:val="en-US"/>
        </w:rPr>
        <w:t xml:space="preserve"> </w:t>
      </w:r>
      <w:r w:rsidR="00AE5953">
        <w:rPr>
          <w:rFonts w:ascii="Times New Roman" w:hAnsi="Times New Roman" w:cs="Times New Roman"/>
          <w:sz w:val="24"/>
          <w:szCs w:val="24"/>
          <w:lang w:val="en-US"/>
        </w:rPr>
        <w:fldChar w:fldCharType="begin"/>
      </w:r>
      <w:r w:rsidR="00AE5953">
        <w:rPr>
          <w:rFonts w:ascii="Times New Roman" w:hAnsi="Times New Roman" w:cs="Times New Roman"/>
          <w:sz w:val="24"/>
          <w:szCs w:val="24"/>
          <w:lang w:val="en-US"/>
        </w:rPr>
        <w:instrText xml:space="preserve"> ADDIN ZOTERO_ITEM CSL_CITATION {"citationID":"AWkZcDTd","properties":{"formattedCitation":"(Ellis et al., 2021)","plainCitation":"(Ellis et al., 2021)","noteIndex":0},"citationItems":[{"id":71205,"uris":["http://zotero.org/users/666791/items/7JJIT34C"],"uri":["http://zotero.org/users/666791/items/7JJIT34C"],"itemData":{"id":71205,"type":"article-journal","abstract":"Archaeological and paleoecological evidence shows that by 10,000 BCE, all human societies employed varying degrees of ecologically transformative land use practices, including burning, hunting, species propagation, domestication, cultivation, and others that have left long-term legacies across the terrestrial biosphere. Yet, a lingering paradigm among natural scientists, conservationists, and policymakers is that human transformation of terrestrial nature is mostly recent and inherently destructive. Here, we use the most up-to-date, spatially explicit global reconstruction of historical human populations and land use to show that this paradigm is likely wrong. Even 12,000 y ago, nearly three quarters of Earth’s land was inhabited and therefore shaped by human societies, including more than 95% of temperate and 90% of tropical woodlands. Lands now characterized as “natural,” “intact,” and “wild” generally exhibit long histories of use, as do protected areas and Indigenous lands, and current global patterns of vertebrate species richness and key biodiversity areas are more strongly associated with past patterns of land use than with present ones in regional landscapes now characterized as natural. The current biodiversity crisis can seldom be explained by the loss of uninhabited wildlands, resulting instead from the appropriation, colonization, and intensifying use of the biodiverse cultural landscapes long shaped and sustained by prior societies. Recognizing this deep cultural connection with biodiversity will therefore be essential to resolve the crisis.","container-title":"Proceedings of the National Academy of Sciences","DOI":"10.1073/pnas.2023483118","ISSN":"0027-8424, 1091-6490","issue":"17","journalAbbreviation":"PNAS","language":"en","note":"publisher: National Academy of Sciences\nsection: Social Sciences\nPMID: 33875599","source":"www.pnas.org","title":"People have shaped most of terrestrial nature for at least 12,000 years","URL":"https://www.pnas.org/content/118/17/e2023483118","volume":"118","author":[{"family":"Ellis","given":"Erle C."},{"family":"Gauthier","given":"Nicolas"},{"family":"Goldewijk","given":"Kees Klein"},{"family":"Bird","given":"Rebecca Bliege"},{"family":"Boivin","given":"Nicole"},{"family":"Díaz","given":"Sandra"},{"family":"Fuller","given":"Dorian Q."},{"family":"Gill","given":"Jacquelyn L."},{"family":"Kaplan","given":"Jed O."},{"family":"Kingston","given":"Naomi"},{"family":"Locke","given":"Harvey"},{"family":"McMichael","given":"Crystal N. H."},{"family":"Ranco","given":"Darren"},{"family":"Rick","given":"Torben C."},{"family":"Shaw","given":"M. Rebecca"},{"family":"Stephens","given":"Lucas"},{"family":"Svenning","given":"Jens-Christian"},{"family":"Watson","given":"James E. M."}],"accessed":{"date-parts":[["2021",4,29]]},"issued":{"date-parts":[["2021",4,27]]}}}],"schema":"https://github.com/citation-style-language/schema/raw/master/csl-citation.json"} </w:instrText>
      </w:r>
      <w:r w:rsidR="00AE5953">
        <w:rPr>
          <w:rFonts w:ascii="Times New Roman" w:hAnsi="Times New Roman" w:cs="Times New Roman"/>
          <w:sz w:val="24"/>
          <w:szCs w:val="24"/>
          <w:lang w:val="en-US"/>
        </w:rPr>
        <w:fldChar w:fldCharType="separate"/>
      </w:r>
      <w:r w:rsidR="00AE5953" w:rsidRPr="00C15D09">
        <w:rPr>
          <w:rFonts w:ascii="Times New Roman" w:hAnsi="Times New Roman" w:cs="Times New Roman"/>
          <w:sz w:val="24"/>
          <w:lang w:val="en-GB"/>
        </w:rPr>
        <w:t>(Ellis et al., 2021)</w:t>
      </w:r>
      <w:r w:rsidR="00AE5953">
        <w:rPr>
          <w:rFonts w:ascii="Times New Roman" w:hAnsi="Times New Roman" w:cs="Times New Roman"/>
          <w:sz w:val="24"/>
          <w:szCs w:val="24"/>
          <w:lang w:val="en-US"/>
        </w:rPr>
        <w:fldChar w:fldCharType="end"/>
      </w:r>
      <w:r w:rsidR="003F2F0C">
        <w:rPr>
          <w:rFonts w:ascii="Times New Roman" w:hAnsi="Times New Roman" w:cs="Times New Roman"/>
          <w:sz w:val="24"/>
          <w:szCs w:val="24"/>
          <w:lang w:val="en-US"/>
        </w:rPr>
        <w:t xml:space="preserve">. </w:t>
      </w:r>
      <w:r w:rsidR="009F2D9B">
        <w:rPr>
          <w:rFonts w:ascii="Times New Roman" w:hAnsi="Times New Roman" w:cs="Times New Roman"/>
          <w:sz w:val="24"/>
          <w:szCs w:val="24"/>
          <w:lang w:val="en-US"/>
        </w:rPr>
        <w:t>Driven, among others, by the dietary demands of a growing global population</w:t>
      </w:r>
      <w:r w:rsidR="001A1988">
        <w:rPr>
          <w:rFonts w:ascii="Times New Roman" w:hAnsi="Times New Roman" w:cs="Times New Roman"/>
          <w:sz w:val="24"/>
          <w:szCs w:val="24"/>
          <w:lang w:val="en-US"/>
        </w:rPr>
        <w:t xml:space="preserve"> and a rising share of animal products in diets</w:t>
      </w:r>
      <w:r w:rsidR="009F2D9B">
        <w:rPr>
          <w:rFonts w:ascii="Times New Roman" w:hAnsi="Times New Roman" w:cs="Times New Roman"/>
          <w:sz w:val="24"/>
          <w:szCs w:val="24"/>
          <w:lang w:val="en-US"/>
        </w:rPr>
        <w:t xml:space="preserve">, in particular the expansion of agricultural production has replaced natural ecosystems, such as forests, dry woodlands and savannahs, affecting the terrestrial carbon stocks and flows with severe consequences for biodiversity. </w:t>
      </w:r>
      <w:r w:rsidR="00AB70AA">
        <w:rPr>
          <w:rFonts w:ascii="Times New Roman" w:hAnsi="Times New Roman" w:cs="Times New Roman"/>
          <w:sz w:val="24"/>
          <w:szCs w:val="24"/>
          <w:lang w:val="en-US"/>
        </w:rPr>
        <w:t>Agricultural production</w:t>
      </w:r>
      <w:r>
        <w:rPr>
          <w:rFonts w:ascii="Times New Roman" w:hAnsi="Times New Roman" w:cs="Times New Roman"/>
          <w:sz w:val="24"/>
          <w:szCs w:val="24"/>
          <w:lang w:val="en-US"/>
        </w:rPr>
        <w:t xml:space="preserve"> </w:t>
      </w:r>
      <w:r w:rsidR="00AB70AA">
        <w:rPr>
          <w:rFonts w:ascii="Times New Roman" w:hAnsi="Times New Roman" w:cs="Times New Roman"/>
          <w:sz w:val="24"/>
          <w:szCs w:val="24"/>
          <w:lang w:val="en-US"/>
        </w:rPr>
        <w:t>has undergone major expansion and intensification</w:t>
      </w:r>
      <w:r>
        <w:rPr>
          <w:rFonts w:ascii="Times New Roman" w:hAnsi="Times New Roman" w:cs="Times New Roman"/>
          <w:sz w:val="24"/>
          <w:szCs w:val="24"/>
          <w:lang w:val="en-US"/>
        </w:rPr>
        <w:t xml:space="preserve">, in particular since </w:t>
      </w:r>
      <w:r w:rsidR="001C64E6">
        <w:rPr>
          <w:rFonts w:ascii="Times New Roman" w:hAnsi="Times New Roman" w:cs="Times New Roman"/>
          <w:sz w:val="24"/>
          <w:szCs w:val="24"/>
          <w:lang w:val="en-US"/>
        </w:rPr>
        <w:t xml:space="preserve">the </w:t>
      </w:r>
      <w:r w:rsidR="000A033C">
        <w:rPr>
          <w:rFonts w:ascii="Times New Roman" w:hAnsi="Times New Roman" w:cs="Times New Roman"/>
          <w:sz w:val="24"/>
          <w:szCs w:val="24"/>
          <w:lang w:val="en-US"/>
        </w:rPr>
        <w:t>take</w:t>
      </w:r>
      <w:r w:rsidR="00D32B3A">
        <w:rPr>
          <w:rFonts w:ascii="Times New Roman" w:hAnsi="Times New Roman" w:cs="Times New Roman"/>
          <w:sz w:val="24"/>
          <w:szCs w:val="24"/>
          <w:lang w:val="en-US"/>
        </w:rPr>
        <w:t>-</w:t>
      </w:r>
      <w:r w:rsidR="000A033C">
        <w:rPr>
          <w:rFonts w:ascii="Times New Roman" w:hAnsi="Times New Roman" w:cs="Times New Roman"/>
          <w:sz w:val="24"/>
          <w:szCs w:val="24"/>
          <w:lang w:val="en-US"/>
        </w:rPr>
        <w:t>off of the Green Revolution in the second half of the 20</w:t>
      </w:r>
      <w:r w:rsidR="000A033C" w:rsidRPr="00D32B3A">
        <w:rPr>
          <w:rFonts w:ascii="Times New Roman" w:hAnsi="Times New Roman" w:cs="Times New Roman"/>
          <w:sz w:val="24"/>
          <w:szCs w:val="24"/>
          <w:vertAlign w:val="superscript"/>
          <w:lang w:val="en-US"/>
        </w:rPr>
        <w:t>th</w:t>
      </w:r>
      <w:r w:rsidR="000A033C">
        <w:rPr>
          <w:rFonts w:ascii="Times New Roman" w:hAnsi="Times New Roman" w:cs="Times New Roman"/>
          <w:sz w:val="24"/>
          <w:szCs w:val="24"/>
          <w:lang w:val="en-US"/>
        </w:rPr>
        <w:t xml:space="preserve"> century</w:t>
      </w:r>
      <w:r>
        <w:rPr>
          <w:rFonts w:ascii="Times New Roman" w:hAnsi="Times New Roman" w:cs="Times New Roman"/>
          <w:sz w:val="24"/>
          <w:szCs w:val="24"/>
          <w:lang w:val="en-US"/>
        </w:rPr>
        <w:t xml:space="preserve">: </w:t>
      </w:r>
      <w:r w:rsidR="000A033C">
        <w:rPr>
          <w:rFonts w:ascii="Times New Roman" w:hAnsi="Times New Roman" w:cs="Times New Roman"/>
          <w:sz w:val="24"/>
          <w:szCs w:val="24"/>
          <w:lang w:val="en-US"/>
        </w:rPr>
        <w:t xml:space="preserve">since 1961 </w:t>
      </w:r>
      <w:r w:rsidR="00AB70AA">
        <w:rPr>
          <w:rFonts w:ascii="Times New Roman" w:hAnsi="Times New Roman" w:cs="Times New Roman"/>
          <w:sz w:val="24"/>
          <w:szCs w:val="24"/>
          <w:lang w:val="en-US"/>
        </w:rPr>
        <w:t>cropland has increased by 15%</w:t>
      </w:r>
      <w:r w:rsidR="009F2D9B">
        <w:rPr>
          <w:rFonts w:ascii="Times New Roman" w:hAnsi="Times New Roman" w:cs="Times New Roman"/>
          <w:sz w:val="24"/>
          <w:szCs w:val="24"/>
          <w:lang w:val="en-US"/>
        </w:rPr>
        <w:t>,</w:t>
      </w:r>
      <w:r w:rsidR="00AB70AA">
        <w:rPr>
          <w:rFonts w:ascii="Times New Roman" w:hAnsi="Times New Roman" w:cs="Times New Roman"/>
          <w:sz w:val="24"/>
          <w:szCs w:val="24"/>
          <w:lang w:val="en-US"/>
        </w:rPr>
        <w:t xml:space="preserve"> while cropland production grew by ca. 3.5 times</w:t>
      </w:r>
      <w:r>
        <w:rPr>
          <w:rFonts w:ascii="Times New Roman" w:hAnsi="Times New Roman" w:cs="Times New Roman"/>
          <w:sz w:val="24"/>
          <w:szCs w:val="24"/>
          <w:lang w:val="en-US"/>
        </w:rPr>
        <w:t xml:space="preserve">. This development was concomitant with </w:t>
      </w:r>
      <w:r w:rsidR="00AB70AA">
        <w:rPr>
          <w:rFonts w:ascii="Times New Roman" w:hAnsi="Times New Roman" w:cs="Times New Roman"/>
          <w:sz w:val="24"/>
          <w:szCs w:val="24"/>
          <w:lang w:val="en-US"/>
        </w:rPr>
        <w:t>an 800% increase in inorganic fertilizer use, a doubling of irrigation water volume, and consequently rising yields</w:t>
      </w:r>
      <w:r>
        <w:rPr>
          <w:rFonts w:ascii="Times New Roman" w:hAnsi="Times New Roman" w:cs="Times New Roman"/>
          <w:sz w:val="24"/>
          <w:szCs w:val="24"/>
          <w:lang w:val="en-US"/>
        </w:rPr>
        <w:t xml:space="preserve"> </w:t>
      </w:r>
      <w:r w:rsidR="00AE5953">
        <w:rPr>
          <w:rFonts w:ascii="Times New Roman" w:hAnsi="Times New Roman" w:cs="Times New Roman"/>
          <w:sz w:val="24"/>
          <w:szCs w:val="24"/>
          <w:lang w:val="en-US"/>
        </w:rPr>
        <w:fldChar w:fldCharType="begin"/>
      </w:r>
      <w:r w:rsidR="00AE5953">
        <w:rPr>
          <w:rFonts w:ascii="Times New Roman" w:hAnsi="Times New Roman" w:cs="Times New Roman"/>
          <w:sz w:val="24"/>
          <w:szCs w:val="24"/>
          <w:lang w:val="en-US"/>
        </w:rPr>
        <w:instrText xml:space="preserve"> ADDIN ZOTERO_ITEM CSL_CITATION {"citationID":"OLDi9gUj","properties":{"formattedCitation":"(FAO, 2012)","plainCitation":"(FAO, 2012)","noteIndex":0},"citationItems":[{"id":1068,"uris":["http://zotero.org/users/666791/items/QZMW9VI3"],"uri":["http://zotero.org/users/666791/items/QZMW9VI3"],"itemData":{"id":1068,"type":"book","event-place":"Rome","publisher":"Food and Agriculture Organisation of the United Nations (online) www.fao.org (accessed 7.19.12)","publisher-place":"Rome","title":"FAOSTAT statistical database","author":[{"family":"FAO","given":""}],"issued":{"date-parts":[["2012"]]}}}],"schema":"https://github.com/citation-style-language/schema/raw/master/csl-citation.json"} </w:instrText>
      </w:r>
      <w:r w:rsidR="00AE5953">
        <w:rPr>
          <w:rFonts w:ascii="Times New Roman" w:hAnsi="Times New Roman" w:cs="Times New Roman"/>
          <w:sz w:val="24"/>
          <w:szCs w:val="24"/>
          <w:lang w:val="en-US"/>
        </w:rPr>
        <w:fldChar w:fldCharType="separate"/>
      </w:r>
      <w:r w:rsidR="00AE5953" w:rsidRPr="00AE5953">
        <w:rPr>
          <w:rFonts w:ascii="Times New Roman" w:hAnsi="Times New Roman" w:cs="Times New Roman"/>
          <w:sz w:val="24"/>
          <w:lang w:val="en-US"/>
        </w:rPr>
        <w:t>(FAO, 2012)</w:t>
      </w:r>
      <w:r w:rsidR="00AE5953">
        <w:rPr>
          <w:rFonts w:ascii="Times New Roman" w:hAnsi="Times New Roman" w:cs="Times New Roman"/>
          <w:sz w:val="24"/>
          <w:szCs w:val="24"/>
          <w:lang w:val="en-US"/>
        </w:rPr>
        <w:fldChar w:fldCharType="end"/>
      </w:r>
      <w:r w:rsidR="00AB70AA">
        <w:rPr>
          <w:rFonts w:ascii="Times New Roman" w:hAnsi="Times New Roman" w:cs="Times New Roman"/>
          <w:sz w:val="24"/>
          <w:szCs w:val="24"/>
          <w:lang w:val="en-US"/>
        </w:rPr>
        <w:t xml:space="preserve">. </w:t>
      </w:r>
      <w:r w:rsidR="00BC0251" w:rsidRPr="002479BC">
        <w:rPr>
          <w:rFonts w:ascii="Times New Roman" w:hAnsi="Times New Roman" w:cs="Times New Roman"/>
          <w:sz w:val="24"/>
          <w:szCs w:val="24"/>
          <w:lang w:val="en-US"/>
        </w:rPr>
        <w:t xml:space="preserve">The application of fertilizers and the outflow of human and animal excrements </w:t>
      </w:r>
      <w:r w:rsidR="000A033C">
        <w:rPr>
          <w:rFonts w:ascii="Times New Roman" w:hAnsi="Times New Roman" w:cs="Times New Roman"/>
          <w:sz w:val="24"/>
          <w:szCs w:val="24"/>
          <w:lang w:val="en-US"/>
        </w:rPr>
        <w:t xml:space="preserve">(see also Fig. 2c) </w:t>
      </w:r>
      <w:r w:rsidR="00BC0251" w:rsidRPr="002479BC">
        <w:rPr>
          <w:rFonts w:ascii="Times New Roman" w:hAnsi="Times New Roman" w:cs="Times New Roman"/>
          <w:sz w:val="24"/>
          <w:szCs w:val="24"/>
          <w:lang w:val="en-US"/>
        </w:rPr>
        <w:t>has a major impact on biodiversity on terrestrial and freshwater/marine ecosystems (eutrophication)</w:t>
      </w:r>
      <w:r w:rsidR="00BC0251">
        <w:rPr>
          <w:rFonts w:ascii="Times New Roman" w:hAnsi="Times New Roman" w:cs="Times New Roman"/>
          <w:sz w:val="24"/>
          <w:szCs w:val="24"/>
          <w:lang w:val="en-US"/>
        </w:rPr>
        <w:t xml:space="preserve">. Additional biodiversity impacts arise from the use of agro-chemicals, which is of course also linked to social metabolism </w:t>
      </w:r>
      <w:r w:rsidR="00BC0251">
        <w:rPr>
          <w:rFonts w:ascii="Times New Roman" w:hAnsi="Times New Roman" w:cs="Times New Roman"/>
          <w:sz w:val="24"/>
          <w:szCs w:val="24"/>
          <w:lang w:val="en-US"/>
        </w:rPr>
        <w:fldChar w:fldCharType="begin"/>
      </w:r>
      <w:r w:rsidR="00BC0251">
        <w:rPr>
          <w:rFonts w:ascii="Times New Roman" w:hAnsi="Times New Roman" w:cs="Times New Roman"/>
          <w:sz w:val="24"/>
          <w:szCs w:val="24"/>
          <w:lang w:val="en-US"/>
        </w:rPr>
        <w:instrText xml:space="preserve"> ADDIN ZOTERO_ITEM CSL_CITATION {"citationID":"HOMZjAND","properties":{"formattedCitation":"(IAASTD, 2009; S\\uc0\\u225{}nchez-Bayo and Wyckhuys, 2019)","plainCitation":"(IAASTD, 2009; Sánchez-Bayo and Wyckhuys, 2019)","noteIndex":0},"citationItems":[{"id":359,"uris":["http://zotero.org/users/666791/items/845N9BD6"],"uri":["http://zotero.org/users/666791/items/845N9BD6"],"itemData":{"id":359,"type":"book","archive":"see also http://www.agassessment.org/","event-place":"Washington, D.C.","publisher":"Island Press","publisher-place":"Washington, D.C.","title":"Agriculture at a Crossroads. International Assessment of Agricultural Knowledge, Science and Technology for Development (IAASTD), Global Report","URL":"http://www.agassessment.org/reports/IAASTD/EN/Agriculture%20at%20a%20Crossroads_Global%20Report%20%28English%29.pdf","author":[{"family":"IAASTD","given":""}],"issued":{"date-parts":[["2009"]]}}},{"id":15956,"uris":["http://zotero.org/users/666791/items/X7GLZUYU"],"uri":["http://zotero.org/users/666791/items/X7GLZUYU"],"itemData":{"id":15956,"type":"article-journal","abstract":"Biodiversity of insects is threatened worldwide. Here, we present a comprehensive review of 73 historical reports of insect declines from across the globe, and systematically assess the underlying drivers. Our work reveals dramatic rates of decline that may lead to the extinction of 40% of the world's insect species over the next few decades. In terrestrial ecosystems, Lepidoptera, Hymenoptera and dung beetles (Coleoptera) appear to be the taxa most affected, whereas four major aquatic taxa (Odonata, Plecoptera, Trichoptera and Ephemeroptera) have already lost a considerable proportion of species. Affected insect groups not only include specialists that occupy particular ecological niches, but also many common and generalist species. Concurrently, the abundance of a small number of species is increasing; these are all adaptable, generalist species that are occupying the vacant niches left by the ones declining. Among aquatic insects, habitat and dietary generalists, and pollutant-tolerant species are replacing the large biodiversity losses experienced in waters within agricultural and urban settings. The main drivers of species declines appear to be in order of importance: i) habitat loss and conversion to intensive agriculture and urbanisation; ii) pollution, mainly that by synthetic pesticides and fertilisers; iii) biological factors, including pathogens and introduced species; and iv) climate change. The latter factor is particularly important in tropical regions, but only affects a minority of species in colder climes and mountain settings of temperate zones. A rethinking of current agricultural practices, in particular a serious reduction in pesticide usage and its substitution with more sustainable, ecologically-based practices, is urgently needed to slow or reverse current trends, allow the recovery of declining insect populations and safeguard the vital ecosystem services they provide. In addition, effective remediation technologies should be applied to clean polluted waters in both agricultural and urban environments.","container-title":"Biological Conservation","DOI":"10.1016/j.biocon.2019.01.020","ISSN":"0006-3207","journalAbbreviation":"Biological Conservation","page":"8-27","source":"ScienceDirect","title":"Worldwide decline of the entomofauna: A review of its drivers","title-short":"Worldwide decline of the entomofauna","volume":"232","author":[{"family":"Sánchez-Bayo","given":"Francisco"},{"family":"Wyckhuys","given":"Kris A. G."}],"issued":{"date-parts":[["2019",4,1]]}}}],"schema":"https://github.com/citation-style-language/schema/raw/master/csl-citation.json"} </w:instrText>
      </w:r>
      <w:r w:rsidR="00BC0251">
        <w:rPr>
          <w:rFonts w:ascii="Times New Roman" w:hAnsi="Times New Roman" w:cs="Times New Roman"/>
          <w:sz w:val="24"/>
          <w:szCs w:val="24"/>
          <w:lang w:val="en-US"/>
        </w:rPr>
        <w:fldChar w:fldCharType="separate"/>
      </w:r>
      <w:r w:rsidR="00BC0251" w:rsidRPr="003E682A">
        <w:rPr>
          <w:rFonts w:ascii="Times New Roman" w:hAnsi="Times New Roman" w:cs="Times New Roman"/>
          <w:sz w:val="24"/>
          <w:szCs w:val="24"/>
          <w:lang w:val="en-US"/>
        </w:rPr>
        <w:t>(IAASTD, 2009; Sánchez-Bayo and Wyckhuys, 2019)</w:t>
      </w:r>
      <w:r w:rsidR="00BC0251">
        <w:rPr>
          <w:rFonts w:ascii="Times New Roman" w:hAnsi="Times New Roman" w:cs="Times New Roman"/>
          <w:sz w:val="24"/>
          <w:szCs w:val="24"/>
          <w:lang w:val="en-US"/>
        </w:rPr>
        <w:fldChar w:fldCharType="end"/>
      </w:r>
      <w:r w:rsidR="00BC0251">
        <w:rPr>
          <w:rFonts w:ascii="Times New Roman" w:hAnsi="Times New Roman" w:cs="Times New Roman"/>
          <w:sz w:val="24"/>
          <w:szCs w:val="24"/>
          <w:lang w:val="en-US"/>
        </w:rPr>
        <w:t>.</w:t>
      </w:r>
    </w:p>
    <w:p w14:paraId="69E9A2FE" w14:textId="77777777" w:rsidR="00BC0251" w:rsidRDefault="00BC0251" w:rsidP="00AB70AA">
      <w:pPr>
        <w:spacing w:after="0" w:line="240" w:lineRule="auto"/>
        <w:rPr>
          <w:rFonts w:ascii="Times New Roman" w:hAnsi="Times New Roman" w:cs="Times New Roman"/>
          <w:sz w:val="24"/>
          <w:szCs w:val="24"/>
          <w:lang w:val="en-US"/>
        </w:rPr>
      </w:pPr>
    </w:p>
    <w:p w14:paraId="4665E88F" w14:textId="5A2E609F" w:rsidR="00AB70AA" w:rsidRDefault="00AB70AA" w:rsidP="00AB70A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area of permanent pastures increased by 8% since 1961, concomitant with a 60% rise of </w:t>
      </w:r>
      <w:r w:rsidR="009F2D9B">
        <w:rPr>
          <w:rFonts w:ascii="Times New Roman" w:hAnsi="Times New Roman" w:cs="Times New Roman"/>
          <w:sz w:val="24"/>
          <w:szCs w:val="24"/>
          <w:lang w:val="en-US"/>
        </w:rPr>
        <w:t xml:space="preserve">global </w:t>
      </w:r>
      <w:r>
        <w:rPr>
          <w:rFonts w:ascii="Times New Roman" w:hAnsi="Times New Roman" w:cs="Times New Roman"/>
          <w:sz w:val="24"/>
          <w:szCs w:val="24"/>
          <w:lang w:val="en-US"/>
        </w:rPr>
        <w:t>ruminant livestock numbers and a</w:t>
      </w:r>
      <w:r w:rsidR="009F2D9B">
        <w:rPr>
          <w:rFonts w:ascii="Times New Roman" w:hAnsi="Times New Roman" w:cs="Times New Roman"/>
          <w:sz w:val="24"/>
          <w:szCs w:val="24"/>
          <w:lang w:val="en-US"/>
        </w:rPr>
        <w:t xml:space="preserve">n increase of </w:t>
      </w:r>
      <w:r>
        <w:rPr>
          <w:rFonts w:ascii="Times New Roman" w:hAnsi="Times New Roman" w:cs="Times New Roman"/>
          <w:sz w:val="24"/>
          <w:szCs w:val="24"/>
          <w:lang w:val="en-US"/>
        </w:rPr>
        <w:t>animal products production</w:t>
      </w:r>
      <w:r w:rsidR="009F2D9B">
        <w:rPr>
          <w:rFonts w:ascii="Times New Roman" w:hAnsi="Times New Roman" w:cs="Times New Roman"/>
          <w:sz w:val="24"/>
          <w:szCs w:val="24"/>
          <w:lang w:val="en-US"/>
        </w:rPr>
        <w:t xml:space="preserve"> by a factor 2.5</w:t>
      </w:r>
      <w:r>
        <w:rPr>
          <w:rFonts w:ascii="Times New Roman" w:hAnsi="Times New Roman" w:cs="Times New Roman"/>
          <w:sz w:val="24"/>
          <w:szCs w:val="24"/>
          <w:lang w:val="en-US"/>
        </w:rPr>
        <w:t>.</w:t>
      </w:r>
      <w:r w:rsidR="009F2D9B">
        <w:rPr>
          <w:rFonts w:ascii="Times New Roman" w:hAnsi="Times New Roman" w:cs="Times New Roman"/>
          <w:sz w:val="24"/>
          <w:szCs w:val="24"/>
          <w:lang w:val="en-US"/>
        </w:rPr>
        <w:t xml:space="preserve"> Agricultural expansion occurred mainly at the expense of forest areas</w:t>
      </w:r>
      <w:r w:rsidR="00AE5953">
        <w:rPr>
          <w:rFonts w:ascii="Times New Roman" w:hAnsi="Times New Roman" w:cs="Times New Roman"/>
          <w:sz w:val="24"/>
          <w:szCs w:val="24"/>
          <w:lang w:val="en-US"/>
        </w:rPr>
        <w:t xml:space="preserve"> </w:t>
      </w:r>
      <w:r w:rsidR="00AE5953">
        <w:rPr>
          <w:rFonts w:ascii="Times New Roman" w:hAnsi="Times New Roman" w:cs="Times New Roman"/>
          <w:sz w:val="24"/>
          <w:szCs w:val="24"/>
          <w:lang w:val="en-US"/>
        </w:rPr>
        <w:fldChar w:fldCharType="begin"/>
      </w:r>
      <w:r w:rsidR="00AE5953">
        <w:rPr>
          <w:rFonts w:ascii="Times New Roman" w:hAnsi="Times New Roman" w:cs="Times New Roman"/>
          <w:sz w:val="24"/>
          <w:szCs w:val="24"/>
          <w:lang w:val="en-US"/>
        </w:rPr>
        <w:instrText xml:space="preserve"> ADDIN ZOTERO_ITEM CSL_CITATION {"citationID":"lnywbGAC","properties":{"formattedCitation":"(Ramankutty et al., 2018)","plainCitation":"(Ramankutty et al., 2018)","noteIndex":0},"citationItems":[{"id":71557,"uris":["http://zotero.org/users/666791/items/QS523XZ9"],"uri":["http://zotero.org/users/666791/items/QS523XZ9"],"itemData":{"id":71557,"type":"article-journal","abstract":"The eighteenth-century Malthusian prediction of population growth outstripping food production has not yet come to bear. Unprecedented agricultural land expansions since 1700, and technological innovations that began in the 1930s, have enabled more calorie production per capita than was ever available before in history. This remarkable success, however, has come at a great cost. Agriculture is a major cause of global environmental degradation. Malnutrition persists among large sections of the population, and a new epidemic of obesity is on the rise. We review both the successes and failures of the global food system, addressing ongoing debates on pathways to environmental health and food security. To deal with these challenges, a new coordinated research program blending modern breeding with agro-ecological methods is needed. We call on plant biologists to lead this effort and help steer humanity toward a safe operating space for agriculture.","container-title":"Annual Review of Plant Biology","DOI":"10.1146/annurev-arplant-042817-040256","ISSN":"1543-5008","issue":"1","journalAbbreviation":"Annu. Rev. Plant Biol.","note":"publisher: Annual Reviews","page":"789-815","source":"annualreviews.org (Atypon)","title":"Trends in Global Agricultural Land Use: Implications for Environmental Health and Food Security","title-short":"Trends in Global Agricultural Land Use","volume":"69","author":[{"family":"Ramankutty","given":"Navin"},{"family":"Mehrabi","given":"Zia"},{"family":"Waha","given":"Katharina"},{"family":"Jarvis","given":"Larissa"},{"family":"Kremen","given":"Claire"},{"family":"Herrero","given":"Mario"},{"family":"Rieseberg","given":"Loren H."}],"issued":{"date-parts":[["2018",4,29]]}}}],"schema":"https://github.com/citation-style-language/schema/raw/master/csl-citation.json"} </w:instrText>
      </w:r>
      <w:r w:rsidR="00AE5953">
        <w:rPr>
          <w:rFonts w:ascii="Times New Roman" w:hAnsi="Times New Roman" w:cs="Times New Roman"/>
          <w:sz w:val="24"/>
          <w:szCs w:val="24"/>
          <w:lang w:val="en-US"/>
        </w:rPr>
        <w:fldChar w:fldCharType="separate"/>
      </w:r>
      <w:r w:rsidR="00AE5953" w:rsidRPr="000949CE">
        <w:rPr>
          <w:rFonts w:ascii="Times New Roman" w:hAnsi="Times New Roman" w:cs="Times New Roman"/>
          <w:sz w:val="24"/>
          <w:lang w:val="en-US"/>
        </w:rPr>
        <w:t>(Ramankutty et al., 2018)</w:t>
      </w:r>
      <w:r w:rsidR="00AE5953">
        <w:rPr>
          <w:rFonts w:ascii="Times New Roman" w:hAnsi="Times New Roman" w:cs="Times New Roman"/>
          <w:sz w:val="24"/>
          <w:szCs w:val="24"/>
          <w:lang w:val="en-US"/>
        </w:rPr>
        <w:fldChar w:fldCharType="end"/>
      </w:r>
      <w:r w:rsidR="009F2D9B">
        <w:rPr>
          <w:rFonts w:ascii="Times New Roman" w:hAnsi="Times New Roman" w:cs="Times New Roman"/>
          <w:sz w:val="24"/>
          <w:szCs w:val="24"/>
          <w:lang w:val="en-US"/>
        </w:rPr>
        <w:t xml:space="preserve">, which declined by about 5% since 1960. </w:t>
      </w:r>
    </w:p>
    <w:p w14:paraId="6C77BF42" w14:textId="77777777" w:rsidR="00AB70AA" w:rsidRDefault="00AB70AA" w:rsidP="00E063DB">
      <w:pPr>
        <w:spacing w:after="0" w:line="240" w:lineRule="auto"/>
        <w:rPr>
          <w:rFonts w:ascii="Times New Roman" w:hAnsi="Times New Roman" w:cs="Times New Roman"/>
          <w:sz w:val="24"/>
          <w:szCs w:val="24"/>
          <w:lang w:val="en-US"/>
        </w:rPr>
      </w:pPr>
    </w:p>
    <w:p w14:paraId="68736F18" w14:textId="318634DD" w:rsidR="00F60FC6" w:rsidRDefault="00F60FC6" w:rsidP="00A77681">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US"/>
        </w:rPr>
        <w:t>Only two thirds o</w:t>
      </w:r>
      <w:r w:rsidR="00045EE0" w:rsidRPr="00045EE0">
        <w:rPr>
          <w:rFonts w:ascii="Times New Roman" w:hAnsi="Times New Roman" w:cs="Times New Roman"/>
          <w:sz w:val="24"/>
          <w:szCs w:val="24"/>
          <w:lang w:val="en-US"/>
        </w:rPr>
        <w:t xml:space="preserve">f the </w:t>
      </w:r>
      <w:r>
        <w:rPr>
          <w:rFonts w:ascii="Times New Roman" w:hAnsi="Times New Roman" w:cs="Times New Roman"/>
          <w:sz w:val="24"/>
          <w:szCs w:val="24"/>
          <w:lang w:val="en-US"/>
        </w:rPr>
        <w:t>~</w:t>
      </w:r>
      <w:r w:rsidR="00920CD3">
        <w:rPr>
          <w:rFonts w:ascii="Times New Roman" w:hAnsi="Times New Roman" w:cs="Times New Roman"/>
          <w:sz w:val="24"/>
          <w:szCs w:val="24"/>
          <w:lang w:val="en-US"/>
        </w:rPr>
        <w:t>62</w:t>
      </w:r>
      <w:r w:rsidR="00045EE0" w:rsidRPr="00045EE0">
        <w:rPr>
          <w:rFonts w:ascii="Times New Roman" w:hAnsi="Times New Roman" w:cs="Times New Roman"/>
          <w:sz w:val="24"/>
          <w:szCs w:val="24"/>
          <w:lang w:val="en-US"/>
        </w:rPr>
        <w:t xml:space="preserve"> </w:t>
      </w:r>
      <w:r w:rsidR="00045EE0">
        <w:rPr>
          <w:rFonts w:ascii="Times New Roman" w:hAnsi="Times New Roman" w:cs="Times New Roman"/>
          <w:sz w:val="24"/>
          <w:szCs w:val="24"/>
          <w:lang w:val="en-US"/>
        </w:rPr>
        <w:t xml:space="preserve">Mkm² </w:t>
      </w:r>
      <w:r>
        <w:rPr>
          <w:rFonts w:ascii="Times New Roman" w:hAnsi="Times New Roman" w:cs="Times New Roman"/>
          <w:sz w:val="24"/>
          <w:szCs w:val="24"/>
          <w:lang w:val="en-US"/>
        </w:rPr>
        <w:t xml:space="preserve">that would </w:t>
      </w:r>
      <w:r w:rsidR="00920CD3">
        <w:rPr>
          <w:rFonts w:ascii="Times New Roman" w:hAnsi="Times New Roman" w:cs="Times New Roman"/>
          <w:sz w:val="24"/>
          <w:szCs w:val="24"/>
          <w:lang w:val="en-US"/>
        </w:rPr>
        <w:t xml:space="preserve">globally </w:t>
      </w:r>
      <w:r>
        <w:rPr>
          <w:rFonts w:ascii="Times New Roman" w:hAnsi="Times New Roman" w:cs="Times New Roman"/>
          <w:sz w:val="24"/>
          <w:szCs w:val="24"/>
          <w:lang w:val="en-US"/>
        </w:rPr>
        <w:t xml:space="preserve">be </w:t>
      </w:r>
      <w:r w:rsidR="00045EE0">
        <w:rPr>
          <w:rFonts w:ascii="Times New Roman" w:hAnsi="Times New Roman" w:cs="Times New Roman"/>
          <w:sz w:val="24"/>
          <w:szCs w:val="24"/>
          <w:lang w:val="en-US"/>
        </w:rPr>
        <w:t xml:space="preserve">covered by forests </w:t>
      </w:r>
      <w:r w:rsidR="009F2D9B">
        <w:rPr>
          <w:rFonts w:ascii="Times New Roman" w:hAnsi="Times New Roman" w:cs="Times New Roman"/>
          <w:sz w:val="24"/>
          <w:szCs w:val="24"/>
          <w:lang w:val="en-US"/>
        </w:rPr>
        <w:t>in a hypothetical “no-land use situation”</w:t>
      </w:r>
      <w:r w:rsidR="007D6C4C">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7D6C4C">
        <w:rPr>
          <w:rFonts w:ascii="Times New Roman" w:hAnsi="Times New Roman" w:cs="Times New Roman"/>
          <w:sz w:val="24"/>
          <w:szCs w:val="24"/>
          <w:lang w:val="en-US"/>
        </w:rPr>
        <w:t>i</w:t>
      </w:r>
      <w:r>
        <w:rPr>
          <w:rFonts w:ascii="Times New Roman" w:hAnsi="Times New Roman" w:cs="Times New Roman"/>
          <w:sz w:val="24"/>
          <w:szCs w:val="24"/>
          <w:lang w:val="en-US"/>
        </w:rPr>
        <w:t xml:space="preserve">.e. if </w:t>
      </w:r>
      <w:r w:rsidR="009F2D9B">
        <w:rPr>
          <w:rFonts w:ascii="Times New Roman" w:hAnsi="Times New Roman" w:cs="Times New Roman"/>
          <w:sz w:val="24"/>
          <w:szCs w:val="24"/>
          <w:lang w:val="en-US"/>
        </w:rPr>
        <w:t>potential vegetation</w:t>
      </w:r>
      <w:r>
        <w:rPr>
          <w:rFonts w:ascii="Times New Roman" w:hAnsi="Times New Roman" w:cs="Times New Roman"/>
          <w:sz w:val="24"/>
          <w:szCs w:val="24"/>
          <w:lang w:val="en-US"/>
        </w:rPr>
        <w:t xml:space="preserve"> would still prevail</w:t>
      </w:r>
      <w:r w:rsidR="0048617E">
        <w:rPr>
          <w:rFonts w:ascii="Times New Roman" w:hAnsi="Times New Roman" w:cs="Times New Roman"/>
          <w:sz w:val="24"/>
          <w:szCs w:val="24"/>
          <w:lang w:val="en-US"/>
        </w:rPr>
        <w:t xml:space="preserve"> </w:t>
      </w:r>
      <w:r w:rsidR="0048617E">
        <w:rPr>
          <w:rFonts w:ascii="Times New Roman" w:hAnsi="Times New Roman" w:cs="Times New Roman"/>
          <w:sz w:val="24"/>
          <w:szCs w:val="24"/>
          <w:lang w:val="en-US"/>
        </w:rPr>
        <w:fldChar w:fldCharType="begin"/>
      </w:r>
      <w:r w:rsidR="00BB0853">
        <w:rPr>
          <w:rFonts w:ascii="Times New Roman" w:hAnsi="Times New Roman" w:cs="Times New Roman"/>
          <w:sz w:val="24"/>
          <w:szCs w:val="24"/>
          <w:lang w:val="en-US"/>
        </w:rPr>
        <w:instrText xml:space="preserve"> ADDIN ZOTERO_ITEM CSL_CITATION {"citationID":"GFmCe0sb","properties":{"formattedCitation":"(Bryant et al., 1997)","plainCitation":"(Bryant et al., 1997)","noteIndex":0},"citationItems":[{"id":71649,"uris":["http://zotero.org/users/666791/items/GAGU3RNM"],"uri":["http://zotero.org/users/666791/items/GAGU3RNM"],"itemData":{"id":71649,"type":"book","event-place":"Washington DC","publisher":"World Resources Institute","publisher-place":"Washington DC","title":"The Last Frontier Forests - Ecosystems &amp; Economies On The Edge","author":[{"family":"Bryant","given":"Dirk"},{"family":"Nielsen","given":"Daniel"},{"family":"Tangley","given":"Laura"}],"issued":{"date-parts":[["1997"]]}}}],"schema":"https://github.com/citation-style-language/schema/raw/master/csl-citation.json"} </w:instrText>
      </w:r>
      <w:r w:rsidR="0048617E">
        <w:rPr>
          <w:rFonts w:ascii="Times New Roman" w:hAnsi="Times New Roman" w:cs="Times New Roman"/>
          <w:sz w:val="24"/>
          <w:szCs w:val="24"/>
          <w:lang w:val="en-US"/>
        </w:rPr>
        <w:fldChar w:fldCharType="separate"/>
      </w:r>
      <w:r w:rsidR="0048617E" w:rsidRPr="0048617E">
        <w:rPr>
          <w:rFonts w:ascii="Times New Roman" w:hAnsi="Times New Roman" w:cs="Times New Roman"/>
          <w:sz w:val="24"/>
          <w:lang w:val="en-US"/>
        </w:rPr>
        <w:t>(Bryant et al., 1997)</w:t>
      </w:r>
      <w:r w:rsidR="0048617E">
        <w:rPr>
          <w:rFonts w:ascii="Times New Roman" w:hAnsi="Times New Roman" w:cs="Times New Roman"/>
          <w:sz w:val="24"/>
          <w:szCs w:val="24"/>
          <w:lang w:val="en-US"/>
        </w:rPr>
        <w:fldChar w:fldCharType="end"/>
      </w:r>
      <w:r w:rsidR="007D6C4C">
        <w:rPr>
          <w:rFonts w:ascii="Times New Roman" w:hAnsi="Times New Roman" w:cs="Times New Roman"/>
          <w:sz w:val="24"/>
          <w:szCs w:val="24"/>
          <w:lang w:val="en-US"/>
        </w:rPr>
        <w:t xml:space="preserve"> –</w:t>
      </w:r>
      <w:r w:rsidR="009F2D9B">
        <w:rPr>
          <w:rFonts w:ascii="Times New Roman" w:hAnsi="Times New Roman" w:cs="Times New Roman"/>
          <w:sz w:val="24"/>
          <w:szCs w:val="24"/>
          <w:lang w:val="en-US"/>
        </w:rPr>
        <w:t xml:space="preserve"> </w:t>
      </w:r>
      <w:r>
        <w:rPr>
          <w:rFonts w:ascii="Times New Roman" w:hAnsi="Times New Roman" w:cs="Times New Roman"/>
          <w:sz w:val="24"/>
          <w:szCs w:val="24"/>
          <w:lang w:val="en-US"/>
        </w:rPr>
        <w:t>still exist</w:t>
      </w:r>
      <w:r w:rsidR="00234C65">
        <w:rPr>
          <w:rFonts w:ascii="Times New Roman" w:hAnsi="Times New Roman" w:cs="Times New Roman"/>
          <w:sz w:val="24"/>
          <w:szCs w:val="24"/>
          <w:lang w:val="en-US"/>
        </w:rPr>
        <w:t xml:space="preserve">: the current forest area is </w:t>
      </w:r>
      <w:r>
        <w:rPr>
          <w:rFonts w:ascii="Times New Roman" w:hAnsi="Times New Roman" w:cs="Times New Roman"/>
          <w:sz w:val="24"/>
          <w:szCs w:val="24"/>
          <w:lang w:val="en-US"/>
        </w:rPr>
        <w:t>~</w:t>
      </w:r>
      <w:r w:rsidR="00920CD3">
        <w:rPr>
          <w:rFonts w:ascii="Times New Roman" w:hAnsi="Times New Roman" w:cs="Times New Roman"/>
          <w:sz w:val="24"/>
          <w:szCs w:val="24"/>
          <w:lang w:val="en-US"/>
        </w:rPr>
        <w:t>40 Mkm²</w:t>
      </w:r>
      <w:r w:rsidR="009F2D9B">
        <w:rPr>
          <w:rFonts w:ascii="Times New Roman" w:hAnsi="Times New Roman" w:cs="Times New Roman"/>
          <w:sz w:val="24"/>
          <w:szCs w:val="24"/>
          <w:lang w:val="en-US"/>
        </w:rPr>
        <w:t xml:space="preserve">. </w:t>
      </w:r>
      <w:r w:rsidR="00920CD3">
        <w:rPr>
          <w:rFonts w:ascii="Times New Roman" w:hAnsi="Times New Roman" w:cs="Times New Roman"/>
          <w:sz w:val="24"/>
          <w:szCs w:val="24"/>
          <w:lang w:val="en-US"/>
        </w:rPr>
        <w:t xml:space="preserve">60-85% of the total forested area globally is </w:t>
      </w:r>
      <w:r>
        <w:rPr>
          <w:rFonts w:ascii="Times New Roman" w:hAnsi="Times New Roman" w:cs="Times New Roman"/>
          <w:sz w:val="24"/>
          <w:szCs w:val="24"/>
          <w:lang w:val="en-US"/>
        </w:rPr>
        <w:t xml:space="preserve">classified as </w:t>
      </w:r>
      <w:r w:rsidR="00920CD3">
        <w:rPr>
          <w:rFonts w:ascii="Times New Roman" w:hAnsi="Times New Roman" w:cs="Times New Roman"/>
          <w:sz w:val="24"/>
          <w:szCs w:val="24"/>
          <w:lang w:val="en-US"/>
        </w:rPr>
        <w:t xml:space="preserve">used, </w:t>
      </w:r>
      <w:r w:rsidR="009F2D9B">
        <w:rPr>
          <w:rFonts w:ascii="Times New Roman" w:hAnsi="Times New Roman" w:cs="Times New Roman"/>
          <w:sz w:val="24"/>
          <w:szCs w:val="24"/>
          <w:lang w:val="en-US"/>
        </w:rPr>
        <w:t>the large bandwi</w:t>
      </w:r>
      <w:r w:rsidR="007D6C4C">
        <w:rPr>
          <w:rFonts w:ascii="Times New Roman" w:hAnsi="Times New Roman" w:cs="Times New Roman"/>
          <w:sz w:val="24"/>
          <w:szCs w:val="24"/>
          <w:lang w:val="en-US"/>
        </w:rPr>
        <w:t>d</w:t>
      </w:r>
      <w:r w:rsidR="009F2D9B">
        <w:rPr>
          <w:rFonts w:ascii="Times New Roman" w:hAnsi="Times New Roman" w:cs="Times New Roman"/>
          <w:sz w:val="24"/>
          <w:szCs w:val="24"/>
          <w:lang w:val="en-US"/>
        </w:rPr>
        <w:t xml:space="preserve">th of estimates </w:t>
      </w:r>
      <w:r w:rsidR="007D6C4C">
        <w:rPr>
          <w:rFonts w:ascii="Times New Roman" w:hAnsi="Times New Roman" w:cs="Times New Roman"/>
          <w:sz w:val="24"/>
          <w:szCs w:val="24"/>
          <w:lang w:val="en-US"/>
        </w:rPr>
        <w:t xml:space="preserve">results from </w:t>
      </w:r>
      <w:r w:rsidR="009F2D9B">
        <w:rPr>
          <w:rFonts w:ascii="Times New Roman" w:hAnsi="Times New Roman" w:cs="Times New Roman"/>
          <w:sz w:val="24"/>
          <w:szCs w:val="24"/>
          <w:lang w:val="en-US"/>
        </w:rPr>
        <w:t>large data uncertainties</w:t>
      </w:r>
      <w:r w:rsidR="007D6C4C">
        <w:rPr>
          <w:rFonts w:ascii="Times New Roman" w:hAnsi="Times New Roman" w:cs="Times New Roman"/>
          <w:sz w:val="24"/>
          <w:szCs w:val="24"/>
          <w:lang w:val="en-US"/>
        </w:rPr>
        <w:t xml:space="preserve"> and </w:t>
      </w:r>
      <w:r w:rsidR="009F2D9B">
        <w:rPr>
          <w:rFonts w:ascii="Times New Roman" w:hAnsi="Times New Roman" w:cs="Times New Roman"/>
          <w:sz w:val="24"/>
          <w:szCs w:val="24"/>
          <w:lang w:val="en-US"/>
        </w:rPr>
        <w:lastRenderedPageBreak/>
        <w:t>differences in definitions used. This holds true for information on forest area</w:t>
      </w:r>
      <w:r w:rsidR="00C4023F">
        <w:rPr>
          <w:rFonts w:ascii="Times New Roman" w:hAnsi="Times New Roman" w:cs="Times New Roman"/>
          <w:sz w:val="24"/>
          <w:szCs w:val="24"/>
          <w:lang w:val="en-US"/>
        </w:rPr>
        <w:t xml:space="preserve">, but </w:t>
      </w:r>
      <w:r w:rsidR="00920CD3">
        <w:rPr>
          <w:rFonts w:ascii="Times New Roman" w:hAnsi="Times New Roman" w:cs="Times New Roman"/>
          <w:sz w:val="24"/>
          <w:szCs w:val="24"/>
          <w:lang w:val="en-US"/>
        </w:rPr>
        <w:t xml:space="preserve">information on intensity </w:t>
      </w:r>
      <w:r w:rsidR="000704B4">
        <w:rPr>
          <w:rFonts w:ascii="Times New Roman" w:hAnsi="Times New Roman" w:cs="Times New Roman"/>
          <w:sz w:val="24"/>
          <w:szCs w:val="24"/>
          <w:lang w:val="en-US"/>
        </w:rPr>
        <w:t xml:space="preserve">of use </w:t>
      </w:r>
      <w:r w:rsidR="00920CD3">
        <w:rPr>
          <w:rFonts w:ascii="Times New Roman" w:hAnsi="Times New Roman" w:cs="Times New Roman"/>
          <w:sz w:val="24"/>
          <w:szCs w:val="24"/>
          <w:lang w:val="en-US"/>
        </w:rPr>
        <w:t>and management practices is</w:t>
      </w:r>
      <w:r w:rsidR="00C4023F">
        <w:rPr>
          <w:rFonts w:ascii="Times New Roman" w:hAnsi="Times New Roman" w:cs="Times New Roman"/>
          <w:sz w:val="24"/>
          <w:szCs w:val="24"/>
          <w:lang w:val="en-US"/>
        </w:rPr>
        <w:t xml:space="preserve"> yet more</w:t>
      </w:r>
      <w:r w:rsidR="00C4023F" w:rsidRPr="00C4023F">
        <w:rPr>
          <w:rFonts w:ascii="Times New Roman" w:hAnsi="Times New Roman" w:cs="Times New Roman"/>
          <w:sz w:val="24"/>
          <w:szCs w:val="24"/>
          <w:lang w:val="en-US"/>
        </w:rPr>
        <w:t xml:space="preserve"> </w:t>
      </w:r>
      <w:r w:rsidR="00C4023F">
        <w:rPr>
          <w:rFonts w:ascii="Times New Roman" w:hAnsi="Times New Roman" w:cs="Times New Roman"/>
          <w:sz w:val="24"/>
          <w:szCs w:val="24"/>
          <w:lang w:val="en-US"/>
        </w:rPr>
        <w:t>limited</w:t>
      </w:r>
      <w:r w:rsidR="0048617E">
        <w:rPr>
          <w:rFonts w:ascii="Times New Roman" w:hAnsi="Times New Roman" w:cs="Times New Roman"/>
          <w:sz w:val="24"/>
          <w:szCs w:val="24"/>
          <w:lang w:val="en-US"/>
        </w:rPr>
        <w:t xml:space="preserve"> </w:t>
      </w:r>
      <w:r w:rsidR="0048617E">
        <w:rPr>
          <w:rFonts w:ascii="Times New Roman" w:hAnsi="Times New Roman" w:cs="Times New Roman"/>
          <w:sz w:val="24"/>
          <w:szCs w:val="24"/>
          <w:lang w:val="en-US"/>
        </w:rPr>
        <w:fldChar w:fldCharType="begin"/>
      </w:r>
      <w:r w:rsidR="0048617E">
        <w:rPr>
          <w:rFonts w:ascii="Times New Roman" w:hAnsi="Times New Roman" w:cs="Times New Roman"/>
          <w:sz w:val="24"/>
          <w:szCs w:val="24"/>
          <w:lang w:val="en-US"/>
        </w:rPr>
        <w:instrText xml:space="preserve"> ADDIN ZOTERO_ITEM CSL_CITATION {"citationID":"hjhnMMX1","properties":{"formattedCitation":"(Erb et al., 2017)","plainCitation":"(Erb et al., 2017)","noteIndex":0},"citationItems":[{"id":2665,"uris":["http://zotero.org/users/666791/items/3GBI5TZ3"],"uri":["http://zotero.org/users/666791/items/3GBI5TZ3"],"itemData":{"id":2665,"type":"article-journal","abstract":"In the light of daunting global sustainability challenges such as climate change, biodiversity loss and food security, improving our understanding of the complex dynamics of the Earth system is crucial. However, large knowledge gaps related to the effects of land management persist, in particular those human-induced changes in terrestrial ecosystems that do not result in land-cover conversions. Here, we review the current state of knowledge of ten common land management activities for their biogeochemical and biophysical impacts, the level of process understanding and data availability. Our review shows that ca. one-tenth of the ice-free land surface is under intense human management, half under medium and one-fifth under extensive management. Based on our review, we cluster these ten management activities into three groups: (i) management activities for which data sets are available, and for which a good knowledge base exists (cropland harvest and irrigation); (ii) management activities for which sufficient knowledge on biogeochemical and biophysical effects exists but robust global data sets are lacking (forest harvest, tree species selection, grazing and mowing harvest, N fertilization); and (iii) land management practices with severe data gaps concomitant with an unsatisfactory level of process understanding (crop species selection, artificial wetland drainage, tillage and fire management and crop residue management, an element of crop harvest). Although we identify multiple impediments to progress, we conclude that the current status of process understanding and data availability is sufficient to advance with incorporating management in, for example, Earth system or dynamic vegetation models in order to provide a systematic assessment of their role in the Earth system. This review contributes to a strategic prioritization of research efforts across multiple disciplines, including land system research, ecological research and Earth system modelling.","container-title":"Global Change Biology","DOI":"10.1111/gcb.13443","ISSN":"1365-2486","issue":"2","journalAbbreviation":"Glob Change Biol","language":"en","page":"512-533","source":"Wiley Online Library","title":"Land management: data availability and process understanding for global change studies","title-short":"Land management","volume":"23","author":[{"family":"Erb","given":"Karl-Heinz"},{"family":"Luyssaert","given":"Sebastiaan"},{"family":"Meyfroidt","given":"Patrick"},{"family":"Pongratz","given":"Julia"},{"family":"Don","given":"Axel"},{"family":"Kloster","given":"Silvia"},{"family":"Kuemmerle","given":"Tobias"},{"family":"Fetzel","given":"Tamara"},{"family":"Fuchs","given":"Richard"},{"family":"Herold","given":"Martin"},{"family":"Haberl","given":"Helmut"},{"family":"Jones","given":"Chris D."},{"family":"Marín-Spiotta","given":"Erika"},{"family":"McCallum","given":"Ian"},{"family":"Robertson","given":"Eddy"},{"family":"Seufert","given":"Verena"},{"family":"Fritz","given":"Steffen"},{"family":"Valade","given":"Aude"},{"family":"Wiltshire","given":"Andrew"},{"family":"Dolman","given":"Albertus J."}],"issued":{"date-parts":[["2017",2,1]]}}}],"schema":"https://github.com/citation-style-language/schema/raw/master/csl-citation.json"} </w:instrText>
      </w:r>
      <w:r w:rsidR="0048617E">
        <w:rPr>
          <w:rFonts w:ascii="Times New Roman" w:hAnsi="Times New Roman" w:cs="Times New Roman"/>
          <w:sz w:val="24"/>
          <w:szCs w:val="24"/>
          <w:lang w:val="en-US"/>
        </w:rPr>
        <w:fldChar w:fldCharType="separate"/>
      </w:r>
      <w:r w:rsidR="0048617E" w:rsidRPr="0048617E">
        <w:rPr>
          <w:rFonts w:ascii="Times New Roman" w:hAnsi="Times New Roman" w:cs="Times New Roman"/>
          <w:sz w:val="24"/>
          <w:lang w:val="en-US"/>
        </w:rPr>
        <w:t>(Erb et al., 2017)</w:t>
      </w:r>
      <w:r w:rsidR="0048617E">
        <w:rPr>
          <w:rFonts w:ascii="Times New Roman" w:hAnsi="Times New Roman" w:cs="Times New Roman"/>
          <w:sz w:val="24"/>
          <w:szCs w:val="24"/>
          <w:lang w:val="en-US"/>
        </w:rPr>
        <w:fldChar w:fldCharType="end"/>
      </w:r>
      <w:r w:rsidR="000E5D40">
        <w:rPr>
          <w:rFonts w:ascii="Times New Roman" w:hAnsi="Times New Roman" w:cs="Times New Roman"/>
          <w:sz w:val="24"/>
          <w:szCs w:val="24"/>
          <w:lang w:val="en-US"/>
        </w:rPr>
        <w:t xml:space="preserve">, </w:t>
      </w:r>
      <w:r w:rsidR="007D6C4C">
        <w:rPr>
          <w:rFonts w:ascii="Times New Roman" w:hAnsi="Times New Roman" w:cs="Times New Roman"/>
          <w:sz w:val="24"/>
          <w:szCs w:val="24"/>
          <w:lang w:val="en-US"/>
        </w:rPr>
        <w:t xml:space="preserve">which </w:t>
      </w:r>
      <w:r w:rsidR="00C4023F">
        <w:rPr>
          <w:rFonts w:ascii="Times New Roman" w:hAnsi="Times New Roman" w:cs="Times New Roman"/>
          <w:sz w:val="24"/>
          <w:szCs w:val="24"/>
          <w:lang w:val="en-US"/>
        </w:rPr>
        <w:t>hamper</w:t>
      </w:r>
      <w:r w:rsidR="007D6C4C">
        <w:rPr>
          <w:rFonts w:ascii="Times New Roman" w:hAnsi="Times New Roman" w:cs="Times New Roman"/>
          <w:sz w:val="24"/>
          <w:szCs w:val="24"/>
          <w:lang w:val="en-US"/>
        </w:rPr>
        <w:t>s</w:t>
      </w:r>
      <w:r w:rsidR="00C4023F">
        <w:rPr>
          <w:rFonts w:ascii="Times New Roman" w:hAnsi="Times New Roman" w:cs="Times New Roman"/>
          <w:sz w:val="24"/>
          <w:szCs w:val="24"/>
          <w:lang w:val="en-US"/>
        </w:rPr>
        <w:t xml:space="preserve"> global assessments of the biogeochemical cycle of carbon</w:t>
      </w:r>
      <w:r w:rsidR="000E5D40">
        <w:rPr>
          <w:rFonts w:ascii="Times New Roman" w:hAnsi="Times New Roman" w:cs="Times New Roman"/>
          <w:sz w:val="24"/>
          <w:szCs w:val="24"/>
          <w:lang w:val="en-US"/>
        </w:rPr>
        <w:t xml:space="preserve"> </w:t>
      </w:r>
      <w:r w:rsidR="000E5D40">
        <w:rPr>
          <w:rFonts w:ascii="Times New Roman" w:hAnsi="Times New Roman" w:cs="Times New Roman"/>
          <w:sz w:val="24"/>
          <w:szCs w:val="24"/>
          <w:lang w:val="en-US"/>
        </w:rPr>
        <w:fldChar w:fldCharType="begin"/>
      </w:r>
      <w:r w:rsidR="000E5D40">
        <w:rPr>
          <w:rFonts w:ascii="Times New Roman" w:hAnsi="Times New Roman" w:cs="Times New Roman"/>
          <w:sz w:val="24"/>
          <w:szCs w:val="24"/>
          <w:lang w:val="en-US"/>
        </w:rPr>
        <w:instrText xml:space="preserve"> ADDIN ZOTERO_ITEM CSL_CITATION {"citationID":"I50ChkrL","properties":{"formattedCitation":"(Friedlingstein et al., 2020; Le Qu\\uc0\\u233{}r\\uc0\\u233{} et al., 2018; Pongratz et al., 2018)","plainCitation":"(Friedlingstein et al., 2020; Le Quéré et al., 2018; Pongratz et al., 2018)","noteIndex":0},"citationItems":[{"id":71650,"uris":["http://zotero.org/users/666791/items/7AGXJFXF"],"uri":["http://zotero.org/users/666791/items/7AGXJFXF"],"itemData":{"id":71650,"type":"article-journal","abstract":"&lt;p&gt;&lt;strong class=\"journal-contentHeaderColor\"&gt;Abstract.&lt;/strong&gt; Accurate assessment of anthropogenic carbon dioxide (CO&lt;span class=\"inline-formula\"&gt;&lt;sub&gt;2&lt;/sub&gt;&lt;/span&gt;) emissions and their redistribution among the atmosphere, ocean, and terrestrial biosphere in a changing climate – the “global carbon budget” – is important to better understand the global carbon cycle, support the development of climate policies, and project future climate change. Here we describe and synthesize data sets and methodology to quantify the five major components of the global carbon budget and their uncertainties. Fossil CO&lt;span class=\"inline-formula\"&gt;&lt;sub&gt;2&lt;/sub&gt;&lt;/span&gt; emissions (&lt;span class=\"inline-formula\"&gt;&lt;i&gt;E&lt;/i&gt;&lt;sub&gt;FOS&lt;/sub&gt;&lt;/span&gt;) are based on energy statistics and cement production data, while emissions from land-use change (&lt;span class=\"inline-formula\"&gt;&lt;i&gt;E&lt;/i&gt;&lt;sub&gt;LUC&lt;/sub&gt;&lt;/span&gt;), mainly deforestation, are based on land use and land-use change data and bookkeeping models. Atmospheric CO&lt;span class=\"inline-formula\"&gt;&lt;sub&gt;2&lt;/sub&gt;&lt;/span&gt; concentration is measured directly and its growth rate (&lt;span class=\"inline-formula\"&gt;&lt;i&gt;G&lt;/i&gt;&lt;sub&gt;ATM&lt;/sub&gt;&lt;/span&gt;) is computed from the annual changes in concentration. The ocean CO&lt;span class=\"inline-formula\"&gt;&lt;sub&gt;2&lt;/sub&gt;&lt;/span&gt; sink (&lt;span class=\"inline-formula\"&gt;&lt;i&gt;S&lt;/i&gt;&lt;sub&gt;OCEAN&lt;/sub&gt;&lt;/span&gt;) and terrestrial CO&lt;span class=\"inline-formula\"&gt;&lt;sub&gt;2&lt;/sub&gt;&lt;/span&gt; sink (&lt;span class=\"inline-formula\"&gt;&lt;i&gt;S&lt;/i&gt;&lt;sub&gt;LAND&lt;/sub&gt;&lt;/span&gt;) are estimated with global process models constrained by observations. The resulting carbon budget imbalance (&lt;span class=\"inline-formula\"&gt;&lt;i&gt;B&lt;/i&gt;&lt;sub&gt;IM&lt;/sub&gt;&lt;/span&gt;), the difference between the estimated total emissions and the estimated changes in the atmosphere, ocean, and terrestrial biosphere, is a measure of imperfect data and understanding of the contemporary carbon cycle. All uncertainties are reported as &lt;span class=\"inline-formula\"&gt;±1&lt;i&gt;σ&lt;/i&gt;&lt;/span&gt;. For the last decade available (2010–2019), &lt;span class=\"inline-formula\"&gt;&lt;i&gt;E&lt;/i&gt;&lt;sub&gt;FOS&lt;/sub&gt;&lt;/span&gt; was 9.6&amp;thinsp;&lt;span class=\"inline-formula\"&gt;±&lt;/span&gt;&amp;thinsp;0.5&amp;thinsp;GtC&amp;thinsp;yr&lt;span class=\"inline-formula\"&gt;&lt;sup&gt;−1&lt;/sup&gt;&lt;/span&gt; excluding the cement carbonation sink (9.4&amp;thinsp;&lt;span class=\"inline-formula\"&gt;±&lt;/span&gt;&amp;thinsp;0.5&amp;thinsp;GtC&amp;thinsp;yr&lt;span class=\"inline-formula\"&gt;&lt;sup&gt;−1&lt;/sup&gt;&lt;/span&gt; when the cement carbonation sink is included), and &lt;span class=\"inline-formula\"&gt;&lt;i&gt;E&lt;/i&gt;&lt;sub&gt;LUC&lt;/sub&gt;&lt;/span&gt; was 1.6&amp;thinsp;&lt;span class=\"inline-formula\"&gt;±&lt;/span&gt;&amp;thinsp;0.7&amp;thinsp;GtC&amp;thinsp;yr&lt;span class=\"inline-formula\"&gt;&lt;sup&gt;−1&lt;/sup&gt;&lt;/span&gt;. For the same decade, &lt;span class=\"inline-formula\"&gt;&lt;i&gt;G&lt;/i&gt;&lt;sub&gt;ATM&lt;/sub&gt;&lt;/span&gt; was 5.1&amp;thinsp;&lt;span class=\"inline-formula\"&gt;±&lt;/span&gt;&amp;thinsp;0.02&amp;thinsp;GtC&amp;thinsp;yr&lt;span class=\"inline-formula\"&gt;&lt;sup&gt;−1&lt;/sup&gt;&lt;/span&gt; (2.4&amp;thinsp;&lt;span class=\"inline-formula\"&gt;±&lt;/span&gt;&amp;thinsp;0.01&amp;thinsp;ppm&amp;thinsp;yr&lt;span class=\"inline-formula\"&gt;&lt;sup&gt;−1&lt;/sup&gt;&lt;/span&gt;), &lt;span class=\"inline-formula\"&gt;&lt;i&gt;S&lt;/i&gt;&lt;sub&gt;OCEAN&lt;/sub&gt;&lt;/span&gt; 2.5&amp;thinsp;&lt;span class=\"inline-formula\"&gt;±&lt;/span&gt;&amp;thinsp; 0.6&amp;thinsp;GtC&amp;thinsp;yr&lt;span class=\"inline-formula\"&gt;&lt;sup&gt;−1&lt;/sup&gt;&lt;/span&gt;, and &lt;span class=\"inline-formula\"&gt;&lt;i&gt;S&lt;/i&gt;&lt;sub&gt;LAND&lt;/sub&gt;&lt;/span&gt; 3.4&amp;thinsp;&lt;span class=\"inline-formula\"&gt;±&lt;/span&gt;&amp;thinsp;0.9&amp;thinsp;GtC&amp;thinsp;yr&lt;span class=\"inline-formula\"&gt;&lt;sup&gt;−1&lt;/sup&gt;&lt;/span&gt;, with a budget imbalance &lt;span class=\"inline-formula\"&gt;&lt;i&gt;B&lt;/i&gt;&lt;sub&gt;IM&lt;/sub&gt;&lt;/span&gt; of &lt;span class=\"inline-formula\"&gt;−&lt;/span&gt;0.1&amp;thinsp;GtC&amp;thinsp;yr&lt;span class=\"inline-formula\"&gt;&lt;sup&gt;−1&lt;/sup&gt;&lt;/span&gt; indicating a near balance between estimated sources and sinks over the last decade. For the year 2019 alone, the growth in &lt;span class=\"inline-formula\"&gt;&lt;i&gt;E&lt;/i&gt;&lt;sub&gt;FOS&lt;/sub&gt;&lt;/span&gt; was only about 0.1&amp;thinsp;% with fossil emissions increasing to 9.9&amp;thinsp;&lt;span class=\"inline-formula\"&gt;±&lt;/span&gt;&amp;thinsp;0.5&amp;thinsp;GtC&amp;thinsp;yr&lt;span class=\"inline-formula\"&gt;&lt;sup&gt;−1&lt;/sup&gt;&lt;/span&gt; excluding the cement carbonation sink (9.7&amp;thinsp;&lt;span class=\"inline-formula\"&gt;±&lt;/span&gt;&amp;thinsp;0.5&amp;thinsp;GtC&amp;thinsp;yr&lt;span class=\"inline-formula\"&gt;&lt;sup&gt;−1&lt;/sup&gt;&lt;/span&gt; when cement carbonation sink is included), and &lt;span class=\"inline-formula\"&gt;&lt;i&gt;E&lt;/i&gt;&lt;sub&gt;LUC&lt;/sub&gt;&lt;/span&gt; was 1.8&amp;thinsp;&lt;span class=\"inline-formula\"&gt;±&lt;/span&gt;&amp;thinsp;0.7&amp;thinsp;GtC&amp;thinsp;yr&lt;span class=\"inline-formula\"&gt;&lt;sup&gt;−1&lt;/sup&gt;&lt;/span&gt;, for total anthropogenic CO&lt;span class=\"inline-formula\"&gt;&lt;sub&gt;2&lt;/sub&gt;&lt;/span&gt; emissions of 11.5&amp;thinsp;&lt;span class=\"inline-formula\"&gt;±&lt;/span&gt;&amp;thinsp;0.9&amp;thinsp;GtC&amp;thinsp;yr&lt;span class=\"inline-formula\"&gt;&lt;sup&gt;−1&lt;/sup&gt;&lt;/span&gt; (42.2&amp;thinsp;&lt;span class=\"inline-formula\"&gt;±&lt;/span&gt;&amp;thinsp;3.3&amp;thinsp;GtCO&lt;span class=\"inline-formula\"&gt;&lt;sub&gt;2&lt;/sub&gt;&lt;/span&gt;). Also for 2019, &lt;span class=\"inline-formula\"&gt;&lt;i&gt;G&lt;/i&gt;&lt;sub&gt;ATM&lt;/sub&gt;&lt;/span&gt; was 5.4&amp;thinsp;&lt;span class=\"inline-formula\"&gt;±&lt;/span&gt;&amp;thinsp;0.2&amp;thinsp;GtC&amp;thinsp;yr&lt;span class=\"inline-formula\"&gt;&lt;sup&gt;−1&lt;/sup&gt;&lt;/span&gt; (2.5&amp;thinsp;&lt;span class=\"inline-formula\"&gt;±&lt;/span&gt;&amp;thinsp;0.1&amp;thinsp;ppm&amp;thinsp;yr&lt;span class=\"inline-formula\"&gt;&lt;sup&gt;−1&lt;/sup&gt;&lt;/span&gt;), &lt;span class=\"inline-formula\"&gt;&lt;i&gt;S&lt;/i&gt;&lt;sub&gt;OCEAN&lt;/sub&gt;&lt;/span&gt; was 2.6&amp;thinsp;&lt;span class=\"inline-formula\"&gt;±&lt;/span&gt;&amp;thinsp;0.6&amp;thinsp;GtC&amp;thinsp;yr&lt;span class=\"inline-formula\"&gt;&lt;sup&gt;−1&lt;/sup&gt;&lt;/span&gt;, and &lt;span class=\"inline-formula\"&gt;&lt;i&gt;S&lt;/i&gt;&lt;sub&gt;LAND&lt;/sub&gt;&lt;/span&gt; was 3.1&amp;thinsp;&lt;span class=\"inline-formula\"&gt;±&lt;/span&gt;&amp;thinsp;1.2&amp;thinsp;GtC&amp;thinsp;yr&lt;span class=\"inline-formula\"&gt;&lt;sup&gt;−1&lt;/sup&gt;&lt;/span&gt;, with a &lt;span class=\"inline-formula\"&gt;&lt;i&gt;B&lt;/i&gt;&lt;sub&gt;IM&lt;/sub&gt;&lt;/span&gt; of 0.3&amp;thinsp;GtC. The global atmospheric CO&lt;span class=\"inline-formula\"&gt;&lt;sub&gt;2&lt;/sub&gt;&lt;/span&gt; concentration reached 409.85&amp;thinsp;&lt;span class=\"inline-formula\"&gt;±&lt;/span&gt;&amp;thinsp;0.1&amp;thinsp;ppm averaged over 2019. Preliminary data for 2020, accounting for the COVID-19-induced changes in emissions, suggest a decrease in &lt;span class=\"inline-formula\"&gt;&lt;i&gt;E&lt;/i&gt;&lt;sub&gt;FOS&lt;/sub&gt;&lt;/span&gt; relative to 2019 of about &lt;span class=\"inline-formula\"&gt;−&lt;/span&gt;7&amp;thinsp;% (median estimate) based on individual estimates from four studies of &lt;span class=\"inline-formula\"&gt;−&lt;/span&gt;6&amp;thinsp;%, &lt;span class=\"inline-formula\"&gt;−&lt;/span&gt;7&amp;thinsp;%, &lt;span class=\"inline-formula\"&gt;−&lt;/span&gt;7&amp;thinsp;% (&lt;span class=\"inline-formula\"&gt;−&lt;/span&gt;3&amp;thinsp;% to &lt;span class=\"inline-formula\"&gt;−&lt;/span&gt;11&amp;thinsp;%), and &lt;span class=\"inline-formula\"&gt;−&lt;/span&gt;13&amp;thinsp;%. Overall, the mean and trend in the components of the global carbon budget are consistently estimated over the period 1959–2019, but discrepancies of up to 1&amp;thinsp;GtC&amp;thinsp;yr&lt;span class=\"inline-formula\"&gt;&lt;sup&gt;−1&lt;/sup&gt;&lt;/span&gt; persist for the representation of semi-decadal variability in CO&lt;span class=\"inline-formula\"&gt;&lt;sub&gt;2&lt;/sub&gt;&lt;/span&gt; fluxes. Comparison of estimates from diverse approaches and observations shows (1) no consensus in the mean and trend in land-use change emissions over the last decade, (2) a persistent low agreement between the different methods on the magnitude of the land CO&lt;span class=\"inline-formula\"&gt;&lt;sub&gt;2&lt;/sub&gt;&lt;/span&gt; flux in the northern extra-tropics, and (3) an apparent discrepancy between the different methods for the ocean sink outside the tropics, particularly in the Southern Ocean. This living data update documents changes in the methods and data sets used in this new global carbon budget and the progress in understanding of the global carbon cycle compared with previous publications&lt;span id=\"page3272\"/&gt; of this data set (Friedlingstein et al., 2019; Le Quéré et al., 2018b, a, 2016, 2015b, a, 2014, 2013). The data presented in this work are available at &lt;a href=\"https://doi.org/10.18160/gcp-2020\"&gt;https://doi.org/10.18160/gcp-2020&lt;/a&gt; (Friedlingstein et al., 2020).&lt;/p&gt;","container-title":"Earth System Science Data","DOI":"10.5194/essd-12-3269-2020","ISSN":"1866-3508","issue":"4","language":"English","note":"publisher: Copernicus GmbH","page":"3269-3340","source":"essd.copernicus.org","title":"Global Carbon Budget 2020","volume":"12","author":[{"family":"Friedlingstein","given":"Pierre"},{"family":"O'Sullivan","given":"Michael"},{"family":"Jones","given":"Matthew W."},{"family":"Andrew","given":"Robbie M."},{"family":"Hauck","given":"Judith"},{"family":"Olsen","given":"Are"},{"family":"Peters","given":"Glen P."},{"family":"Peters","given":"Wouter"},{"family":"Pongratz","given":"Julia"},{"family":"Sitch","given":"Stephen"},{"family":"Le Quéré","given":"Corinne"},{"family":"Canadell","given":"Josep G."},{"family":"Ciais","given":"Philippe"},{"family":"Jackson","given":"Robert B."},{"family":"Alin","given":"Simone"},{"family":"Aragão","given":"Luiz E. O. C."},{"family":"Arneth","given":"Almut"},{"family":"Arora","given":"Vivek"},{"family":"Bates","given":"Nicholas R."},{"family":"Becker","given":"Meike"},{"family":"Benoit-Cattin","given":"Alice"},{"family":"Bittig","given":"Henry C."},{"family":"Bopp","given":"Laurent"},{"family":"Bultan","given":"Selma"},{"family":"Chandra","given":"Naveen"},{"family":"Chevallier","given":"Frédéric"},{"family":"Chini","given":"Louise P."},{"family":"Evans","given":"Wiley"},{"family":"Florentie","given":"Liesbeth"},{"family":"Forster","given":"Piers M."},{"family":"Gasser","given":"Thomas"},{"family":"Gehlen","given":"Marion"},{"family":"Gilfillan","given":"Dennis"},{"family":"Gkritzalis","given":"Thanos"},{"family":"Gregor","given":"Luke"},{"family":"Gruber","given":"Nicolas"},{"family":"Harris","given":"Ian"},{"family":"Hartung","given":"Kerstin"},{"family":"Haverd","given":"Vanessa"},{"family":"Houghton","given":"Richard A."},{"family":"Ilyina","given":"Tatiana"},{"family":"Jain","given":"Atul K."},{"family":"Joetzjer","given":"Emilie"},{"family":"Kadono","given":"Koji"},{"family":"Kato","given":"Etsushi"},{"family":"Kitidis","given":"Vassilis"},{"family":"Korsbakken","given":"Jan Ivar"},{"family":"Landschützer","given":"Peter"},{"family":"Lefèvre","given":"Nathalie"},{"family":"Lenton","given":"Andrew"},{"family":"Lienert","given":"Sebastian"},{"family":"Liu","given":"Zhu"},{"family":"Lombardozzi","given":"Danica"},{"family":"Marland","given":"Gregg"},{"family":"Metzl","given":"Nicolas"},{"family":"Munro","given":"David R."},{"family":"Nabel","given":"Julia E. M. S."},{"family":"Nakaoka","given":"Shin-Ichiro"},{"family":"Niwa","given":"Yosuke"},{"family":"O'Brien","given":"Kevin"},{"family":"Ono","given":"Tsuneo"},{"family":"Palmer","given":"Paul I."},{"family":"Pierrot","given":"Denis"},{"family":"Poulter","given":"Benjamin"},{"family":"Resplandy","given":"Laure"},{"family":"Robertson","given":"Eddy"},{"family":"Rödenbeck","given":"Christian"},{"family":"Schwinger","given":"Jörg"},{"family":"Séférian","given":"Roland"},{"family":"Skjelvan","given":"Ingunn"},{"family":"Smith","given":"Adam J. P."},{"family":"Sutton","given":"Adrienne J."},{"family":"Tanhua","given":"Toste"},{"family":"Tans","given":"Pieter P."},{"family":"Tian","given":"Hanqin"},{"family":"Tilbrook","given":"Bronte"},{"family":"Werf","given":"Guido","non-dropping-particle":"van der"},{"family":"Vuichard","given":"Nicolas"},{"family":"Walker","given":"Anthony P."},{"family":"Wanninkhof","given":"Rik"},{"family":"Watson","given":"Andrew J."},{"family":"Willis","given":"David"},{"family":"Wiltshire","given":"Andrew J."},{"family":"Yuan","given":"Wenping"},{"family":"Yue","given":"Xu"},{"family":"Zaehle","given":"Sönke"}],"issued":{"date-parts":[["2020",12,11]]}}},{"id":71653,"uris":["http://zotero.org/users/666791/items/D6FAU3EN"],"uri":["http://zotero.org/users/666791/items/D6FAU3EN"],"itemData":{"id":71653,"type":"article-journal","abstract":"&lt;p&gt;&lt;strong class=\"journal-contentHeaderColor\"&gt;Abstract.&lt;/strong&gt; Accurate assessment of anthropogenic carbon dioxide (&lt;span class=\"inline-formula\"&gt;CO&lt;sub&gt;2&lt;/sub&gt;&lt;/span&gt;) emissions and their redistribution among the atmosphere, ocean, and terrestrial biosphere – the “global carbon budget” – is important to better understand the global carbon cycle, support the development of climate policies, and project future climate change. Here we describe data sets and methodology to quantify the five major components of the global carbon budget and their uncertainties. Fossil &lt;span class=\"inline-formula\"&gt;CO&lt;sub&gt;2&lt;/sub&gt;&lt;/span&gt; emissions (&lt;span class=\"inline-formula\"&gt;&lt;i&gt;E&lt;/i&gt;&lt;sub&gt;FF&lt;/sub&gt;&lt;/span&gt;) are based on energy statistics and cement production data, while emissions from land use and land-use change (&lt;span class=\"inline-formula\"&gt;&lt;i&gt;E&lt;/i&gt;&lt;sub&gt;LUC&lt;/sub&gt;&lt;/span&gt;), mainly deforestation, are based on land use and land-use change data and bookkeeping models. Atmospheric &lt;span class=\"inline-formula\"&gt;CO&lt;sub&gt;2&lt;/sub&gt;&lt;/span&gt; concentration is measured directly and its growth rate (&lt;span class=\"inline-formula\"&gt;&lt;i&gt;G&lt;/i&gt;&lt;sub&gt;ATM&lt;/sub&gt;&lt;/span&gt;) is computed from the annual changes in concentration. The ocean &lt;span class=\"inline-formula\"&gt;CO&lt;sub&gt;2&lt;/sub&gt;&lt;/span&gt; sink (&lt;span class=\"inline-formula\"&gt;&lt;i&gt;S&lt;/i&gt;&lt;sub&gt;OCEAN&lt;/sub&gt;&lt;/span&gt;) and terrestrial &lt;span class=\"inline-formula\"&gt;CO&lt;sub&gt;2&lt;/sub&gt;&lt;/span&gt; sink (&lt;span class=\"inline-formula\"&gt;&lt;i&gt;S&lt;/i&gt;&lt;sub&gt;LAND&lt;/sub&gt;&lt;/span&gt;) are estimated with global process models constrained by observations. The resulting carbon budget imbalance (&lt;span class=\"inline-formula\"&gt;&lt;i&gt;B&lt;/i&gt;&lt;sub&gt;IM&lt;/sub&gt;&lt;/span&gt;), the difference between the estimated total emissions and the estimated changes in the atmosphere, ocean, and terrestrial biosphere, is a measure of imperfect data and understanding of the contemporary carbon cycle. All uncertainties are reported as &lt;span class=\"inline-formula\"&gt;±1&lt;i&gt;σ&lt;/i&gt;&lt;/span&gt;. For the last decade available (2008–2017), &lt;span class=\"inline-formula\"&gt;&lt;i&gt;E&lt;/i&gt;&lt;sub&gt;FF&lt;/sub&gt;&lt;/span&gt; was &lt;span class=\"inline-formula\"&gt;9.4±0.5&lt;/span&gt;&amp;thinsp;GtC&amp;thinsp;yr&lt;span class=\"inline-formula\"&gt;&lt;sup&gt;−1&lt;/sup&gt;&lt;/span&gt;, &lt;span class=\"inline-formula\"&gt;&lt;i&gt;E&lt;/i&gt;&lt;sub&gt;LUC&lt;/sub&gt;&lt;/span&gt; &lt;span class=\"inline-formula\"&gt;1.5±0.7&lt;/span&gt;&amp;thinsp;GtC&amp;thinsp;yr&lt;span class=\"inline-formula\"&gt;&lt;sup&gt;−1&lt;/sup&gt;&lt;/span&gt;, &lt;span class=\"inline-formula\"&gt;&lt;i&gt;G&lt;/i&gt;&lt;sub&gt;ATM&lt;/sub&gt;&lt;/span&gt; &lt;span class=\"inline-formula\"&gt;4.7±0.02&lt;/span&gt;&amp;thinsp;GtC&amp;thinsp;yr&lt;span class=\"inline-formula\"&gt;&lt;sup&gt;−1&lt;/sup&gt;&lt;/span&gt;, &lt;span class=\"inline-formula\"&gt;&lt;i&gt;S&lt;/i&gt;&lt;sub&gt;OCEAN&lt;/sub&gt;&lt;/span&gt; &lt;span class=\"inline-formula\"&gt;2.4±0.5&lt;/span&gt;&amp;thinsp;GtC&amp;thinsp;yr&lt;span class=\"inline-formula\"&gt;&lt;sup&gt;−1&lt;/sup&gt;&lt;/span&gt;, and &lt;span class=\"inline-formula\"&gt;&lt;i&gt;S&lt;/i&gt;&lt;sub&gt;LAND&lt;/sub&gt;&lt;/span&gt; &lt;span class=\"inline-formula\"&gt;3.2±0.8&lt;/span&gt;&amp;thinsp;GtC&amp;thinsp;yr&lt;span class=\"inline-formula\"&gt;&lt;sup&gt;−1&lt;/sup&gt;&lt;/span&gt;, with a budget imbalance &lt;span class=\"inline-formula\"&gt;&lt;i&gt;B&lt;/i&gt;&lt;sub&gt;IM&lt;/sub&gt;&lt;/span&gt; of 0.5&amp;thinsp;GtC&amp;thinsp;yr&lt;span class=\"inline-formula\"&gt;&lt;sup&gt;−1&lt;/sup&gt;&lt;/span&gt; indicating overestimated emissions and/or underestimated sinks. For the year 2017 alone, the growth in &lt;span class=\"inline-formula\"&gt;&lt;i&gt;E&lt;/i&gt;&lt;sub&gt;FF&lt;/sub&gt;&lt;/span&gt; was about 1.6&amp;thinsp;% and emissions increased to &lt;span class=\"inline-formula\"&gt;9.9±0.5&lt;/span&gt;&amp;thinsp;GtC&amp;thinsp;yr&lt;span class=\"inline-formula\"&gt;&lt;sup&gt;−1&lt;/sup&gt;&lt;/span&gt;. Also for 2017, &lt;span class=\"inline-formula\"&gt;&lt;i&gt;E&lt;/i&gt;&lt;sub&gt;LUC&lt;/sub&gt;&lt;/span&gt; was &lt;span class=\"inline-formula\"&gt;1.4±0.7&lt;/span&gt;&amp;thinsp;GtC&amp;thinsp;yr&lt;span class=\"inline-formula\"&gt;&lt;sup&gt;−1&lt;/sup&gt;&lt;/span&gt;, &lt;span class=\"inline-formula\"&gt;&lt;i&gt;G&lt;/i&gt;&lt;sub&gt;ATM&lt;/sub&gt;&lt;/span&gt; was &lt;span class=\"inline-formula\"&gt;4.6±0.2&lt;/span&gt;&amp;thinsp;GtC&amp;thinsp;yr&lt;span class=\"inline-formula\"&gt;&lt;sup&gt;−1&lt;/sup&gt;&lt;/span&gt;, &lt;span class=\"inline-formula\"&gt;&lt;i&gt;S&lt;/i&gt;&lt;sub&gt;OCEAN&lt;/sub&gt;&lt;/span&gt; was &lt;span class=\"inline-formula\"&gt;2.5±0.5&lt;/span&gt;&amp;thinsp;GtC&amp;thinsp;yr&lt;span class=\"inline-formula\"&gt;&lt;sup&gt;−1&lt;/sup&gt;&lt;/span&gt;, and &lt;span class=\"inline-formula\"&gt;&lt;i&gt;S&lt;/i&gt;&lt;sub&gt;LAND&lt;/sub&gt;&lt;/span&gt; was &lt;span class=\"inline-formula\"&gt;3.8±0.8&lt;/span&gt;&amp;thinsp;GtC&amp;thinsp;yr&lt;span class=\"inline-formula\"&gt;&lt;sup&gt;−1&lt;/sup&gt;&lt;/span&gt;, with a &lt;span class=\"inline-formula\"&gt;&lt;i&gt;B&lt;/i&gt;&lt;sub&gt;IM&lt;/sub&gt;&lt;/span&gt; of 0.3&amp;thinsp;GtC. The global atmospheric &lt;span class=\"inline-formula\"&gt;CO&lt;sub&gt;2&lt;/sub&gt;&lt;/span&gt; concentration reached &lt;span class=\"inline-formula\"&gt;405.0±0.1&lt;/span&gt;&amp;thinsp;ppm averaged over 2017. For 2018, preliminary data for the first 6–9 months indicate a renewed growth in &lt;span class=\"inline-formula\"&gt;&lt;i&gt;E&lt;/i&gt;&lt;sub&gt;FF&lt;/sub&gt;&lt;/span&gt; of &lt;span class=\"inline-formula\"&gt;+&lt;/span&gt;2.7&amp;thinsp;% (range of 1.8&amp;thinsp;% to 3.7&amp;thinsp;%) based on national emission projections for China, the US, the EU, and India and projections of gross domestic product corrected for recent changes in the carbon intensity of the economy for the rest of the world. The analysis presented here shows that the mean and trend in the five components of the global carbon budget are consistently estimated over the period of 1959–2017, but discrepancies of up to 1&amp;thinsp;GtC&amp;thinsp;yr&lt;span class=\"inline-formula\"&gt;&lt;sup&gt;−1&lt;/sup&gt;&lt;/span&gt; persist for the representation of semi-decadal variability in &lt;span class=\"inline-formula\"&gt;CO&lt;sub&gt;2&lt;/sub&gt;&lt;/span&gt; fluxes. A detailed comparison among individual estimates and the introduction of a broad range of observations show (1) no consensus in the mean and trend in land-use change emissions, (2) a persistent low agreement among the different methods on the magnitude of the land &lt;span class=\"inline-formula\"&gt;CO&lt;sub&gt;2&lt;/sub&gt;&lt;/span&gt; flux in the northern extra-tropics, and (3) an apparent underestimation of the &lt;span class=\"inline-formula\"&gt;CO&lt;sub&gt;2&lt;/sub&gt;&lt;/span&gt; variability by ocean models, originating outside the tropics. This living data update documents changes in the methods and data sets used in this new global carbon budget and the progress in understanding the global carbon cycle compared with previous publications of this data set (Le Quéré et al., 2018, 2016, 2015a, b, 2014, 2013). All results presented here can be downloaded from &lt;span class=\"uri\"&gt;https://doi.org/10.18160/GCP-2018&lt;/span&gt;.&lt;/p&gt;","container-title":"Earth System Science Data","DOI":"10.5194/essd-10-2141-2018","ISSN":"1866-3508","issue":"4","language":"English","note":"publisher: Copernicus GmbH","page":"2141-2194","source":"essd.copernicus.org","title":"Global Carbon Budget 2018","volume":"10","author":[{"family":"Le Quéré","given":"Corinne"},{"family":"Andrew","given":"Robbie M."},{"family":"Friedlingstein","given":"Pierre"},{"family":"Sitch","given":"Stephen"},{"family":"Hauck","given":"Judith"},{"family":"Pongratz","given":"Julia"},{"family":"Pickers","given":"Penelope A."},{"family":"Korsbakken","given":"Jan Ivar"},{"family":"Peters","given":"Glen P."},{"family":"Canadell","given":"Josep G."},{"family":"Arneth","given":"Almut"},{"family":"Arora","given":"Vivek K."},{"family":"Barbero","given":"Leticia"},{"family":"Bastos","given":"Ana"},{"family":"Bopp","given":"Laurent"},{"family":"Chevallier","given":"Frédéric"},{"family":"Chini","given":"Louise P."},{"family":"Ciais","given":"Philippe"},{"family":"Doney","given":"Scott C."},{"family":"Gkritzalis","given":"Thanos"},{"family":"Goll","given":"Daniel S."},{"family":"Harris","given":"Ian"},{"family":"Haverd","given":"Vanessa"},{"family":"Hoffman","given":"Forrest M."},{"family":"Hoppema","given":"Mario"},{"family":"Houghton","given":"Richard A."},{"family":"Hurtt","given":"George"},{"family":"Ilyina","given":"Tatiana"},{"family":"Jain","given":"Atul K."},{"family":"Johannessen","given":"Truls"},{"family":"Jones","given":"Chris D."},{"family":"Kato","given":"Etsushi"},{"family":"Keeling","given":"Ralph F."},{"family":"Goldewijk","given":"Kees Klein"},{"family":"Landschützer","given":"Peter"},{"family":"Lefèvre","given":"Nathalie"},{"family":"Lienert","given":"Sebastian"},{"family":"Liu","given":"Zhu"},{"family":"Lombardozzi","given":"Danica"},{"family":"Metzl","given":"Nicolas"},{"family":"Munro","given":"David R."},{"family":"Nabel","given":"Julia E. M. S."},{"family":"Nakaoka","given":"Shin-ichiro"},{"family":"Neill","given":"Craig"},{"family":"Olsen","given":"Are"},{"family":"Ono","given":"Tsueno"},{"family":"Patra","given":"Prabir"},{"family":"Peregon","given":"Anna"},{"family":"Peters","given":"Wouter"},{"family":"Peylin","given":"Philippe"},{"family":"Pfeil","given":"Benjamin"},{"family":"Pierrot","given":"Denis"},{"family":"Poulter","given":"Benjamin"},{"family":"Rehder","given":"Gregor"},{"family":"Resplandy","given":"Laure"},{"family":"Robertson","given":"Eddy"},{"family":"Rocher","given":"Matthias"},{"family":"Rödenbeck","given":"Christian"},{"family":"Schuster","given":"Ute"},{"family":"Schwinger","given":"Jörg"},{"family":"Séférian","given":"Roland"},{"family":"Skjelvan","given":"Ingunn"},{"family":"Steinhoff","given":"Tobias"},{"family":"Sutton","given":"Adrienne"},{"family":"Tans","given":"Pieter P."},{"family":"Tian","given":"Hanqin"},{"family":"Tilbrook","given":"Bronte"},{"family":"Tubiello","given":"Francesco N."},{"family":"Laan-Luijkx","given":"Ingrid T.","non-dropping-particle":"van der"},{"family":"Werf","given":"Guido R.","non-dropping-particle":"van der"},{"family":"Viovy","given":"Nicolas"},{"family":"Walker","given":"Anthony P."},{"family":"Wiltshire","given":"Andrew J."},{"family":"Wright","given":"Rebecca"},{"family":"Zaehle","given":"Sönke"},{"family":"Zheng","given":"Bo"}],"issued":{"date-parts":[["2018",12,5]]}}},{"id":71656,"uris":["http://zotero.org/users/666791/items/6E4AQMTD"],"uri":["http://zotero.org/users/666791/items/6E4AQMTD"],"itemData":{"id":71656,"type":"article-journal","abstract":"As the applications of Earth system models (ESMs) move from general climate projections toward questions of mitigation and adaptation, the inclusion of land management practices in these models becomes crucial. We carried out a survey among modeling groups to show an evolution from models able only to deal with land-cover change to more sophisticated approaches that allow also for the partial integration of land management changes. For the longer term a comprehensive land management representation can be anticipated for all major models. To guide the prioritization of implementation, we evaluate ten land management practices—forestry harvest, tree species selection, grazing and mowing harvest, crop harvest, crop species selection, irrigation, wetland drainage, fertilization, tillage, and fire—for (1) their importance on the Earth system, (2) the possibility of implementing them in state-of-the-art ESMs, and (3) availability of required input data. Matching these criteria, we identify “low-hanging fruits” for the inclusion in ESMs, such as basic implementations of crop and forestry harvest and fertilization. We also identify research requirements for specific communities to address the remaining land management practices. Data availability severely hampers modeling the most extensive land management practice, grazing and mowing harvest, and is a limiting factor for a comprehensiv</w:instrText>
      </w:r>
      <w:r w:rsidR="000E5D40" w:rsidRPr="000E5D40">
        <w:rPr>
          <w:rFonts w:ascii="Times New Roman" w:hAnsi="Times New Roman" w:cs="Times New Roman"/>
          <w:sz w:val="24"/>
          <w:szCs w:val="24"/>
        </w:rPr>
        <w:instrText xml:space="preserve">e implementation of most other practices. Inadequate process understanding hampers even a basic assessment of crop species selection and tillage effects. The need for multiple advanced model structures will be the challenge for a comprehensive implementation of most practices but considerable synergy can be gained using the same structures for different practices. A continuous and closer collaboration of the modeling, Earth observation, and land system science communities is thus required to achieve the inclusion of land management in ESMs.","container-title":"Global Change Biology","DOI":"10.1111/gcb.13988","ISSN":"1365-2486","issue":"4","language":"en","note":"_eprint: https://onlinelibrary.wiley.com/doi/pdf/10.1111/gcb.13988","page":"1470-1487","source":"Wiley Online Library","title":"Models meet data: Challenges and opportunities in implementing land management in Earth system models","title-short":"Models meet data","volume":"24","author":[{"family":"Pongratz","given":"Julia"},{"family":"Dolman","given":"Han"},{"family":"Don","given":"Axel"},{"family":"Erb","given":"Karl-Heinz"},{"family":"Fuchs","given":"Richard"},{"family":"Herold","given":"Martin"},{"family":"Jones","given":"Chris"},{"family":"Kuemmerle","given":"Tobias"},{"family":"Luyssaert","given":"Sebastiaan"},{"family":"Meyfroidt","given":"Patrick"},{"family":"Naudts","given":"Kim"}],"issued":{"date-parts":[["2018"]]}}}],"schema":"https://github.com/citation-style-language/schema/raw/master/csl-citation.json"} </w:instrText>
      </w:r>
      <w:r w:rsidR="000E5D40">
        <w:rPr>
          <w:rFonts w:ascii="Times New Roman" w:hAnsi="Times New Roman" w:cs="Times New Roman"/>
          <w:sz w:val="24"/>
          <w:szCs w:val="24"/>
          <w:lang w:val="en-US"/>
        </w:rPr>
        <w:fldChar w:fldCharType="separate"/>
      </w:r>
      <w:r w:rsidR="000E5D40" w:rsidRPr="000E5D40">
        <w:rPr>
          <w:rFonts w:ascii="Times New Roman" w:hAnsi="Times New Roman" w:cs="Times New Roman"/>
          <w:sz w:val="24"/>
          <w:szCs w:val="24"/>
        </w:rPr>
        <w:t>(Friedlingstein et al., 2020; Le Quéré et al., 2018; Pongratz et al., 2018)</w:t>
      </w:r>
      <w:r w:rsidR="000E5D40">
        <w:rPr>
          <w:rFonts w:ascii="Times New Roman" w:hAnsi="Times New Roman" w:cs="Times New Roman"/>
          <w:sz w:val="24"/>
          <w:szCs w:val="24"/>
          <w:lang w:val="en-US"/>
        </w:rPr>
        <w:fldChar w:fldCharType="end"/>
      </w:r>
      <w:r w:rsidR="00920CD3" w:rsidRPr="000E5D40">
        <w:rPr>
          <w:rFonts w:ascii="Times New Roman" w:hAnsi="Times New Roman" w:cs="Times New Roman"/>
          <w:sz w:val="24"/>
          <w:szCs w:val="24"/>
        </w:rPr>
        <w:t>.</w:t>
      </w:r>
      <w:r w:rsidR="00195197" w:rsidRPr="000E5D40">
        <w:rPr>
          <w:rFonts w:ascii="Times New Roman" w:hAnsi="Times New Roman" w:cs="Times New Roman"/>
          <w:sz w:val="24"/>
          <w:szCs w:val="24"/>
        </w:rPr>
        <w:t xml:space="preserve"> </w:t>
      </w:r>
      <w:r w:rsidR="00C4023F">
        <w:rPr>
          <w:rFonts w:ascii="Times New Roman" w:hAnsi="Times New Roman" w:cs="Times New Roman"/>
          <w:sz w:val="24"/>
          <w:szCs w:val="24"/>
          <w:lang w:val="en-US"/>
        </w:rPr>
        <w:t xml:space="preserve">In terms of land-use intensity, e.g. </w:t>
      </w:r>
      <w:r w:rsidR="007D6C4C">
        <w:rPr>
          <w:rFonts w:ascii="Times New Roman" w:hAnsi="Times New Roman" w:cs="Times New Roman"/>
          <w:sz w:val="24"/>
          <w:szCs w:val="24"/>
          <w:lang w:val="en-US"/>
        </w:rPr>
        <w:t xml:space="preserve">measured as </w:t>
      </w:r>
      <w:r w:rsidR="00C4023F">
        <w:rPr>
          <w:rFonts w:ascii="Times New Roman" w:hAnsi="Times New Roman" w:cs="Times New Roman"/>
          <w:sz w:val="24"/>
          <w:szCs w:val="24"/>
          <w:lang w:val="en-US"/>
        </w:rPr>
        <w:t xml:space="preserve">dry-matter biomass output per </w:t>
      </w:r>
      <w:r w:rsidR="007D6C4C">
        <w:rPr>
          <w:rFonts w:ascii="Times New Roman" w:hAnsi="Times New Roman" w:cs="Times New Roman"/>
          <w:sz w:val="24"/>
          <w:szCs w:val="24"/>
          <w:lang w:val="en-US"/>
        </w:rPr>
        <w:t xml:space="preserve">unit </w:t>
      </w:r>
      <w:r w:rsidR="00C4023F">
        <w:rPr>
          <w:rFonts w:ascii="Times New Roman" w:hAnsi="Times New Roman" w:cs="Times New Roman"/>
          <w:sz w:val="24"/>
          <w:szCs w:val="24"/>
          <w:lang w:val="en-US"/>
        </w:rPr>
        <w:t xml:space="preserve">area </w:t>
      </w:r>
      <w:r w:rsidR="007D6C4C">
        <w:rPr>
          <w:rFonts w:ascii="Times New Roman" w:hAnsi="Times New Roman" w:cs="Times New Roman"/>
          <w:sz w:val="24"/>
          <w:szCs w:val="24"/>
          <w:lang w:val="en-US"/>
        </w:rPr>
        <w:t>and year</w:t>
      </w:r>
      <w:r w:rsidR="00C4023F">
        <w:rPr>
          <w:rFonts w:ascii="Times New Roman" w:hAnsi="Times New Roman" w:cs="Times New Roman"/>
          <w:sz w:val="24"/>
          <w:szCs w:val="24"/>
          <w:lang w:val="en-US"/>
        </w:rPr>
        <w:t xml:space="preserve">, </w:t>
      </w:r>
      <w:r w:rsidR="00195197">
        <w:rPr>
          <w:rFonts w:ascii="Times New Roman" w:hAnsi="Times New Roman" w:cs="Times New Roman"/>
          <w:sz w:val="24"/>
          <w:szCs w:val="24"/>
          <w:lang w:val="en-US"/>
        </w:rPr>
        <w:t>forests are</w:t>
      </w:r>
      <w:r w:rsidR="008F0578">
        <w:rPr>
          <w:rFonts w:ascii="Times New Roman" w:hAnsi="Times New Roman" w:cs="Times New Roman"/>
          <w:sz w:val="24"/>
          <w:szCs w:val="24"/>
          <w:lang w:val="en-US"/>
        </w:rPr>
        <w:t>, however,</w:t>
      </w:r>
      <w:r w:rsidR="00195197">
        <w:rPr>
          <w:rFonts w:ascii="Times New Roman" w:hAnsi="Times New Roman" w:cs="Times New Roman"/>
          <w:sz w:val="24"/>
          <w:szCs w:val="24"/>
          <w:lang w:val="en-US"/>
        </w:rPr>
        <w:t xml:space="preserve"> among the </w:t>
      </w:r>
      <w:r w:rsidR="00C4023F">
        <w:rPr>
          <w:rFonts w:ascii="Times New Roman" w:hAnsi="Times New Roman" w:cs="Times New Roman"/>
          <w:sz w:val="24"/>
          <w:szCs w:val="24"/>
          <w:lang w:val="en-US"/>
        </w:rPr>
        <w:t xml:space="preserve">least </w:t>
      </w:r>
      <w:r w:rsidR="00195197">
        <w:rPr>
          <w:rFonts w:ascii="Times New Roman" w:hAnsi="Times New Roman" w:cs="Times New Roman"/>
          <w:sz w:val="24"/>
          <w:szCs w:val="24"/>
          <w:lang w:val="en-US"/>
        </w:rPr>
        <w:t>intensively used land categories</w:t>
      </w:r>
      <w:r w:rsidR="008F0578">
        <w:rPr>
          <w:rFonts w:ascii="Times New Roman" w:hAnsi="Times New Roman" w:cs="Times New Roman"/>
          <w:sz w:val="24"/>
          <w:szCs w:val="24"/>
          <w:lang w:val="en-US"/>
        </w:rPr>
        <w:t>, but the intensity of use is increasing:</w:t>
      </w:r>
      <w:r w:rsidR="00C4023F">
        <w:rPr>
          <w:rFonts w:ascii="Times New Roman" w:hAnsi="Times New Roman" w:cs="Times New Roman"/>
          <w:sz w:val="24"/>
          <w:szCs w:val="24"/>
          <w:lang w:val="en-US"/>
        </w:rPr>
        <w:t xml:space="preserve"> </w:t>
      </w:r>
      <w:r w:rsidR="00195197">
        <w:rPr>
          <w:rFonts w:ascii="Times New Roman" w:hAnsi="Times New Roman" w:cs="Times New Roman"/>
          <w:sz w:val="24"/>
          <w:szCs w:val="24"/>
          <w:lang w:val="en-US"/>
        </w:rPr>
        <w:t>Since 1961 forestry harvest increased by 50%</w:t>
      </w:r>
      <w:r w:rsidR="000E5D40">
        <w:rPr>
          <w:rFonts w:ascii="Times New Roman" w:hAnsi="Times New Roman" w:cs="Times New Roman"/>
          <w:sz w:val="24"/>
          <w:szCs w:val="24"/>
          <w:lang w:val="en-US"/>
        </w:rPr>
        <w:t xml:space="preserve"> </w:t>
      </w:r>
      <w:r w:rsidR="000E5D40">
        <w:rPr>
          <w:rFonts w:ascii="Times New Roman" w:hAnsi="Times New Roman" w:cs="Times New Roman"/>
          <w:sz w:val="24"/>
          <w:szCs w:val="24"/>
          <w:lang w:val="en-US"/>
        </w:rPr>
        <w:fldChar w:fldCharType="begin"/>
      </w:r>
      <w:r w:rsidR="000E5D40">
        <w:rPr>
          <w:rFonts w:ascii="Times New Roman" w:hAnsi="Times New Roman" w:cs="Times New Roman"/>
          <w:sz w:val="24"/>
          <w:szCs w:val="24"/>
          <w:lang w:val="en-US"/>
        </w:rPr>
        <w:instrText xml:space="preserve"> ADDIN ZOTERO_ITEM CSL_CITATION {"citationID":"hL0WTMDS","properties":{"formattedCitation":"(FAO, 2021b)","plainCitation":"(FAO, 2021b)","noteIndex":0},"citationItems":[{"id":71659,"uris":["http://zotero.org/users/666791/items/2ZJ4VKZR"],"uri":["http://zotero.org/users/666791/items/2ZJ4VKZR"],"itemData":{"id":71659,"type":"book","event-place":"online [http://www.fao.org/faostat], last accessed 30.7.2021","publisher":"Food and Agriculture Organization of the United Nations","publisher-place":"online [http://www.fao.org/faostat], last accessed 30.7.2021","title":"FAOSTAT - Food and agriculture data","author":[{"family":"FAO","given":""}],"issued":{"date-parts":[["2021"]]}}}],"schema":"https://github.com/citation-style-language/schema/raw/master/csl-citation.json"} </w:instrText>
      </w:r>
      <w:r w:rsidR="000E5D40">
        <w:rPr>
          <w:rFonts w:ascii="Times New Roman" w:hAnsi="Times New Roman" w:cs="Times New Roman"/>
          <w:sz w:val="24"/>
          <w:szCs w:val="24"/>
          <w:lang w:val="en-US"/>
        </w:rPr>
        <w:fldChar w:fldCharType="separate"/>
      </w:r>
      <w:r w:rsidR="000E5D40" w:rsidRPr="000E5D40">
        <w:rPr>
          <w:rFonts w:ascii="Times New Roman" w:hAnsi="Times New Roman" w:cs="Times New Roman"/>
          <w:sz w:val="24"/>
          <w:lang w:val="en-US"/>
        </w:rPr>
        <w:t>(FAO, 2021b)</w:t>
      </w:r>
      <w:r w:rsidR="000E5D40">
        <w:rPr>
          <w:rFonts w:ascii="Times New Roman" w:hAnsi="Times New Roman" w:cs="Times New Roman"/>
          <w:sz w:val="24"/>
          <w:szCs w:val="24"/>
          <w:lang w:val="en-US"/>
        </w:rPr>
        <w:fldChar w:fldCharType="end"/>
      </w:r>
      <w:r w:rsidR="000704B4">
        <w:rPr>
          <w:rFonts w:ascii="Times New Roman" w:hAnsi="Times New Roman" w:cs="Times New Roman"/>
          <w:sz w:val="24"/>
          <w:szCs w:val="24"/>
          <w:lang w:val="en-US"/>
        </w:rPr>
        <w:t xml:space="preserve">. </w:t>
      </w:r>
      <w:r w:rsidR="00C4023F">
        <w:rPr>
          <w:rFonts w:ascii="Times New Roman" w:hAnsi="Times New Roman" w:cs="Times New Roman"/>
          <w:sz w:val="24"/>
          <w:szCs w:val="24"/>
          <w:lang w:val="en-US"/>
        </w:rPr>
        <w:t>Currently, the rate or deforestation, mainly dominating the forest area trends in tropical regions, appears to be declining</w:t>
      </w:r>
      <w:r w:rsidR="000E5D40">
        <w:rPr>
          <w:rFonts w:ascii="Times New Roman" w:hAnsi="Times New Roman" w:cs="Times New Roman"/>
          <w:sz w:val="24"/>
          <w:szCs w:val="24"/>
          <w:lang w:val="en-US"/>
        </w:rPr>
        <w:t xml:space="preserve"> </w:t>
      </w:r>
      <w:r w:rsidR="000E5D40">
        <w:rPr>
          <w:rFonts w:ascii="Times New Roman" w:hAnsi="Times New Roman" w:cs="Times New Roman"/>
          <w:sz w:val="24"/>
          <w:szCs w:val="24"/>
          <w:lang w:val="en-US"/>
        </w:rPr>
        <w:fldChar w:fldCharType="begin"/>
      </w:r>
      <w:r w:rsidR="000E5D40">
        <w:rPr>
          <w:rFonts w:ascii="Times New Roman" w:hAnsi="Times New Roman" w:cs="Times New Roman"/>
          <w:sz w:val="24"/>
          <w:szCs w:val="24"/>
          <w:lang w:val="en-US"/>
        </w:rPr>
        <w:instrText xml:space="preserve"> ADDIN ZOTERO_ITEM CSL_CITATION {"citationID":"xE9qmZLY","properties":{"formattedCitation":"(FAO, 2020)","plainCitation":"(FAO, 2020)","noteIndex":0},"citationItems":[{"id":71660,"uris":["http://zotero.org/users/666791/items/EKDAQM4A"],"uri":["http://zotero.org/users/666791/items/EKDAQM4A"],"itemData":{"id":71660,"type":"book","event-place":"online [https://doi.org/10.4060/ca9825en]","publisher":"Food and Agriculture Organization of the United Nations","publisher-place":"online [https://doi.org/10.4060/ca9825en]","title":"Global Forest Resources Assessment 2020","author":[{"family":"FAO","given":""}],"issued":{"date-parts":[["2020"]]}}}],"schema":"https://github.com/citation-style-language/schema/raw/master/csl-citation.json"} </w:instrText>
      </w:r>
      <w:r w:rsidR="000E5D40">
        <w:rPr>
          <w:rFonts w:ascii="Times New Roman" w:hAnsi="Times New Roman" w:cs="Times New Roman"/>
          <w:sz w:val="24"/>
          <w:szCs w:val="24"/>
          <w:lang w:val="en-US"/>
        </w:rPr>
        <w:fldChar w:fldCharType="separate"/>
      </w:r>
      <w:r w:rsidR="000E5D40" w:rsidRPr="000E5D40">
        <w:rPr>
          <w:rFonts w:ascii="Times New Roman" w:hAnsi="Times New Roman" w:cs="Times New Roman"/>
          <w:sz w:val="24"/>
          <w:lang w:val="en-US"/>
        </w:rPr>
        <w:t>(FAO, 2020)</w:t>
      </w:r>
      <w:r w:rsidR="000E5D40">
        <w:rPr>
          <w:rFonts w:ascii="Times New Roman" w:hAnsi="Times New Roman" w:cs="Times New Roman"/>
          <w:sz w:val="24"/>
          <w:szCs w:val="24"/>
          <w:lang w:val="en-US"/>
        </w:rPr>
        <w:fldChar w:fldCharType="end"/>
      </w:r>
      <w:r w:rsidR="00C4023F">
        <w:rPr>
          <w:rFonts w:ascii="Times New Roman" w:hAnsi="Times New Roman" w:cs="Times New Roman"/>
          <w:sz w:val="24"/>
          <w:szCs w:val="24"/>
          <w:lang w:val="en-US"/>
        </w:rPr>
        <w:t xml:space="preserve">, because of protection efforts and </w:t>
      </w:r>
      <w:r w:rsidR="000704B4">
        <w:rPr>
          <w:rFonts w:ascii="Times New Roman" w:hAnsi="Times New Roman" w:cs="Times New Roman"/>
          <w:sz w:val="24"/>
          <w:szCs w:val="24"/>
          <w:lang w:val="en-US"/>
        </w:rPr>
        <w:t>efforts of afforestation</w:t>
      </w:r>
      <w:r w:rsidR="00C4023F">
        <w:rPr>
          <w:rFonts w:ascii="Times New Roman" w:hAnsi="Times New Roman" w:cs="Times New Roman"/>
          <w:sz w:val="24"/>
          <w:szCs w:val="24"/>
          <w:lang w:val="en-US"/>
        </w:rPr>
        <w:t>. In the temperate and boreal regions, forest</w:t>
      </w:r>
      <w:r w:rsidR="008F0578">
        <w:rPr>
          <w:rFonts w:ascii="Times New Roman" w:hAnsi="Times New Roman" w:cs="Times New Roman"/>
          <w:sz w:val="24"/>
          <w:szCs w:val="24"/>
          <w:lang w:val="en-US"/>
        </w:rPr>
        <w:t>s</w:t>
      </w:r>
      <w:r w:rsidR="00C4023F">
        <w:rPr>
          <w:rFonts w:ascii="Times New Roman" w:hAnsi="Times New Roman" w:cs="Times New Roman"/>
          <w:sz w:val="24"/>
          <w:szCs w:val="24"/>
          <w:lang w:val="en-US"/>
        </w:rPr>
        <w:t xml:space="preserve"> are generally returning in consequence of fundamental large-scale changes of the socio-economic metabolism, in particular the availability of (fossil) energy that caused a reduced </w:t>
      </w:r>
      <w:r w:rsidR="000E5D40">
        <w:rPr>
          <w:rFonts w:ascii="Times New Roman" w:hAnsi="Times New Roman" w:cs="Times New Roman"/>
          <w:sz w:val="24"/>
          <w:szCs w:val="24"/>
          <w:lang w:val="en-US"/>
        </w:rPr>
        <w:t>d</w:t>
      </w:r>
      <w:r w:rsidR="00C4023F">
        <w:rPr>
          <w:rFonts w:ascii="Times New Roman" w:hAnsi="Times New Roman" w:cs="Times New Roman"/>
          <w:sz w:val="24"/>
          <w:szCs w:val="24"/>
          <w:lang w:val="en-US"/>
        </w:rPr>
        <w:t>emand for wood</w:t>
      </w:r>
      <w:r w:rsidR="000E5D40">
        <w:rPr>
          <w:rFonts w:ascii="Times New Roman" w:hAnsi="Times New Roman" w:cs="Times New Roman"/>
          <w:sz w:val="24"/>
          <w:szCs w:val="24"/>
          <w:lang w:val="en-US"/>
        </w:rPr>
        <w:t xml:space="preserve"> </w:t>
      </w:r>
      <w:r w:rsidR="00C4023F">
        <w:rPr>
          <w:rFonts w:ascii="Times New Roman" w:hAnsi="Times New Roman" w:cs="Times New Roman"/>
          <w:sz w:val="24"/>
          <w:szCs w:val="24"/>
          <w:lang w:val="en-US"/>
        </w:rPr>
        <w:t xml:space="preserve">fuel, as well surging means of agricultural intensification and transport, that reduced area demand for agriculture and subsequent reforestation </w:t>
      </w:r>
      <w:r w:rsidR="000E5D40">
        <w:rPr>
          <w:rFonts w:ascii="Times New Roman" w:hAnsi="Times New Roman" w:cs="Times New Roman"/>
          <w:sz w:val="24"/>
          <w:szCs w:val="24"/>
          <w:lang w:val="en-US"/>
        </w:rPr>
        <w:fldChar w:fldCharType="begin"/>
      </w:r>
      <w:r w:rsidR="000E5D40">
        <w:rPr>
          <w:rFonts w:ascii="Times New Roman" w:hAnsi="Times New Roman" w:cs="Times New Roman"/>
          <w:sz w:val="24"/>
          <w:szCs w:val="24"/>
          <w:lang w:val="en-US"/>
        </w:rPr>
        <w:instrText xml:space="preserve"> ADDIN ZOTERO_ITEM CSL_CITATION {"citationID":"Doe94YE8","properties":{"formattedCitation":"(Gingrich et al., 2019)","plainCitation":"(Gingrich et al., 2019)","noteIndex":0},"citationItems":[{"id":18058,"uris":["http://zotero.org/users/666791/items/8XGURRMS"],"uri":["http://zotero.org/users/666791/items/8XGURRMS"],"itemData":{"id":18058,"type":"article-journal","abstract":"Achieving a global forest transition, that is, a shift from net deforestation to reforestation, is essential for climate change mitigation. However, both land-based climate change mitigation policy and research on forest transitions neglect key processes that relieve pressure from forests, but cause emissions elsewhere (‘hidden emissions’). Here, we identify three major causes of hidden emissions of forest transitions, that is, emissions from agricultural intensification, from woodfuel substitution, and from land displacement. Taken together, these emissions may compromise the climate change mitigation effect of national forest transitions. We propose to link analyses of hidden emissions of forest transitions with quantifications of full socio-ecological greenhouse-gas accounts and analyses of their politics. Such an integration allows for drawing lessons for effective and just climate change mitigation policies.","container-title":"Current Opinion in Environmental Sustainability","DOI":"10.1016/j.cosust.2019.04.005","ISSN":"1877-3435","journalAbbreviation":"Current Opinion in Environmental Sustainability","page":"14-21","source":"ScienceDirect","title":"Hidden emissions of forest transitions: a socio-ecological reading of forest change","title-short":"Hidden emissions of forest transitions","volume":"38","author":[{"family":"Gingrich","given":"Simone"},{"family":"Lauk","given":"Christian"},{"family":"Niedertscheider","given":"Maria"},{"family":"Pichler","given":"Melanie"},{"family":"Schaffartzik","given":"Anke"},{"family":"Schmid","given":"Martin"},{"family":"Magerl","given":"Andreas"},{"family":"Le Noë","given":"Julia"},{"family":"Bhan","given":"Manan"},{"family":"Erb","given":"Karlheinz"}],"issued":{"date-parts":[["2019",6,1]]}}}],"schema":"https://github.com/citation-style-language/schema/raw/master/csl-citation.json"} </w:instrText>
      </w:r>
      <w:r w:rsidR="000E5D40">
        <w:rPr>
          <w:rFonts w:ascii="Times New Roman" w:hAnsi="Times New Roman" w:cs="Times New Roman"/>
          <w:sz w:val="24"/>
          <w:szCs w:val="24"/>
          <w:lang w:val="en-US"/>
        </w:rPr>
        <w:fldChar w:fldCharType="separate"/>
      </w:r>
      <w:r w:rsidR="000E5D40" w:rsidRPr="00880968">
        <w:rPr>
          <w:rFonts w:ascii="Times New Roman" w:hAnsi="Times New Roman" w:cs="Times New Roman"/>
          <w:sz w:val="24"/>
          <w:lang w:val="en-US"/>
        </w:rPr>
        <w:t>(Gingrich et al., 2019)</w:t>
      </w:r>
      <w:r w:rsidR="000E5D40">
        <w:rPr>
          <w:rFonts w:ascii="Times New Roman" w:hAnsi="Times New Roman" w:cs="Times New Roman"/>
          <w:sz w:val="24"/>
          <w:szCs w:val="24"/>
          <w:lang w:val="en-US"/>
        </w:rPr>
        <w:fldChar w:fldCharType="end"/>
      </w:r>
      <w:r w:rsidR="00C4023F">
        <w:rPr>
          <w:rFonts w:ascii="Times New Roman" w:hAnsi="Times New Roman" w:cs="Times New Roman"/>
          <w:sz w:val="24"/>
          <w:szCs w:val="24"/>
          <w:lang w:val="en-US"/>
        </w:rPr>
        <w:t xml:space="preserve">. Nevertheless, </w:t>
      </w:r>
      <w:r w:rsidR="000704B4">
        <w:rPr>
          <w:rFonts w:ascii="Times New Roman" w:hAnsi="Times New Roman" w:cs="Times New Roman"/>
          <w:sz w:val="24"/>
          <w:szCs w:val="24"/>
          <w:lang w:val="en-GB"/>
        </w:rPr>
        <w:t>uncertainties remain large</w:t>
      </w:r>
      <w:r w:rsidR="00C4023F">
        <w:rPr>
          <w:rFonts w:ascii="Times New Roman" w:hAnsi="Times New Roman" w:cs="Times New Roman"/>
          <w:sz w:val="24"/>
          <w:szCs w:val="24"/>
          <w:lang w:val="en-GB"/>
        </w:rPr>
        <w:t xml:space="preserve"> with regard to the overall outcomes of these contrasting trends</w:t>
      </w:r>
      <w:r w:rsidR="00880968">
        <w:rPr>
          <w:rFonts w:ascii="Times New Roman" w:hAnsi="Times New Roman" w:cs="Times New Roman"/>
          <w:sz w:val="24"/>
          <w:szCs w:val="24"/>
          <w:lang w:val="en-GB"/>
        </w:rPr>
        <w:t xml:space="preserve"> </w:t>
      </w:r>
      <w:r w:rsidR="00880968">
        <w:rPr>
          <w:rFonts w:ascii="Times New Roman" w:hAnsi="Times New Roman" w:cs="Times New Roman"/>
          <w:sz w:val="24"/>
          <w:szCs w:val="24"/>
          <w:lang w:val="en-GB"/>
        </w:rPr>
        <w:fldChar w:fldCharType="begin"/>
      </w:r>
      <w:r w:rsidR="00880968">
        <w:rPr>
          <w:rFonts w:ascii="Times New Roman" w:hAnsi="Times New Roman" w:cs="Times New Roman"/>
          <w:sz w:val="24"/>
          <w:szCs w:val="24"/>
          <w:lang w:val="en-GB"/>
        </w:rPr>
        <w:instrText xml:space="preserve"> ADDIN ZOTERO_ITEM CSL_CITATION {"citationID":"g4SzxaUf","properties":{"formattedCitation":"(Arneth et al., 2019)","plainCitation":"(Arneth et al., 2019)","noteIndex":0},"citationItems":[{"id":69269,"uris":["http://zotero.org/groups/226309/items/KVEQIXM6"],"uri":["http://zotero.org/groups/226309/items/KVEQIXM6"],"itemData":{"id":69269,"type":"chapter","container-title":"IPCC, 2019: Climate Change and Land: an IPCC special report on climate change, desertification, land degradation, sustainable land management, food security, and greenhouse gas fluxes in terrestrial ecosystems","language":"en","page":"77-129","publisher":"Cambridge University Press","title":"Framing and context","URL":"https://www.ipcc.ch/site/assets/uploads/sites/4/2019/12/04_Chapter-1.pdf","author":[{"family":"Arneth","given":"Almut"},{"family":"Denton","given":"Fatima"},{"family":"Fahmuddin","given":"Agus"},{"family":"Elbehri","given":"Aziz"},{"family":"Erb","given":"Karlheinz"},{"family":"Elasha","given":"Balgis Osman"},{"family":"Rahimi","given":"Mohammad"},{"family":"Rounsevell","given":"Mark"},{"family":"Spence","given":"Adrian"},{"family":"Valentini","given":"Riccardo"}],"editor":[{"family":"Shukla","given":"P. R."},{"family":"Skea","given":"J."},{"family":"Calvo Buendia","given":"E."},{"family":"Masson-Delmotte","given":"V."},{"family":"Pörtner","given":"H.-O."},{"family":"Roberts","given":"D.C."},{"family":"Zhai","given":"P."},{"family":"Slade","given":"R."},{"family":"Connors","given":"S."},{"family":"Diemen","given":"R.","non-dropping-particle":"van"},{"family":"Ferrat","given":"M."},{"family":"Haughey","given":"E."},{"family":"Luz","given":"S."},{"family":"Neogi","given":"S."},{"family":"Pathak","given":"M."},{"family":"Petzold","given":"J."},{"family":"Portugal-Pereira","given":"J."},{"family":"Vyas","given":"P."},{"family":"Huntley","given":"E."},{"family":"Kissick","given":"K."},{"family":"Belkacemi","given":"M."},{"family":"Malley","given":"J."}],"issued":{"date-parts":[["2019"]]}}}],"schema":"https://github.com/citation-style-language/schema/raw/master/csl-citation.json"} </w:instrText>
      </w:r>
      <w:r w:rsidR="00880968">
        <w:rPr>
          <w:rFonts w:ascii="Times New Roman" w:hAnsi="Times New Roman" w:cs="Times New Roman"/>
          <w:sz w:val="24"/>
          <w:szCs w:val="24"/>
          <w:lang w:val="en-GB"/>
        </w:rPr>
        <w:fldChar w:fldCharType="separate"/>
      </w:r>
      <w:r w:rsidR="00880968" w:rsidRPr="00880968">
        <w:rPr>
          <w:rFonts w:ascii="Times New Roman" w:hAnsi="Times New Roman" w:cs="Times New Roman"/>
          <w:sz w:val="24"/>
          <w:lang w:val="en-US"/>
        </w:rPr>
        <w:t>(Arneth et al., 2019)</w:t>
      </w:r>
      <w:r w:rsidR="00880968">
        <w:rPr>
          <w:rFonts w:ascii="Times New Roman" w:hAnsi="Times New Roman" w:cs="Times New Roman"/>
          <w:sz w:val="24"/>
          <w:szCs w:val="24"/>
          <w:lang w:val="en-GB"/>
        </w:rPr>
        <w:fldChar w:fldCharType="end"/>
      </w:r>
      <w:r w:rsidR="00C4023F">
        <w:rPr>
          <w:rFonts w:ascii="Times New Roman" w:hAnsi="Times New Roman" w:cs="Times New Roman"/>
          <w:sz w:val="24"/>
          <w:szCs w:val="24"/>
          <w:lang w:val="en-GB"/>
        </w:rPr>
        <w:t xml:space="preserve">. </w:t>
      </w:r>
      <w:r w:rsidR="000511D8">
        <w:rPr>
          <w:rFonts w:ascii="Times New Roman" w:hAnsi="Times New Roman" w:cs="Times New Roman"/>
          <w:sz w:val="24"/>
          <w:szCs w:val="24"/>
          <w:lang w:val="en-GB"/>
        </w:rPr>
        <w:t>The ongoing net loss of f</w:t>
      </w:r>
      <w:r w:rsidR="008C650C">
        <w:rPr>
          <w:rFonts w:ascii="Times New Roman" w:hAnsi="Times New Roman" w:cs="Times New Roman"/>
          <w:sz w:val="24"/>
          <w:szCs w:val="24"/>
          <w:lang w:val="en-GB"/>
        </w:rPr>
        <w:t>orests</w:t>
      </w:r>
      <w:r w:rsidR="000511D8">
        <w:rPr>
          <w:rFonts w:ascii="Times New Roman" w:hAnsi="Times New Roman" w:cs="Times New Roman"/>
          <w:sz w:val="24"/>
          <w:szCs w:val="24"/>
          <w:lang w:val="en-GB"/>
        </w:rPr>
        <w:t xml:space="preserve"> decreases the</w:t>
      </w:r>
      <w:r w:rsidR="008C650C">
        <w:rPr>
          <w:rFonts w:ascii="Times New Roman" w:hAnsi="Times New Roman" w:cs="Times New Roman"/>
          <w:sz w:val="24"/>
          <w:szCs w:val="24"/>
          <w:lang w:val="en-GB"/>
        </w:rPr>
        <w:t xml:space="preserve"> largest terrestrial carbon sink</w:t>
      </w:r>
      <w:r w:rsidR="000511D8">
        <w:rPr>
          <w:rFonts w:ascii="Times New Roman" w:hAnsi="Times New Roman" w:cs="Times New Roman"/>
          <w:sz w:val="24"/>
          <w:szCs w:val="24"/>
          <w:lang w:val="en-GB"/>
        </w:rPr>
        <w:t xml:space="preserve"> and has a major impact on the global carbon cycle</w:t>
      </w:r>
      <w:r w:rsidR="00C4023F">
        <w:rPr>
          <w:rFonts w:ascii="Times New Roman" w:hAnsi="Times New Roman" w:cs="Times New Roman"/>
          <w:sz w:val="24"/>
          <w:szCs w:val="24"/>
          <w:lang w:val="en-GB"/>
        </w:rPr>
        <w:t xml:space="preserve"> as well as for biodiversity </w:t>
      </w:r>
      <w:r w:rsidR="00880968">
        <w:rPr>
          <w:rFonts w:ascii="Times New Roman" w:hAnsi="Times New Roman" w:cs="Times New Roman"/>
          <w:sz w:val="24"/>
          <w:szCs w:val="24"/>
          <w:lang w:val="en-GB"/>
        </w:rPr>
        <w:fldChar w:fldCharType="begin"/>
      </w:r>
      <w:r w:rsidR="00880968">
        <w:rPr>
          <w:rFonts w:ascii="Times New Roman" w:hAnsi="Times New Roman" w:cs="Times New Roman"/>
          <w:sz w:val="24"/>
          <w:szCs w:val="24"/>
          <w:lang w:val="en-GB"/>
        </w:rPr>
        <w:instrText xml:space="preserve"> ADDIN ZOTERO_ITEM CSL_CITATION {"citationID":"RtCHYzgB","properties":{"formattedCitation":"(IPBES, 2019)","plainCitation":"(IPBES, 2019)","noteIndex":0},"citationItems":[{"id":70243,"uris":["http://zotero.org/users/666791/items/Y45MZLF8"],"uri":["http://zotero.org/users/666791/items/Y45MZLF8"],"itemData":{"id":70243,"type":"book","event-place":"Bonn,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Services","author":[{"family":"IPBES","given":""}],"issued":{"date-parts":[["2019"]]}}}],"schema":"https://github.com/citation-style-language/schema/raw/master/csl-citation.json"} </w:instrText>
      </w:r>
      <w:r w:rsidR="00880968">
        <w:rPr>
          <w:rFonts w:ascii="Times New Roman" w:hAnsi="Times New Roman" w:cs="Times New Roman"/>
          <w:sz w:val="24"/>
          <w:szCs w:val="24"/>
          <w:lang w:val="en-GB"/>
        </w:rPr>
        <w:fldChar w:fldCharType="separate"/>
      </w:r>
      <w:r w:rsidR="00880968" w:rsidRPr="00880968">
        <w:rPr>
          <w:rFonts w:ascii="Times New Roman" w:hAnsi="Times New Roman" w:cs="Times New Roman"/>
          <w:sz w:val="24"/>
          <w:lang w:val="en-US"/>
        </w:rPr>
        <w:t>(IPBES, 2019)</w:t>
      </w:r>
      <w:r w:rsidR="00880968">
        <w:rPr>
          <w:rFonts w:ascii="Times New Roman" w:hAnsi="Times New Roman" w:cs="Times New Roman"/>
          <w:sz w:val="24"/>
          <w:szCs w:val="24"/>
          <w:lang w:val="en-GB"/>
        </w:rPr>
        <w:fldChar w:fldCharType="end"/>
      </w:r>
      <w:r>
        <w:rPr>
          <w:rFonts w:ascii="Times New Roman" w:hAnsi="Times New Roman" w:cs="Times New Roman"/>
          <w:sz w:val="24"/>
          <w:szCs w:val="24"/>
          <w:lang w:val="en-GB"/>
        </w:rPr>
        <w:t>.</w:t>
      </w:r>
    </w:p>
    <w:p w14:paraId="3866A9E2" w14:textId="77777777" w:rsidR="00F60FC6" w:rsidRDefault="00F60FC6" w:rsidP="00A77681">
      <w:pPr>
        <w:spacing w:after="0" w:line="240" w:lineRule="auto"/>
        <w:rPr>
          <w:rFonts w:ascii="Times New Roman" w:hAnsi="Times New Roman" w:cs="Times New Roman"/>
          <w:sz w:val="24"/>
          <w:szCs w:val="24"/>
          <w:lang w:val="en-GB"/>
        </w:rPr>
      </w:pPr>
    </w:p>
    <w:p w14:paraId="4F880D45" w14:textId="525E27BB" w:rsidR="000B5A05" w:rsidRPr="00F60FC6" w:rsidRDefault="00CF4646" w:rsidP="000B5A05">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3</w:t>
      </w:r>
      <w:r w:rsidR="00F60FC6" w:rsidRPr="00F60FC6">
        <w:rPr>
          <w:rFonts w:ascii="Times New Roman" w:hAnsi="Times New Roman" w:cs="Times New Roman"/>
          <w:b/>
          <w:sz w:val="24"/>
          <w:szCs w:val="24"/>
          <w:lang w:val="en-US"/>
        </w:rPr>
        <w:t>.2 Impacts of land use on ecosystems: HANPP and similar approaches</w:t>
      </w:r>
    </w:p>
    <w:p w14:paraId="57A2C661" w14:textId="14E456A8" w:rsidR="00AC61A5" w:rsidRDefault="003028FD" w:rsidP="00AE5953">
      <w:pPr>
        <w:spacing w:after="0" w:line="240" w:lineRule="auto"/>
        <w:rPr>
          <w:rFonts w:ascii="Times New Roman" w:hAnsi="Times New Roman" w:cs="Times New Roman"/>
          <w:sz w:val="24"/>
          <w:szCs w:val="24"/>
          <w:lang w:val="en-US"/>
        </w:rPr>
      </w:pPr>
      <w:r w:rsidRPr="003028FD">
        <w:rPr>
          <w:rFonts w:ascii="Times New Roman" w:hAnsi="Times New Roman" w:cs="Times New Roman"/>
          <w:sz w:val="24"/>
          <w:szCs w:val="24"/>
          <w:lang w:val="en-US"/>
        </w:rPr>
        <w:t>Land use is a key link between social metabolism and impacts on biodiversity. By using the land, society alters patterns and processes in ecosystem. Two different impacts of land use on land cover are usually discerned in the literature: (</w:t>
      </w:r>
      <w:proofErr w:type="spellStart"/>
      <w:r w:rsidRPr="003028FD">
        <w:rPr>
          <w:rFonts w:ascii="Times New Roman" w:hAnsi="Times New Roman" w:cs="Times New Roman"/>
          <w:sz w:val="24"/>
          <w:szCs w:val="24"/>
          <w:lang w:val="en-US"/>
        </w:rPr>
        <w:t>i</w:t>
      </w:r>
      <w:proofErr w:type="spellEnd"/>
      <w:r w:rsidRPr="003028FD">
        <w:rPr>
          <w:rFonts w:ascii="Times New Roman" w:hAnsi="Times New Roman" w:cs="Times New Roman"/>
          <w:sz w:val="24"/>
          <w:szCs w:val="24"/>
          <w:lang w:val="en-US"/>
        </w:rPr>
        <w:t xml:space="preserve">) </w:t>
      </w:r>
      <w:r w:rsidR="00234C65">
        <w:rPr>
          <w:rFonts w:ascii="Times New Roman" w:hAnsi="Times New Roman" w:cs="Times New Roman"/>
          <w:sz w:val="24"/>
          <w:szCs w:val="24"/>
          <w:lang w:val="en-US"/>
        </w:rPr>
        <w:t>l</w:t>
      </w:r>
      <w:r w:rsidRPr="003028FD">
        <w:rPr>
          <w:rFonts w:ascii="Times New Roman" w:hAnsi="Times New Roman" w:cs="Times New Roman"/>
          <w:sz w:val="24"/>
          <w:szCs w:val="24"/>
          <w:lang w:val="en-US"/>
        </w:rPr>
        <w:t>and conversion, i.e. land use resulting in a conversion of land cover, i.e. the change from a forest to an agriculturally used field. (ii) land modification, i.e. modifications of many ecosystem processes without changing the broad land</w:t>
      </w:r>
      <w:r w:rsidR="00234C65">
        <w:rPr>
          <w:rFonts w:ascii="Times New Roman" w:hAnsi="Times New Roman" w:cs="Times New Roman"/>
          <w:sz w:val="24"/>
          <w:szCs w:val="24"/>
          <w:lang w:val="en-US"/>
        </w:rPr>
        <w:t>-</w:t>
      </w:r>
      <w:r w:rsidRPr="003028FD">
        <w:rPr>
          <w:rFonts w:ascii="Times New Roman" w:hAnsi="Times New Roman" w:cs="Times New Roman"/>
          <w:sz w:val="24"/>
          <w:szCs w:val="24"/>
          <w:lang w:val="en-US"/>
        </w:rPr>
        <w:t>cover type</w:t>
      </w:r>
      <w:r w:rsidR="00BB0853">
        <w:rPr>
          <w:rFonts w:ascii="Times New Roman" w:hAnsi="Times New Roman" w:cs="Times New Roman"/>
          <w:sz w:val="24"/>
          <w:szCs w:val="24"/>
          <w:lang w:val="en-US"/>
        </w:rPr>
        <w:t xml:space="preserve"> </w:t>
      </w:r>
      <w:r w:rsidR="00BB0853">
        <w:rPr>
          <w:rFonts w:ascii="Times New Roman" w:hAnsi="Times New Roman" w:cs="Times New Roman"/>
          <w:sz w:val="24"/>
          <w:szCs w:val="24"/>
          <w:lang w:val="en-US"/>
        </w:rPr>
        <w:fldChar w:fldCharType="begin"/>
      </w:r>
      <w:r w:rsidR="00BB0853">
        <w:rPr>
          <w:rFonts w:ascii="Times New Roman" w:hAnsi="Times New Roman" w:cs="Times New Roman"/>
          <w:sz w:val="24"/>
          <w:szCs w:val="24"/>
          <w:lang w:val="en-US"/>
        </w:rPr>
        <w:instrText xml:space="preserve"> ADDIN ZOTERO_ITEM CSL_CITATION {"citationID":"tTtLTkGB","properties":{"formattedCitation":"(Erb et al., 2018)","plainCitation":"(Erb et al., 2018)","noteIndex":0},"citationItems":[{"id":12642,"uris":["http://zotero.org/users/666791/items/MDP65R6M"],"uri":["http://zotero.org/users/666791/items/MDP65R6M"],"itemData":{"id":12642,"type":"article-journal","abstract":"Carbon stocks in vegetation have a key role in the climate system1,2,3,4. However, the magnitude, patterns and uncertainties of carbon stocks and the effect of land use on the stocks remain poorly quantified. Here we show, using state-of-the-art datasets, that vegetation currently stores around 450 petagrams of carbon. In the hypothetical absence of land use, potential vegetation would store around 916 petagrams of carbon, under current climate conditions. This difference highlights the massive effect of land use on biomass stocks. Deforestation and other land-cover changes are responsible for 53–58% of the difference between current and potential biomass stocks. Land management effects (the biomass stock changes induced by land use within the same land cover) contribute 42–47%, but have been underestimated in the literature. Therefore, avoiding deforestation is necessary but not sufficient for mitigation of climate change. Our results imply that trade-offs exist between conserving carbon stocks on managed land and raising the contribution of biomass to raw material and energy supply for the mitigation of climate change. Efforts to raise biomass stocks are currently verifiable only in temperate forests, where their potential is limited. By contrast, large uncertainties hinder verification in the tropical forest, where the largest potential is located, pointing to challenges for the upcoming stocktaking exercises under the Paris agreement.","container-title":"Nature","DOI":"10.1038/nature25138","ISSN":"1476-4687","issue":"7686","language":"en","page":"73-76","source":"www.nature.com","title":"Unexpectedly large impact of forest management and grazing on global vegetation biomass","volume":"553","author":[{"family":"Erb","given":"Karl-Heinz"},{"family":"Kastner","given":"Thomas"},{"family":"Plutzar","given":"Christoph"},{"family":"Bais","given":"Anna Liza S."},{"family":"Carvalhais","given":"Nuno"},{"family":"Fetzel","given":"Tamara"},{"family":"Gingrich","given":"Simone"},{"family":"Haberl","given":"Helmut"},{"family":"Lauk","given":"Christian"},{"family":"Niedertscheider","given":"Maria"},{"family":"Pongratz","given":"Julia"},{"family":"Thurner","given":"Martin"},{"family":"Luyssaert","given":"Sebastiaan"}],"issued":{"date-parts":[["2018",1]]}}}],"schema":"https://github.com/citation-style-language/schema/raw/master/csl-citation.json"} </w:instrText>
      </w:r>
      <w:r w:rsidR="00BB0853">
        <w:rPr>
          <w:rFonts w:ascii="Times New Roman" w:hAnsi="Times New Roman" w:cs="Times New Roman"/>
          <w:sz w:val="24"/>
          <w:szCs w:val="24"/>
          <w:lang w:val="en-US"/>
        </w:rPr>
        <w:fldChar w:fldCharType="separate"/>
      </w:r>
      <w:r w:rsidR="00BB0853" w:rsidRPr="00212084">
        <w:rPr>
          <w:rFonts w:ascii="Times New Roman" w:hAnsi="Times New Roman" w:cs="Times New Roman"/>
          <w:sz w:val="24"/>
          <w:lang w:val="en-US"/>
        </w:rPr>
        <w:t>(Erb et al., 2018)</w:t>
      </w:r>
      <w:r w:rsidR="00BB0853">
        <w:rPr>
          <w:rFonts w:ascii="Times New Roman" w:hAnsi="Times New Roman" w:cs="Times New Roman"/>
          <w:sz w:val="24"/>
          <w:szCs w:val="24"/>
          <w:lang w:val="en-US"/>
        </w:rPr>
        <w:fldChar w:fldCharType="end"/>
      </w:r>
      <w:r w:rsidRPr="003028FD">
        <w:rPr>
          <w:rFonts w:ascii="Times New Roman" w:hAnsi="Times New Roman" w:cs="Times New Roman"/>
          <w:sz w:val="24"/>
          <w:szCs w:val="24"/>
          <w:lang w:val="en-US"/>
        </w:rPr>
        <w:t xml:space="preserve">. Both </w:t>
      </w:r>
      <w:r w:rsidR="00D32B3A">
        <w:rPr>
          <w:rFonts w:ascii="Times New Roman" w:hAnsi="Times New Roman" w:cs="Times New Roman"/>
          <w:sz w:val="24"/>
          <w:szCs w:val="24"/>
          <w:lang w:val="en-US"/>
        </w:rPr>
        <w:t xml:space="preserve">of </w:t>
      </w:r>
      <w:r w:rsidRPr="003028FD">
        <w:rPr>
          <w:rFonts w:ascii="Times New Roman" w:hAnsi="Times New Roman" w:cs="Times New Roman"/>
          <w:sz w:val="24"/>
          <w:szCs w:val="24"/>
          <w:lang w:val="en-US"/>
        </w:rPr>
        <w:t xml:space="preserve">these </w:t>
      </w:r>
      <w:r w:rsidR="00D32B3A">
        <w:rPr>
          <w:rFonts w:ascii="Times New Roman" w:hAnsi="Times New Roman" w:cs="Times New Roman"/>
          <w:sz w:val="24"/>
          <w:szCs w:val="24"/>
          <w:lang w:val="en-US"/>
        </w:rPr>
        <w:t xml:space="preserve">interventions strongly affect </w:t>
      </w:r>
      <w:r w:rsidRPr="003028FD">
        <w:rPr>
          <w:rFonts w:ascii="Times New Roman" w:hAnsi="Times New Roman" w:cs="Times New Roman"/>
          <w:sz w:val="24"/>
          <w:szCs w:val="24"/>
          <w:lang w:val="en-US"/>
        </w:rPr>
        <w:t xml:space="preserve">ecosystem functioning. </w:t>
      </w:r>
      <w:r w:rsidR="007B081B">
        <w:rPr>
          <w:rFonts w:ascii="Times New Roman" w:hAnsi="Times New Roman" w:cs="Times New Roman"/>
          <w:sz w:val="24"/>
          <w:szCs w:val="24"/>
          <w:lang w:val="en-US"/>
        </w:rPr>
        <w:t xml:space="preserve">Land modification is often also denoted as effects of “land management” or “land-use intensity”. It is important to note that land-use intensity is a multidimensional concept, which </w:t>
      </w:r>
      <w:r w:rsidR="00BB0853">
        <w:rPr>
          <w:rFonts w:ascii="Times New Roman" w:hAnsi="Times New Roman" w:cs="Times New Roman"/>
          <w:sz w:val="24"/>
          <w:szCs w:val="24"/>
          <w:lang w:val="en-US"/>
        </w:rPr>
        <w:t xml:space="preserve">can be seen from at least three </w:t>
      </w:r>
      <w:r w:rsidR="007B081B">
        <w:rPr>
          <w:rFonts w:ascii="Times New Roman" w:hAnsi="Times New Roman" w:cs="Times New Roman"/>
          <w:sz w:val="24"/>
          <w:szCs w:val="24"/>
          <w:lang w:val="en-US"/>
        </w:rPr>
        <w:t>different perspectives</w:t>
      </w:r>
      <w:r w:rsidR="00BB0853">
        <w:rPr>
          <w:rFonts w:ascii="Times New Roman" w:hAnsi="Times New Roman" w:cs="Times New Roman"/>
          <w:sz w:val="24"/>
          <w:szCs w:val="24"/>
          <w:lang w:val="en-US"/>
        </w:rPr>
        <w:t xml:space="preserve"> </w:t>
      </w:r>
      <w:r w:rsidR="00BB0853">
        <w:rPr>
          <w:rFonts w:ascii="Times New Roman" w:hAnsi="Times New Roman" w:cs="Times New Roman"/>
          <w:sz w:val="24"/>
          <w:szCs w:val="24"/>
          <w:lang w:val="en-US"/>
        </w:rPr>
        <w:fldChar w:fldCharType="begin"/>
      </w:r>
      <w:r w:rsidR="00BB0853">
        <w:rPr>
          <w:rFonts w:ascii="Times New Roman" w:hAnsi="Times New Roman" w:cs="Times New Roman"/>
          <w:sz w:val="24"/>
          <w:szCs w:val="24"/>
          <w:lang w:val="en-US"/>
        </w:rPr>
        <w:instrText xml:space="preserve"> ADDIN ZOTERO_ITEM CSL_CITATION {"citationID":"mWl2obc3","properties":{"formattedCitation":"(Erb et al., 2013)","plainCitation":"(Erb et al., 2013)","noteIndex":0},"citationItems":[{"id":1100,"uris":["http://zotero.org/users/666791/items/3TRSZMK9"],"uri":["http://zotero.org/users/666791/items/3TRSZMK9"],"itemData":{"id":1100,"type":"article-journal","abstract":"Large knowledge gaps currently exist that limit our ability to understand and characterise dynamics and patterns of land-use intensity: in particular, a comprehensive conceptual framework and a system of measurement are lacking. This situation hampers the development of a sound understanding of the mechanisms, determinants, and constraints underlying changes in land-use intensity. On the basis of a review of approaches for studying land-use intensity, we propose a conceptual framework to quantify and analyse land-use intensity. This framework integrates three dimensions: (a) input intensity, (b) output intensity, and (c) the associated system-level impacts of land-based production (e.g. changes in carbon storage or biodiversity). The systematic development of indicators across these dimensions would provide opportunities for the systematic analyses of the trade-offs, synergies and opportunity costs of land-use intensification strategies.","container-title":"Current Opinion in Environmental Sustainability","DOI":"10.1016/j.cosust.2013.07.010","ISSN":"1877-3435","issue":"5","journalAbbreviation":"Current Opinion in Environmental Sustainability","page":"464-470","source":"ScienceDirect","title":"A conceptual framework for analysing and measuring land-use intensity","volume":"5","author":[{"family":"Erb","given":"Karl-Heinz"},{"family":"Haberl","given":"Helmut"},{"family":"Jepsen","given":"Martin Rudbeck"},{"family":"Kuemmerle","given":"Tobias"},{"family":"Lindner","given":"Marcus"},{"family":"Müller","given":"Daniel"},{"family":"Verburg","given":"Peter H"},{"family":"Reenberg","given":"Anette"}],"issued":{"date-parts":[["2013"]]}}}],"schema":"https://github.com/citation-style-language/schema/raw/master/csl-citation.json"} </w:instrText>
      </w:r>
      <w:r w:rsidR="00BB0853">
        <w:rPr>
          <w:rFonts w:ascii="Times New Roman" w:hAnsi="Times New Roman" w:cs="Times New Roman"/>
          <w:sz w:val="24"/>
          <w:szCs w:val="24"/>
          <w:lang w:val="en-US"/>
        </w:rPr>
        <w:fldChar w:fldCharType="separate"/>
      </w:r>
      <w:r w:rsidR="00BB0853" w:rsidRPr="00BB0853">
        <w:rPr>
          <w:rFonts w:ascii="Times New Roman" w:hAnsi="Times New Roman" w:cs="Times New Roman"/>
          <w:sz w:val="24"/>
          <w:lang w:val="en-US"/>
        </w:rPr>
        <w:t>(Erb et al., 2013)</w:t>
      </w:r>
      <w:r w:rsidR="00BB0853">
        <w:rPr>
          <w:rFonts w:ascii="Times New Roman" w:hAnsi="Times New Roman" w:cs="Times New Roman"/>
          <w:sz w:val="24"/>
          <w:szCs w:val="24"/>
          <w:lang w:val="en-US"/>
        </w:rPr>
        <w:fldChar w:fldCharType="end"/>
      </w:r>
      <w:r w:rsidR="00BB0853">
        <w:rPr>
          <w:rFonts w:ascii="Times New Roman" w:hAnsi="Times New Roman" w:cs="Times New Roman"/>
          <w:sz w:val="24"/>
          <w:szCs w:val="24"/>
          <w:lang w:val="en-US"/>
        </w:rPr>
        <w:t xml:space="preserve">: </w:t>
      </w:r>
      <w:r w:rsidR="007B081B">
        <w:rPr>
          <w:rFonts w:ascii="Times New Roman" w:hAnsi="Times New Roman" w:cs="Times New Roman"/>
          <w:sz w:val="24"/>
          <w:szCs w:val="24"/>
          <w:lang w:val="en-US"/>
        </w:rPr>
        <w:t>(</w:t>
      </w:r>
      <w:proofErr w:type="spellStart"/>
      <w:r w:rsidR="007B081B">
        <w:rPr>
          <w:rFonts w:ascii="Times New Roman" w:hAnsi="Times New Roman" w:cs="Times New Roman"/>
          <w:sz w:val="24"/>
          <w:szCs w:val="24"/>
          <w:lang w:val="en-US"/>
        </w:rPr>
        <w:t>i</w:t>
      </w:r>
      <w:proofErr w:type="spellEnd"/>
      <w:r w:rsidR="007B081B">
        <w:rPr>
          <w:rFonts w:ascii="Times New Roman" w:hAnsi="Times New Roman" w:cs="Times New Roman"/>
          <w:sz w:val="24"/>
          <w:szCs w:val="24"/>
          <w:lang w:val="en-US"/>
        </w:rPr>
        <w:t xml:space="preserve">) input-intensity, i.e. the amount of inputs in a land-based production system or per unit area (e.g. fertilizer use, irrigation, fencing, application of technical power for tillage, etc.), (ii) output intensity, i.e. the amount of biomass produced or harvested per unit of land, and (iii) the system-level changes induced by management, e.g. changes in the carbon state of ecosystems or in biodiversity </w:t>
      </w:r>
      <w:r w:rsidR="00D63382">
        <w:rPr>
          <w:rFonts w:ascii="Times New Roman" w:hAnsi="Times New Roman" w:cs="Times New Roman"/>
          <w:sz w:val="24"/>
          <w:szCs w:val="24"/>
          <w:lang w:val="en-US"/>
        </w:rPr>
        <w:fldChar w:fldCharType="begin"/>
      </w:r>
      <w:r w:rsidR="00D63382">
        <w:rPr>
          <w:rFonts w:ascii="Times New Roman" w:hAnsi="Times New Roman" w:cs="Times New Roman"/>
          <w:sz w:val="24"/>
          <w:szCs w:val="24"/>
          <w:lang w:val="en-US"/>
        </w:rPr>
        <w:instrText xml:space="preserve"> ADDIN ZOTERO_ITEM CSL_CITATION {"citationID":"i0oI407E","properties":{"formattedCitation":"(Bloom et al., 2016)","plainCitation":"(Bloom et al., 2016)","noteIndex":0},"citationItems":[{"id":2174,"uris":["http://zotero.org/users/666791/items/P4BEFXKN"],"uri":["http://zotero.org/users/666791/items/P4BEFXKN"],"itemData":{"id":2174,"type":"article-journal","abstract":"The terrestrial carbon cycle is currently the least constrained component of the global carbon budget. Large uncertainties stem from a poor understanding of plant carbon allocation, stocks, residence times, and carbon use efficiency. Imposing observational constraints on the terrestrial carbon cycle and its processes is, therefore, necessary to better understand its current state and predict its future state. We combine a diagnostic ecosystem carbon model with satellite observations of leaf area and biomass (where and when available) and soil carbon data to retrieve the first global estimates, to our knowledge, of carbon cycle state and process variables at a 1° × 1° resolution; retrieved variables are independent from the plant functional type and steady-state paradigms. Our results reveal global emergent relationships in the spatial distribution of key carbon cycle states and processes. Live biomass and dead organic carbon residence times exhibit contrasting spatial features (r = 0.3). Allocation to structural carbon is highest in the wet tropics (85–88%) in contrast to higher latitudes (73–82%), where allocation shifts toward photosynthetic carbon. Carbon use efficiency is lowest (0.42–0.44) in the wet tropics. We find an emergent global correlation between retrievals of leaf mass per leaf area and leaf lifespan (r = 0.64–0.80) that matches independent trait studies. We show that conventional land cover types cannot adequately describe the spatial variability of key carbon states and processes (multiple correlation median = 0.41). This mismatch has strong implications for the prediction of terrestrial carbon dynamics, which are currently based on globally applied parameters linked to land cover or plant functional types.","container-title":"Proceedings of the National Academy of Sciences","DOI":"10.1073/pnas.1515160113","ISSN":"0027-8424, 1091-6490","issue":"5","journalAbbreviation":"PNAS","language":"en","note":"PMID: 26787856","page":"1285-1290","source":"www.pnas.org","title":"The decadal state of the terrestrial carbon cycle: Global retrievals of terrestrial carbon allocation, pools, and residence times","title-short":"The decadal state of the terrestrial carbon cycle","volume":"113","author":[{"family":"Bloom","given":"A. Anthony"},{"family":"Exbrayat","given":"Jean-François"},{"family":"Velde","given":"Ivar R.","dropping-particle":"van der"},{"family":"Feng","given":"Liang"},{"family":"Williams","given":"Mathew"}],"issued":{"date-parts":[["2016",2,2]]}}}],"schema":"https://github.com/citation-style-language/schema/raw/master/csl-citation.json"} </w:instrText>
      </w:r>
      <w:r w:rsidR="00D63382">
        <w:rPr>
          <w:rFonts w:ascii="Times New Roman" w:hAnsi="Times New Roman" w:cs="Times New Roman"/>
          <w:sz w:val="24"/>
          <w:szCs w:val="24"/>
          <w:lang w:val="en-US"/>
        </w:rPr>
        <w:fldChar w:fldCharType="separate"/>
      </w:r>
      <w:r w:rsidR="00D63382" w:rsidRPr="0005649C">
        <w:rPr>
          <w:rFonts w:ascii="Times New Roman" w:hAnsi="Times New Roman" w:cs="Times New Roman"/>
          <w:sz w:val="24"/>
          <w:lang w:val="en-US"/>
        </w:rPr>
        <w:t>(Bloom et al., 2016)</w:t>
      </w:r>
      <w:r w:rsidR="00D63382">
        <w:rPr>
          <w:rFonts w:ascii="Times New Roman" w:hAnsi="Times New Roman" w:cs="Times New Roman"/>
          <w:sz w:val="24"/>
          <w:szCs w:val="24"/>
          <w:lang w:val="en-US"/>
        </w:rPr>
        <w:fldChar w:fldCharType="end"/>
      </w:r>
      <w:r w:rsidR="007B081B">
        <w:rPr>
          <w:rFonts w:ascii="Times New Roman" w:hAnsi="Times New Roman" w:cs="Times New Roman"/>
          <w:sz w:val="24"/>
          <w:szCs w:val="24"/>
          <w:lang w:val="en-US"/>
        </w:rPr>
        <w:t xml:space="preserve">. </w:t>
      </w:r>
      <w:r w:rsidR="00977543">
        <w:rPr>
          <w:rFonts w:ascii="Times New Roman" w:hAnsi="Times New Roman" w:cs="Times New Roman"/>
          <w:sz w:val="24"/>
          <w:szCs w:val="24"/>
          <w:lang w:val="en-US"/>
        </w:rPr>
        <w:t>These three dimensions are interrelated, but not necessarily in linear relationships, which renders it important to address all three dimensions in global change studies</w:t>
      </w:r>
      <w:r w:rsidR="0005649C">
        <w:rPr>
          <w:rFonts w:ascii="Times New Roman" w:hAnsi="Times New Roman" w:cs="Times New Roman"/>
          <w:sz w:val="24"/>
          <w:szCs w:val="24"/>
          <w:lang w:val="en-US"/>
        </w:rPr>
        <w:t xml:space="preserve"> </w:t>
      </w:r>
      <w:r w:rsidR="0005649C">
        <w:rPr>
          <w:rFonts w:ascii="Times New Roman" w:hAnsi="Times New Roman" w:cs="Times New Roman"/>
          <w:sz w:val="24"/>
          <w:szCs w:val="24"/>
          <w:lang w:val="en-US"/>
        </w:rPr>
        <w:fldChar w:fldCharType="begin"/>
      </w:r>
      <w:r w:rsidR="0005649C">
        <w:rPr>
          <w:rFonts w:ascii="Times New Roman" w:hAnsi="Times New Roman" w:cs="Times New Roman"/>
          <w:sz w:val="24"/>
          <w:szCs w:val="24"/>
          <w:lang w:val="en-US"/>
        </w:rPr>
        <w:instrText xml:space="preserve"> ADDIN ZOTERO_ITEM CSL_CITATION {"citationID":"xP88eqVl","properties":{"formattedCitation":"(Dullinger et al., 2021; Kehoe et al., 2015)","plainCitation":"(Dullinger et al., 2021; Kehoe et al., 2015)","noteIndex":0},"citationItems":[{"id":71105,"uris":["http://zotero.org/users/666791/items/5UY4ANBG"],"uri":["http://zotero.org/users/666791/items/5UY4ANBG"],"itemData":{"id":71105,"type":"article-journal","abstract":"Background Land use is the major driver of the current biodiversity crisis. However, its impact is not yet adequately reflected in biodiversity scenarios. In particular, effects of land-use intensity are often neglected although natural limits to land conversion will likely enforce further land-use intensification in the future. Aims and innovation We argue that integration of land-use intensity into biodiversity models should ideally be based on a proper conceptualization of the land-use intensity phenomenon. We, therefore, present terminological distinctions and a conceptual framework developed in land system science. The framework distinguishes three dimensions of land-use intensity: input intensity, output intensity, and alterations of system properties. We discuss nonlinearities and intricacies of the relationships among these dimensions as well as their direct and indirect relationships to biodiversity. In an explorative literature assessment we demonstrate that the multi-dimensional nature of land-use intensity appears insufficiently reflected in biodiversity research. Finally, we discuss issues of data availability that limit integration of land-use intensity into spatially and temporally explicit biodiversity modelling. Conclusion Research on the relationship between land use and biodiversity would profit from a more systematic and comprehensive consideration of land-use intensity. While there is no standard recipe for combining indicators of land-use intensity in biodiversity studies the input–output–system distinction is a useful conceptual basis for study designs. More generally, better integration of biodiversity and land system science would foster understanding and predicting the consequences of land-use intensification on biodiversity.","container-title":"Global Ecology and Biogeography","DOI":"https://doi.org/10.1111/geb.13289","ISSN":"1466-8238","issue":"5","language":"en","note":"_eprint: https://onlinelibrary.wiley.com/doi/pdf/10.1111/geb.13289","page":"924-932","source":"Wiley Online Library","title":"Biodiversity models need to represent land-use intensity more comprehensively","volume":"30","author":[{"family":"Dullinger","given":"Iwona"},{"family":"Essl","given":"Franz"},{"family":"Moser","given":"Dietmar"},{"family":"Erb","given":"Karlheinz"},{"family":"Haberl","given":"Helmut"},{"family":"Dullinger","given":"Stefan"}],"issued":{"date-parts":[["2021"]]}}},{"id":70929,"uris":["http://zotero.org/users/666791/items/BWRTYPZB"],"uri":["http://zotero.org/users/666791/items/BWRTYPZB"],"itemData":{"id":70929,"type":"article-journal","abstract":"Aim Land-use change is the single biggest cause of biodiversity loss. With a rising demand for resources, understanding how and where agriculture threatens biodiversity is of increasing importance. Agricultural expansion has received much attention, but where high agricultural land-use intensity (LUI) threatens biodiversity remains unclear. We address this knowledge gap with two main research questions: (1) Where do global patterns of LUI coincide with the spatial distribution of biodiversity? (2) Where are regions of potential conflict between different aspects of high LUI and high biodiversity? Location Global. Methods We overlaid thirteen LUI metrics with endemism richness, a range size-weighted species richness indicator, for mammals, birds and amphibians. We then used local indicators of spatial association to delineate statistically significant (P &lt; 0.05) areas of high and low LUI associated with biodiversity. Results Patterns of LUI are heterogeneously distributed in areas of high endemism richness, thus discouraging the use of a single metric to represent LUI. Many regions where high LUI and high endemism richness coincide, for example in South America, China and Eastern Africa, are not within currently recognized biodiversity hotspots. Regions of currently low LUI and high endemism richness, found in many parts of Mesoamerica, Eastern Africa and Southeast Asia, may be at risk as intensification accelerates. Main conclusions We provide a global view of the geographic patterns of LUI and its concordance with endemism richness, shedding light on regions where highly intensive agriculture and unique biodiversity coincide. Past assessments of land-use impacts on biodiversity have either disregarded LUI or included a single metric to measure it. This study demonstrates that such omission can substantially underestimate biodiversity threat. A wider spectrum of relevant LUI metrics needs to be considered when balancing agricultural production and biodiversity.","container-title":"Diversity and Distributions","DOI":"https://doi.org/10.1111/ddi.12359","ISSN":"1472-4642","issue":"11","language":"en","note":"_eprint: https://onlinelibrary.wiley.com/doi/pdf/10.1111/ddi.12359","page":"1308-1318","source":"Wiley Online Library","title":"Global patterns of agricultural land-use intensity and vertebrate diversity","volume":"21","author":[{"family":"Kehoe","given":"Laura"},{"family":"Kuemmerle","given":"Tobias"},{"family":"Meyer","given":"Carsten"},{"family":"Levers","given":"Christian"},{"family":"Václavík","given":"Tomáš"},{"family":"Kreft","given":"Holger"}],"issued":{"date-parts":[["2015"]]}}}],"schema":"https://github.com/citation-style-language/schema/raw/master/csl-citation.json"} </w:instrText>
      </w:r>
      <w:r w:rsidR="0005649C">
        <w:rPr>
          <w:rFonts w:ascii="Times New Roman" w:hAnsi="Times New Roman" w:cs="Times New Roman"/>
          <w:sz w:val="24"/>
          <w:szCs w:val="24"/>
          <w:lang w:val="en-US"/>
        </w:rPr>
        <w:fldChar w:fldCharType="separate"/>
      </w:r>
      <w:r w:rsidR="0005649C" w:rsidRPr="0005649C">
        <w:rPr>
          <w:rFonts w:ascii="Times New Roman" w:hAnsi="Times New Roman" w:cs="Times New Roman"/>
          <w:sz w:val="24"/>
          <w:lang w:val="en-US"/>
        </w:rPr>
        <w:t>(Dullinger et al., 2021; Kehoe et al., 2015)</w:t>
      </w:r>
      <w:r w:rsidR="0005649C">
        <w:rPr>
          <w:rFonts w:ascii="Times New Roman" w:hAnsi="Times New Roman" w:cs="Times New Roman"/>
          <w:sz w:val="24"/>
          <w:szCs w:val="24"/>
          <w:lang w:val="en-US"/>
        </w:rPr>
        <w:fldChar w:fldCharType="end"/>
      </w:r>
      <w:r w:rsidR="00977543">
        <w:rPr>
          <w:rFonts w:ascii="Times New Roman" w:hAnsi="Times New Roman" w:cs="Times New Roman"/>
          <w:sz w:val="24"/>
          <w:szCs w:val="24"/>
          <w:lang w:val="en-US"/>
        </w:rPr>
        <w:t xml:space="preserve">. </w:t>
      </w:r>
      <w:r w:rsidR="007B081B">
        <w:rPr>
          <w:rFonts w:ascii="Times New Roman" w:hAnsi="Times New Roman" w:cs="Times New Roman"/>
          <w:sz w:val="24"/>
          <w:szCs w:val="24"/>
          <w:lang w:val="en-US"/>
        </w:rPr>
        <w:t xml:space="preserve">Defining robust and unambiguous indicators for these three dimensions is intricate, </w:t>
      </w:r>
      <w:r w:rsidR="00BB0853">
        <w:rPr>
          <w:rFonts w:ascii="Times New Roman" w:hAnsi="Times New Roman" w:cs="Times New Roman"/>
          <w:sz w:val="24"/>
          <w:szCs w:val="24"/>
          <w:lang w:val="en-US"/>
        </w:rPr>
        <w:t xml:space="preserve">for input intensity </w:t>
      </w:r>
      <w:r w:rsidR="007B081B">
        <w:rPr>
          <w:rFonts w:ascii="Times New Roman" w:hAnsi="Times New Roman" w:cs="Times New Roman"/>
          <w:sz w:val="24"/>
          <w:szCs w:val="24"/>
          <w:lang w:val="en-US"/>
        </w:rPr>
        <w:t>(</w:t>
      </w:r>
      <w:proofErr w:type="spellStart"/>
      <w:r w:rsidR="007B081B">
        <w:rPr>
          <w:rFonts w:ascii="Times New Roman" w:hAnsi="Times New Roman" w:cs="Times New Roman"/>
          <w:sz w:val="24"/>
          <w:szCs w:val="24"/>
          <w:lang w:val="en-US"/>
        </w:rPr>
        <w:t>i</w:t>
      </w:r>
      <w:proofErr w:type="spellEnd"/>
      <w:r w:rsidR="007B081B">
        <w:rPr>
          <w:rFonts w:ascii="Times New Roman" w:hAnsi="Times New Roman" w:cs="Times New Roman"/>
          <w:sz w:val="24"/>
          <w:szCs w:val="24"/>
          <w:lang w:val="en-US"/>
        </w:rPr>
        <w:t xml:space="preserve">) due to the incommensurability of inputs like labor and fertilizers, </w:t>
      </w:r>
      <w:r w:rsidR="00BB0853">
        <w:rPr>
          <w:rFonts w:ascii="Times New Roman" w:hAnsi="Times New Roman" w:cs="Times New Roman"/>
          <w:sz w:val="24"/>
          <w:szCs w:val="24"/>
          <w:lang w:val="en-US"/>
        </w:rPr>
        <w:t>for output intensity</w:t>
      </w:r>
      <w:r w:rsidR="007B081B">
        <w:rPr>
          <w:rFonts w:ascii="Times New Roman" w:hAnsi="Times New Roman" w:cs="Times New Roman"/>
          <w:sz w:val="24"/>
          <w:szCs w:val="24"/>
          <w:lang w:val="en-US"/>
        </w:rPr>
        <w:t xml:space="preserve"> (ii) due to the large global heterogeneity in natural productivity, and </w:t>
      </w:r>
      <w:r w:rsidR="00BB0853">
        <w:rPr>
          <w:rFonts w:ascii="Times New Roman" w:hAnsi="Times New Roman" w:cs="Times New Roman"/>
          <w:sz w:val="24"/>
          <w:szCs w:val="24"/>
          <w:lang w:val="en-US"/>
        </w:rPr>
        <w:t xml:space="preserve">the system-level perspective </w:t>
      </w:r>
      <w:r w:rsidR="007B081B">
        <w:rPr>
          <w:rFonts w:ascii="Times New Roman" w:hAnsi="Times New Roman" w:cs="Times New Roman"/>
          <w:sz w:val="24"/>
          <w:szCs w:val="24"/>
          <w:lang w:val="en-US"/>
        </w:rPr>
        <w:t xml:space="preserve">(iii) due to the prevailing lack of time series data and </w:t>
      </w:r>
      <w:r w:rsidR="00977543">
        <w:rPr>
          <w:rFonts w:ascii="Times New Roman" w:hAnsi="Times New Roman" w:cs="Times New Roman"/>
          <w:sz w:val="24"/>
          <w:szCs w:val="24"/>
          <w:lang w:val="en-US"/>
        </w:rPr>
        <w:t>intricacies</w:t>
      </w:r>
      <w:r w:rsidR="007B081B">
        <w:rPr>
          <w:rFonts w:ascii="Times New Roman" w:hAnsi="Times New Roman" w:cs="Times New Roman"/>
          <w:sz w:val="24"/>
          <w:szCs w:val="24"/>
          <w:lang w:val="en-US"/>
        </w:rPr>
        <w:t xml:space="preserve"> related to construct</w:t>
      </w:r>
      <w:r w:rsidR="00085E84">
        <w:rPr>
          <w:rFonts w:ascii="Times New Roman" w:hAnsi="Times New Roman" w:cs="Times New Roman"/>
          <w:sz w:val="24"/>
          <w:szCs w:val="24"/>
          <w:lang w:val="en-US"/>
        </w:rPr>
        <w:t>ing</w:t>
      </w:r>
      <w:r w:rsidR="007B081B">
        <w:rPr>
          <w:rFonts w:ascii="Times New Roman" w:hAnsi="Times New Roman" w:cs="Times New Roman"/>
          <w:sz w:val="24"/>
          <w:szCs w:val="24"/>
          <w:lang w:val="en-US"/>
        </w:rPr>
        <w:t xml:space="preserve"> causal interrelationships between drivers and impacts in complex systems</w:t>
      </w:r>
      <w:r w:rsidR="0005649C">
        <w:rPr>
          <w:rFonts w:ascii="Times New Roman" w:hAnsi="Times New Roman" w:cs="Times New Roman"/>
          <w:sz w:val="24"/>
          <w:szCs w:val="24"/>
          <w:lang w:val="en-US"/>
        </w:rPr>
        <w:t xml:space="preserve"> </w:t>
      </w:r>
      <w:r w:rsidR="0005649C">
        <w:rPr>
          <w:rFonts w:ascii="Times New Roman" w:hAnsi="Times New Roman" w:cs="Times New Roman"/>
          <w:sz w:val="24"/>
          <w:szCs w:val="24"/>
          <w:lang w:val="en-US"/>
        </w:rPr>
        <w:fldChar w:fldCharType="begin"/>
      </w:r>
      <w:r w:rsidR="0005649C">
        <w:rPr>
          <w:rFonts w:ascii="Times New Roman" w:hAnsi="Times New Roman" w:cs="Times New Roman"/>
          <w:sz w:val="24"/>
          <w:szCs w:val="24"/>
          <w:lang w:val="en-US"/>
        </w:rPr>
        <w:instrText xml:space="preserve"> ADDIN ZOTERO_ITEM CSL_CITATION {"citationID":"4uJz2Fnm","properties":{"formattedCitation":"(Erb et al., 2013; K. H. Erb et al., 2016; Kuemmerle et al., 2013)","plainCitation":"(Erb et al., 2013; K. H. Erb et al., 2016; Kuemmerle et al., 2013)","noteIndex":0},"citationItems":[{"id":9175,"uris":["http://zotero.org/groups/226309/items/NXHGMI5J"],"uri":["http://zotero.org/groups/226309/items/NXHGMI5J"],"itemData":{"id":9175,"type":"chapter","container-title":"Social Ecology. Society-Nature Relations across Time and Space","event-place":"Cham","ISBN":"978-3-319-33324-3","language":"Englisch","note":"DOI: 10.1007/978-3-319-33326-7_4","page":"93-124","publisher":"Springer International Publishing","publisher-place":"Cham","title":"Beyond Inputs and Outputs: Opening the Black-Box of Land-Use Intensity","URL":"https://link.springer.com/chapter/10.1007%2F978-3-319-33326-7_4","volume":"5","author":[{"family":"Erb","given":"Karl Heinz"},{"family":"Fetzel","given":"Tamara"},{"family":"Haberl","given":"Helmut"},{"family":"Kastner","given":"Thomas"},{"family":"Kroisleitner","given":"Christine"},{"family":"Lauk","given":"Christian"},{"family":"Niedertscheider","given":"Maria"},{"family":"Plutzar","given":"Christoph"}],"editor":[{"family":"Haberl","given":"Helmut"},{"family":"Fischer-Kowalski","given":"Marina"},{"family":"Krausmann","given":"Fridolin"},{"family":"Winiwarter","given":"Verena"}],"issued":{"date-parts":[["2016"]]}}},{"id":1100,"uris":["http://zotero.org/users/666791/items/3TRSZMK9"],"uri":["http://zotero.org/users/666791/items/3TRSZMK9"],"itemData":{"id":1100,"type":"article-journal","abstract":"Large knowledge gaps currently exist that limit our ability to understand and characterise dynamics and patterns of land-use intensity: in particular, a comprehensive conceptual framework and a system of measurement are lacking. This situation hampers the development of a sound understanding of the mechanisms, determinants, and constraints underlying changes in land-use intensity. On the basis of a review of approaches for studying land-use intensity, we propose a conceptual framework to quantify and analyse land-use intensity. This framework integrates three dimensions: (a) input intensity, (b) output intensity, and (c) the associated system-level impacts of land-based production (e.g. changes in carbon storage or biodiversity). The systematic development of indicators across these dimensions would provide opportunities for the systematic analyses of the trade-offs, synergies and opportunity costs of land-use intensification strategies.","container-title":"Current Opinion in Environmental Sustainability","DOI":"10.1016/j.cosust.2013.07.010","ISSN":"1877-3435","issue":"5","journalAbbreviation":"Current Opinion in Environmental Sustainability","page":"464-470","source":"ScienceDirect","title":"A conceptual framework for analysing and measuring land-use intensity","volume":"5","author":[{"family":"Erb","given":"Karl-Heinz"},{"family":"Haberl","given":"Helmut"},{"family":"Jepsen","given":"Martin Rudbeck"},{"family":"Kuemmerle","given":"Tobias"},{"family":"Lindner","given":"Marcus"},{"family":"Müller","given":"Daniel"},{"family":"Verburg","given":"Peter H"},{"family":"Reenberg","given":"Anette"}],"issued":{"date-parts":[["2013"]]}}},{"id":1118,"uris":["http://zotero.org/users/666791/items/BRHCP8IB"],"uri":["http://zotero.org/users/666791/items/BRHCP8IB"],"itemData":{"id":1118,"type":"article-journal","abstract":"Future increases in land-based production will need to focus more on sustainably intensifying existing production systems. Unfortunately, our understanding of the global patterns of land use intensity is weak, partly because land use intensity is a complex, multidimensional term, and partly because we lack appropriate datasets to assess land use intensity across broad geographic extents. </w:instrText>
      </w:r>
      <w:r w:rsidR="0005649C" w:rsidRPr="0005649C">
        <w:rPr>
          <w:rFonts w:ascii="Times New Roman" w:hAnsi="Times New Roman" w:cs="Times New Roman"/>
          <w:sz w:val="24"/>
          <w:szCs w:val="24"/>
        </w:rPr>
        <w:instrText>Here, we review the state of the art regarding approaches f</w:instrText>
      </w:r>
      <w:r w:rsidR="0005649C" w:rsidRPr="00212084">
        <w:rPr>
          <w:rFonts w:ascii="Times New Roman" w:hAnsi="Times New Roman" w:cs="Times New Roman"/>
          <w:sz w:val="24"/>
          <w:szCs w:val="24"/>
        </w:rPr>
        <w:instrText>or mappin</w:instrText>
      </w:r>
      <w:r w:rsidR="0005649C" w:rsidRPr="00BB0853">
        <w:rPr>
          <w:rFonts w:ascii="Times New Roman" w:hAnsi="Times New Roman" w:cs="Times New Roman"/>
          <w:sz w:val="24"/>
          <w:szCs w:val="24"/>
        </w:rPr>
        <w:instrText xml:space="preserve">g land use intensity and provide a comprehensive overview of available global-scale datasets on land use intensity. We also outline major challenges and opportunities for mapping land use intensity for cropland, grazing, and forestry systems, and identify key issues for future research.","container-title":"Current Opinion in Environmental Sustainability","DOI":"10.1016/j.cosust.2013.06.002","ISSN":"1877-3435","issue":"5","journalAbbreviation":"Current Opinion in Environmental Sustainability","page":"484-493","source":"ScienceDirect","title":"Challenges and opportunities in mapping land use intensity globally","volume":"5","author":[{"family":"Kuemmerle","given":"Tobias"},{"family":"Erb","given":"Karlheinz"},{"family":"Meyfroidt","given":"Patrick"},{"family":"Müller","given":"Daniel"},{"family":"Verburg","given":"Peter H"},{"family":"Estel","given":"Stephan"},{"family":"Haberl","given":"Helmut"},{"family":"Hostert","given":"Patrick"},{"family":"Jepsen","given":"Martin R."},{"family":"Kastner","given":"Thomas"},{"family":"Levers","given":"Christian"},{"family":"Lindner","given":"Marcus"},{"family":"Plutzar","given":"Christoph"},{"family":"Verkerk","given":"Pieter Johannes"},{"family":"Zanden","given":"Emma H","non-dropping-particle":"van der"},{"family":"Reenberg","given":"Anette"}],"issued":{"date-parts":[["2013"]]}}}],"schema":"https://github.com/citation-style-language/schema/raw/master/csl-citation.json"} </w:instrText>
      </w:r>
      <w:r w:rsidR="0005649C">
        <w:rPr>
          <w:rFonts w:ascii="Times New Roman" w:hAnsi="Times New Roman" w:cs="Times New Roman"/>
          <w:sz w:val="24"/>
          <w:szCs w:val="24"/>
          <w:lang w:val="en-US"/>
        </w:rPr>
        <w:fldChar w:fldCharType="separate"/>
      </w:r>
      <w:r w:rsidR="0005649C" w:rsidRPr="00BB0853">
        <w:rPr>
          <w:rFonts w:ascii="Times New Roman" w:hAnsi="Times New Roman" w:cs="Times New Roman"/>
          <w:sz w:val="24"/>
        </w:rPr>
        <w:t>(Erb et al., 2013; K. H. Erb et al., 2016; Kuemmerle et al., 2013)</w:t>
      </w:r>
      <w:r w:rsidR="0005649C">
        <w:rPr>
          <w:rFonts w:ascii="Times New Roman" w:hAnsi="Times New Roman" w:cs="Times New Roman"/>
          <w:sz w:val="24"/>
          <w:szCs w:val="24"/>
          <w:lang w:val="en-US"/>
        </w:rPr>
        <w:fldChar w:fldCharType="end"/>
      </w:r>
      <w:r w:rsidR="00BB0853" w:rsidRPr="00BB0853">
        <w:rPr>
          <w:rFonts w:ascii="Times New Roman" w:hAnsi="Times New Roman" w:cs="Times New Roman"/>
          <w:sz w:val="24"/>
          <w:szCs w:val="24"/>
        </w:rPr>
        <w:t xml:space="preserve">. </w:t>
      </w:r>
      <w:r w:rsidR="00BB0853" w:rsidRPr="00BB0853">
        <w:rPr>
          <w:rFonts w:ascii="Times New Roman" w:hAnsi="Times New Roman" w:cs="Times New Roman"/>
          <w:sz w:val="24"/>
          <w:szCs w:val="24"/>
          <w:lang w:val="en-US"/>
        </w:rPr>
        <w:t>In</w:t>
      </w:r>
      <w:r w:rsidR="00BB0853">
        <w:rPr>
          <w:rFonts w:ascii="Times New Roman" w:hAnsi="Times New Roman" w:cs="Times New Roman"/>
          <w:sz w:val="24"/>
          <w:szCs w:val="24"/>
          <w:lang w:val="en-US"/>
        </w:rPr>
        <w:t xml:space="preserve"> order to tackle the system-perspective, concepts have been proposed that compare </w:t>
      </w:r>
      <w:r>
        <w:rPr>
          <w:rFonts w:ascii="Times New Roman" w:hAnsi="Times New Roman" w:cs="Times New Roman"/>
          <w:sz w:val="24"/>
          <w:szCs w:val="24"/>
          <w:lang w:val="en-US"/>
        </w:rPr>
        <w:t xml:space="preserve">the actual </w:t>
      </w:r>
      <w:r w:rsidR="00BB0853">
        <w:rPr>
          <w:rFonts w:ascii="Times New Roman" w:hAnsi="Times New Roman" w:cs="Times New Roman"/>
          <w:sz w:val="24"/>
          <w:szCs w:val="24"/>
          <w:lang w:val="en-US"/>
        </w:rPr>
        <w:t xml:space="preserve">(current) </w:t>
      </w:r>
      <w:r>
        <w:rPr>
          <w:rFonts w:ascii="Times New Roman" w:hAnsi="Times New Roman" w:cs="Times New Roman"/>
          <w:sz w:val="24"/>
          <w:szCs w:val="24"/>
          <w:lang w:val="en-US"/>
        </w:rPr>
        <w:t xml:space="preserve">and the potential </w:t>
      </w:r>
      <w:r w:rsidR="00BB0853">
        <w:rPr>
          <w:rFonts w:ascii="Times New Roman" w:hAnsi="Times New Roman" w:cs="Times New Roman"/>
          <w:sz w:val="24"/>
          <w:szCs w:val="24"/>
          <w:lang w:val="en-US"/>
        </w:rPr>
        <w:t xml:space="preserve">state of </w:t>
      </w:r>
      <w:r>
        <w:rPr>
          <w:rFonts w:ascii="Times New Roman" w:hAnsi="Times New Roman" w:cs="Times New Roman"/>
          <w:sz w:val="24"/>
          <w:szCs w:val="24"/>
          <w:lang w:val="en-US"/>
        </w:rPr>
        <w:t>vegetation</w:t>
      </w:r>
      <w:r w:rsidR="00BB0853">
        <w:rPr>
          <w:rFonts w:ascii="Times New Roman" w:hAnsi="Times New Roman" w:cs="Times New Roman"/>
          <w:sz w:val="24"/>
          <w:szCs w:val="24"/>
          <w:lang w:val="en-US"/>
        </w:rPr>
        <w:t xml:space="preserve">. Potential vegetation is </w:t>
      </w:r>
      <w:r>
        <w:rPr>
          <w:rFonts w:ascii="Times New Roman" w:hAnsi="Times New Roman" w:cs="Times New Roman"/>
          <w:sz w:val="24"/>
          <w:szCs w:val="24"/>
          <w:lang w:val="en-US"/>
        </w:rPr>
        <w:t xml:space="preserve">defined as the </w:t>
      </w:r>
      <w:r w:rsidR="00BB0853">
        <w:rPr>
          <w:rFonts w:ascii="Times New Roman" w:hAnsi="Times New Roman" w:cs="Times New Roman"/>
          <w:sz w:val="24"/>
          <w:szCs w:val="24"/>
          <w:lang w:val="en-US"/>
        </w:rPr>
        <w:t xml:space="preserve">vegetation </w:t>
      </w:r>
      <w:r>
        <w:rPr>
          <w:rFonts w:ascii="Times New Roman" w:hAnsi="Times New Roman" w:cs="Times New Roman"/>
          <w:sz w:val="24"/>
          <w:szCs w:val="24"/>
          <w:lang w:val="en-US"/>
        </w:rPr>
        <w:t>that would exist in the hypothetical absence of land use but with current environmental conditions</w:t>
      </w:r>
      <w:r w:rsidR="002A3561">
        <w:rPr>
          <w:rFonts w:ascii="Times New Roman" w:hAnsi="Times New Roman" w:cs="Times New Roman"/>
          <w:sz w:val="24"/>
          <w:szCs w:val="24"/>
          <w:lang w:val="en-US"/>
        </w:rPr>
        <w:t xml:space="preserve"> </w:t>
      </w:r>
      <w:r w:rsidR="002A3561">
        <w:rPr>
          <w:rFonts w:ascii="Times New Roman" w:hAnsi="Times New Roman" w:cs="Times New Roman"/>
          <w:sz w:val="24"/>
          <w:szCs w:val="24"/>
          <w:lang w:val="en-US"/>
        </w:rPr>
        <w:fldChar w:fldCharType="begin"/>
      </w:r>
      <w:r w:rsidR="002A3561">
        <w:rPr>
          <w:rFonts w:ascii="Times New Roman" w:hAnsi="Times New Roman" w:cs="Times New Roman"/>
          <w:sz w:val="24"/>
          <w:szCs w:val="24"/>
          <w:lang w:val="en-US"/>
        </w:rPr>
        <w:instrText xml:space="preserve"> ADDIN ZOTERO_ITEM CSL_CITATION {"citationID":"F7X30EOr","properties":{"formattedCitation":"(T\\uc0\\u252{}xen, 1956)","plainCitation":"(Tüxen, 1956)","noteIndex":0},"citationItems":[{"id":1335,"uris":["http://zotero.org/users/666791/items/RGPBEXN3"],"uri":["http://zotero.org/users/666791/items/RGPBEXN3"],"itemData":{"id":1335,"type":"article-journal","container-title":"Angewandte Pflanzensoziologie","page":"5-42","title":"Die heutige potentielle natürliche Vegetation als Gegenstand der Vegetationskartierung","volume":"13","author":[{"family":"Tüxen","given":"R."}],"issued":{"date-parts":[["1956"]]}}}],"schema":"https://github.com/citation-style-language/schema/raw/master/csl-citation.json"} </w:instrText>
      </w:r>
      <w:r w:rsidR="002A3561">
        <w:rPr>
          <w:rFonts w:ascii="Times New Roman" w:hAnsi="Times New Roman" w:cs="Times New Roman"/>
          <w:sz w:val="24"/>
          <w:szCs w:val="24"/>
          <w:lang w:val="en-US"/>
        </w:rPr>
        <w:fldChar w:fldCharType="separate"/>
      </w:r>
      <w:r w:rsidR="002A3561" w:rsidRPr="002A3561">
        <w:rPr>
          <w:rFonts w:ascii="Times New Roman" w:hAnsi="Times New Roman" w:cs="Times New Roman"/>
          <w:sz w:val="24"/>
          <w:szCs w:val="24"/>
          <w:lang w:val="en-US"/>
        </w:rPr>
        <w:t>(Tüxen, 1956)</w:t>
      </w:r>
      <w:r w:rsidR="002A3561">
        <w:rPr>
          <w:rFonts w:ascii="Times New Roman" w:hAnsi="Times New Roman" w:cs="Times New Roman"/>
          <w:sz w:val="24"/>
          <w:szCs w:val="24"/>
          <w:lang w:val="en-US"/>
        </w:rPr>
        <w:fldChar w:fldCharType="end"/>
      </w:r>
      <w:r w:rsidR="00BB0853">
        <w:rPr>
          <w:rFonts w:ascii="Times New Roman" w:hAnsi="Times New Roman" w:cs="Times New Roman"/>
          <w:sz w:val="24"/>
          <w:szCs w:val="24"/>
          <w:lang w:val="en-US"/>
        </w:rPr>
        <w:t>. This perspective allows to develop intensity indicators that can be quantified and mapped</w:t>
      </w:r>
      <w:r>
        <w:rPr>
          <w:rFonts w:ascii="Times New Roman" w:hAnsi="Times New Roman" w:cs="Times New Roman"/>
          <w:sz w:val="24"/>
          <w:szCs w:val="24"/>
          <w:lang w:val="en-US"/>
        </w:rPr>
        <w:t>.</w:t>
      </w:r>
    </w:p>
    <w:p w14:paraId="348E961C" w14:textId="77777777" w:rsidR="00AC61A5" w:rsidRDefault="00AC61A5" w:rsidP="00AE5953">
      <w:pPr>
        <w:spacing w:after="0" w:line="240" w:lineRule="auto"/>
        <w:rPr>
          <w:rFonts w:ascii="Times New Roman" w:hAnsi="Times New Roman" w:cs="Times New Roman"/>
          <w:sz w:val="24"/>
          <w:szCs w:val="24"/>
          <w:lang w:val="en-US"/>
        </w:rPr>
      </w:pPr>
    </w:p>
    <w:p w14:paraId="17417D95" w14:textId="02328CDD" w:rsidR="00AC61A5" w:rsidRDefault="00BB0853" w:rsidP="00AE5953">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Perhaps the most </w:t>
      </w:r>
      <w:r w:rsidR="00FE152D">
        <w:rPr>
          <w:rFonts w:ascii="Times New Roman" w:hAnsi="Times New Roman" w:cs="Times New Roman"/>
          <w:sz w:val="24"/>
          <w:szCs w:val="24"/>
          <w:lang w:val="en-US"/>
        </w:rPr>
        <w:t xml:space="preserve">widely used </w:t>
      </w:r>
      <w:r>
        <w:rPr>
          <w:rFonts w:ascii="Times New Roman" w:hAnsi="Times New Roman" w:cs="Times New Roman"/>
          <w:sz w:val="24"/>
          <w:szCs w:val="24"/>
          <w:lang w:val="en-US"/>
        </w:rPr>
        <w:t xml:space="preserve">of these </w:t>
      </w:r>
      <w:r w:rsidR="003028FD">
        <w:rPr>
          <w:rFonts w:ascii="Times New Roman" w:hAnsi="Times New Roman" w:cs="Times New Roman"/>
          <w:sz w:val="24"/>
          <w:szCs w:val="24"/>
          <w:lang w:val="en-US"/>
        </w:rPr>
        <w:t>indicator</w:t>
      </w:r>
      <w:r>
        <w:rPr>
          <w:rFonts w:ascii="Times New Roman" w:hAnsi="Times New Roman" w:cs="Times New Roman"/>
          <w:sz w:val="24"/>
          <w:szCs w:val="24"/>
          <w:lang w:val="en-US"/>
        </w:rPr>
        <w:t xml:space="preserve">s is the “human appropriation of net primary production”, abbreviated as HANPP. </w:t>
      </w:r>
      <w:r w:rsidR="00FE152D">
        <w:rPr>
          <w:rFonts w:ascii="Times New Roman" w:hAnsi="Times New Roman" w:cs="Times New Roman"/>
          <w:sz w:val="24"/>
          <w:szCs w:val="24"/>
          <w:lang w:val="en-US"/>
        </w:rPr>
        <w:t xml:space="preserve">HANPP combines a comprehensive measure of output intensity (biomass harvest) with an appraisal of the effect of land use on net primary production (NPP). HANPP assessments comprehensively quantify the effect of land use on </w:t>
      </w:r>
      <w:r w:rsidR="003028FD">
        <w:rPr>
          <w:rFonts w:ascii="Times New Roman" w:hAnsi="Times New Roman" w:cs="Times New Roman"/>
          <w:sz w:val="24"/>
          <w:szCs w:val="24"/>
          <w:lang w:val="en-US"/>
        </w:rPr>
        <w:t>energy and carbon fluxes in ecosystems. H</w:t>
      </w:r>
      <w:r w:rsidR="003028FD" w:rsidRPr="003028FD">
        <w:rPr>
          <w:rFonts w:ascii="Times New Roman" w:hAnsi="Times New Roman" w:cs="Times New Roman"/>
          <w:sz w:val="24"/>
          <w:szCs w:val="24"/>
          <w:lang w:val="en-US"/>
        </w:rPr>
        <w:t>ANPP</w:t>
      </w:r>
      <w:r w:rsidR="00E4395E">
        <w:rPr>
          <w:rFonts w:ascii="Times New Roman" w:hAnsi="Times New Roman" w:cs="Times New Roman"/>
          <w:sz w:val="24"/>
          <w:szCs w:val="24"/>
          <w:lang w:val="en-US"/>
        </w:rPr>
        <w:t xml:space="preserve">, in order to yield a well-suited indicator for </w:t>
      </w:r>
      <w:r w:rsidR="00E4395E">
        <w:rPr>
          <w:rFonts w:ascii="Times New Roman" w:hAnsi="Times New Roman" w:cs="Times New Roman"/>
          <w:sz w:val="24"/>
          <w:szCs w:val="24"/>
          <w:lang w:val="en-US"/>
        </w:rPr>
        <w:lastRenderedPageBreak/>
        <w:t xml:space="preserve">the “human domination of ecosystems” </w:t>
      </w:r>
      <w:r w:rsidR="002A3561">
        <w:rPr>
          <w:rFonts w:ascii="Times New Roman" w:hAnsi="Times New Roman" w:cs="Times New Roman"/>
          <w:sz w:val="24"/>
          <w:szCs w:val="24"/>
          <w:lang w:val="en-US"/>
        </w:rPr>
        <w:fldChar w:fldCharType="begin"/>
      </w:r>
      <w:r w:rsidR="002A3561">
        <w:rPr>
          <w:rFonts w:ascii="Times New Roman" w:hAnsi="Times New Roman" w:cs="Times New Roman"/>
          <w:sz w:val="24"/>
          <w:szCs w:val="24"/>
          <w:lang w:val="en-US"/>
        </w:rPr>
        <w:instrText xml:space="preserve"> ADDIN ZOTERO_ITEM CSL_CITATION {"citationID":"nTe1ryM0","properties":{"formattedCitation":"(Vitousek et al., 1997)","plainCitation":"(Vitousek et al., 1997)","noteIndex":0},"citationItems":[{"id":270,"uris":["http://zotero.org/users/666791/items/4G8WR6JD"],"uri":["http://zotero.org/users/666791/items/4G8WR6JD"],"itemData":{"id":270,"type":"article-journal","abstract":"Human alteration of Earth is substantial and growing. Between one-third and one-half of the land surface has been transformed by human action; the carbon dioxide concentration in the atmosphere has increased by nearly 30 percent since the beginning of the Industrial Revolution; more atmospheric nitrogen is fixed by humanity than by all natural terrestrial sources combined; more than half of all accessible surface fresh water is put to use by humanity; and about one-quarter of the bird species on Earth have been driven to extinction. By these and other standards, it is clear that we live on a human-dominated planet.","container-title":"Science","DOI":"10.1126/science.277.5325.494","issue":"5325","page":"494 -499","source":"Highwire 2.0","title":"Human Domination of Earth's Ecosystems","volume":"277","author":[{"family":"Vitousek","given":"Peter M."},{"family":"Mooney","given":"Harold A."},{"family":"Lubchenco","given":"Jane"},{"family":"Melillo","given":"Jerry M."}],"issued":{"date-parts":[["1997",7,25]]}}}],"schema":"https://github.com/citation-style-language/schema/raw/master/csl-citation.json"} </w:instrText>
      </w:r>
      <w:r w:rsidR="002A3561">
        <w:rPr>
          <w:rFonts w:ascii="Times New Roman" w:hAnsi="Times New Roman" w:cs="Times New Roman"/>
          <w:sz w:val="24"/>
          <w:szCs w:val="24"/>
          <w:lang w:val="en-US"/>
        </w:rPr>
        <w:fldChar w:fldCharType="separate"/>
      </w:r>
      <w:r w:rsidR="002A3561" w:rsidRPr="002A3561">
        <w:rPr>
          <w:rFonts w:ascii="Times New Roman" w:hAnsi="Times New Roman" w:cs="Times New Roman"/>
          <w:sz w:val="24"/>
          <w:lang w:val="en-US"/>
        </w:rPr>
        <w:t>(Vitousek et al., 1997)</w:t>
      </w:r>
      <w:r w:rsidR="002A3561">
        <w:rPr>
          <w:rFonts w:ascii="Times New Roman" w:hAnsi="Times New Roman" w:cs="Times New Roman"/>
          <w:sz w:val="24"/>
          <w:szCs w:val="24"/>
          <w:lang w:val="en-US"/>
        </w:rPr>
        <w:fldChar w:fldCharType="end"/>
      </w:r>
      <w:r w:rsidR="002A3561">
        <w:rPr>
          <w:rFonts w:ascii="Times New Roman" w:hAnsi="Times New Roman" w:cs="Times New Roman"/>
          <w:sz w:val="24"/>
          <w:szCs w:val="24"/>
          <w:lang w:val="en-US"/>
        </w:rPr>
        <w:t xml:space="preserve"> </w:t>
      </w:r>
      <w:r w:rsidR="00E4395E">
        <w:rPr>
          <w:rFonts w:ascii="Times New Roman" w:hAnsi="Times New Roman" w:cs="Times New Roman"/>
          <w:sz w:val="24"/>
          <w:szCs w:val="24"/>
          <w:lang w:val="en-US"/>
        </w:rPr>
        <w:t>or the position of global land use with</w:t>
      </w:r>
      <w:r w:rsidR="00FE5ABB">
        <w:rPr>
          <w:rFonts w:ascii="Times New Roman" w:hAnsi="Times New Roman" w:cs="Times New Roman"/>
          <w:sz w:val="24"/>
          <w:szCs w:val="24"/>
          <w:lang w:val="en-US"/>
        </w:rPr>
        <w:t>in</w:t>
      </w:r>
      <w:r w:rsidR="00E4395E">
        <w:rPr>
          <w:rFonts w:ascii="Times New Roman" w:hAnsi="Times New Roman" w:cs="Times New Roman"/>
          <w:sz w:val="24"/>
          <w:szCs w:val="24"/>
          <w:lang w:val="en-US"/>
        </w:rPr>
        <w:t xml:space="preserve"> the biophysical planetary boundaries</w:t>
      </w:r>
      <w:r w:rsidR="002A3561">
        <w:rPr>
          <w:rFonts w:ascii="Times New Roman" w:hAnsi="Times New Roman" w:cs="Times New Roman"/>
          <w:sz w:val="24"/>
          <w:szCs w:val="24"/>
          <w:lang w:val="en-US"/>
        </w:rPr>
        <w:t xml:space="preserve"> </w:t>
      </w:r>
      <w:r w:rsidR="002A3561">
        <w:rPr>
          <w:rFonts w:ascii="Times New Roman" w:hAnsi="Times New Roman" w:cs="Times New Roman"/>
          <w:sz w:val="24"/>
          <w:szCs w:val="24"/>
          <w:lang w:val="en-US"/>
        </w:rPr>
        <w:fldChar w:fldCharType="begin"/>
      </w:r>
      <w:r w:rsidR="002A3561">
        <w:rPr>
          <w:rFonts w:ascii="Times New Roman" w:hAnsi="Times New Roman" w:cs="Times New Roman"/>
          <w:sz w:val="24"/>
          <w:szCs w:val="24"/>
          <w:lang w:val="en-US"/>
        </w:rPr>
        <w:instrText xml:space="preserve"> ADDIN ZOTERO_ITEM CSL_CITATION {"citationID":"yn7hTBiw","properties":{"formattedCitation":"(Running, 2012)","plainCitation":"(Running, 2012)","noteIndex":0},"citationItems":[{"id":827,"uris":["http://zotero.org/users/666791/items/EVISKGNX"],"uri":["http://zotero.org/users/666791/items/EVISKGNX"],"itemData":{"id":827,"type":"article-journal","container-title":"Science","DOI":"10.1126/science.1227620","ISSN":"0036-8075, 1095-9203","issue":"6101","page":"1458-1459","source":"CrossRef","title":"A Measurable Planetary Boundary for the Biosphere","volume":"337","author":[{"family":"Running","given":"S. W."}],"issued":{"date-parts":[["2012"]]}}}],"schema":"https://github.com/citation-style-language/schema/raw/master/csl-citation.json"} </w:instrText>
      </w:r>
      <w:r w:rsidR="002A3561">
        <w:rPr>
          <w:rFonts w:ascii="Times New Roman" w:hAnsi="Times New Roman" w:cs="Times New Roman"/>
          <w:sz w:val="24"/>
          <w:szCs w:val="24"/>
          <w:lang w:val="en-US"/>
        </w:rPr>
        <w:fldChar w:fldCharType="separate"/>
      </w:r>
      <w:r w:rsidR="002A3561" w:rsidRPr="002A3561">
        <w:rPr>
          <w:rFonts w:ascii="Times New Roman" w:hAnsi="Times New Roman" w:cs="Times New Roman"/>
          <w:sz w:val="24"/>
          <w:lang w:val="en-US"/>
        </w:rPr>
        <w:t>(Running, 2012)</w:t>
      </w:r>
      <w:r w:rsidR="002A3561">
        <w:rPr>
          <w:rFonts w:ascii="Times New Roman" w:hAnsi="Times New Roman" w:cs="Times New Roman"/>
          <w:sz w:val="24"/>
          <w:szCs w:val="24"/>
          <w:lang w:val="en-US"/>
        </w:rPr>
        <w:fldChar w:fldCharType="end"/>
      </w:r>
      <w:r w:rsidR="00FE152D">
        <w:rPr>
          <w:rFonts w:ascii="Times New Roman" w:hAnsi="Times New Roman" w:cs="Times New Roman"/>
          <w:sz w:val="24"/>
          <w:szCs w:val="24"/>
          <w:lang w:val="en-US"/>
        </w:rPr>
        <w:t>,</w:t>
      </w:r>
      <w:r w:rsidR="00E4395E">
        <w:rPr>
          <w:rFonts w:ascii="Times New Roman" w:hAnsi="Times New Roman" w:cs="Times New Roman"/>
          <w:sz w:val="24"/>
          <w:szCs w:val="24"/>
          <w:lang w:val="en-US"/>
        </w:rPr>
        <w:t xml:space="preserve"> was </w:t>
      </w:r>
      <w:r w:rsidR="003028FD" w:rsidRPr="003028FD">
        <w:rPr>
          <w:rFonts w:ascii="Times New Roman" w:hAnsi="Times New Roman" w:cs="Times New Roman"/>
          <w:sz w:val="24"/>
          <w:szCs w:val="24"/>
          <w:lang w:val="en-US"/>
        </w:rPr>
        <w:t>defined as the sum of two</w:t>
      </w:r>
      <w:r w:rsidR="003028FD">
        <w:rPr>
          <w:rFonts w:ascii="Times New Roman" w:hAnsi="Times New Roman" w:cs="Times New Roman"/>
          <w:sz w:val="24"/>
          <w:szCs w:val="24"/>
          <w:lang w:val="en-US"/>
        </w:rPr>
        <w:t xml:space="preserve"> land-use</w:t>
      </w:r>
      <w:r w:rsidR="003028FD" w:rsidRPr="003028FD">
        <w:rPr>
          <w:rFonts w:ascii="Times New Roman" w:hAnsi="Times New Roman" w:cs="Times New Roman"/>
          <w:sz w:val="24"/>
          <w:szCs w:val="24"/>
          <w:lang w:val="en-US"/>
        </w:rPr>
        <w:t xml:space="preserve"> components: (a) </w:t>
      </w:r>
      <w:r w:rsidR="003028FD">
        <w:rPr>
          <w:rFonts w:ascii="Times New Roman" w:hAnsi="Times New Roman" w:cs="Times New Roman"/>
          <w:sz w:val="24"/>
          <w:szCs w:val="24"/>
          <w:lang w:val="en-US"/>
        </w:rPr>
        <w:t xml:space="preserve">the amount of biomass harvested and </w:t>
      </w:r>
      <w:r w:rsidR="003028FD" w:rsidRPr="003028FD">
        <w:rPr>
          <w:rFonts w:ascii="Times New Roman" w:hAnsi="Times New Roman" w:cs="Times New Roman"/>
          <w:sz w:val="24"/>
          <w:szCs w:val="24"/>
          <w:lang w:val="en-US"/>
        </w:rPr>
        <w:t>killed</w:t>
      </w:r>
      <w:r w:rsidR="003028FD">
        <w:rPr>
          <w:rFonts w:ascii="Times New Roman" w:hAnsi="Times New Roman" w:cs="Times New Roman"/>
          <w:sz w:val="24"/>
          <w:szCs w:val="24"/>
          <w:lang w:val="en-US"/>
        </w:rPr>
        <w:t xml:space="preserve"> during harvest</w:t>
      </w:r>
      <w:r w:rsidR="00FE152D">
        <w:rPr>
          <w:rFonts w:ascii="Times New Roman" w:hAnsi="Times New Roman" w:cs="Times New Roman"/>
          <w:sz w:val="24"/>
          <w:szCs w:val="24"/>
          <w:lang w:val="en-US"/>
        </w:rPr>
        <w:t xml:space="preserve"> (</w:t>
      </w:r>
      <w:proofErr w:type="spellStart"/>
      <w:r w:rsidR="00FE152D">
        <w:rPr>
          <w:rFonts w:ascii="Times New Roman" w:hAnsi="Times New Roman" w:cs="Times New Roman"/>
          <w:sz w:val="24"/>
          <w:szCs w:val="24"/>
          <w:lang w:val="en-US"/>
        </w:rPr>
        <w:t>HANPP</w:t>
      </w:r>
      <w:r w:rsidR="00FE152D" w:rsidRPr="00FE152D">
        <w:rPr>
          <w:rFonts w:ascii="Times New Roman" w:hAnsi="Times New Roman" w:cs="Times New Roman"/>
          <w:sz w:val="24"/>
          <w:szCs w:val="24"/>
          <w:vertAlign w:val="subscript"/>
          <w:lang w:val="en-US"/>
        </w:rPr>
        <w:t>harv</w:t>
      </w:r>
      <w:proofErr w:type="spellEnd"/>
      <w:r w:rsidR="00FE152D">
        <w:rPr>
          <w:rFonts w:ascii="Times New Roman" w:hAnsi="Times New Roman" w:cs="Times New Roman"/>
          <w:sz w:val="24"/>
          <w:szCs w:val="24"/>
          <w:lang w:val="en-US"/>
        </w:rPr>
        <w:t>)</w:t>
      </w:r>
      <w:r w:rsidR="003028FD">
        <w:rPr>
          <w:rFonts w:ascii="Times New Roman" w:hAnsi="Times New Roman" w:cs="Times New Roman"/>
          <w:sz w:val="24"/>
          <w:szCs w:val="24"/>
          <w:lang w:val="en-US"/>
        </w:rPr>
        <w:t xml:space="preserve">, and </w:t>
      </w:r>
      <w:r w:rsidR="003028FD" w:rsidRPr="003028FD">
        <w:rPr>
          <w:rFonts w:ascii="Times New Roman" w:hAnsi="Times New Roman" w:cs="Times New Roman"/>
          <w:sz w:val="24"/>
          <w:szCs w:val="24"/>
          <w:lang w:val="en-US"/>
        </w:rPr>
        <w:t xml:space="preserve">(b) changes in </w:t>
      </w:r>
      <w:r w:rsidR="00FE152D">
        <w:rPr>
          <w:rFonts w:ascii="Times New Roman" w:hAnsi="Times New Roman" w:cs="Times New Roman"/>
          <w:sz w:val="24"/>
          <w:szCs w:val="24"/>
          <w:lang w:val="en-US"/>
        </w:rPr>
        <w:t xml:space="preserve">NPP resulting from land use, which in this case includes effects from </w:t>
      </w:r>
      <w:r w:rsidR="003028FD">
        <w:rPr>
          <w:rFonts w:ascii="Times New Roman" w:hAnsi="Times New Roman" w:cs="Times New Roman"/>
          <w:sz w:val="24"/>
          <w:szCs w:val="24"/>
          <w:lang w:val="en-US"/>
        </w:rPr>
        <w:t xml:space="preserve">land conversion </w:t>
      </w:r>
      <w:r w:rsidR="00FE152D">
        <w:rPr>
          <w:rFonts w:ascii="Times New Roman" w:hAnsi="Times New Roman" w:cs="Times New Roman"/>
          <w:sz w:val="24"/>
          <w:szCs w:val="24"/>
          <w:lang w:val="en-US"/>
        </w:rPr>
        <w:t xml:space="preserve">and land </w:t>
      </w:r>
      <w:r w:rsidR="003028FD">
        <w:rPr>
          <w:rFonts w:ascii="Times New Roman" w:hAnsi="Times New Roman" w:cs="Times New Roman"/>
          <w:sz w:val="24"/>
          <w:szCs w:val="24"/>
          <w:lang w:val="en-US"/>
        </w:rPr>
        <w:t xml:space="preserve">modification </w:t>
      </w:r>
      <w:r w:rsidR="003028FD" w:rsidRPr="003028FD">
        <w:rPr>
          <w:rFonts w:ascii="Times New Roman" w:hAnsi="Times New Roman" w:cs="Times New Roman"/>
          <w:sz w:val="24"/>
          <w:szCs w:val="24"/>
          <w:lang w:val="en-US"/>
        </w:rPr>
        <w:t>(</w:t>
      </w:r>
      <w:proofErr w:type="spellStart"/>
      <w:r w:rsidR="003028FD" w:rsidRPr="003028FD">
        <w:rPr>
          <w:rFonts w:ascii="Times New Roman" w:hAnsi="Times New Roman" w:cs="Times New Roman"/>
          <w:sz w:val="24"/>
          <w:szCs w:val="24"/>
          <w:lang w:val="en-US"/>
        </w:rPr>
        <w:t>HANPP</w:t>
      </w:r>
      <w:r w:rsidR="003028FD" w:rsidRPr="002A3561">
        <w:rPr>
          <w:rFonts w:ascii="Times New Roman" w:hAnsi="Times New Roman" w:cs="Times New Roman"/>
          <w:sz w:val="24"/>
          <w:szCs w:val="24"/>
          <w:vertAlign w:val="subscript"/>
          <w:lang w:val="en-US"/>
        </w:rPr>
        <w:t>luc</w:t>
      </w:r>
      <w:proofErr w:type="spellEnd"/>
      <w:r w:rsidR="003028FD" w:rsidRPr="003028FD">
        <w:rPr>
          <w:rFonts w:ascii="Times New Roman" w:hAnsi="Times New Roman" w:cs="Times New Roman"/>
          <w:sz w:val="24"/>
          <w:szCs w:val="24"/>
          <w:lang w:val="en-US"/>
        </w:rPr>
        <w:t>)</w:t>
      </w:r>
      <w:r w:rsidR="00D32B3A">
        <w:rPr>
          <w:rFonts w:ascii="Times New Roman" w:hAnsi="Times New Roman" w:cs="Times New Roman"/>
          <w:sz w:val="24"/>
          <w:szCs w:val="24"/>
          <w:lang w:val="en-US"/>
        </w:rPr>
        <w:t xml:space="preserve"> </w:t>
      </w:r>
      <w:r w:rsidR="00D32B3A">
        <w:rPr>
          <w:rFonts w:ascii="Times New Roman" w:hAnsi="Times New Roman" w:cs="Times New Roman"/>
          <w:sz w:val="24"/>
          <w:szCs w:val="24"/>
          <w:lang w:val="en-US"/>
        </w:rPr>
        <w:fldChar w:fldCharType="begin"/>
      </w:r>
      <w:r w:rsidR="00D32B3A">
        <w:rPr>
          <w:rFonts w:ascii="Times New Roman" w:hAnsi="Times New Roman" w:cs="Times New Roman"/>
          <w:sz w:val="24"/>
          <w:szCs w:val="24"/>
          <w:lang w:val="en-US"/>
        </w:rPr>
        <w:instrText xml:space="preserve"> ADDIN ZOTERO_ITEM CSL_CITATION {"citationID":"obgSCVA6","properties":{"formattedCitation":"(Haberl et al., 2014)","plainCitation":"(Haberl et al., 2014)","noteIndex":0},"citationItems":[{"id":1576,"uris":["http://zotero.org/users/666791/items/V6VA54B2"],"uri":["http://zotero.org/users/666791/items/V6VA54B2"],"itemData":{"id":1576,"type":"article-journal","abstract":"Human activities increasingly influence the biological productivity of land, thereby altering material and energy flows in the biosphere. Economic and population growth result in increasing use of biophysical resources, including land and biomass. The human appropriation of net primary production (HANPP) is an integrated socioecological indicator quantifying effects of human-induced changes of productivity and harvest on ecological biomass flows. We discuss how HANPP is defined, measured and interpreted. In an area-specific approach, HANPP serves as an indicator of land-use intensity to gauge impacts on a defined land area. The consumption-based “embodied HANPP” approach allows assessing impacts related to individual products or the aggregate consumption of nation states. We outline global patterns and trajectories of HANPP in the last century and how it relates to planetary boundaries and pressures on biodiversity. We discuss relations with concepts such as the ecological footprint as well as future research needs. Expected final online publication date for the Annual Review of Environment and Resources Volume 39 is October 17, 2014. Please see http://www.annualreviews.org/catalog/pubdates.aspx for revised estimates.","container-title":"Annual Review of Environment and Resources","DOI":"10.1146/annurev-environ-121912-094620","page":"363–391","source":"Annual Reviews","title":"Human Appropriation of Net Primary Production: Patterns, Trends, and Planetary Boundaries","title-short":"Human Appropriation of Net Primary Production","volume":"39","author":[{"family":"Haberl","given":"Helmut"},{"family":"Erb","given":"Karl-Heinz"},{"family":"Krausmann","given":"Fridolin"}],"issued":{"date-parts":[["2014"]]}}}],"schema":"https://github.com/citation-style-language/schema/raw/master/csl-citation.json"} </w:instrText>
      </w:r>
      <w:r w:rsidR="00D32B3A">
        <w:rPr>
          <w:rFonts w:ascii="Times New Roman" w:hAnsi="Times New Roman" w:cs="Times New Roman"/>
          <w:sz w:val="24"/>
          <w:szCs w:val="24"/>
          <w:lang w:val="en-US"/>
        </w:rPr>
        <w:fldChar w:fldCharType="separate"/>
      </w:r>
      <w:r w:rsidR="00D32B3A" w:rsidRPr="00D32B3A">
        <w:rPr>
          <w:rFonts w:ascii="Times New Roman" w:hAnsi="Times New Roman" w:cs="Times New Roman"/>
          <w:sz w:val="24"/>
          <w:lang w:val="en-US"/>
        </w:rPr>
        <w:t>(Haberl et al., 2014)</w:t>
      </w:r>
      <w:r w:rsidR="00D32B3A">
        <w:rPr>
          <w:rFonts w:ascii="Times New Roman" w:hAnsi="Times New Roman" w:cs="Times New Roman"/>
          <w:sz w:val="24"/>
          <w:szCs w:val="24"/>
          <w:lang w:val="en-US"/>
        </w:rPr>
        <w:fldChar w:fldCharType="end"/>
      </w:r>
      <w:r w:rsidR="003028FD" w:rsidRPr="003028FD">
        <w:rPr>
          <w:rFonts w:ascii="Times New Roman" w:hAnsi="Times New Roman" w:cs="Times New Roman"/>
          <w:sz w:val="24"/>
          <w:szCs w:val="24"/>
          <w:lang w:val="en-US"/>
        </w:rPr>
        <w:t xml:space="preserve">. </w:t>
      </w:r>
      <w:proofErr w:type="spellStart"/>
      <w:r w:rsidR="003028FD" w:rsidRPr="003028FD">
        <w:rPr>
          <w:rFonts w:ascii="Times New Roman" w:hAnsi="Times New Roman" w:cs="Times New Roman"/>
          <w:sz w:val="24"/>
          <w:szCs w:val="24"/>
          <w:lang w:val="en-US"/>
        </w:rPr>
        <w:t>HANPP</w:t>
      </w:r>
      <w:r w:rsidR="003028FD" w:rsidRPr="002A3561">
        <w:rPr>
          <w:rFonts w:ascii="Times New Roman" w:hAnsi="Times New Roman" w:cs="Times New Roman"/>
          <w:sz w:val="24"/>
          <w:szCs w:val="24"/>
          <w:vertAlign w:val="subscript"/>
          <w:lang w:val="en-US"/>
        </w:rPr>
        <w:t>ha</w:t>
      </w:r>
      <w:r w:rsidR="00FE152D">
        <w:rPr>
          <w:rFonts w:ascii="Times New Roman" w:hAnsi="Times New Roman" w:cs="Times New Roman"/>
          <w:sz w:val="24"/>
          <w:szCs w:val="24"/>
          <w:vertAlign w:val="subscript"/>
          <w:lang w:val="en-US"/>
        </w:rPr>
        <w:t>rv</w:t>
      </w:r>
      <w:proofErr w:type="spellEnd"/>
      <w:r w:rsidR="002A3561">
        <w:rPr>
          <w:rFonts w:ascii="Times New Roman" w:hAnsi="Times New Roman" w:cs="Times New Roman"/>
          <w:sz w:val="24"/>
          <w:szCs w:val="24"/>
          <w:lang w:val="en-US"/>
        </w:rPr>
        <w:t xml:space="preserve"> </w:t>
      </w:r>
      <w:r w:rsidR="00FE152D">
        <w:rPr>
          <w:rFonts w:ascii="Times New Roman" w:hAnsi="Times New Roman" w:cs="Times New Roman"/>
          <w:sz w:val="24"/>
          <w:szCs w:val="24"/>
          <w:lang w:val="en-US"/>
        </w:rPr>
        <w:t xml:space="preserve">includes </w:t>
      </w:r>
      <w:r w:rsidR="003028FD">
        <w:rPr>
          <w:rFonts w:ascii="Times New Roman" w:hAnsi="Times New Roman" w:cs="Times New Roman"/>
          <w:sz w:val="24"/>
          <w:szCs w:val="24"/>
          <w:lang w:val="en-US"/>
        </w:rPr>
        <w:t xml:space="preserve">the </w:t>
      </w:r>
      <w:r w:rsidR="003028FD" w:rsidRPr="003028FD">
        <w:rPr>
          <w:rFonts w:ascii="Times New Roman" w:hAnsi="Times New Roman" w:cs="Times New Roman"/>
          <w:sz w:val="24"/>
          <w:szCs w:val="24"/>
          <w:lang w:val="en-US"/>
        </w:rPr>
        <w:t xml:space="preserve">biomass </w:t>
      </w:r>
      <w:r w:rsidR="003028FD">
        <w:rPr>
          <w:rFonts w:ascii="Times New Roman" w:hAnsi="Times New Roman" w:cs="Times New Roman"/>
          <w:sz w:val="24"/>
          <w:szCs w:val="24"/>
          <w:lang w:val="en-US"/>
        </w:rPr>
        <w:t xml:space="preserve">that is </w:t>
      </w:r>
      <w:r w:rsidR="003028FD" w:rsidRPr="003028FD">
        <w:rPr>
          <w:rFonts w:ascii="Times New Roman" w:hAnsi="Times New Roman" w:cs="Times New Roman"/>
          <w:sz w:val="24"/>
          <w:szCs w:val="24"/>
          <w:lang w:val="en-US"/>
        </w:rPr>
        <w:t>harvested</w:t>
      </w:r>
      <w:r w:rsidR="00FE5ABB">
        <w:rPr>
          <w:rFonts w:ascii="Times New Roman" w:hAnsi="Times New Roman" w:cs="Times New Roman"/>
          <w:sz w:val="24"/>
          <w:szCs w:val="24"/>
          <w:lang w:val="en-US"/>
        </w:rPr>
        <w:t xml:space="preserve"> </w:t>
      </w:r>
      <w:r w:rsidR="008B320E">
        <w:rPr>
          <w:rFonts w:ascii="Times New Roman" w:hAnsi="Times New Roman" w:cs="Times New Roman"/>
          <w:sz w:val="24"/>
          <w:szCs w:val="24"/>
          <w:lang w:val="en-US"/>
        </w:rPr>
        <w:t>(</w:t>
      </w:r>
      <w:r w:rsidR="00FE5ABB">
        <w:rPr>
          <w:rFonts w:ascii="Times New Roman" w:hAnsi="Times New Roman" w:cs="Times New Roman"/>
          <w:sz w:val="24"/>
          <w:szCs w:val="24"/>
          <w:lang w:val="en-US"/>
        </w:rPr>
        <w:t>including grazed by livestock</w:t>
      </w:r>
      <w:r w:rsidR="008B320E">
        <w:rPr>
          <w:rFonts w:ascii="Times New Roman" w:hAnsi="Times New Roman" w:cs="Times New Roman"/>
          <w:sz w:val="24"/>
          <w:szCs w:val="24"/>
          <w:lang w:val="en-US"/>
        </w:rPr>
        <w:t>)</w:t>
      </w:r>
      <w:r w:rsidR="003028FD" w:rsidRPr="003028FD">
        <w:rPr>
          <w:rFonts w:ascii="Times New Roman" w:hAnsi="Times New Roman" w:cs="Times New Roman"/>
          <w:sz w:val="24"/>
          <w:szCs w:val="24"/>
          <w:lang w:val="en-US"/>
        </w:rPr>
        <w:t xml:space="preserve"> </w:t>
      </w:r>
      <w:r w:rsidR="003028FD">
        <w:rPr>
          <w:rFonts w:ascii="Times New Roman" w:hAnsi="Times New Roman" w:cs="Times New Roman"/>
          <w:sz w:val="24"/>
          <w:szCs w:val="24"/>
          <w:lang w:val="en-US"/>
        </w:rPr>
        <w:t xml:space="preserve">and </w:t>
      </w:r>
      <w:r w:rsidR="00FE152D">
        <w:rPr>
          <w:rFonts w:ascii="Times New Roman" w:hAnsi="Times New Roman" w:cs="Times New Roman"/>
          <w:sz w:val="24"/>
          <w:szCs w:val="24"/>
          <w:lang w:val="en-US"/>
        </w:rPr>
        <w:t xml:space="preserve">hence represents an input into social metabolism, but also biomass killed during harvest that remains on site and is hence still </w:t>
      </w:r>
      <w:r w:rsidR="003028FD">
        <w:rPr>
          <w:rFonts w:ascii="Times New Roman" w:hAnsi="Times New Roman" w:cs="Times New Roman"/>
          <w:sz w:val="24"/>
          <w:szCs w:val="24"/>
          <w:lang w:val="en-US"/>
        </w:rPr>
        <w:t>available for heterotrophic food chains.</w:t>
      </w:r>
      <w:r w:rsidR="00E4395E">
        <w:rPr>
          <w:rFonts w:ascii="Times New Roman" w:hAnsi="Times New Roman" w:cs="Times New Roman"/>
          <w:sz w:val="24"/>
          <w:szCs w:val="24"/>
          <w:lang w:val="en-US"/>
        </w:rPr>
        <w:t xml:space="preserve"> </w:t>
      </w:r>
      <w:r w:rsidR="008B320E">
        <w:rPr>
          <w:rFonts w:ascii="Times New Roman" w:hAnsi="Times New Roman" w:cs="Times New Roman"/>
          <w:sz w:val="24"/>
          <w:szCs w:val="24"/>
          <w:lang w:val="en-US"/>
        </w:rPr>
        <w:t xml:space="preserve">Figure 4 shows patterns of </w:t>
      </w:r>
      <w:r w:rsidR="00E4395E">
        <w:rPr>
          <w:rFonts w:ascii="Times New Roman" w:hAnsi="Times New Roman" w:cs="Times New Roman"/>
          <w:sz w:val="24"/>
          <w:szCs w:val="24"/>
          <w:lang w:val="en-US"/>
        </w:rPr>
        <w:t xml:space="preserve">HANPP </w:t>
      </w:r>
      <w:r w:rsidR="008B320E">
        <w:rPr>
          <w:rFonts w:ascii="Times New Roman" w:hAnsi="Times New Roman" w:cs="Times New Roman"/>
          <w:sz w:val="24"/>
          <w:szCs w:val="24"/>
          <w:lang w:val="en-US"/>
        </w:rPr>
        <w:t xml:space="preserve">in the year 2010, when </w:t>
      </w:r>
      <w:r w:rsidR="00E4395E">
        <w:rPr>
          <w:rFonts w:ascii="Times New Roman" w:hAnsi="Times New Roman" w:cs="Times New Roman"/>
          <w:sz w:val="24"/>
          <w:szCs w:val="24"/>
          <w:lang w:val="en-US"/>
        </w:rPr>
        <w:t>humans appropriate</w:t>
      </w:r>
      <w:r w:rsidR="008B320E">
        <w:rPr>
          <w:rFonts w:ascii="Times New Roman" w:hAnsi="Times New Roman" w:cs="Times New Roman"/>
          <w:sz w:val="24"/>
          <w:szCs w:val="24"/>
          <w:lang w:val="en-US"/>
        </w:rPr>
        <w:t>d</w:t>
      </w:r>
      <w:r w:rsidR="00E4395E">
        <w:rPr>
          <w:rFonts w:ascii="Times New Roman" w:hAnsi="Times New Roman" w:cs="Times New Roman"/>
          <w:sz w:val="24"/>
          <w:szCs w:val="24"/>
          <w:lang w:val="en-US"/>
        </w:rPr>
        <w:t xml:space="preserve"> </w:t>
      </w:r>
      <w:r w:rsidR="008B320E">
        <w:rPr>
          <w:rFonts w:ascii="Times New Roman" w:hAnsi="Times New Roman" w:cs="Times New Roman"/>
          <w:sz w:val="24"/>
          <w:szCs w:val="24"/>
          <w:lang w:val="en-US"/>
        </w:rPr>
        <w:t xml:space="preserve">roughly </w:t>
      </w:r>
      <w:r w:rsidR="00E4395E">
        <w:rPr>
          <w:rFonts w:ascii="Times New Roman" w:hAnsi="Times New Roman" w:cs="Times New Roman"/>
          <w:sz w:val="24"/>
          <w:szCs w:val="24"/>
          <w:lang w:val="en-US"/>
        </w:rPr>
        <w:t>one quarter of the potential NPP, with large geographic heterogeneity. The last century witnessed a doubling of global HANPP, indicating a surge in human pressures on ecosystem functioning, and at the same time pointing to a trend of problem-shift, away from land use and land ecosystems to global climate, because human population as well as GDP showed much higher growth rates</w:t>
      </w:r>
      <w:r w:rsidR="00FE152D">
        <w:rPr>
          <w:rFonts w:ascii="Times New Roman" w:hAnsi="Times New Roman" w:cs="Times New Roman"/>
          <w:sz w:val="24"/>
          <w:szCs w:val="24"/>
          <w:lang w:val="en-US"/>
        </w:rPr>
        <w:t>, i.e. factors 4 and 17, respectively</w:t>
      </w:r>
      <w:r w:rsidR="002A3561">
        <w:rPr>
          <w:rFonts w:ascii="Times New Roman" w:hAnsi="Times New Roman" w:cs="Times New Roman"/>
          <w:sz w:val="24"/>
          <w:szCs w:val="24"/>
          <w:lang w:val="en-US"/>
        </w:rPr>
        <w:t xml:space="preserve"> </w:t>
      </w:r>
      <w:r w:rsidR="002A3561">
        <w:rPr>
          <w:rFonts w:ascii="Times New Roman" w:hAnsi="Times New Roman" w:cs="Times New Roman"/>
          <w:sz w:val="24"/>
          <w:szCs w:val="24"/>
          <w:lang w:val="en-US"/>
        </w:rPr>
        <w:fldChar w:fldCharType="begin"/>
      </w:r>
      <w:r w:rsidR="002A3561">
        <w:rPr>
          <w:rFonts w:ascii="Times New Roman" w:hAnsi="Times New Roman" w:cs="Times New Roman"/>
          <w:sz w:val="24"/>
          <w:szCs w:val="24"/>
          <w:lang w:val="en-US"/>
        </w:rPr>
        <w:instrText xml:space="preserve"> ADDIN ZOTERO_ITEM CSL_CITATION {"citationID":"G0xGay6P","properties":{"formattedCitation":"(Krausmann et al., 2013)","plainCitation":"(Krausmann et al., 2013)","noteIndex":0},"citationItems":[{"id":1337,"uris":["http://zotero.org/users/666791/items/X66ZR7FN"],"uri":["http://zotero.org/users/666791/items/X66ZR7FN"],"itemData":{"id":1337,"type":"article-journal","abstract":"Global increases in population, consumption, and gross domestic product raise concerns about the sustainability of the current and future use of natural resources. The human appropriation of net primary production (HANPP) provides a useful measure of human intervention into the biosphere. The productive capacity of land is appropriated by harvesting or burning biomass and by converting natural ecosystems to managed lands with lower productivity. This work analyzes trends in HANPP from 1910 to 2005 and finds that although human population has grown fourfold and economic output 17-fold, global HANPP has only doubled. Despite this increase in efficiency, HANPP has still risen from 6.9 Gt of carbon per y in 1910 to 14.8 GtC/y in 2005, i.e., from 13% to 25% of the net primary production of potential vegetation. Biomass harvested per capita and year has slightly declined despite growth in consumption because of a decline in reliance on bioenergy and higher conversion efficiencies of primary biomass to products. The rise in efficiency is overwhelmingly due to increased crop yields, albeit frequently associated with substantial ecological costs, such as fossil energy inputs, soil degradation, and biodiversity loss. If humans can maintain the past trend lines in efficiency gains, we estimate that HANPP might only grow to 27–29% by 2050, but providing large amounts of bioenergy could increase global HANPP to 44%. This result calls for caution in refocusing the energy economy on land-based resources and for strategies that foster the continuation of increases in land-use efficiency without excessively increasing ecological costs of intensification.","container-title":"Proceedings of the National Academy of Sciences","DOI":"10.1073/pnas.1211349110","ISSN":"0027-8424, 1091-6490","issue":"25","journalAbbreviation":"PNAS","language":"en","note":"PMID: 23733940","page":"10324-10329","source":"www.pnas.org","title":"Global human appropriation of net primary production doubled in the 20th century","volume":"110","author":[{"family":"Krausmann","given":"Fridolin"},{"family":"Erb","given":"Karl-Heinz"},{"family":"Gingrich","given":"Simone"},{"family":"Haberl","given":"Helmut"},{"family":"Bondeau","given":"Alberte"},{"family":"Gaube","given":"Veronika"},{"family":"Lauk","given":"Christian"},{"family":"Plutzar","given":"Christoph"},{"family":"Searchinger","given":"Timothy D."}],"issued":{"date-parts":[["2013",6,18]]}}}],"schema":"https://github.com/citation-style-language/schema/raw/master/csl-citation.json"} </w:instrText>
      </w:r>
      <w:r w:rsidR="002A3561">
        <w:rPr>
          <w:rFonts w:ascii="Times New Roman" w:hAnsi="Times New Roman" w:cs="Times New Roman"/>
          <w:sz w:val="24"/>
          <w:szCs w:val="24"/>
          <w:lang w:val="en-US"/>
        </w:rPr>
        <w:fldChar w:fldCharType="separate"/>
      </w:r>
      <w:r w:rsidR="002A3561" w:rsidRPr="002A3561">
        <w:rPr>
          <w:rFonts w:ascii="Times New Roman" w:hAnsi="Times New Roman" w:cs="Times New Roman"/>
          <w:sz w:val="24"/>
        </w:rPr>
        <w:t>(Krausmann et al., 2013)</w:t>
      </w:r>
      <w:r w:rsidR="002A3561">
        <w:rPr>
          <w:rFonts w:ascii="Times New Roman" w:hAnsi="Times New Roman" w:cs="Times New Roman"/>
          <w:sz w:val="24"/>
          <w:szCs w:val="24"/>
          <w:lang w:val="en-US"/>
        </w:rPr>
        <w:fldChar w:fldCharType="end"/>
      </w:r>
      <w:r w:rsidR="00E4395E">
        <w:rPr>
          <w:rFonts w:ascii="Times New Roman" w:hAnsi="Times New Roman" w:cs="Times New Roman"/>
          <w:sz w:val="24"/>
          <w:szCs w:val="24"/>
          <w:lang w:val="en-US"/>
        </w:rPr>
        <w:t xml:space="preserve">. </w:t>
      </w:r>
    </w:p>
    <w:p w14:paraId="44BF231B" w14:textId="77777777" w:rsidR="00AC61A5" w:rsidRDefault="00AC61A5" w:rsidP="00AE5953">
      <w:pPr>
        <w:spacing w:after="0" w:line="240" w:lineRule="auto"/>
        <w:rPr>
          <w:rFonts w:ascii="Times New Roman" w:hAnsi="Times New Roman" w:cs="Times New Roman"/>
          <w:sz w:val="24"/>
          <w:szCs w:val="24"/>
          <w:lang w:val="en-US"/>
        </w:rPr>
      </w:pPr>
    </w:p>
    <w:p w14:paraId="3BF16240" w14:textId="22DEB805" w:rsidR="00E67705" w:rsidRDefault="00E27641" w:rsidP="00403886">
      <w:pPr>
        <w:keepNext/>
        <w:keepLines/>
        <w:spacing w:after="0" w:line="240" w:lineRule="auto"/>
        <w:rPr>
          <w:rFonts w:ascii="Times New Roman" w:hAnsi="Times New Roman" w:cs="Times New Roman"/>
          <w:sz w:val="24"/>
          <w:szCs w:val="24"/>
          <w:lang w:val="en-US"/>
        </w:rPr>
      </w:pPr>
      <w:r>
        <w:rPr>
          <w:rFonts w:ascii="Times New Roman" w:hAnsi="Times New Roman" w:cs="Times New Roman"/>
          <w:noProof/>
          <w:sz w:val="24"/>
          <w:szCs w:val="24"/>
          <w:lang w:eastAsia="de-AT"/>
        </w:rPr>
        <w:drawing>
          <wp:inline distT="0" distB="0" distL="0" distR="0" wp14:anchorId="2DD179AC" wp14:editId="4518EEB7">
            <wp:extent cx="5759450" cy="30099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7497" b="40243"/>
                    <a:stretch/>
                  </pic:blipFill>
                  <pic:spPr bwMode="auto">
                    <a:xfrm>
                      <a:off x="0" y="0"/>
                      <a:ext cx="5759450" cy="3009900"/>
                    </a:xfrm>
                    <a:prstGeom prst="rect">
                      <a:avLst/>
                    </a:prstGeom>
                    <a:noFill/>
                    <a:ln>
                      <a:noFill/>
                    </a:ln>
                    <a:extLst>
                      <a:ext uri="{53640926-AAD7-44D8-BBD7-CCE9431645EC}">
                        <a14:shadowObscured xmlns:a14="http://schemas.microsoft.com/office/drawing/2010/main"/>
                      </a:ext>
                    </a:extLst>
                  </pic:spPr>
                </pic:pic>
              </a:graphicData>
            </a:graphic>
          </wp:inline>
        </w:drawing>
      </w:r>
    </w:p>
    <w:p w14:paraId="75F3638F" w14:textId="094D947C" w:rsidR="00AE5953" w:rsidRDefault="00AE5953" w:rsidP="00403886">
      <w:pPr>
        <w:keepNext/>
        <w:keepLines/>
        <w:spacing w:after="0" w:line="240" w:lineRule="auto"/>
        <w:rPr>
          <w:rFonts w:ascii="Times New Roman" w:hAnsi="Times New Roman" w:cs="Times New Roman"/>
          <w:sz w:val="24"/>
          <w:szCs w:val="24"/>
          <w:lang w:val="en-US"/>
        </w:rPr>
      </w:pPr>
      <w:r w:rsidRPr="00403886">
        <w:rPr>
          <w:rFonts w:ascii="Times New Roman" w:hAnsi="Times New Roman" w:cs="Times New Roman"/>
          <w:b/>
          <w:sz w:val="20"/>
          <w:szCs w:val="20"/>
          <w:lang w:val="en-US"/>
        </w:rPr>
        <w:t xml:space="preserve">Fig. </w:t>
      </w:r>
      <w:r w:rsidR="00403886" w:rsidRPr="00403886">
        <w:rPr>
          <w:rFonts w:ascii="Times New Roman" w:hAnsi="Times New Roman" w:cs="Times New Roman"/>
          <w:b/>
          <w:sz w:val="20"/>
          <w:szCs w:val="20"/>
          <w:lang w:val="en-US"/>
        </w:rPr>
        <w:t>4</w:t>
      </w:r>
      <w:r w:rsidRPr="00403886">
        <w:rPr>
          <w:rFonts w:ascii="Times New Roman" w:hAnsi="Times New Roman" w:cs="Times New Roman"/>
          <w:b/>
          <w:sz w:val="20"/>
          <w:szCs w:val="20"/>
          <w:lang w:val="en-US"/>
        </w:rPr>
        <w:t>.</w:t>
      </w:r>
      <w:r w:rsidRPr="00403886">
        <w:rPr>
          <w:rFonts w:ascii="Times New Roman" w:hAnsi="Times New Roman" w:cs="Times New Roman"/>
          <w:sz w:val="20"/>
          <w:szCs w:val="20"/>
          <w:lang w:val="en-US"/>
        </w:rPr>
        <w:t xml:space="preserve"> Global patterns of the human appropriation of net primary production (HANPP</w:t>
      </w:r>
      <w:r w:rsidR="00D32B3A">
        <w:rPr>
          <w:rFonts w:ascii="Times New Roman" w:hAnsi="Times New Roman" w:cs="Times New Roman"/>
          <w:sz w:val="20"/>
          <w:szCs w:val="20"/>
          <w:lang w:val="en-US"/>
        </w:rPr>
        <w:t xml:space="preserve"> expressed as percent of </w:t>
      </w:r>
      <w:proofErr w:type="spellStart"/>
      <w:r w:rsidR="00D32B3A">
        <w:rPr>
          <w:rFonts w:ascii="Times New Roman" w:hAnsi="Times New Roman" w:cs="Times New Roman"/>
          <w:sz w:val="20"/>
          <w:szCs w:val="20"/>
          <w:lang w:val="en-US"/>
        </w:rPr>
        <w:t>NPP</w:t>
      </w:r>
      <w:r w:rsidR="00D32B3A" w:rsidRPr="00D32B3A">
        <w:rPr>
          <w:rFonts w:ascii="Times New Roman" w:hAnsi="Times New Roman" w:cs="Times New Roman"/>
          <w:sz w:val="20"/>
          <w:szCs w:val="20"/>
          <w:vertAlign w:val="subscript"/>
          <w:lang w:val="en-US"/>
        </w:rPr>
        <w:t>pot</w:t>
      </w:r>
      <w:proofErr w:type="spellEnd"/>
      <w:r w:rsidRPr="00403886">
        <w:rPr>
          <w:rFonts w:ascii="Times New Roman" w:hAnsi="Times New Roman" w:cs="Times New Roman"/>
          <w:sz w:val="20"/>
          <w:szCs w:val="20"/>
          <w:lang w:val="en-US"/>
        </w:rPr>
        <w:t>)</w:t>
      </w:r>
      <w:r w:rsidR="007A05C4" w:rsidRPr="00403886">
        <w:rPr>
          <w:rFonts w:ascii="Times New Roman" w:hAnsi="Times New Roman" w:cs="Times New Roman"/>
          <w:sz w:val="20"/>
          <w:szCs w:val="20"/>
          <w:lang w:val="en-US"/>
        </w:rPr>
        <w:t xml:space="preserve"> </w:t>
      </w:r>
      <w:r w:rsidR="00D32B3A">
        <w:rPr>
          <w:rFonts w:ascii="Times New Roman" w:hAnsi="Times New Roman" w:cs="Times New Roman"/>
          <w:sz w:val="20"/>
          <w:szCs w:val="20"/>
          <w:lang w:val="en-US"/>
        </w:rPr>
        <w:t xml:space="preserve">in the year </w:t>
      </w:r>
      <w:r w:rsidR="007A05C4" w:rsidRPr="00403886">
        <w:rPr>
          <w:rFonts w:ascii="Times New Roman" w:hAnsi="Times New Roman" w:cs="Times New Roman"/>
          <w:sz w:val="20"/>
          <w:szCs w:val="20"/>
          <w:lang w:val="en-US"/>
        </w:rPr>
        <w:t>2010</w:t>
      </w:r>
      <w:r w:rsidRPr="00403886">
        <w:rPr>
          <w:rFonts w:ascii="Times New Roman" w:hAnsi="Times New Roman" w:cs="Times New Roman"/>
          <w:sz w:val="20"/>
          <w:szCs w:val="20"/>
          <w:lang w:val="en-US"/>
        </w:rPr>
        <w:t xml:space="preserve">. </w:t>
      </w:r>
      <w:r w:rsidR="00A82A1E">
        <w:rPr>
          <w:rFonts w:ascii="Times New Roman" w:hAnsi="Times New Roman" w:cs="Times New Roman"/>
          <w:sz w:val="20"/>
          <w:szCs w:val="20"/>
          <w:lang w:val="en-US"/>
        </w:rPr>
        <w:t>(a</w:t>
      </w:r>
      <w:r w:rsidR="00AA18E3" w:rsidRPr="00403886">
        <w:rPr>
          <w:rFonts w:ascii="Times New Roman" w:hAnsi="Times New Roman" w:cs="Times New Roman"/>
          <w:sz w:val="20"/>
          <w:szCs w:val="20"/>
          <w:lang w:val="en-US"/>
        </w:rPr>
        <w:t xml:space="preserve">) HANPP of all land uses, excluding urban/infrastructure/mining. </w:t>
      </w:r>
      <w:r w:rsidR="00A82A1E">
        <w:rPr>
          <w:rFonts w:ascii="Times New Roman" w:hAnsi="Times New Roman" w:cs="Times New Roman"/>
          <w:sz w:val="20"/>
          <w:szCs w:val="20"/>
          <w:lang w:val="en-US"/>
        </w:rPr>
        <w:t>(b</w:t>
      </w:r>
      <w:r w:rsidR="00AA18E3" w:rsidRPr="00403886">
        <w:rPr>
          <w:rFonts w:ascii="Times New Roman" w:hAnsi="Times New Roman" w:cs="Times New Roman"/>
          <w:sz w:val="20"/>
          <w:szCs w:val="20"/>
          <w:lang w:val="en-US"/>
        </w:rPr>
        <w:t xml:space="preserve">) HANPP on cropland. </w:t>
      </w:r>
      <w:r w:rsidR="00A82A1E">
        <w:rPr>
          <w:rFonts w:ascii="Times New Roman" w:hAnsi="Times New Roman" w:cs="Times New Roman"/>
          <w:sz w:val="20"/>
          <w:szCs w:val="20"/>
          <w:lang w:val="en-US"/>
        </w:rPr>
        <w:t>(c</w:t>
      </w:r>
      <w:r w:rsidR="00AA18E3" w:rsidRPr="00403886">
        <w:rPr>
          <w:rFonts w:ascii="Times New Roman" w:hAnsi="Times New Roman" w:cs="Times New Roman"/>
          <w:sz w:val="20"/>
          <w:szCs w:val="20"/>
          <w:lang w:val="en-US"/>
        </w:rPr>
        <w:t xml:space="preserve">) HANPP on grazing land. </w:t>
      </w:r>
      <w:r w:rsidR="00A82A1E">
        <w:rPr>
          <w:rFonts w:ascii="Times New Roman" w:hAnsi="Times New Roman" w:cs="Times New Roman"/>
          <w:sz w:val="20"/>
          <w:szCs w:val="20"/>
          <w:lang w:val="en-US"/>
        </w:rPr>
        <w:t>(d</w:t>
      </w:r>
      <w:r w:rsidR="00AA18E3" w:rsidRPr="00403886">
        <w:rPr>
          <w:rFonts w:ascii="Times New Roman" w:hAnsi="Times New Roman" w:cs="Times New Roman"/>
          <w:sz w:val="20"/>
          <w:szCs w:val="20"/>
          <w:lang w:val="en-US"/>
        </w:rPr>
        <w:t>) HANPP associated to forestry. Data source</w:t>
      </w:r>
      <w:r w:rsidR="002A4301" w:rsidRPr="00403886">
        <w:rPr>
          <w:rFonts w:ascii="Times New Roman" w:hAnsi="Times New Roman" w:cs="Times New Roman"/>
          <w:sz w:val="20"/>
          <w:szCs w:val="20"/>
          <w:lang w:val="en-US"/>
        </w:rPr>
        <w:t>:</w:t>
      </w:r>
      <w:r w:rsidR="00403886">
        <w:rPr>
          <w:rFonts w:ascii="Times New Roman" w:hAnsi="Times New Roman" w:cs="Times New Roman"/>
          <w:sz w:val="20"/>
          <w:szCs w:val="20"/>
          <w:lang w:val="en-US"/>
        </w:rPr>
        <w:t xml:space="preserve"> </w:t>
      </w:r>
      <w:r w:rsidR="00474A42">
        <w:rPr>
          <w:rFonts w:ascii="Times New Roman" w:hAnsi="Times New Roman" w:cs="Times New Roman"/>
          <w:sz w:val="20"/>
          <w:szCs w:val="20"/>
          <w:lang w:val="en-US"/>
        </w:rPr>
        <w:t xml:space="preserve">own </w:t>
      </w:r>
      <w:r w:rsidR="003A0D2A">
        <w:rPr>
          <w:rFonts w:ascii="Times New Roman" w:hAnsi="Times New Roman" w:cs="Times New Roman"/>
          <w:sz w:val="20"/>
          <w:szCs w:val="20"/>
          <w:lang w:val="en-US"/>
        </w:rPr>
        <w:t>map</w:t>
      </w:r>
      <w:r w:rsidR="00474A42">
        <w:rPr>
          <w:rFonts w:ascii="Times New Roman" w:hAnsi="Times New Roman" w:cs="Times New Roman"/>
          <w:sz w:val="20"/>
          <w:szCs w:val="20"/>
          <w:lang w:val="en-US"/>
        </w:rPr>
        <w:t xml:space="preserve"> drawn </w:t>
      </w:r>
      <w:r w:rsidR="003A0D2A">
        <w:rPr>
          <w:rFonts w:ascii="Times New Roman" w:hAnsi="Times New Roman" w:cs="Times New Roman"/>
          <w:sz w:val="20"/>
          <w:szCs w:val="20"/>
          <w:lang w:val="en-US"/>
        </w:rPr>
        <w:t xml:space="preserve">using </w:t>
      </w:r>
      <w:r w:rsidR="00474A42">
        <w:rPr>
          <w:rFonts w:ascii="Times New Roman" w:hAnsi="Times New Roman" w:cs="Times New Roman"/>
          <w:sz w:val="20"/>
          <w:szCs w:val="20"/>
          <w:lang w:val="en-US"/>
        </w:rPr>
        <w:t xml:space="preserve">data in </w:t>
      </w:r>
      <w:r w:rsidR="00403886">
        <w:rPr>
          <w:rFonts w:ascii="Times New Roman" w:hAnsi="Times New Roman" w:cs="Times New Roman"/>
          <w:sz w:val="20"/>
          <w:szCs w:val="20"/>
          <w:lang w:val="en-US"/>
        </w:rPr>
        <w:fldChar w:fldCharType="begin"/>
      </w:r>
      <w:r w:rsidR="00403886">
        <w:rPr>
          <w:rFonts w:ascii="Times New Roman" w:hAnsi="Times New Roman" w:cs="Times New Roman"/>
          <w:sz w:val="20"/>
          <w:szCs w:val="20"/>
          <w:lang w:val="en-US"/>
        </w:rPr>
        <w:instrText xml:space="preserve"> ADDIN ZOTERO_ITEM CSL_CITATION {"citationID":"SSfxpkuD","properties":{"formattedCitation":"(Kastner et al., in review)","plainCitation":"(Kastner et al., in review)","noteIndex":0},"citationItems":[{"id":71672,"uris":["http://zotero.org/users/666791/items/2RGBL6KR"],"uri":["http://zotero.org/users/666791/items/2RGBL6KR"],"itemData":{"id":71672,"type":"article-journal","container-title":"Global Change Biology","title":"Land use intensification increasingly drives the spatiotemporal patterns of the global human appropriation of net primary production in the last century","volume":"in review","author":[{"family":"Kastner","given":"Thomas"},{"family":"Matej","given":"Sarah"},{"family":"Forrest","given":"Matthew"},{"family":"Gingrich","given":"Simone"},{"family":"Haberl","given":"Helmut"},{"family":"Hickler","given":"Thomas"},{"family":"Krausmann","given":"Fridolin"},{"family":"Lasslop","given":"Gitta"},{"family":"Niedertscheider","given":"Maria"},{"family":"Plutzar","given":"Christoph"},{"family":"Schwarzmüller","given":"Thomas"},{"family":"Steinkamp","given":"Jörg"},{"family":"Erb","given":"Karl-Heinz"}],"issued":{"literal":"in review"}}}],"schema":"https://github.com/citation-style-language/schema/raw/master/csl-citation.json"} </w:instrText>
      </w:r>
      <w:r w:rsidR="00403886">
        <w:rPr>
          <w:rFonts w:ascii="Times New Roman" w:hAnsi="Times New Roman" w:cs="Times New Roman"/>
          <w:sz w:val="20"/>
          <w:szCs w:val="20"/>
          <w:lang w:val="en-US"/>
        </w:rPr>
        <w:fldChar w:fldCharType="separate"/>
      </w:r>
      <w:r w:rsidR="00403886" w:rsidRPr="00403886">
        <w:rPr>
          <w:rFonts w:ascii="Times New Roman" w:hAnsi="Times New Roman" w:cs="Times New Roman"/>
          <w:sz w:val="20"/>
          <w:lang w:val="en-US"/>
        </w:rPr>
        <w:t>(Kastner et al., in review)</w:t>
      </w:r>
      <w:r w:rsidR="00403886">
        <w:rPr>
          <w:rFonts w:ascii="Times New Roman" w:hAnsi="Times New Roman" w:cs="Times New Roman"/>
          <w:sz w:val="20"/>
          <w:szCs w:val="20"/>
          <w:lang w:val="en-US"/>
        </w:rPr>
        <w:fldChar w:fldCharType="end"/>
      </w:r>
      <w:r w:rsidR="00474A42">
        <w:rPr>
          <w:rFonts w:ascii="Times New Roman" w:hAnsi="Times New Roman" w:cs="Times New Roman"/>
          <w:sz w:val="20"/>
          <w:szCs w:val="20"/>
          <w:lang w:val="en-US"/>
        </w:rPr>
        <w:t xml:space="preserve"> and</w:t>
      </w:r>
      <w:r w:rsidR="002A3561" w:rsidRPr="00403886">
        <w:rPr>
          <w:rFonts w:ascii="Times New Roman" w:hAnsi="Times New Roman" w:cs="Times New Roman"/>
          <w:sz w:val="20"/>
          <w:szCs w:val="20"/>
          <w:lang w:val="en-US"/>
        </w:rPr>
        <w:t xml:space="preserve"> </w:t>
      </w:r>
      <w:r w:rsidR="002A3561" w:rsidRPr="00403886">
        <w:rPr>
          <w:rFonts w:ascii="Times New Roman" w:hAnsi="Times New Roman" w:cs="Times New Roman"/>
          <w:sz w:val="20"/>
          <w:szCs w:val="20"/>
          <w:lang w:val="en-US"/>
        </w:rPr>
        <w:fldChar w:fldCharType="begin"/>
      </w:r>
      <w:r w:rsidR="002A3561" w:rsidRPr="00403886">
        <w:rPr>
          <w:rFonts w:ascii="Times New Roman" w:hAnsi="Times New Roman" w:cs="Times New Roman"/>
          <w:sz w:val="20"/>
          <w:szCs w:val="20"/>
          <w:lang w:val="en-US"/>
        </w:rPr>
        <w:instrText xml:space="preserve"> ADDIN ZOTERO_ITEM CSL_CITATION {"citationID":"eguOZuES","properties":{"formattedCitation":"(Haberl et al., 2007)","plainCitation":"(Haberl et al., 2007)","noteIndex":0},"citationItems":[{"id":507,"uris":["http://zotero.org/users/666791/items/CVWK8WFD"],"uri":["http://zotero.org/users/666791/items/CVWK8WFD"],"itemData":{"id":507,"type":"article-journal","abstract":"Human appropriation of net primary production (HANPP), the aggregate impact of land use on biomass available each year in ecosystems, is a prominent measure of the human domination of the biosphere. We present a comprehensive assessment of global HANPP based on vegetation modeling, agricultural and forestry statistics, and geographical information systems data on land use, land cover, and soil degradation that localizes human impact on ecosystems. We found an aggregate global HANPP value of 15.6 Pg C/yr or 23.8% of potential net primary productivity, of which 53% was contributed by harvest, 40% by land-use-induced productivity changes, and 7% by human-induced fires. This is a remarkable impact on the biosphere caused by just one species. We present maps quantifying human-induced changes in trophic energy flows in ecosystems that illustrate spatial patterns in the human domination of ecosystems, thus emphasizing land use as a pervasive factor of global importance. Land use transforms earth's terrestrial surface, resulting in changes in biogeochemical cycles and in the ability of ecosystems to deliver services critical to human well being. The results suggest that large-scale schemes to substitute biomass for fossil fuels should be viewed cautiously because massive additional pressures on ecosystems might result from increased biomass harvest.","container-title":"Proceedings of the National Academy of Sciences","DOI":"10.1073/pnas.0704243104","issue":"31","page":"12942 -12947","source":"Highwire 2.0","title":"Quantifying and mapping the human appropriation of net primary production in earth's terrestrial ecosystems","volume":"104","author":[{"family":"Haberl","given":"Helmut"},{"family":"Erb","given":"K. Heinz"},{"family":"Krausmann","given":"Fridolin"},{"family":"Gaube","given":"Veronika"},{"family":"Bondeau","given":"Alberte"},{"family":"Plutzar","given":"Christoph"},{"family":"Gingrich","given":"Simone"},{"family":"Lucht","given":"Wolfgang"},{"family":"Fischer-Kowalski","given":"Marina"}],"issued":{"date-parts":[["2007",7,31]]}}}],"schema":"https://github.com/citation-style-language/schema/raw/master/csl-citation.json"} </w:instrText>
      </w:r>
      <w:r w:rsidR="002A3561" w:rsidRPr="00403886">
        <w:rPr>
          <w:rFonts w:ascii="Times New Roman" w:hAnsi="Times New Roman" w:cs="Times New Roman"/>
          <w:sz w:val="20"/>
          <w:szCs w:val="20"/>
          <w:lang w:val="en-US"/>
        </w:rPr>
        <w:fldChar w:fldCharType="separate"/>
      </w:r>
      <w:r w:rsidR="002A3561" w:rsidRPr="00403886">
        <w:rPr>
          <w:rFonts w:ascii="Times New Roman" w:hAnsi="Times New Roman" w:cs="Times New Roman"/>
          <w:sz w:val="20"/>
          <w:szCs w:val="20"/>
          <w:lang w:val="en-US"/>
        </w:rPr>
        <w:t>(Haberl et al., 2007)</w:t>
      </w:r>
      <w:r w:rsidR="002A3561" w:rsidRPr="00403886">
        <w:rPr>
          <w:rFonts w:ascii="Times New Roman" w:hAnsi="Times New Roman" w:cs="Times New Roman"/>
          <w:sz w:val="20"/>
          <w:szCs w:val="20"/>
          <w:lang w:val="en-US"/>
        </w:rPr>
        <w:fldChar w:fldCharType="end"/>
      </w:r>
      <w:r w:rsidR="00474A42">
        <w:rPr>
          <w:rFonts w:ascii="Times New Roman" w:hAnsi="Times New Roman" w:cs="Times New Roman"/>
          <w:sz w:val="20"/>
          <w:szCs w:val="20"/>
          <w:lang w:val="en-US"/>
        </w:rPr>
        <w:t>.</w:t>
      </w:r>
    </w:p>
    <w:p w14:paraId="12AD0356" w14:textId="7E5ED472" w:rsidR="007E74AE" w:rsidRDefault="007E74AE" w:rsidP="00306ACB">
      <w:pPr>
        <w:spacing w:after="0" w:line="240" w:lineRule="auto"/>
        <w:rPr>
          <w:rFonts w:ascii="Times New Roman" w:hAnsi="Times New Roman" w:cs="Times New Roman"/>
          <w:sz w:val="24"/>
          <w:szCs w:val="24"/>
          <w:lang w:val="en-US"/>
        </w:rPr>
      </w:pPr>
    </w:p>
    <w:p w14:paraId="3EB29896" w14:textId="182B96D4" w:rsidR="00C35262" w:rsidRDefault="00C35262" w:rsidP="00C3526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But land use does not only affect carbon and energy fluxes, it also, and even more severely, affects ecosystem structures. The amount of carbon stored in biomass is only half of that of the potential vegetation, about equally due to land conversions and due to land modification – the latter by definition including forestry and grazing management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{"citationID":"FV6zrp9M","properties":{"formattedCitation":"(Erb et al., 2018)","plainCitation":"(Erb et al., 2018)","noteIndex":0},"citationItems":[{"id":12642,"uris":["http://zotero.org/users/666791/items/MDP65R6M"],"uri":["http://zotero.org/users/666791/items/MDP65R6M"],"itemData":{"id":12642,"type":"article-journal","abstract":"Carbon stocks in vegetation have a key role in the climate system1,2,3,4. However, the magnitude, patterns and uncertainties of carbon stocks and the effect of land use on the stocks remain poorly quantified. Here we show, using state-of-the-art datasets, that vegetation currently stores around 450 petagrams of carbon. In the hypothetical absence of land use, potential vegetation would store around 916 petagrams of carbon, under current climate conditions. This difference highlights the massive effect of land use on biomass stocks. Deforestation and other land-cover changes are responsible for 53–58% of the difference between current and potential biomass stocks. Land management effects (the biomass stock changes induced by land use within the same land cover) contribute 42–47%, but have been underestimated in the literature. Therefore, avoiding deforestation is necessary but not sufficient for mitigation of climate change. Our results imply that trade-offs exist between conserving carbon stocks on managed land and raising the contribution of biomass to raw material and energy supply for the mitigation of climate change. Efforts to raise biomass stocks are currently verifiable only in temperate forests, where their potential is limited. By contrast, large uncertainties hinder verification in the tropical forest, where the largest potential is located, pointing to challenges for the upcoming stocktaking exercises under the Paris agreement.","container-title":"Nature","DOI":"10.1038/nature25138","ISSN":"1476-4687","issue":"7686","language":"en","page":"73-76","source":"www.nature.com","title":"Unexpectedly large impact of forest management and grazing on global vegetation biomass","volume":"553","author":[{"family":"Erb","given":"Karl-Heinz"},{"family":"Kastner","given":"Thomas"},{"family":"Plutzar","given":"Christoph"},{"family":"Bais","given":"Anna Liza S."},{"family":"Carvalhais","given":"Nuno"},{"family":"Fetzel","given":"Tamara"},{"family":"Gingrich","given":"Simone"},{"family":"Haberl","given":"Helmut"},{"family":"Lauk","given":"Christian"},{"family":"Niedertscheider","given":"Maria"},{"family":"Pongratz","given":"Julia"},{"family":"Thurner","given":"Martin"},{"family":"Luyssaert","given":"Sebastiaan"}],"issued":{"date-parts":[["2018",1]]}}}],"schema":"https://github.com/citation-style-language/schema/raw/master/csl-citation.json"} </w:instrText>
      </w:r>
      <w:r>
        <w:rPr>
          <w:rFonts w:ascii="Times New Roman" w:hAnsi="Times New Roman" w:cs="Times New Roman"/>
          <w:sz w:val="24"/>
          <w:szCs w:val="24"/>
          <w:lang w:val="en-US"/>
        </w:rPr>
        <w:fldChar w:fldCharType="separate"/>
      </w:r>
      <w:r w:rsidRPr="0005649C">
        <w:rPr>
          <w:rFonts w:ascii="Times New Roman" w:hAnsi="Times New Roman" w:cs="Times New Roman"/>
          <w:sz w:val="24"/>
          <w:lang w:val="en-US"/>
        </w:rPr>
        <w:t>(Erb et al., 2018)</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The strong effect on carbon stocks, and the still prominent, but weaker impact on NPP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{"citationID":"CcqYKGPy","properties":{"formattedCitation":"(K.-H. Erb et al., 2016)","plainCitation":"(K.-H. Erb et al., 2016)","noteIndex":0},"citationItems":[{"id":2666,"uris":["http://zotero.org/users/666791/items/EXE9W3W8"],"uri":["http://zotero.org/users/666791/items/EXE9W3W8"],"itemData":{"id":2666,"type":"article-journal","container-title":"Nature Geosci","ISSN":"1752-0894","issue":"9","journalAbbreviation":"Nature Geosci","page":"674-678","title":"Biomass turnover time in terrestrial ecosystems halved by land use","volume":"9","author":[{"family":"Erb","given":"Karl-Heinz"},{"family":"Fetzel","given":"Tamara"},{"family":"Plutzar","given":"Christoph"},{"family":"Kastner","given":"Thomas"},{"family":"Lauk","given":"Christian"},{"family":"Mayer","given":"Andreas"},{"family":"Niedertscheider","given":"Maria"},{"family":"Korner","given":"Christian"},{"family":"Haberl","given":"Helmut"}],"issued":{"date-parts":[["2016",9]]}}}],"schema":"https://github.com/citation-style-language/schema/raw/master/csl-citation.json"} </w:instrText>
      </w:r>
      <w:r>
        <w:rPr>
          <w:rFonts w:ascii="Times New Roman" w:hAnsi="Times New Roman" w:cs="Times New Roman"/>
          <w:sz w:val="24"/>
          <w:szCs w:val="24"/>
          <w:lang w:val="en-US"/>
        </w:rPr>
        <w:fldChar w:fldCharType="separate"/>
      </w:r>
      <w:r w:rsidRPr="0048617E">
        <w:rPr>
          <w:rFonts w:ascii="Times New Roman" w:hAnsi="Times New Roman" w:cs="Times New Roman"/>
          <w:sz w:val="24"/>
          <w:lang w:val="en-US"/>
        </w:rPr>
        <w:t>(K.-H. Erb et al., 2016)</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results in a massive acceleration of the turnover time in land ecosystems; while C would, on the average, remain about 13 years in the vegetation biomass in the potential vegetation, it currently remains there only for about 7 years. Thus, land use is a pervasive driver of the carbon state of ecosystems, with far reaching effects on other biogeochemical cycles as well as on biodiversity.  </w:t>
      </w:r>
    </w:p>
    <w:p w14:paraId="64949432" w14:textId="77777777" w:rsidR="00C35262" w:rsidRDefault="00C35262" w:rsidP="00C35262">
      <w:pPr>
        <w:spacing w:after="0" w:line="240" w:lineRule="auto"/>
        <w:rPr>
          <w:rFonts w:ascii="Times New Roman" w:hAnsi="Times New Roman" w:cs="Times New Roman"/>
          <w:sz w:val="24"/>
          <w:szCs w:val="24"/>
          <w:lang w:val="en-US"/>
        </w:rPr>
      </w:pPr>
    </w:p>
    <w:p w14:paraId="39B0E3A5" w14:textId="472757F3" w:rsidR="002639D9" w:rsidRPr="0042466F" w:rsidRDefault="00CF4646" w:rsidP="002639D9">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3</w:t>
      </w:r>
      <w:r w:rsidR="002639D9" w:rsidRPr="0042466F">
        <w:rPr>
          <w:rFonts w:ascii="Times New Roman" w:hAnsi="Times New Roman" w:cs="Times New Roman"/>
          <w:b/>
          <w:sz w:val="24"/>
          <w:szCs w:val="24"/>
          <w:lang w:val="en-US"/>
        </w:rPr>
        <w:t>.3</w:t>
      </w:r>
      <w:r w:rsidR="0042466F" w:rsidRPr="0042466F">
        <w:rPr>
          <w:rFonts w:ascii="Times New Roman" w:hAnsi="Times New Roman" w:cs="Times New Roman"/>
          <w:b/>
          <w:sz w:val="24"/>
          <w:szCs w:val="24"/>
          <w:lang w:val="en-US"/>
        </w:rPr>
        <w:t xml:space="preserve"> </w:t>
      </w:r>
      <w:r w:rsidR="00CD5BF4">
        <w:rPr>
          <w:rFonts w:ascii="Times New Roman" w:hAnsi="Times New Roman" w:cs="Times New Roman"/>
          <w:b/>
          <w:sz w:val="24"/>
          <w:szCs w:val="24"/>
          <w:lang w:val="en-US"/>
        </w:rPr>
        <w:t xml:space="preserve">Land use, </w:t>
      </w:r>
      <w:r w:rsidR="0042466F" w:rsidRPr="0042466F">
        <w:rPr>
          <w:rFonts w:ascii="Times New Roman" w:hAnsi="Times New Roman" w:cs="Times New Roman"/>
          <w:b/>
          <w:sz w:val="24"/>
          <w:szCs w:val="24"/>
          <w:lang w:val="en-US"/>
        </w:rPr>
        <w:t>HANPP and biodiversity – what do we currently know?</w:t>
      </w:r>
    </w:p>
    <w:p w14:paraId="49EC8A66" w14:textId="23341030" w:rsidR="009E1A88" w:rsidRDefault="008F3DFB" w:rsidP="002639D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It is widely accepted that land use is one of the most important drivers of biodiversity loss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{"citationID":"ru2Js1nq","properties":{"formattedCitation":"(D\\uc0\\u237{}az et al., 2019; IPBES, 2019)","plainCitation":"(Díaz et al., 2019; IPBES, 2019)","noteIndex":0},"citationItems":[{"id":61754,"uris":["http://zotero.org/users/666791/items/FVBA2EVQ"],"uri":["http://zotero.org/users/666791/items/FVBA2EVQ"],"itemData":{"id":61754,"type":"article-journal","abstract":"The time is now\nFor decades, scientists have been raising calls for societal changes that will reduce our impacts on nature. Though much conservation has occurred, our natural environment continues to decline under the weight of our consumption. Humanity depends directly on the output of nature; thus, this decline will affect us, just as it does the other species with which we share this world. Díaz et al. review the findings of the largest assessment of the state of nature conducted as of yet. They report that the state of nature, and the state of the equitable distribution of nature's support, is in serious decline. Only immediate transformation of global business-as-usual economies and operations will sustain nature as we know it, and us, into the future.\nScience, this issue p. eaax3100\nStructured Abstract\nBACKGROUNDHuman actions have long been known to drive declines in nature, and there is growing awareness of how globalization means that these drivers increasingly act at a distance (telecoupling). However, evidence from different disciplines has largely accumulated in parallel, and the global effects of telecouplings have never been addressed comprehensively. Now, the first integrated global-scale intergovernmental assessment of the status, trends, and future of the links between people and nature provides an unprecedented picture of the extent of our mutual dependence, the breadth and depth of the ongoing and impending crisis, and the interconnectedness among sectors and regions.\nADVANCESHuman impacts on life on Earth have increased sharply since the 1970s. The world is increasingly managed to maximize the flow of material contributions from nature to keep up with rising demands for food, energy, timber, and more, with global trade increasing the geographic separation between supply and demand. This unparalleled appropriation of nature is causing the fabric of life on which humanity depends to fray and unravel: Most indicators of the state of nature, whether monitored by natural and social scientists or by Indigenous Peoples and local communities, are declining. These include the number and population size of wild species, the number of local varieties of domesticated species, the distinctness of ecological communities, and the extent and integrity of many terrestrial and aquatic ecosystems. As a consequence, nature’s capacity to provide crucial benefits has also declined, including environmental processes underpinning human health and nonmaterial contributions to human quality of life. The costs are distributed unequally, as are the benefits of an expanding global economy.These trends in nature and its contributions to people are projected to worsen in the coming decades—unevenly so among different regions—unless rapid and integrated action is taken to reduce the direct drivers responsible for most change over the past 50 years: land and sea use change, direct harvesting of many plants and animals, climate change (whose impacts are set to accelerate), pollution, and the spread of invasive alien species. Exploratory scenarios suggest that a world with increased regional barriers—resonating with recent geopolitical trends—will yield more negative global trends in nature, as well as the greatest disparity in trends across regions, greater than a world with liberal financial markets, and much greater than one that prioritizes and integrates actions toward sustainable development. Evidence from target-seeking scenarios and pathways indicates that a world that achieves many of the global biodiversity targets and sustainability goals related to food, energy, climate, and water is not—yet—beyond reach, but that no single action can get us there.\nOUTLOOKOur comprehensive assessment of status, trends, and possible futures for nature and people suggests that action at the level of direct drivers of nature decline, although necessary, is not sufficient to prevent further deterioration of the fabric of life on Earth. Reversal of recent declines—and a sustainable global future—are only possible with urgent transformative change that tackles the root causes: the interconnected economic, sociocultural, demographic, political, institutional, and technological indirect drivers behind the direct drivers. As well as a pan-sectoral approach to conserving and restoring the nature that underpins many goals, this transformation will need innovative governance approaches that are adaptive; inclusive; informed by existing and new evidence; and integrative across systems, jurisdictions, and tools. Although the challenge is formidable, every delay will make the task even harder. Crucially, our analysis pinpoints five priority interventions (“levers”) and eight leverage points for intervention in the indirect drivers of global social and economic systems where they can make the biggest difference. &lt;img class=\"fragment-image\" aria-describedby=\"F1-caption\" src=\"https://science.sciencemag.org/content/sci/366/6471/eaax3100/F1.medium.gif\"/&gt; Download high-res image Open in new tab Download Powerpoint Traditional diversity-rich human landscapes, and the livelihoods and identities that depend on them, face global threats.Mosaics of crops, forest, and pasture have been maintained for millennia around the world. Now, they are under increasing threat from climate change and large-scale land use change to accommodate global demands for commodities. So are the livelihoods and cultural identity of the peoples that live in them, such as this woman collecting fodder for her flock in the Checacupe district, Perú.Photo credit www.estebantapella.com\nThe human impact on life on Earth has increased sharply since the 1970s, driven by the demands of a growing population with rising average per capita income. Nature is currently supplying more materials than ever before, but this has come at the high cost of unprecedented global declines in the extent and integrity of ecosystems, distinctness of local ecological communities, abundance and number of wild species, and the number of local domesticated varieties. Such changes reduce vital benefits that people receive from nature and threaten the quality of life of future generations. Both the benefits of an expanding economy and the costs of reducing nature’s benefits are unequally distributed. The fabric of life on which we all depend—nature and its contributions to people—is unravelling rapidly. Despite the severity of the threats and lack of enough progress in tackling them to date, opportunities exist to change future trajectories through transformative action. Such action must begin immediately, however, and address the root economic, social, and technological causes of nature’s deterioration.","container-title":"Science","DOI":"10.1126/science.aax3100","ISSN":"0036-8075, 1095-9203","issue":"6471","language":"en","note":"PMID: 31831642","source":"science.sciencemag.org","title":"Pervasive human-driven decline of life on Earth points to the need for transformative change","URL":"https://science.sciencemag.org/content/366/6471/eaax3100","volume":"366","author":[{"family":"Díaz","given":"Sandra"},{"family":"Settele","given":"Josef"},{"family":"Brondízio","given":"Eduardo S."},{"family":"Ngo","given":"Hien T."},{"family":"Agard","given":"John"},{"family":"Arneth","given":"Almut"},{"family":"Balvanera","given":"Patricia"},{"family":"Brauman","given":"Kate A."},{"family":"Butchart","given":"Stuart H. M."},{"family":"Chan","given":"Kai M. A."},{"family":"Garibaldi","given":"Lucas A."},{"family":"Ichii","given":"Kazuhito"},{"family":"Liu","given":"Jianguo"},{"family":"Subramanian","given":"Suneetha M."},{"family":"Midgley","given":"Guy F."},{"family":"Miloslavich","given":"Patricia"},{"family":"Molnár","given":"Zsolt"},{"family":"Obura","given":"David"},{"family":"Pfaff","given":"Alexander"},{"family":"Polasky","given":"Stephen"},{"family":"Purvis","given":"Andy"},{"family":"Razzaque","given":"Jona"},{"family":"Reyers","given":"Belinda"},{"family":"Chowdhury","given":"Rinku Roy"},{"family":"Shin","given":"Yunne-Jai"},{"family":"Visseren-Hamakers","given":"Ingrid"},{"family":"Willis","given":"Katherine J."},{"family":"Zayas","given":"Cynthia N."}],"accessed":{"date-parts":[["2020",2,13]]},"issued":{"date-parts":[["2019",12,13]]}}},{"id":70243,"uris":["http://zotero.org/users/666791/items/Y45MZLF8"],"uri":["http://zotero.org/users/666791/items/Y45MZLF8"],"itemData":{"id":70243,"type":"book","event-place":"Bonn,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Services","author":[{"family":"IPBES","given":""}],"issued":{"date-parts":[["2019"]]}}}],"schema":"https://github.com/citation-style-language/schema/raw/master/csl-citation.json"} </w:instrText>
      </w:r>
      <w:r>
        <w:rPr>
          <w:rFonts w:ascii="Times New Roman" w:hAnsi="Times New Roman" w:cs="Times New Roman"/>
          <w:sz w:val="24"/>
          <w:szCs w:val="24"/>
          <w:lang w:val="en-US"/>
        </w:rPr>
        <w:fldChar w:fldCharType="separate"/>
      </w:r>
      <w:r w:rsidRPr="008F3DFB">
        <w:rPr>
          <w:rFonts w:ascii="Times New Roman" w:hAnsi="Times New Roman" w:cs="Times New Roman"/>
          <w:sz w:val="24"/>
          <w:szCs w:val="24"/>
          <w:lang w:val="en-US"/>
        </w:rPr>
        <w:t>(Díaz et al., 2019; IPBES, 2019)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and that species loss </w:t>
      </w:r>
      <w:r w:rsidR="00234C65">
        <w:rPr>
          <w:rFonts w:ascii="Times New Roman" w:hAnsi="Times New Roman" w:cs="Times New Roman"/>
          <w:sz w:val="24"/>
          <w:szCs w:val="24"/>
          <w:lang w:val="en-US"/>
        </w:rPr>
        <w:t xml:space="preserve">increases with </w:t>
      </w:r>
      <w:r>
        <w:rPr>
          <w:rFonts w:ascii="Times New Roman" w:hAnsi="Times New Roman" w:cs="Times New Roman"/>
          <w:sz w:val="24"/>
          <w:szCs w:val="24"/>
          <w:lang w:val="en-US"/>
        </w:rPr>
        <w:t xml:space="preserve">land-use intensity </w:t>
      </w:r>
      <w:r>
        <w:rPr>
          <w:rFonts w:ascii="Times New Roman" w:hAnsi="Times New Roman" w:cs="Times New Roman"/>
          <w:sz w:val="24"/>
          <w:szCs w:val="24"/>
          <w:lang w:val="en-US"/>
        </w:rPr>
        <w:lastRenderedPageBreak/>
        <w:fldChar w:fldCharType="begin"/>
      </w:r>
      <w:r w:rsidR="00907F37">
        <w:rPr>
          <w:rFonts w:ascii="Times New Roman" w:hAnsi="Times New Roman" w:cs="Times New Roman"/>
          <w:sz w:val="24"/>
          <w:szCs w:val="24"/>
          <w:lang w:val="en-US"/>
        </w:rPr>
        <w:instrText xml:space="preserve"> ADDIN ZOTERO_ITEM CSL_CITATION {"citationID":"3IN9l8mF","properties":{"formattedCitation":"(Kehoe et al., 2017; Newbold et al., 2015)","plainCitation":"(Kehoe et al., 2017; Newbold et al., 2015)","noteIndex":0},"citationItems":[{"id":16079,"uris":["http://zotero.org/users/666791/items/FIPMXEHG"],"uri":["http://zotero.org/users/666791/items/FIPMXEHG"],"itemData":{"id":16079,"type":"article-journal","container-title":"Nature Ecology &amp; Evolution","DOI":"10.1038/s41559-017-0234-3","ISSN":"2397-334X","issue":"8","language":"en","page":"1129-1135","source":"DOI.org (Crossref)","title":"Biodiversity at risk under future cropland expansion and intensification","volume":"1","author":[{"family":"Kehoe","given":"Laura"},{"family":"Romero-Muñoz","given":"Alfredo"},{"family":"Polaina","given":"Ester"},{"family":"Estes","given":"Lyndon"},{"family":"Kreft","given":"Holger"},{"family":"Kuemmerle","given":"Tobias"}],"issued":{"date-parts":[["2017",8]]}}},{"id":12625,"uris":["http://zotero.org/users/666791/items/NBDQP9TT"],"uri":["http://zotero.org/users/666791/items/NBDQP9TT"],"itemData":{"id":12625,"type":"article-journal","abstract":"Human activities, especially conversion and degradation of habitats, are causing global biodiversity declines. How local ecological assemblages are responding is less clear—a concern given their importance for many ecosystem functions and services. We analysed a terrestrial assemblage database of unprecedented geographic and taxonomic coverage to quantify local biodiversity responses to land use and related changes. Here we show that in the worst-affected habitats, these pressures reduce within-sample species richness by an average of 76.5%, total abundance by 39.5% and rarefaction-based richness by 40.3%. We estimate that, globally, these pressures have already slightly reduced average within-sample richness (by 13.6%), total abundance (10.7%) and rarefaction-based richness (8.1%), with changes showing marked spatial variation. Rapid further losses are predicted under a business-as-usual land-use scenario; within-sample richness is projected to fall by a further 3.4% globally by 2100, with losses concentrated in biodiverse but economically poor countries. Strong mitigation can deliver much more positive biodiversity changes (up to a 1.9% average increase) that are less strongly related to countries' socioeconomic status.","container-title":"Nature","DOI":"10.1038/nature14324","ISSN":"1476-4687","issue":"7545","language":"en","page":"45-50","source":"www.nature.com","title":"Global effects of land use on local terrestrial biodiversity","volume":"520","author":[{"family":"Newbold","given":"Tim"},{"family":"Hudson","given":"Lawrence N."},{"family":"Hill","given":"Samantha L. L."},{"family":"Contu","given":"Sara"},{"family":"Lysenko","given":"Igor"},{"family":"Senior","given":"Rebecca A."},{"family":"Börger","given":"Luca"},{"family":"Bennett","given":"Dominic J."},{"family":"Choimes","given":"Argyrios"},{"family":"Collen","given":"Ben"},{"family":"Day","given":"Julie"},{"family":"Palma","given":"Adriana De"},{"family":"Díaz","given":"Sandra"},{"family":"Echeverria-Londoño","given":"Susy"},{"family":"Edgar","given":"Melanie J."},{"family":"Feldman","given":"Anat"},{"family":"Garon","given":"Morgan"},{"family":"Harrison","given":"Michelle L. K."},{"family":"Alhusseini","given":"Tamera"},{"family":"Ingram","given":"Daniel J."},{"family":"Itescu","given":"Yuval"},{"family":"Kattge","given":"Jens"},{"family":"Kemp","given":"Victoria"},{"family":"Kirkpatrick","given":"Lucinda"},{"family":"Kleyer","given":"Michael"},{"family":"Correia","given":"David Laginha Pinto"},{"family":"Martin","given":"Callum D."},{"family":"Meiri","given":"Shai"},{"family":"Novosolov","given":"Maria"},{"family":"Pan","given":"Yuan"},{"family":"Phillips","given":"Helen R. P."},{"family":"Purves","given":"Drew W."},{"family":"Robinson","given":"Alexandra"},{"family":"Simpson","given":"Jake"},{"family":"Tuck","given":"Sean L."},{"family":"Weiher","given":"Evan"},{"family":"White","given":"Hannah J."},{"family":"Ewers","given":"Robert M."},{"family":"Mace","given":"Georgina M."},{"family":"Scharlemann","given":"Jörn P. W."},{"family":"Purvis","given":"Andy"}],"issued":{"date-parts":[["2015",4]]}}}],"schema":"https://github.com/citation-style-language/schema/raw/master/csl-citation.json"} </w:instrText>
      </w:r>
      <w:r>
        <w:rPr>
          <w:rFonts w:ascii="Times New Roman" w:hAnsi="Times New Roman" w:cs="Times New Roman"/>
          <w:sz w:val="24"/>
          <w:szCs w:val="24"/>
          <w:lang w:val="en-US"/>
        </w:rPr>
        <w:fldChar w:fldCharType="separate"/>
      </w:r>
      <w:r w:rsidR="00907F37" w:rsidRPr="00907F37">
        <w:rPr>
          <w:rFonts w:ascii="Times New Roman" w:hAnsi="Times New Roman" w:cs="Times New Roman"/>
          <w:sz w:val="24"/>
          <w:lang w:val="en-US"/>
        </w:rPr>
        <w:t>(Kehoe et al., 2017; Newbold et al., 2015)</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However, </w:t>
      </w:r>
      <w:r w:rsidR="00907F37">
        <w:rPr>
          <w:rFonts w:ascii="Times New Roman" w:hAnsi="Times New Roman" w:cs="Times New Roman"/>
          <w:sz w:val="24"/>
          <w:szCs w:val="24"/>
          <w:lang w:val="en-US"/>
        </w:rPr>
        <w:t xml:space="preserve">land use, and even more so, land-use intensity are </w:t>
      </w:r>
      <w:r w:rsidR="00CD5BF4">
        <w:rPr>
          <w:rFonts w:ascii="Times New Roman" w:hAnsi="Times New Roman" w:cs="Times New Roman"/>
          <w:sz w:val="24"/>
          <w:szCs w:val="24"/>
          <w:lang w:val="en-US"/>
        </w:rPr>
        <w:t xml:space="preserve">still </w:t>
      </w:r>
      <w:r w:rsidR="00907F37">
        <w:rPr>
          <w:rFonts w:ascii="Times New Roman" w:hAnsi="Times New Roman" w:cs="Times New Roman"/>
          <w:sz w:val="24"/>
          <w:szCs w:val="24"/>
          <w:lang w:val="en-US"/>
        </w:rPr>
        <w:t xml:space="preserve">often neglected or at least insufficiently represented in biodiversity research and modelling, mainly due to lacking conceptual clarity regarding land-use intensity </w:t>
      </w:r>
      <w:r w:rsidR="00907F37">
        <w:rPr>
          <w:rFonts w:ascii="Times New Roman" w:hAnsi="Times New Roman" w:cs="Times New Roman"/>
          <w:sz w:val="24"/>
          <w:szCs w:val="24"/>
          <w:lang w:val="en-US"/>
        </w:rPr>
        <w:fldChar w:fldCharType="begin"/>
      </w:r>
      <w:r w:rsidR="00907F37">
        <w:rPr>
          <w:rFonts w:ascii="Times New Roman" w:hAnsi="Times New Roman" w:cs="Times New Roman"/>
          <w:sz w:val="24"/>
          <w:szCs w:val="24"/>
          <w:lang w:val="en-US"/>
        </w:rPr>
        <w:instrText xml:space="preserve"> ADDIN ZOTERO_ITEM CSL_CITATION {"citationID":"EVdJA8EY","properties":{"formattedCitation":"(Dullinger et al., 2021)","plainCitation":"(Dullinger et al., 2021)","noteIndex":0},"citationItems":[{"id":71105,"uris":["http://zotero.org/users/666791/items/5UY4ANBG"],"uri":["http://zotero.org/users/666791/items/5UY4ANBG"],"itemData":{"id":71105,"type":"article-journal","abstract":"Background Land use is the major driver of the current biodiversity crisis. However, its impact is not yet adequately reflected in biodiversity scenarios. In particular, effects of land-use intensity are often neglected although natural limits to land conversion will likely enforce further land-use intensification in the future. Aims and innovation We argue that integration of land-use intensity into biodiversity models should ideally be based on a proper conceptualization of the land-use intensity phenomenon. We, therefore, present terminological distinctions and a conceptual framework developed in land system science. The framework distinguishes three dimensions of land-use intensity: input intensity, output intensity, and alterations of system properties. We discuss nonlinearities and intricacies of the relationships among these dimensions as well as their direct and indirect relationships to biodiversity. In an explorative literature assessment we demonstrate that the multi-dimensional nature of land-use intensity appears insufficiently reflected in biodiversity research. Finally, we discuss issues of data availability that limit integration of land-use intensity into spatially and temporally explicit biodiversity modelling. Conclusion Research on the relationship between land use and biodiversity would profit from a more systematic and comprehensive consideration of land-use intensity. While there is no standard recipe for combining indicators of land-use intensity in biodiversity studies the input–output–system distinction is a useful conceptual basis for study designs. More generally, better integration of biodiversity and land system science would foster understanding and predicting the consequences of land-use intensification on biodiversity.","container-title":"Global Ecology and Biogeography","DOI":"https://doi.org/10.1111/geb.13289","ISSN":"1466-8238","issue":"5","language":"en","note":"_eprint: https://onlinelibrary.wiley.com/doi/pdf/10.1111/geb.13289","page":"924-932","source":"Wiley Online Library","title":"Biodiversity models need to represent land-use intensity more comprehensively","volume":"30","author":[{"family":"Dullinger","given":"Iwona"},{"family":"Essl","given":"Franz"},{"family":"Moser","given":"Dietmar"},{"family":"Erb","given":"Karlheinz"},{"family":"Haberl","given":"Helmut"},{"family":"Dullinger","given":"Stefan"}],"issued":{"date-parts":[["2021"]]}}}],"schema":"https://github.com/citation-style-language/schema/raw/master/csl-citation.json"} </w:instrText>
      </w:r>
      <w:r w:rsidR="00907F37">
        <w:rPr>
          <w:rFonts w:ascii="Times New Roman" w:hAnsi="Times New Roman" w:cs="Times New Roman"/>
          <w:sz w:val="24"/>
          <w:szCs w:val="24"/>
          <w:lang w:val="en-US"/>
        </w:rPr>
        <w:fldChar w:fldCharType="separate"/>
      </w:r>
      <w:r w:rsidR="00907F37" w:rsidRPr="009E1A88">
        <w:rPr>
          <w:rFonts w:ascii="Times New Roman" w:hAnsi="Times New Roman" w:cs="Times New Roman"/>
          <w:sz w:val="24"/>
          <w:lang w:val="en-US"/>
        </w:rPr>
        <w:t>(Dullinger et al., 2021)</w:t>
      </w:r>
      <w:r w:rsidR="00907F37">
        <w:rPr>
          <w:rFonts w:ascii="Times New Roman" w:hAnsi="Times New Roman" w:cs="Times New Roman"/>
          <w:sz w:val="24"/>
          <w:szCs w:val="24"/>
          <w:lang w:val="en-US"/>
        </w:rPr>
        <w:fldChar w:fldCharType="end"/>
      </w:r>
      <w:r w:rsidR="00907F37">
        <w:rPr>
          <w:rFonts w:ascii="Times New Roman" w:hAnsi="Times New Roman" w:cs="Times New Roman"/>
          <w:sz w:val="24"/>
          <w:szCs w:val="24"/>
          <w:lang w:val="en-US"/>
        </w:rPr>
        <w:t xml:space="preserve">. </w:t>
      </w:r>
    </w:p>
    <w:p w14:paraId="5EB77449" w14:textId="77777777" w:rsidR="009E1A88" w:rsidRDefault="009E1A88" w:rsidP="002639D9">
      <w:pPr>
        <w:spacing w:after="0" w:line="240" w:lineRule="auto"/>
        <w:rPr>
          <w:rFonts w:ascii="Times New Roman" w:hAnsi="Times New Roman" w:cs="Times New Roman"/>
          <w:sz w:val="24"/>
          <w:szCs w:val="24"/>
          <w:lang w:val="en-US"/>
        </w:rPr>
      </w:pPr>
    </w:p>
    <w:p w14:paraId="04D6DFE7" w14:textId="44164BFB" w:rsidR="002639D9" w:rsidRDefault="009E1A88" w:rsidP="002639D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One recent approach to gauge biodiversity effects of land use is derived from the well-known species-area relationship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{"citationID":"9fnD7ZbQ","properties":{"formattedCitation":"(Preston, 1962)","plainCitation":"(Preston, 1962)","noteIndex":0},"citationItems":[{"id":71675,"uris":["http://zotero.org/users/666791/items/FM38FUB4"],"uri":["http://zotero.org/users/666791/items/FM38FUB4"],"itemData":{"id":71675,"type":"article-journal","container-title":"Ecology","DOI":"10.2307/1931976","ISSN":"0012-9658","issue":"2","note":"publisher: Ecological Society of America","page":"185-215","source":"JSTOR","title":"The Canonical Distribution of Commonness and Rarity: Part I","title-short":"The Canonical Distribution of Commonness and Rarity","volume":"43","author":[{"family":"Preston","given":"F. W."}],"issued":{"date-parts":[["1962"]]}}}],"schema":"https://github.com/citation-style-language/schema/raw/master/csl-citation.json"} </w:instrText>
      </w:r>
      <w:r>
        <w:rPr>
          <w:rFonts w:ascii="Times New Roman" w:hAnsi="Times New Roman" w:cs="Times New Roman"/>
          <w:sz w:val="24"/>
          <w:szCs w:val="24"/>
          <w:lang w:val="en-US"/>
        </w:rPr>
        <w:fldChar w:fldCharType="separate"/>
      </w:r>
      <w:r w:rsidRPr="009E1A88">
        <w:rPr>
          <w:rFonts w:ascii="Times New Roman" w:hAnsi="Times New Roman" w:cs="Times New Roman"/>
          <w:sz w:val="24"/>
          <w:lang w:val="en-US"/>
        </w:rPr>
        <w:t>(Preston, 1962)</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which holds that </w:t>
      </w:r>
      <w:r w:rsidRPr="00CD5BF4">
        <w:rPr>
          <w:rFonts w:ascii="Times New Roman" w:hAnsi="Times New Roman" w:cs="Times New Roman"/>
          <w:i/>
          <w:sz w:val="24"/>
          <w:szCs w:val="24"/>
          <w:lang w:val="en-US"/>
        </w:rPr>
        <w:t>– ceteris paribus –</w:t>
      </w:r>
      <w:r>
        <w:rPr>
          <w:rFonts w:ascii="Times New Roman" w:hAnsi="Times New Roman" w:cs="Times New Roman"/>
          <w:sz w:val="24"/>
          <w:szCs w:val="24"/>
          <w:lang w:val="en-US"/>
        </w:rPr>
        <w:t xml:space="preserve"> larger areas host more species. However, the recognition that used lands are also inhabited by wild-living species, albeit often fewer than natural ecosystems, led to the development of the “countryside species-area relationships” or </w:t>
      </w:r>
      <w:proofErr w:type="spellStart"/>
      <w:r>
        <w:rPr>
          <w:rFonts w:ascii="Times New Roman" w:hAnsi="Times New Roman" w:cs="Times New Roman"/>
          <w:sz w:val="24"/>
          <w:szCs w:val="24"/>
          <w:lang w:val="en-US"/>
        </w:rPr>
        <w:t>cSAR</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sidR="00234C65">
        <w:rPr>
          <w:rFonts w:ascii="Times New Roman" w:hAnsi="Times New Roman" w:cs="Times New Roman"/>
          <w:sz w:val="24"/>
          <w:szCs w:val="24"/>
          <w:lang w:val="en-US"/>
        </w:rPr>
        <w:instrText xml:space="preserve"> ADDIN ZOTERO_ITEM CSL_CITATION {"citationID":"yh5SXvs6","properties":{"formattedCitation":"(Pereira et al., 2014; Pereira and Daily, 2006)","plainCitation":"(Pereira et al., 2014; Pereira and Daily, 2006)","noteIndex":0},"citationItems":[{"id":71095,"uris":["http://zotero.org/users/666791/items/V6LBCHZF"],"uri":["http://zotero.org/users/666791/items/V6LBCHZF"],"itemData":{"id":71095,"type":"article-journal","container-title":"Conservation Biology","DOI":"10.1111/cobi.12289","ISSN":"0888-8892","issue":"3","journalAbbreviation":"Conserv Biol","note":"PMID: 24673576\nPMCID: PMC4262074","page":"874-876","source":"PubMed Central","title":"Countryside Species–Area Relationship as a Valid Alternative to the Matrix-Calibrated Species–Area Model","volume":"28","author":[{"family":"Pereira","given":"Henrique M."},{"family":"Ziv","given":"Guy"},{"family":"Miranda","given":"Murilo"}],"issued":{"date-parts":[["2014",6]]}}},{"id":71098,"uris":["http://zotero.org/users/666791/items/E9Z8F25Q"],"uri":["http://zotero.org/users/666791/items/E9Z8F25Q"],"itemData":{"id":71098,"type":"article-journal","abstract":"The future of biodiversity hinges to a great extent on the conservation value of countryside, the growing fraction of Earth's surface heavily influenced by human activities. How many species, and which species, can persist in such landscapes (and analogous seascapes) are open questions. Here we explore two complementary theoretical frameworks to address these questions: species-area relationships and demographic models. We use the terrestrial mammal fauna of Central America to illustrate the application of both frameworks. We begin by proposing a multi-habitat species-area relationship, the countryside species-area relationship, to forecast species extinction rates. To apply it, we classify the mammal fauna by affinity to native and human-dominated habitats. We show how considering the conservation value of countryside habitats changes estimates derived from the classic species-area approach We also examine how the z value of the species-area relationship affects extinction estimates. Next, we present a framework for assessing the relative vulnerability of species to extinction in the countryside, based on the Skellam model of population dynamics. This model predicts the minimum area of contiguous native habitat required for persistence of a species, which we use as an indicator of vulnerability to habitat change. To apply the model, we use our habitat affinity classification of mammals and we estimate life-history parameters by species and habitat type. The resulting ranking of vulnerabilities is significantly correlated with the World Conservation Union (IUCN) Red List assessment.","container-title":"Ecology","DOI":"10.1890/0012-9658(2006)87[1877:mbdicl]2.0.co;2","ISSN":"0012-9658","issue":"8","journalAbbreviation":"Ecology","language":"eng","note":"PMID: 16937624","page":"1877-1885","source":"PubMed","title":"Modeling biodiversity dynamics in countryside landscapes","volume":"87","author":[{"family":"Pereira","given":"Henrique M."},{"family":"Daily","given":"Gretchen C."}],"issued":{"date-parts":[["2006",8]]}}}],"schema":"https://github.com/citation-style-language/schema/raw/master/csl-citation.json"} </w:instrText>
      </w:r>
      <w:r>
        <w:rPr>
          <w:rFonts w:ascii="Times New Roman" w:hAnsi="Times New Roman" w:cs="Times New Roman"/>
          <w:sz w:val="24"/>
          <w:szCs w:val="24"/>
          <w:lang w:val="en-US"/>
        </w:rPr>
        <w:fldChar w:fldCharType="separate"/>
      </w:r>
      <w:r w:rsidR="00234C65" w:rsidRPr="00BC67C9">
        <w:rPr>
          <w:rFonts w:ascii="Times New Roman" w:hAnsi="Times New Roman" w:cs="Times New Roman"/>
          <w:sz w:val="24"/>
          <w:lang w:val="en-US"/>
        </w:rPr>
        <w:t>(Pereira et al., 2014; Pereira and Daily, 2006)</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234C65">
        <w:rPr>
          <w:rFonts w:ascii="Times New Roman" w:hAnsi="Times New Roman" w:cs="Times New Roman"/>
          <w:sz w:val="24"/>
          <w:szCs w:val="24"/>
          <w:lang w:val="en-US"/>
        </w:rPr>
        <w:t xml:space="preserve">In the </w:t>
      </w:r>
      <w:proofErr w:type="spellStart"/>
      <w:r w:rsidR="00234C65">
        <w:rPr>
          <w:rFonts w:ascii="Times New Roman" w:hAnsi="Times New Roman" w:cs="Times New Roman"/>
          <w:sz w:val="24"/>
          <w:szCs w:val="24"/>
          <w:lang w:val="en-US"/>
        </w:rPr>
        <w:t>cSAR</w:t>
      </w:r>
      <w:proofErr w:type="spellEnd"/>
      <w:r w:rsidR="00234C65">
        <w:rPr>
          <w:rFonts w:ascii="Times New Roman" w:hAnsi="Times New Roman" w:cs="Times New Roman"/>
          <w:sz w:val="24"/>
          <w:szCs w:val="24"/>
          <w:lang w:val="en-US"/>
        </w:rPr>
        <w:t xml:space="preserve"> approach, s</w:t>
      </w:r>
      <w:r>
        <w:rPr>
          <w:rFonts w:ascii="Times New Roman" w:hAnsi="Times New Roman" w:cs="Times New Roman"/>
          <w:sz w:val="24"/>
          <w:szCs w:val="24"/>
          <w:lang w:val="en-US"/>
        </w:rPr>
        <w:t xml:space="preserve">pecies numbers expected in different kinds of land use </w:t>
      </w:r>
      <w:r w:rsidR="00CD5BF4">
        <w:rPr>
          <w:rFonts w:ascii="Times New Roman" w:hAnsi="Times New Roman" w:cs="Times New Roman"/>
          <w:sz w:val="24"/>
          <w:szCs w:val="24"/>
          <w:lang w:val="en-US"/>
        </w:rPr>
        <w:t xml:space="preserve">characterized by specific land cover or land management regimes </w:t>
      </w:r>
      <w:r>
        <w:rPr>
          <w:rFonts w:ascii="Times New Roman" w:hAnsi="Times New Roman" w:cs="Times New Roman"/>
          <w:sz w:val="24"/>
          <w:szCs w:val="24"/>
          <w:lang w:val="en-US"/>
        </w:rPr>
        <w:t xml:space="preserve">are </w:t>
      </w:r>
      <w:r w:rsidR="00CD5BF4">
        <w:rPr>
          <w:rFonts w:ascii="Times New Roman" w:hAnsi="Times New Roman" w:cs="Times New Roman"/>
          <w:sz w:val="24"/>
          <w:szCs w:val="24"/>
          <w:lang w:val="en-US"/>
        </w:rPr>
        <w:t xml:space="preserve">used to calculate biodiversity effects associated with the use of different biomass-based products in life-cycle assessment </w:t>
      </w:r>
      <w:r w:rsidR="00CD5BF4">
        <w:rPr>
          <w:rFonts w:ascii="Times New Roman" w:hAnsi="Times New Roman" w:cs="Times New Roman"/>
          <w:sz w:val="24"/>
          <w:szCs w:val="24"/>
          <w:lang w:val="en-US"/>
        </w:rPr>
        <w:fldChar w:fldCharType="begin"/>
      </w:r>
      <w:r w:rsidR="00CD5BF4">
        <w:rPr>
          <w:rFonts w:ascii="Times New Roman" w:hAnsi="Times New Roman" w:cs="Times New Roman"/>
          <w:sz w:val="24"/>
          <w:szCs w:val="24"/>
          <w:lang w:val="en-US"/>
        </w:rPr>
        <w:instrText xml:space="preserve"> ADDIN ZOTERO_ITEM CSL_CITATION {"citationID":"1erD3IKd","properties":{"formattedCitation":"(Chaudhary et al., 2015; Chaudhary and Kastner, 2016)","plainCitation":"(Chaudhary et al., 2015; Chaudhary and Kastner, 2016)","noteIndex":0},"citationItems":[{"id":61758,"uris":["http://zotero.org/users/666791/items/NRPFG4RK"],"uri":["http://zotero.org/users/666791/items/NRPFG4RK"],"itemData":{"id":61758,"type":"article-journal","abstract":"Habitat degradation and subsequent biodiversity damage often take place far from the place of consumption because of globalization and the increasing level of international trade. Informing consumers and policy makers about the biodiversity impacts “hidden” in the life cycle of imported products is an important step toward achieving sustainable consumption patterns. Spatially explicit methods are needed in life cycle assessment to accurately quantify biodiversity impacts of products and processes. We use the Countryside species–area relationship (SAR) to quantify regional species loss due to land occupation and transformation for five taxa and six land use types in 804 terrestrial ecoregions. Further, we calculate vulnerability scores for each ecoregion based on the fraction of each species’ geographic range (endemic richness) hosted by the ecoregion and the IUCN assigned threat level of each species. Vulnerability scores are multiplied with SAR-predicted regional species loss to estimate potential global extinctions per unit of land use. As a case study, we assess the land use biodiversity impacts of 1 kg of bioethanol produced using six different feed stocks in different parts of the world. Results show that the regions with highest biodiversity impacts differed markedly when the vulnerability of species was included.","container-title":"Environmental Science &amp; Technology","DOI":"10.1021/acs.est.5b02507","ISSN":"0013-936X","issue":"16","journalAbbreviation":"Environ. Sci. Technol.","page":"9987-9995","source":"ACS Publications","title":"Quantifying Land Use Impacts on Biodiversity: Combining Species–Area Models and Vulnerability Indicators","title-short":"Quantifying Land Use Impacts on Biodiversity","volume":"49","author":[{"family":"Chaudhary","given":"Abhishek"},{"family":"Verones","given":"Francesca"},{"family":"Baan","given":"Laura","non-dropping-particle":"de"},{"family":"Hellweg","given":"Stefanie"}],"issued":{"date-parts":[["2015",8,18]]}}},{"id":2302,"uris":["http://zotero.org/users/666791/items/28GIKD8F"],"uri":["http://zotero.org/users/666791/items/28GIKD8F"],"itemData":{"id":2302,"type":"article-journal","abstract":"Agricultural land use to meet the demands of a growing population, changing diets, lifestyles and biofuel production is a significant driver of biodiversity loss. Globally applicable methods are needed to assess biodiversity impacts hidden in internationally traded food items. We used the countryside species area relationship (SAR) model to estimate the mammals, birds, amphibians and reptiles species lost (i.e. species ‘committed to extinction’) due to agricultural land use within each of the 804 terrestrial ecoregion. These species lost estimates were combined with high spatial resolution global maps of crop yields to calculate species lost per ton for 170 crops in 184 countries. Finally, the impacts per ton were linked with the bilateral trade data of crop products between producing and consuming countries from FAO, to calculate the land use biodiversity impacts embodied in international crop trade and consumption. We found that 83% of total species loss is incurred due to agriculture land use devoted for domestic consumption whereas 17% is due to export production. Exports from Indonesia to USA and China embody highest impacts (20 species lost at the regional level each). In general, industrialized countries with high per capita GDP tend to be major net importers of biodiversity impacts from developing tropical countries. Results show that embodied land area is not a good proxy for embodied biodiversity impacts in trade flows, as crops occupying little global area such as sugarcane, palm oil, rubber and coffee have disproportionately high biodiversity impacts.","container-title":"Global Environmental Change","DOI":"10.1016/j.gloenvcha.2016.03.013","ISSN":"0959-3780","journalAbbreviation":"Global Environmental Change","page":"195-204","source":"ScienceDirect","title":"Land use biodiversity impacts embodied in international food trade","volume":"38","author":[{"family":"Chaudhary","given":"Abhishek"},{"family":"Kastner","given":"Thomas"}],"issued":{"date-parts":[["2016",5]]}}}],"schema":"https://github.com/citation-style-language/schema/raw/master/csl-citation.json"} </w:instrText>
      </w:r>
      <w:r w:rsidR="00CD5BF4">
        <w:rPr>
          <w:rFonts w:ascii="Times New Roman" w:hAnsi="Times New Roman" w:cs="Times New Roman"/>
          <w:sz w:val="24"/>
          <w:szCs w:val="24"/>
          <w:lang w:val="en-US"/>
        </w:rPr>
        <w:fldChar w:fldCharType="separate"/>
      </w:r>
      <w:r w:rsidR="00CD5BF4" w:rsidRPr="00CD5BF4">
        <w:rPr>
          <w:rFonts w:ascii="Times New Roman" w:hAnsi="Times New Roman" w:cs="Times New Roman"/>
          <w:sz w:val="24"/>
          <w:lang w:val="en-US"/>
        </w:rPr>
        <w:t>(Chaudhary et al., 2015; Chaudhary and Kastner, 2016)</w:t>
      </w:r>
      <w:r w:rsidR="00CD5BF4">
        <w:rPr>
          <w:rFonts w:ascii="Times New Roman" w:hAnsi="Times New Roman" w:cs="Times New Roman"/>
          <w:sz w:val="24"/>
          <w:szCs w:val="24"/>
          <w:lang w:val="en-US"/>
        </w:rPr>
        <w:fldChar w:fldCharType="end"/>
      </w:r>
      <w:r w:rsidR="00CD5BF4">
        <w:rPr>
          <w:rFonts w:ascii="Times New Roman" w:hAnsi="Times New Roman" w:cs="Times New Roman"/>
          <w:sz w:val="24"/>
          <w:szCs w:val="24"/>
          <w:lang w:val="en-US"/>
        </w:rPr>
        <w:t>.</w:t>
      </w:r>
    </w:p>
    <w:p w14:paraId="3683F68C" w14:textId="54249B75" w:rsidR="002639D9" w:rsidRDefault="002639D9" w:rsidP="002639D9">
      <w:pPr>
        <w:spacing w:after="0" w:line="240" w:lineRule="auto"/>
        <w:rPr>
          <w:rFonts w:ascii="Times New Roman" w:hAnsi="Times New Roman" w:cs="Times New Roman"/>
          <w:sz w:val="24"/>
          <w:szCs w:val="24"/>
          <w:lang w:val="en-US"/>
        </w:rPr>
      </w:pPr>
    </w:p>
    <w:p w14:paraId="56F9AB0A" w14:textId="77777777" w:rsidR="006C55AD" w:rsidRDefault="00117528" w:rsidP="002639D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idea that the availability of energy in an ecosystem could </w:t>
      </w:r>
      <w:r w:rsidR="00234C65">
        <w:rPr>
          <w:rFonts w:ascii="Times New Roman" w:hAnsi="Times New Roman" w:cs="Times New Roman"/>
          <w:sz w:val="24"/>
          <w:szCs w:val="24"/>
          <w:lang w:val="en-US"/>
        </w:rPr>
        <w:t xml:space="preserve">affect </w:t>
      </w:r>
      <w:r>
        <w:rPr>
          <w:rFonts w:ascii="Times New Roman" w:hAnsi="Times New Roman" w:cs="Times New Roman"/>
          <w:sz w:val="24"/>
          <w:szCs w:val="24"/>
          <w:lang w:val="en-US"/>
        </w:rPr>
        <w:t xml:space="preserve">its biological diversity has a long tradition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{"citationID":"kTZxIuej","properties":{"formattedCitation":"(Hutchinson, 1959)","plainCitation":"(Hutchinson, 1959)","noteIndex":0},"citationItems":[{"id":1065,"uris":["http://zotero.org/users/666791/items/BU886I7N"],"uri":["http://zotero.org/users/666791/items/BU886I7N"],"itemData":{"id":1065,"type":"article-journal","container-title":"The American Naturalist","issue":"870","page":"145-159","title":"Homage to Santa Rosalia or why are there so many kinds of animals?","volume":"93","author":[{"family":"Hutchinson","given":"G.E."}],"issued":{"date-parts":[["1959"]]}}}],"schema":"https://github.com/citation-style-language/schema/raw/master/csl-citation.json"} </w:instrText>
      </w:r>
      <w:r>
        <w:rPr>
          <w:rFonts w:ascii="Times New Roman" w:hAnsi="Times New Roman" w:cs="Times New Roman"/>
          <w:sz w:val="24"/>
          <w:szCs w:val="24"/>
          <w:lang w:val="en-US"/>
        </w:rPr>
        <w:fldChar w:fldCharType="separate"/>
      </w:r>
      <w:r w:rsidRPr="00117528">
        <w:rPr>
          <w:rFonts w:ascii="Times New Roman" w:hAnsi="Times New Roman" w:cs="Times New Roman"/>
          <w:sz w:val="24"/>
          <w:lang w:val="en-US"/>
        </w:rPr>
        <w:t>(Hutchinson, 1959)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The basic reasoning is that the length of food chains is limited by losses from one trophic level to the next, hence more complex </w:t>
      </w:r>
      <w:r w:rsidR="00234C65">
        <w:rPr>
          <w:rFonts w:ascii="Times New Roman" w:hAnsi="Times New Roman" w:cs="Times New Roman"/>
          <w:sz w:val="24"/>
          <w:szCs w:val="24"/>
          <w:lang w:val="en-US"/>
        </w:rPr>
        <w:t xml:space="preserve">and species-rich </w:t>
      </w:r>
      <w:r>
        <w:rPr>
          <w:rFonts w:ascii="Times New Roman" w:hAnsi="Times New Roman" w:cs="Times New Roman"/>
          <w:sz w:val="24"/>
          <w:szCs w:val="24"/>
          <w:lang w:val="en-US"/>
        </w:rPr>
        <w:t>food webs are possible if more trophic energy is available. Moreover, higher availability of trophic energy is thought to be capable of supporting larger populations fac</w:t>
      </w:r>
      <w:r w:rsidR="00234C65">
        <w:rPr>
          <w:rFonts w:ascii="Times New Roman" w:hAnsi="Times New Roman" w:cs="Times New Roman"/>
          <w:sz w:val="24"/>
          <w:szCs w:val="24"/>
          <w:lang w:val="en-US"/>
        </w:rPr>
        <w:t>ing</w:t>
      </w:r>
      <w:r>
        <w:rPr>
          <w:rFonts w:ascii="Times New Roman" w:hAnsi="Times New Roman" w:cs="Times New Roman"/>
          <w:sz w:val="24"/>
          <w:szCs w:val="24"/>
          <w:lang w:val="en-US"/>
        </w:rPr>
        <w:t xml:space="preserve"> lower extinction risk</w:t>
      </w:r>
      <w:r w:rsidR="00234C65">
        <w:rPr>
          <w:rFonts w:ascii="Times New Roman" w:hAnsi="Times New Roman" w:cs="Times New Roman"/>
          <w:sz w:val="24"/>
          <w:szCs w:val="24"/>
          <w:lang w:val="en-US"/>
        </w:rPr>
        <w:t>s</w:t>
      </w:r>
      <w:r>
        <w:rPr>
          <w:rFonts w:ascii="Times New Roman" w:hAnsi="Times New Roman" w:cs="Times New Roman"/>
          <w:sz w:val="24"/>
          <w:szCs w:val="24"/>
          <w:lang w:val="en-US"/>
        </w:rPr>
        <w:t xml:space="preserve">, while the possibility of species to monopolize large shares of the resource pool is assumed to be limited due to the costs of commonness, e.g. the </w:t>
      </w:r>
      <w:r w:rsidR="00234C65">
        <w:rPr>
          <w:rFonts w:ascii="Times New Roman" w:hAnsi="Times New Roman" w:cs="Times New Roman"/>
          <w:sz w:val="24"/>
          <w:szCs w:val="24"/>
          <w:lang w:val="en-US"/>
        </w:rPr>
        <w:t xml:space="preserve">high </w:t>
      </w:r>
      <w:r>
        <w:rPr>
          <w:rFonts w:ascii="Times New Roman" w:hAnsi="Times New Roman" w:cs="Times New Roman"/>
          <w:sz w:val="24"/>
          <w:szCs w:val="24"/>
          <w:lang w:val="en-US"/>
        </w:rPr>
        <w:t xml:space="preserve">attractiveness of very common species for pests or predators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{"citationID":"JFc7Hz38","properties":{"formattedCitation":"(Brown, 1995, 1981)","plainCitation":"(Brown, 1995, 1981)","noteIndex":0},"citationItems":[{"id":669,"uris":["http://zotero.org/users/666791/items/Q6QFVXEQ"],"uri":["http://zotero.org/users/666791/items/Q6QFVXEQ"],"itemData":{"id":669,"type":"book","event-place":"Chicago","publisher":"Chicago University Press","publisher-place":"Chicago","title":"Macroecology","author":[{"family":"Brown","given":"James H."}],"issued":{"date-parts":[["1995"]]}}},{"id":1371,"uris":["http://zotero.org/users/666791/items/5Q4X7RPS"],"uri":["http://zotero.org/users/666791/items/5Q4X7RPS"],"itemData":{"id":1371,"type":"article-journal","abstract":"In 1959, in his seminal paper “Homage to Santa Rosalia,” G. E. Hutchinson asked, Why are there so many kinds of organisms? This paper focused attention on problems of species diversity and community organization that have occupied many theoretical and empirical ecologists for the last two decades. In the present paper I evaluate the attempt to answer Hutchinson's question by considering three topics. First, I reexamine the main themes which Hutchinson developed in “The Homage” and call attention to the central importance of energetic relationships in his view of ecological communities. Second, I examine the development of theoretical community ecology over the last two decades in an attempt to determine why some avenues of investigation, such as competition theory, have proven disappointing, whereas others, such as the theory of island biogeography, have enjoyed at least modest success. Finally, I suggest that future attempts to understand patterns of species diversity might focus on developing two kinds of theoretical constructs: capacity rules, which describe how characteristics of the physical environment determine its capacity to support life, and allocation rules, which describe how limited energetic resources are subdivided among species.","container-title":"American Zoologist","DOI":"10.1093/icb/21.4.877","ISSN":"1540-7063, 1557-7023","issue":"4","journalAbbreviation":"Amer. Zool.","language":"en","page":"877-888","source":"icb.oxfordjournals.org","title":"Two Decades of Homage to Santa Rosalia: Toward a General Theory of Diversity","title-short":"Two Decades of Homage to Santa Rosalia","volume":"21","author":[{"family":"Brown","given":"James H."}],"issued":{"date-parts":[["1981",1,1]]}}}],"schema":"https://github.com/citation-style-language/schema/raw/master/csl-citation.json"} </w:instrText>
      </w:r>
      <w:r>
        <w:rPr>
          <w:rFonts w:ascii="Times New Roman" w:hAnsi="Times New Roman" w:cs="Times New Roman"/>
          <w:sz w:val="24"/>
          <w:szCs w:val="24"/>
          <w:lang w:val="en-US"/>
        </w:rPr>
        <w:fldChar w:fldCharType="separate"/>
      </w:r>
      <w:r w:rsidRPr="00117528">
        <w:rPr>
          <w:rFonts w:ascii="Times New Roman" w:hAnsi="Times New Roman" w:cs="Times New Roman"/>
          <w:sz w:val="24"/>
          <w:lang w:val="en-US"/>
        </w:rPr>
        <w:t>(Brown, 1995, 1981)</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p>
    <w:p w14:paraId="2EA56469" w14:textId="77777777" w:rsidR="006C55AD" w:rsidRDefault="006C55AD" w:rsidP="002639D9">
      <w:pPr>
        <w:spacing w:after="0" w:line="240" w:lineRule="auto"/>
        <w:rPr>
          <w:rFonts w:ascii="Times New Roman" w:hAnsi="Times New Roman" w:cs="Times New Roman"/>
          <w:sz w:val="24"/>
          <w:szCs w:val="24"/>
          <w:lang w:val="en-US"/>
        </w:rPr>
      </w:pPr>
    </w:p>
    <w:p w14:paraId="62A9635D" w14:textId="260D4C4B" w:rsidR="00117528" w:rsidRPr="00557D76" w:rsidRDefault="00117528" w:rsidP="002639D9">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w:t>
      </w:r>
      <w:r w:rsidR="006C55AD">
        <w:rPr>
          <w:rFonts w:ascii="Times New Roman" w:hAnsi="Times New Roman" w:cs="Times New Roman"/>
          <w:sz w:val="24"/>
          <w:szCs w:val="24"/>
          <w:lang w:val="en-US"/>
        </w:rPr>
        <w:t>e</w:t>
      </w:r>
      <w:r>
        <w:rPr>
          <w:rFonts w:ascii="Times New Roman" w:hAnsi="Times New Roman" w:cs="Times New Roman"/>
          <w:sz w:val="24"/>
          <w:szCs w:val="24"/>
          <w:lang w:val="en-US"/>
        </w:rPr>
        <w:t xml:space="preserve"> so-called “species-energy” hypothesis </w:t>
      </w:r>
      <w:r w:rsidR="006C55AD">
        <w:rPr>
          <w:rFonts w:ascii="Times New Roman" w:hAnsi="Times New Roman" w:cs="Times New Roman"/>
          <w:sz w:val="24"/>
          <w:szCs w:val="24"/>
          <w:lang w:val="en-US"/>
        </w:rPr>
        <w:t xml:space="preserve">described above is </w:t>
      </w:r>
      <w:r>
        <w:rPr>
          <w:rFonts w:ascii="Times New Roman" w:hAnsi="Times New Roman" w:cs="Times New Roman"/>
          <w:sz w:val="24"/>
          <w:szCs w:val="24"/>
          <w:lang w:val="en-US"/>
        </w:rPr>
        <w:t xml:space="preserve">an extension of the species-area relationship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{"citationID":"JoGb2RuW","properties":{"formattedCitation":"(Wright, 1983)","plainCitation":"(Wright, 1983)","noteIndex":0},"citationItems":[{"id":667,"uris":["http://zotero.org/users/666791/items/Q5ME5JCC"],"uri":["http://zotero.org/users/666791/items/Q5ME5JCC"],"itemData":{"id":667,"type":"article-journal","container-title":"Oikos","issue":"3","page":"496-506","title":"Species-Energy Theory: An Extension of Species-Area Theory","volume":"41","author":[{"family":"Wright","given":"David Hamilton"}],"issued":{"date-parts":[["1983"]]}}}],"schema":"https://github.com/citation-style-language/schema/raw/master/csl-citation.json"} </w:instrText>
      </w:r>
      <w:r>
        <w:rPr>
          <w:rFonts w:ascii="Times New Roman" w:hAnsi="Times New Roman" w:cs="Times New Roman"/>
          <w:sz w:val="24"/>
          <w:szCs w:val="24"/>
          <w:lang w:val="en-US"/>
        </w:rPr>
        <w:fldChar w:fldCharType="separate"/>
      </w:r>
      <w:r w:rsidRPr="00117528">
        <w:rPr>
          <w:rFonts w:ascii="Times New Roman" w:hAnsi="Times New Roman" w:cs="Times New Roman"/>
          <w:sz w:val="24"/>
          <w:lang w:val="en-US"/>
        </w:rPr>
        <w:t>(Wright, 1983)</w:t>
      </w:r>
      <w:r>
        <w:rPr>
          <w:rFonts w:ascii="Times New Roman" w:hAnsi="Times New Roman" w:cs="Times New Roman"/>
          <w:sz w:val="24"/>
          <w:szCs w:val="24"/>
          <w:lang w:val="en-US"/>
        </w:rPr>
        <w:fldChar w:fldCharType="end"/>
      </w:r>
      <w:r w:rsidR="006C55AD">
        <w:rPr>
          <w:rFonts w:ascii="Times New Roman" w:hAnsi="Times New Roman" w:cs="Times New Roman"/>
          <w:sz w:val="24"/>
          <w:szCs w:val="24"/>
          <w:lang w:val="en-US"/>
        </w:rPr>
        <w:t>,</w:t>
      </w:r>
      <w:r>
        <w:rPr>
          <w:rFonts w:ascii="Times New Roman" w:hAnsi="Times New Roman" w:cs="Times New Roman"/>
          <w:sz w:val="24"/>
          <w:szCs w:val="24"/>
          <w:lang w:val="en-US"/>
        </w:rPr>
        <w:t xml:space="preserve"> and is widely used in macro-ecology to explain the gradient in species richness from the equator to the poles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{"citationID":"oRECtoaj","properties":{"formattedCitation":"(Evans et al., 2005; Gaston, 2000)","plainCitation":"(Evans et al., 2005; Gaston, 2000)","noteIndex":0},"citationItems":[{"id":1320,"uris":["http://zotero.org/users/666791/items/QW5DCV6R"],"uri":["http://zotero.org/users/666791/items/QW5DCV6R"],"itemData":{"id":1320,"type":"article-journal","container-title":"Biological Reviews","DOI":"10.1017/S1464793104006517","issue":"01","page":"1-25","source":"Cambridge Journals Online","title":"Species–energy relationships at the macroecological scale: a review of the mechanisms","title-short":"Species–energy relationships at the macroecological scale","volume":"80","author":[{"family":"Evans","given":"Karl L."},{"family":"Warren","given":"Philip H."},{"family":"Gaston","given":"Kevin J."}],"issued":{"date-parts":[["2005"]]}}},{"id":668,"uris":["http://zotero.org/users/666791/items/G7C9VNGD"],"uri":["http://zotero.org/users/666791/items/G7C9VNGD"],"itemData":{"id":668,"type":"article-journal","abstract":"To a first approximation, the distribution of biodiversity across the Earth can be described in terms of a relatively small number of broad-scale spatial patterns. Although these patterns are increasingly well documented, understanding why they exist constitutes one of the most significant intellectual challenges to ecologists and biogeographers. Theory is, however, developing rapidly, improving in its internal consistency, and more readily subjected to empirical challenge.","container-title":"Nature","DOI":"10.1038/35012228","ISSN":"0028-0836","issue":"6783","language":"en","page":"220-227","source":"www.nature.com","title":"Global patterns in biodiversity","volume":"405","author":[{"family":"Gaston","given":"Kevin J."}],"issued":{"date-parts":[["2000",5,11]]}}}],"schema":"https://github.com/citation-style-language/schema/raw/master/csl-citation.json"} </w:instrText>
      </w:r>
      <w:r>
        <w:rPr>
          <w:rFonts w:ascii="Times New Roman" w:hAnsi="Times New Roman" w:cs="Times New Roman"/>
          <w:sz w:val="24"/>
          <w:szCs w:val="24"/>
          <w:lang w:val="en-US"/>
        </w:rPr>
        <w:fldChar w:fldCharType="separate"/>
      </w:r>
      <w:r w:rsidRPr="00117528">
        <w:rPr>
          <w:rFonts w:ascii="Times New Roman" w:hAnsi="Times New Roman" w:cs="Times New Roman"/>
          <w:sz w:val="24"/>
          <w:lang w:val="en-US"/>
        </w:rPr>
        <w:t>(Evans et al., 2005; Gaston, 2000)</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As all hypotheses on the determinants of biodiversity patterns, the species-energy hypothesis is</w:t>
      </w:r>
      <w:r w:rsidR="00557D76">
        <w:rPr>
          <w:rFonts w:ascii="Times New Roman" w:hAnsi="Times New Roman" w:cs="Times New Roman"/>
          <w:sz w:val="24"/>
          <w:szCs w:val="24"/>
          <w:lang w:val="en-US"/>
        </w:rPr>
        <w:t xml:space="preserve"> contested. Empirical research on the relationships between energy availability and the diversity of various taxonomic groups in different ecosystems has yielded a wide variety of patterns </w:t>
      </w:r>
      <w:r w:rsidR="00557D76">
        <w:rPr>
          <w:rFonts w:ascii="Times New Roman" w:hAnsi="Times New Roman" w:cs="Times New Roman"/>
          <w:sz w:val="24"/>
          <w:szCs w:val="24"/>
          <w:lang w:val="en-US"/>
        </w:rPr>
        <w:fldChar w:fldCharType="begin"/>
      </w:r>
      <w:r w:rsidR="00557D76">
        <w:rPr>
          <w:rFonts w:ascii="Times New Roman" w:hAnsi="Times New Roman" w:cs="Times New Roman"/>
          <w:sz w:val="24"/>
          <w:szCs w:val="24"/>
          <w:lang w:val="en-US"/>
        </w:rPr>
        <w:instrText xml:space="preserve"> ADDIN ZOTERO_ITEM CSL_CITATION {"citationID":"d58ozVBU","properties":{"formattedCitation":"(Cusens et al., 2012; Mittelbach et al., 2001; Waide et al., 1999; Wang et al., 2019)","plainCitation":"(Cusens et al., 2012; Mittelbach et al., 2001; Waide et al., 1999; Wang et al., 2019)","noteIndex":0},"citationItems":[{"id":775,"uris":["http://zotero.org/users/666791/items/E9ARZ8D9"],"uri":["http://zotero.org/users/666791/items/E9ARZ8D9"],"itemData":{"id":775,"type":"article-journal","abstract":"The nature of the relationship between productivity and species richness has remained controversial for at least two decades. Recently authors have favored the suggestion that the form of this relationship is highly variable and scale dependent. However, this conclusion is not universally accepted. Here we present the results of a meta-analysis of animal productivity–species-richness relationships (PSRR) in terrestrial and freshwater ecosystems. Initially, 374 separate cases from 273 published studies were identified as potential tests of the animal PSRR. After critically assessing each study, 115 cases were accepted as robust tests of the relationship, and of these 95 had data available for formal meta-analysis. Contrary to expectation, we found no support for the form of the relationship being scale dependent; positive relationships predominated at all scales (geographical extents and grains). Furthermore, positive relationships were the most common form of the animal PSRR in both terrestrial and freshwater ecosystems and among vertebrates, invertebrates, homeotherms and poikilotherms. Therefore, our results also contrast with previous reviews that suggest no particular form of the PSRR is predominant. We demonstrate that the method used for classifying the form of PSRRs is critical to the result and that previous reviews may have been too liberal toward classifying the form of relationships as unimodal. The tendency for positive relationships between productivity and species richness across diverse animal taxa has important implications for understanding the mechanisms behind the latitudinal gradient in species richness.","container-title":"Ecology","DOI":"10.1890/11-1861.1","ISSN":"0012-9658","issue":"10","journalAbbreviation":"Ecology","page":"2241-2252","source":"ESA Journals","title":"What is the form of the productivity–animal-species-richness relationship? A critical review and meta-analysis","title-short":"What is the form of the productivity–animal-species-richness relationship?","volume":"93","author":[{"family":"Cusens","given":"Jarrod"},{"family":"Wright","given":"Shane D."},{"family":"McBride","given":"Paul D."},{"family":"Gillman","given":"Len N."}],"issued":{"date-parts":[["2012",5,1]]}}},{"id":70948,"uris":["http://zotero.org/users/666791/items/H8XLWH9Z"],"uri":["http://zotero.org/users/666791/items/H8XLWH9Z"],"itemData":{"id":70948,"type":"article-journal","abstract":"Understanding the relationship between species richness and productivity is fundamental to the management and preservation of biodiversity. Yet despite years of study and intense theoretical interest, this relationship remains controversial. Here, we present the results of a literature survey in which we examined the relationship between species richness and productivity in 171 published studies. We extracted the raw data from published tables and graphs and subjected these data to a standardized analysis, using ordinary least-squares (OLS) regression and generalized linear-model (GLIM) regression to test for significant positive, negative, or curvilinear relationships between productivity and species diversity. If the relationship was curvilinear, we tested whether the maximum (or minimum) of the curve occurred within the range of productivity values observed (i.e., was there evidence of a hump?). A meta-analysis conducted on the distribution of standardized quadratic regression coefficients showed that the average quadratic coefficient was negative (i.e., the average species richness–productivity relationship was curvilinear and decelerating), and that the distribution of standardized quadratic regression coefficients was significantly heterogeneous (i.e., the studies did not sample the same underlying species richness–productivity relationship). Looking more closely at the patterns of productivity–diversity relationships, we found that, for vascular plants at geographical scales smaller than continents, hump-shaped relationships occurred most frequently (41–45% of all studies). A positive relationship between productivity and species richness was the next most common pattern, and positive and hump-shaped relationships co-dominated at the continental scale. For animals, positive, negative, and hump-shaped patterns were common at most geographical scales, and no one pattern predominated. For both plants and animals, hump-shaped curves were relatively more common in studies that crossed community boundaries compared to studies conducted within a community type, and plant studies that crossed community types tended to span a greater range of productivity compared to studies within community types. Sample size and plot size did not affect the probability of finding a particular productivity–diversity relationship (e.g., positive, hump-shaped, etc.). However, hump-shaped curves were especially common (65%) in studies of plant diversity that used plant biomass as a measure of productivity, and in studies conducted in aquatic systems.","container-title":"Ecology","DOI":"https://doi.org/10.1890/0012-9658(2001)082[2381:WITORB]2.0.CO;2","ISSN":"1939-9170","issue":"9","language":"en","note":"_eprint: https://esajournals.onlinelibrary.wiley.com/doi/pdf/10.1890/0012-9658%282001%29082%5B2381%3AWITORB%5D2.0.CO%3B2","page":"2381-2396","source":"Wiley Online Library","title":"What Is the Observed Relationship Between Species Richness and Productivity?","volume":"82","author":[{"family":"Mittelbach","given":"Gary G."},{"family":"Steiner","given":"Christopher F."},{"family":"Scheiner","given":"Samuel M."},{"family":"Gross","given":"Katherine L."},{"family":"Reynolds","given":"Heather L."},{"family":"Waide","given":"Robert B."},{"family":"Willig","given":"Michael R."},{"family":"Dodson","given":"Stanley I."},{"family":"Gough","given":"Laura"}],"issued":{"date-parts":[["2001"]]}}},{"id":666,"uris":["http://zotero.org/users/666791/items/T62FU468"],"uri":["http://zotero.org/users/666791/items/T62FU468"],"itemData":{"id":666,"type":"article-journal","abstract":"▪ Abstract Recent overviews have suggested that the relationship between species richness and productivity (rate of conversion of resources to biomass per unit area per unit time) is unimodal (hump-shaped). Most agree that productivity affects species richness at large scales, but unanimity is less regarding underlying mechanisms. Recent studies have examined the possibility that variation in species richness within communities may influence productivity, leading to an exploration of the relative effect of alterations in species number per se as contrasted to the addition of productive species. Reviews of the literature concerning deserts, boreal forests, tropical forests, lakes, and wetlands lead to the conclusion that extant data are insufficient to conclusively resolve the relationship between diversity and productivity, or that patterns are variable with mechanisms equally varied and complex. A more comprehensive survey of the ecological literature uncovered approximately 200 relationships, of which 30% were unimodal, 26% were positive linear, 12% were negative linear, and 32% were not significant. Categorization of studies with respect to geographic extent, ecological extent, taxonomic hierarchy, or energetic basis of productivity similarly yielded a heterogeneous distribution of relationships. Theoretical and empirical approaches increasingly suggest scale-dependence in the relationship between species richness and productivity; consequently, synthetic understanding may be contingent on explicit considerations of scale in analytical studies of productivity and diversity.","container-title":"Annual Review of Ecology and Systematics","DOI":"10.1146/annurev.ecolsys.30.1.257","issue":"1","page":"257-300","source":"Annual Reviews","title":"The Relationship Between Productivity and Species Richness","volume":"30","author":[{"family":"Waide","given":"R. B."},{"family":"Willig","given":"M. R."},{"family":"Steiner","given":"C. F."},{"family":"Mittelbach","given":"G."},{"family":"Gough","given":"L."},{"family":"Dodson","given":"S. I."},{"family":"Juday","given":"G. P."},{"family":"Parmenter","given":"R."}],"issued":{"date-parts":[["1999"]]}}},{"id":70951,"uris":["http://zotero.org/users/666791/items/G8C3RKZT"],"uri":["http://zotero.org/users/666791/items/G8C3RKZT"],"itemData":{"id":70951,"type":"article-journal","abstract":"The relationship between plant productivity and species richness is one of the most debated and important issues in ecology. Ecologists have found numerous forms of this relationship and its underlying processes. However, theories and proposed drivers have been insufficient to completely explain the observed variation in the forms of this relationship. Her</w:instrText>
      </w:r>
      <w:r w:rsidR="00557D76" w:rsidRPr="00212084">
        <w:rPr>
          <w:rFonts w:ascii="Times New Roman" w:hAnsi="Times New Roman" w:cs="Times New Roman"/>
          <w:sz w:val="24"/>
          <w:szCs w:val="24"/>
        </w:rPr>
        <w:instrText>e, we developed and validated integration models capable of combining twenty p</w:instrText>
      </w:r>
      <w:r w:rsidR="00557D76" w:rsidRPr="00557D76">
        <w:rPr>
          <w:rFonts w:ascii="Times New Roman" w:hAnsi="Times New Roman" w:cs="Times New Roman"/>
          <w:sz w:val="24"/>
          <w:szCs w:val="24"/>
        </w:rPr>
        <w:instrText xml:space="preserve">ositive or negative processes affecting the relationship. The integration models generated the classic humped, asymptotic, positive, negative and irregular forms and other intermediate forms of the relationship between plant richness and productivity. These forms were linked to one another and varied according to which was considered the dependent variable. The total strengths of the different positive and negative processes are the determinants of the forms of the relationship. Positive processes, such as resource availability and species pool effects, can offset the negative effects of disturbance and competition and change the relationship. This combination method clarifies the reasons for the diverse forms of the relationship and deepens our understanding of the interactions among processes.","container-title":"Scientific Reports","DOI":"10.1038/s41598-019-50016-3","ISSN":"2045-2322","issue":"1","language":"en","note":"number: 1\npublisher: Nature Publishing Group","page":"13730","source":"www.nature.com","title":"Integrative models explain the relationships between species richness and productivity in plant communities","volume":"9","author":[{"family":"Wang","given":"Zhenhong"},{"family":"Chiarucci","given":"Alessandro"},{"family":"Arratia","given":"Juan F."}],"issued":{"date-parts":[["2019",9,24]]}}}],"schema":"https://github.com/citation-style-language/schema/raw/master/csl-citation.json"} </w:instrText>
      </w:r>
      <w:r w:rsidR="00557D76">
        <w:rPr>
          <w:rFonts w:ascii="Times New Roman" w:hAnsi="Times New Roman" w:cs="Times New Roman"/>
          <w:sz w:val="24"/>
          <w:szCs w:val="24"/>
          <w:lang w:val="en-US"/>
        </w:rPr>
        <w:fldChar w:fldCharType="separate"/>
      </w:r>
      <w:r w:rsidR="00557D76" w:rsidRPr="00557D76">
        <w:rPr>
          <w:rFonts w:ascii="Times New Roman" w:hAnsi="Times New Roman" w:cs="Times New Roman"/>
          <w:sz w:val="24"/>
        </w:rPr>
        <w:t>(Cusens et al., 2012; Mittelbach et al., 2001; Waide et al., 1999; Wang et al., 2019)</w:t>
      </w:r>
      <w:r w:rsidR="00557D76">
        <w:rPr>
          <w:rFonts w:ascii="Times New Roman" w:hAnsi="Times New Roman" w:cs="Times New Roman"/>
          <w:sz w:val="24"/>
          <w:szCs w:val="24"/>
          <w:lang w:val="en-US"/>
        </w:rPr>
        <w:fldChar w:fldCharType="end"/>
      </w:r>
      <w:r w:rsidR="00557D76" w:rsidRPr="00557D76">
        <w:rPr>
          <w:rFonts w:ascii="Times New Roman" w:hAnsi="Times New Roman" w:cs="Times New Roman"/>
          <w:sz w:val="24"/>
          <w:szCs w:val="24"/>
        </w:rPr>
        <w:t>.</w:t>
      </w:r>
      <w:r w:rsidR="00557D76">
        <w:rPr>
          <w:rFonts w:ascii="Times New Roman" w:hAnsi="Times New Roman" w:cs="Times New Roman"/>
          <w:sz w:val="24"/>
          <w:szCs w:val="24"/>
        </w:rPr>
        <w:t xml:space="preserve"> </w:t>
      </w:r>
      <w:r w:rsidR="00557D76" w:rsidRPr="00557D76">
        <w:rPr>
          <w:rFonts w:ascii="Times New Roman" w:hAnsi="Times New Roman" w:cs="Times New Roman"/>
          <w:sz w:val="24"/>
          <w:szCs w:val="24"/>
          <w:lang w:val="en-US"/>
        </w:rPr>
        <w:t xml:space="preserve">While a </w:t>
      </w:r>
      <w:r w:rsidR="00557D76">
        <w:rPr>
          <w:rFonts w:ascii="Times New Roman" w:hAnsi="Times New Roman" w:cs="Times New Roman"/>
          <w:sz w:val="24"/>
          <w:szCs w:val="24"/>
          <w:lang w:val="en-US"/>
        </w:rPr>
        <w:t xml:space="preserve">substantial </w:t>
      </w:r>
      <w:r w:rsidR="00557D76" w:rsidRPr="00557D76">
        <w:rPr>
          <w:rFonts w:ascii="Times New Roman" w:hAnsi="Times New Roman" w:cs="Times New Roman"/>
          <w:sz w:val="24"/>
          <w:szCs w:val="24"/>
          <w:lang w:val="en-US"/>
        </w:rPr>
        <w:t>share of the empirical studies indeed f</w:t>
      </w:r>
      <w:r w:rsidR="00557D76">
        <w:rPr>
          <w:rFonts w:ascii="Times New Roman" w:hAnsi="Times New Roman" w:cs="Times New Roman"/>
          <w:sz w:val="24"/>
          <w:szCs w:val="24"/>
          <w:lang w:val="en-US"/>
        </w:rPr>
        <w:t>ound monotonously positive relationships between energy and species richness, as postulated by the species-energy hypothesis, other patterns were also found, in particular unimodal (‘hump-shaped’) and monotonous negative relationships (Fig 5c).</w:t>
      </w:r>
    </w:p>
    <w:p w14:paraId="1B59E182" w14:textId="77777777" w:rsidR="00117528" w:rsidRPr="00557D76" w:rsidRDefault="00117528" w:rsidP="002639D9">
      <w:pPr>
        <w:spacing w:after="0" w:line="240" w:lineRule="auto"/>
        <w:rPr>
          <w:rFonts w:ascii="Times New Roman" w:hAnsi="Times New Roman" w:cs="Times New Roman"/>
          <w:sz w:val="24"/>
          <w:szCs w:val="24"/>
          <w:lang w:val="en-US"/>
        </w:rPr>
      </w:pPr>
    </w:p>
    <w:p w14:paraId="521A14BF" w14:textId="7264AD51" w:rsidR="002639D9" w:rsidRDefault="002639D9" w:rsidP="00557D76">
      <w:pPr>
        <w:keepNext/>
        <w:keepLines/>
        <w:spacing w:after="0" w:line="240" w:lineRule="auto"/>
        <w:rPr>
          <w:rFonts w:ascii="Times New Roman" w:hAnsi="Times New Roman" w:cs="Times New Roman"/>
          <w:sz w:val="24"/>
          <w:szCs w:val="24"/>
          <w:lang w:val="en-US"/>
        </w:rPr>
      </w:pPr>
      <w:r>
        <w:rPr>
          <w:rFonts w:ascii="Times New Roman" w:hAnsi="Times New Roman" w:cs="Times New Roman"/>
          <w:noProof/>
          <w:sz w:val="24"/>
          <w:szCs w:val="24"/>
          <w:lang w:eastAsia="de-AT"/>
        </w:rPr>
        <w:lastRenderedPageBreak/>
        <w:drawing>
          <wp:inline distT="0" distB="0" distL="0" distR="0" wp14:anchorId="4409AF5D" wp14:editId="0B7C5B52">
            <wp:extent cx="5448300" cy="4478993"/>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iesEnergyCurve.jpg"/>
                    <pic:cNvPicPr/>
                  </pic:nvPicPr>
                  <pic:blipFill>
                    <a:blip r:embed="rId14">
                      <a:extLst>
                        <a:ext uri="{28A0092B-C50C-407E-A947-70E740481C1C}">
                          <a14:useLocalDpi xmlns:a14="http://schemas.microsoft.com/office/drawing/2010/main" val="0"/>
                        </a:ext>
                      </a:extLst>
                    </a:blip>
                    <a:stretch>
                      <a:fillRect/>
                    </a:stretch>
                  </pic:blipFill>
                  <pic:spPr>
                    <a:xfrm>
                      <a:off x="0" y="0"/>
                      <a:ext cx="5451308" cy="4481466"/>
                    </a:xfrm>
                    <a:prstGeom prst="rect">
                      <a:avLst/>
                    </a:prstGeom>
                  </pic:spPr>
                </pic:pic>
              </a:graphicData>
            </a:graphic>
          </wp:inline>
        </w:drawing>
      </w:r>
    </w:p>
    <w:p w14:paraId="4D9ABB21" w14:textId="1F196ED3" w:rsidR="002639D9" w:rsidRDefault="002639D9" w:rsidP="00557D76">
      <w:pPr>
        <w:keepNext/>
        <w:keepLines/>
        <w:spacing w:after="0" w:line="240" w:lineRule="auto"/>
        <w:rPr>
          <w:rFonts w:ascii="Times New Roman" w:hAnsi="Times New Roman" w:cs="Times New Roman"/>
          <w:sz w:val="24"/>
          <w:szCs w:val="24"/>
          <w:lang w:val="en-US"/>
        </w:rPr>
      </w:pPr>
      <w:r w:rsidRPr="00D63382">
        <w:rPr>
          <w:rFonts w:ascii="Times New Roman" w:hAnsi="Times New Roman" w:cs="Times New Roman"/>
          <w:b/>
          <w:sz w:val="24"/>
          <w:szCs w:val="24"/>
          <w:lang w:val="en-US"/>
        </w:rPr>
        <w:t xml:space="preserve">Fig. </w:t>
      </w:r>
      <w:r w:rsidR="00557D76">
        <w:rPr>
          <w:rFonts w:ascii="Times New Roman" w:hAnsi="Times New Roman" w:cs="Times New Roman"/>
          <w:b/>
          <w:sz w:val="24"/>
          <w:szCs w:val="24"/>
          <w:lang w:val="en-US"/>
        </w:rPr>
        <w:t>5.</w:t>
      </w:r>
      <w:r>
        <w:rPr>
          <w:rFonts w:ascii="Times New Roman" w:hAnsi="Times New Roman" w:cs="Times New Roman"/>
          <w:sz w:val="24"/>
          <w:szCs w:val="24"/>
          <w:lang w:val="en-US"/>
        </w:rPr>
        <w:t xml:space="preserve"> Species-energy curves and their implications for biodiversity effects resulting from HANPP. Sources: (a) and (c) own concept</w:t>
      </w:r>
      <w:r w:rsidR="00557D76">
        <w:rPr>
          <w:rFonts w:ascii="Times New Roman" w:hAnsi="Times New Roman" w:cs="Times New Roman"/>
          <w:sz w:val="24"/>
          <w:szCs w:val="24"/>
          <w:lang w:val="en-US"/>
        </w:rPr>
        <w:t>ual</w:t>
      </w:r>
      <w:r>
        <w:rPr>
          <w:rFonts w:ascii="Times New Roman" w:hAnsi="Times New Roman" w:cs="Times New Roman"/>
          <w:sz w:val="24"/>
          <w:szCs w:val="24"/>
          <w:lang w:val="en-US"/>
        </w:rPr>
        <w:t xml:space="preserve"> graph</w:t>
      </w:r>
      <w:r w:rsidR="00557D76">
        <w:rPr>
          <w:rFonts w:ascii="Times New Roman" w:hAnsi="Times New Roman" w:cs="Times New Roman"/>
          <w:sz w:val="24"/>
          <w:szCs w:val="24"/>
          <w:lang w:val="en-US"/>
        </w:rPr>
        <w:t xml:space="preserve">s; (a) based on </w:t>
      </w:r>
      <w:r w:rsidR="00557D76">
        <w:rPr>
          <w:rFonts w:ascii="Times New Roman" w:hAnsi="Times New Roman" w:cs="Times New Roman"/>
          <w:sz w:val="24"/>
          <w:szCs w:val="24"/>
          <w:lang w:val="en-US"/>
        </w:rPr>
        <w:fldChar w:fldCharType="begin"/>
      </w:r>
      <w:r w:rsidR="00557D76">
        <w:rPr>
          <w:rFonts w:ascii="Times New Roman" w:hAnsi="Times New Roman" w:cs="Times New Roman"/>
          <w:sz w:val="24"/>
          <w:szCs w:val="24"/>
          <w:lang w:val="en-US"/>
        </w:rPr>
        <w:instrText xml:space="preserve"> ADDIN ZOTERO_ITEM CSL_CITATION {"citationID":"66rJf4Am","properties":{"formattedCitation":"(Wright, 1990, 1987)","plainCitation":"(Wright, 1990, 1987)","noteIndex":0},"citationItems":[{"id":273,"uris":["http://zotero.org/users/666791/items/52J45DM4"],"uri":["http://zotero.org/users/666791/items/52J45DM4"],"itemData":{"id":273,"type":"article-journal","abstract":"Photosynthetically fixed energy ultimately supports the great diversity of species that inhabit the world's ecosystems. Globally, natural terrestrial ecosystems fixed about $2800\\cdot 10^{18}$ joules of energy per year (net) prior to significant human impacts. In recent years, humans have diverted or prevented about 20% to 30% of this energy from flowing through natural ecosystems by maintaining croplands (15%) and urban areas (1.8%) and by grazing livestock (2.3%). Habitat degradation, mainly in the form of desertification, has also caused a reduction (4%). Energy flow can be related to numbers of species with species-energy curves, which are relationships between species richness and the total energy flow in different regions, similar to species-area curves. By back-extrapolating along a species-energy curve, the observed reduction in natural energy flow due to human activity can be used to make a quantitative prediction of species endangerment. Given 20% to 30% reduction in energy and a species-energy curve exponent (z) between 0.10 and 0.20, we expect the endangerment of 2% to 7% of the world's terrestrial species. Projections to the year 2000 indicate that 3% to 9% of the world's species may be extinct or endangered by that time. These estimates are probably conservative.","container-title":"Ambio","ISSN":"0044-7447","issue":"4","note":"ArticleType: research-article / Full publication date: Jul., 1990 / Copyright © 1990 Royal Swedish Academy of Sciences","page":"189-194","source":"JSTOR","title":"Human Impacts on Energy Flow through Natural Ecosystems, and Implications for Species Endangerment","volume":"19","author":[{"family":"Wright","given":"David Hamilton"}],"issued":{"date-parts":[["1990"]]}}},{"id":1323,"uris":["http://zotero.org/users/666791/items/WZ8ZEC2K"],"uri":["http://zotero.org/users/666791/items/WZ8ZEC2K"],"itemData":{"id":1323,"type":"article-journal","abstract":"A quantitative technique for estimating extinctions due to clearing of natural ecosystems is described. Applied on a global scale, the method yields preliminary figures on extinctions of flowering plants, butterflies, land birds and land mammals ranging from 5.4 to 15.3% for the period from the beginning of agriculture until the year 1980. Actual numbers of extinctions of mammals and birds to date are much lower, possibly in part due to a tendency for the technique to overestimate species loss at the global scale. However, delayed extinctions of species whose populations have been reduced but not exterminated by habitat destruction are likely, suggesting that human impacts may be more serious than they currently appear.","container-title":"International Journal of Biometeorology","DOI":"10.1007/BF02188940","ISSN":"0020-7128, 1432-1254","issue":"4","journalAbbreviation":"Int J Biometeorol","language":"en","page":"293-299","source":"link.springer.com","title":"Estimating human effects on global extinction","volume":"31","author":[{"family":"Wright","given":"D. H."}],"issued":{"date-parts":[["1987",12,1]]}}}],"schema":"https://github.com/citation-style-language/schema/raw/master/csl-citation.json"} </w:instrText>
      </w:r>
      <w:r w:rsidR="00557D76">
        <w:rPr>
          <w:rFonts w:ascii="Times New Roman" w:hAnsi="Times New Roman" w:cs="Times New Roman"/>
          <w:sz w:val="24"/>
          <w:szCs w:val="24"/>
          <w:lang w:val="en-US"/>
        </w:rPr>
        <w:fldChar w:fldCharType="separate"/>
      </w:r>
      <w:r w:rsidR="00557D76" w:rsidRPr="00557D76">
        <w:rPr>
          <w:rFonts w:ascii="Times New Roman" w:hAnsi="Times New Roman" w:cs="Times New Roman"/>
          <w:sz w:val="24"/>
          <w:lang w:val="en-US"/>
        </w:rPr>
        <w:t>(Wright, 1990, 1987)</w:t>
      </w:r>
      <w:r w:rsidR="00557D76">
        <w:rPr>
          <w:rFonts w:ascii="Times New Roman" w:hAnsi="Times New Roman" w:cs="Times New Roman"/>
          <w:sz w:val="24"/>
          <w:szCs w:val="24"/>
          <w:lang w:val="en-US"/>
        </w:rPr>
        <w:fldChar w:fldCharType="end"/>
      </w:r>
      <w:r w:rsidR="00557D76">
        <w:rPr>
          <w:rFonts w:ascii="Times New Roman" w:hAnsi="Times New Roman" w:cs="Times New Roman"/>
          <w:sz w:val="24"/>
          <w:szCs w:val="24"/>
          <w:lang w:val="en-US"/>
        </w:rPr>
        <w:t>,</w:t>
      </w:r>
      <w:r>
        <w:rPr>
          <w:rFonts w:ascii="Times New Roman" w:hAnsi="Times New Roman" w:cs="Times New Roman"/>
          <w:sz w:val="24"/>
          <w:szCs w:val="24"/>
          <w:lang w:val="en-US"/>
        </w:rPr>
        <w:t xml:space="preserve"> (b)</w:t>
      </w:r>
      <w:r w:rsidR="00557D76">
        <w:rPr>
          <w:rFonts w:ascii="Times New Roman" w:hAnsi="Times New Roman" w:cs="Times New Roman"/>
          <w:sz w:val="24"/>
          <w:szCs w:val="24"/>
          <w:lang w:val="en-US"/>
        </w:rPr>
        <w:t xml:space="preserve"> example for empirical results from a study of</w:t>
      </w:r>
      <w:r>
        <w:rPr>
          <w:rFonts w:ascii="Times New Roman" w:hAnsi="Times New Roman" w:cs="Times New Roman"/>
          <w:sz w:val="24"/>
          <w:szCs w:val="24"/>
          <w:lang w:val="en-US"/>
        </w:rPr>
        <w:t xml:space="preserve">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{"citationID":"s2zq7RX8","properties":{"formattedCitation":"(Haberl et al., 2005)","plainCitation":"(Haberl et al., 2005)","noteIndex":0},"citationItems":[{"id":670,"uris":["http://zotero.org/users/666791/items/ENQ556TI"],"uri":["http://zotero.org/users/666791/items/ENQ556TI"],"itemData":{"id":670,"type":"article-journal","abstract":"The relationship between land-use induced changes in production ecology and avifauna diversity was analysed using a GIS land cover dataset on a 0.25&amp;#xa0;km&amp;#xa0;×&amp;#xa0;0.25&amp;#xa0;km grid covering Austria's national territory. Considering only aboveground processes, the “human appropriation of net primary production” (HANPP&amp;#xa0;=&amp;#xa0;potential NPP&amp;#xa0;−&amp;#xa0;NPPt), actual NPP (NPPact), harvest (NPPh) and NPPt (=&amp;#xa0;NPPact&amp;#xa0;−&amp;#xa0;harvest) were recalculated based on existing datasets. Elevation as well as indicators of land cover heterogeneity and landscape heterogeneity were also considered. Correlation analyses were performed between these potential determinants of avifauna diversity and breeding bird species richness data as well as the percentage of endangered breeding birds included in the Austrian red list. Four spatial scales—0.25&amp;#xa0;km&amp;#xa0;×&amp;#xa0;0.25&amp;#xa0;km, 1&amp;#xa0;km&amp;#xa0;×&amp;#xa0;1&amp;#xa0;km, 4&amp;#xa0;km&amp;#xa0;×&amp;#xa0;4&amp;#xa0;km and 16&amp;#xa0;×&amp;#xa0;16&amp;#xa0;km, were analysed. It was shown that breeding bird species richness was more strongly correlated with production ecological indicators and elevation than with heterogeneity indicators. A residual analysis in which the effect of elevation (a proxy for climate) on species richness and its potential determinants was removed confirmed the importance of the availability of trophic energy (NPP) for bird diversity patterns. The results support the species-energy hypothesis, thus confirming the notion that HANPP could be a useful pressure indicator for biodiversity loss.","container-title":"Agriculture, Ecosystems &amp; Environment","DOI":"10.1016/j.agee.2005.03.009","ISSN":"0167-8809","issue":"3–4","page":"119-131","source":"ScienceDirect","title":"Human appropriation of net primary production as determinant of avifauna diversity in Austria","volume":"110","author":[{"family":"Haberl","given":"Helmut"},{"family":"Plutzar","given":"Christoph"},{"family":"Erb","given":"Karl-Heinz"},{"family":"Gaube","given":"Veronika"},{"family":"Pollheimer","given":"Martin"},{"family":"Schulz","given":"Niels B."}],"issued":{"date-parts":[["2005",11,1]]}}}],"schema":"https://github.com/citation-style-language/schema/raw/master/csl-citation.json"} </w:instrText>
      </w:r>
      <w:r>
        <w:rPr>
          <w:rFonts w:ascii="Times New Roman" w:hAnsi="Times New Roman" w:cs="Times New Roman"/>
          <w:sz w:val="24"/>
          <w:szCs w:val="24"/>
          <w:lang w:val="en-US"/>
        </w:rPr>
        <w:fldChar w:fldCharType="separate"/>
      </w:r>
      <w:r w:rsidRPr="00D63382">
        <w:rPr>
          <w:rFonts w:ascii="Times New Roman" w:hAnsi="Times New Roman" w:cs="Times New Roman"/>
          <w:sz w:val="24"/>
          <w:lang w:val="en-US"/>
        </w:rPr>
        <w:t>(Haberl et al., 2005)</w:t>
      </w:r>
      <w:r>
        <w:rPr>
          <w:rFonts w:ascii="Times New Roman" w:hAnsi="Times New Roman" w:cs="Times New Roman"/>
          <w:sz w:val="24"/>
          <w:szCs w:val="24"/>
          <w:lang w:val="en-US"/>
        </w:rPr>
        <w:fldChar w:fldCharType="end"/>
      </w:r>
      <w:r w:rsidR="00557D76">
        <w:rPr>
          <w:rFonts w:ascii="Times New Roman" w:hAnsi="Times New Roman" w:cs="Times New Roman"/>
          <w:sz w:val="24"/>
          <w:szCs w:val="24"/>
          <w:lang w:val="en-US"/>
        </w:rPr>
        <w:t>.</w:t>
      </w:r>
    </w:p>
    <w:p w14:paraId="25763876" w14:textId="77777777" w:rsidR="002639D9" w:rsidRPr="002639D9" w:rsidRDefault="002639D9" w:rsidP="00F60FC6">
      <w:pPr>
        <w:spacing w:after="0" w:line="240" w:lineRule="auto"/>
        <w:rPr>
          <w:rFonts w:ascii="Times New Roman" w:hAnsi="Times New Roman" w:cs="Times New Roman"/>
          <w:sz w:val="24"/>
          <w:szCs w:val="24"/>
          <w:lang w:val="en-US"/>
        </w:rPr>
      </w:pPr>
    </w:p>
    <w:p w14:paraId="73FAAE39" w14:textId="53C62436" w:rsidR="00F60FC6" w:rsidRDefault="00D304EC" w:rsidP="00F60FC6">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To the extent that </w:t>
      </w:r>
      <w:r w:rsidR="009C2AC5">
        <w:rPr>
          <w:rFonts w:ascii="Times New Roman" w:hAnsi="Times New Roman" w:cs="Times New Roman"/>
          <w:sz w:val="24"/>
          <w:szCs w:val="24"/>
          <w:lang w:val="en-GB"/>
        </w:rPr>
        <w:t>the species-energy relationship is monotonously positive</w:t>
      </w:r>
      <w:r>
        <w:rPr>
          <w:rFonts w:ascii="Times New Roman" w:hAnsi="Times New Roman" w:cs="Times New Roman"/>
          <w:sz w:val="24"/>
          <w:szCs w:val="24"/>
          <w:lang w:val="en-GB"/>
        </w:rPr>
        <w:t>,</w:t>
      </w:r>
      <w:r w:rsidR="009C2AC5">
        <w:rPr>
          <w:rFonts w:ascii="Times New Roman" w:hAnsi="Times New Roman" w:cs="Times New Roman"/>
          <w:sz w:val="24"/>
          <w:szCs w:val="24"/>
          <w:lang w:val="en-GB"/>
        </w:rPr>
        <w:t xml:space="preserve"> and </w:t>
      </w:r>
      <w:r>
        <w:rPr>
          <w:rFonts w:ascii="Times New Roman" w:hAnsi="Times New Roman" w:cs="Times New Roman"/>
          <w:sz w:val="24"/>
          <w:szCs w:val="24"/>
          <w:lang w:val="en-GB"/>
        </w:rPr>
        <w:t xml:space="preserve">if </w:t>
      </w:r>
      <w:r w:rsidR="00EB5B28">
        <w:rPr>
          <w:rFonts w:ascii="Times New Roman" w:hAnsi="Times New Roman" w:cs="Times New Roman"/>
          <w:sz w:val="24"/>
          <w:szCs w:val="24"/>
          <w:lang w:val="en-GB"/>
        </w:rPr>
        <w:t xml:space="preserve">the mechanisms </w:t>
      </w:r>
      <w:r w:rsidR="006C55AD">
        <w:rPr>
          <w:rFonts w:ascii="Times New Roman" w:hAnsi="Times New Roman" w:cs="Times New Roman"/>
          <w:sz w:val="24"/>
          <w:szCs w:val="24"/>
          <w:lang w:val="en-GB"/>
        </w:rPr>
        <w:t xml:space="preserve">behind </w:t>
      </w:r>
      <w:r w:rsidR="00EB5B28">
        <w:rPr>
          <w:rFonts w:ascii="Times New Roman" w:hAnsi="Times New Roman" w:cs="Times New Roman"/>
          <w:sz w:val="24"/>
          <w:szCs w:val="24"/>
          <w:lang w:val="en-GB"/>
        </w:rPr>
        <w:t>this relationship also hold</w:t>
      </w:r>
      <w:r w:rsidR="006C55AD">
        <w:rPr>
          <w:rFonts w:ascii="Times New Roman" w:hAnsi="Times New Roman" w:cs="Times New Roman"/>
          <w:sz w:val="24"/>
          <w:szCs w:val="24"/>
          <w:lang w:val="en-GB"/>
        </w:rPr>
        <w:t>s</w:t>
      </w:r>
      <w:r w:rsidR="00EB5B28">
        <w:rPr>
          <w:rFonts w:ascii="Times New Roman" w:hAnsi="Times New Roman" w:cs="Times New Roman"/>
          <w:sz w:val="24"/>
          <w:szCs w:val="24"/>
          <w:lang w:val="en-GB"/>
        </w:rPr>
        <w:t xml:space="preserve"> in human-managed ecosystems, then human-induced reductions in energy availability in ecosystems should contribute to species loss according to Fig. 5a. Indeed, such considerations motivated the development of the HANPP concept early on. For example, </w:t>
      </w:r>
      <w:r w:rsidR="00EB5B28">
        <w:rPr>
          <w:rFonts w:ascii="Times New Roman" w:hAnsi="Times New Roman" w:cs="Times New Roman"/>
          <w:sz w:val="24"/>
          <w:szCs w:val="24"/>
          <w:lang w:val="en-GB"/>
        </w:rPr>
        <w:fldChar w:fldCharType="begin"/>
      </w:r>
      <w:r w:rsidR="00EB5B28">
        <w:rPr>
          <w:rFonts w:ascii="Times New Roman" w:hAnsi="Times New Roman" w:cs="Times New Roman"/>
          <w:sz w:val="24"/>
          <w:szCs w:val="24"/>
          <w:lang w:val="en-GB"/>
        </w:rPr>
        <w:instrText xml:space="preserve"> ADDIN ZOTERO_ITEM CSL_CITATION {"citationID":"RQWM8LXi","properties":{"formattedCitation":"(Vitousek et al., 1986, p. 368)","plainCitation":"(Vitousek et al., 1986, p. 368)","noteIndex":0},"citationItems":[{"id":459,"uris":["http://zotero.org/users/666791/items/UARNFXJB"],"uri":["http://zotero.org/users/666791/items/UARNFXJB"],"itemData":{"id":459,"type":"article-journal","call-number":"1067","container-title":"Bioscience","issue":"6","page":"363-373","title":"Human Appropriation of the Products of Photosynthesis","volume":"36","author":[{"family":"Vitousek","given":"Peter M."},{"family":"Ehrlich","given":"Paul R."},{"family":"Ehrlich","given":"Anne H."},{"family":"Matson","given":"Pamela A."}],"issued":{"date-parts":[["1986"]]}},"locator":"368"}],"schema":"https://github.com/citation-style-language/schema/raw/master/csl-citation.json"} </w:instrText>
      </w:r>
      <w:r w:rsidR="00EB5B28">
        <w:rPr>
          <w:rFonts w:ascii="Times New Roman" w:hAnsi="Times New Roman" w:cs="Times New Roman"/>
          <w:sz w:val="24"/>
          <w:szCs w:val="24"/>
          <w:lang w:val="en-GB"/>
        </w:rPr>
        <w:fldChar w:fldCharType="separate"/>
      </w:r>
      <w:r w:rsidR="00EB5B28" w:rsidRPr="00EB5B28">
        <w:rPr>
          <w:rFonts w:ascii="Times New Roman" w:hAnsi="Times New Roman" w:cs="Times New Roman"/>
          <w:sz w:val="24"/>
          <w:lang w:val="en-US"/>
        </w:rPr>
        <w:t>(Vitousek et al., 1986, p. 368)</w:t>
      </w:r>
      <w:r w:rsidR="00EB5B28">
        <w:rPr>
          <w:rFonts w:ascii="Times New Roman" w:hAnsi="Times New Roman" w:cs="Times New Roman"/>
          <w:sz w:val="24"/>
          <w:szCs w:val="24"/>
          <w:lang w:val="en-GB"/>
        </w:rPr>
        <w:fldChar w:fldCharType="end"/>
      </w:r>
      <w:r w:rsidR="00EB5B28">
        <w:rPr>
          <w:rFonts w:ascii="Times New Roman" w:hAnsi="Times New Roman" w:cs="Times New Roman"/>
          <w:sz w:val="24"/>
          <w:szCs w:val="24"/>
          <w:lang w:val="en-GB"/>
        </w:rPr>
        <w:t xml:space="preserve"> wrote: “NPP provides the basis for maintenance, growth, and reproduction of all heterotrophs (consumers and decomposers); it is the total food resource on Earth. We are interested in human use of this resource (…) for what it implies for other species, which must use the leftovers”. Subsequently, species-energy relationships were used to estimate global human impacts on species richness </w:t>
      </w:r>
      <w:r w:rsidR="00EB5B28">
        <w:rPr>
          <w:rFonts w:ascii="Times New Roman" w:hAnsi="Times New Roman" w:cs="Times New Roman"/>
          <w:sz w:val="24"/>
          <w:szCs w:val="24"/>
          <w:lang w:val="en-GB"/>
        </w:rPr>
        <w:fldChar w:fldCharType="begin"/>
      </w:r>
      <w:r w:rsidR="00EB5B28">
        <w:rPr>
          <w:rFonts w:ascii="Times New Roman" w:hAnsi="Times New Roman" w:cs="Times New Roman"/>
          <w:sz w:val="24"/>
          <w:szCs w:val="24"/>
          <w:lang w:val="en-GB"/>
        </w:rPr>
        <w:instrText xml:space="preserve"> ADDIN ZOTERO_ITEM CSL_CITATION {"citationID":"k2v1yEyc","properties":{"formattedCitation":"(Wright, 1990, 1987)","plainCitation":"(Wright, 1990, 1987)","noteIndex":0},"citationItems":[{"id":273,"uris":["http://zotero.org/users/666791/items/52J45DM4"],"uri":["http://zotero.org/users/666791/items/52J45DM4"],"itemData":{"id":273,"type":"article-journal","abstract":"Photosynthetically fixed energy ultimately supports the great diversity of species that inhabit the world's ecosystems. Globally, natural terrestrial ecosystems fixed about $2800\\cdot 10^{18}$ joules of energy per year (net) prior to significant human impacts. In recent years, humans have diverted or prevented about 20% to 30% of this energy from flowing through natural ecosystems by maintaining croplands (15%) and urban areas (1.8%) and by grazing livestock (2.3%). Habitat degradation, mainly in the form of desertification, has also caused a reduction (4%). Energy flow can be related to numbers of species with species-energy curves, which are relationships between species richness and the total energy flow in different regions, similar to species-area curves. By back-extrapolating along a species-energy curve, the observed reduction in natural energy flow due to human activity can be used to make a quantitative prediction of species endangerment. Given 20% to 30% reduction in energy and a species-energy curve exponent (z) between 0.10 and 0.20, we expect the endangerment of 2% to 7% of the world's terrestrial species. Projections to the year 2000 indicate that 3% to 9% of the world's species may be extinct or endangered by that time. These estimates are probably conservative.","container-title":"Ambio","ISSN":"0044-7447","issue":"4","note":"ArticleType: research-article / Full publication date: Jul., 1990 / Copyright © 1990 Royal Swedish Academy of Sciences","page":"189-194","source":"JSTOR","title":"Human Impacts on Energy Flow through Natural Ecosystems, and Implications for Species Endangerment","volume":"19","author":[{"family":"Wright","given":"David Hamilton"}],"issued":{"date-parts":[["1990"]]}}},{"id":1323,"uris":["http://zotero.org/users/666791/items/WZ8ZEC2K"],"uri":["http://zotero.org/users/666791/items/WZ8ZEC2K"],"itemData":{"id":1323,"type":"article-journal","abstract":"A quantitative technique for estimating extinctions due to clearing of natural ecosystems is described. Applied on a global scale, the method yields preliminary figures on extinctions of flowering plants, butterflies, land birds and land mammals ranging from 5.4 to 15.3% for the period from the beginning of agriculture until the year 1980. Actual numbers of extinctions of mammals and birds to date are much lower, possibly in part due to a tendency for the technique to overestimate species loss at the global scale. However, delayed extinctions of species whose populations have been reduced but not exterminated by habitat destruction are likely, suggesting that human impacts may be more serious than they currently appear.","container-title":"International Journal of Biometeorology","DOI":"10.1007/BF02188940","ISSN":"0020-7128, 1432-1254","issue":"4","journalAbbreviation":"Int J Biometeorol","language":"en","page":"293-299","source":"link.springer.com","title":"Estimating human effects on global extinction","volume":"31","author":[{"family":"Wright","given":"D. H."}],"issued":{"date-parts":[["1987",12,1]]}}}],"schema":"https://github.com/citation-style-language/schema/raw/master/csl-citation.json"} </w:instrText>
      </w:r>
      <w:r w:rsidR="00EB5B28">
        <w:rPr>
          <w:rFonts w:ascii="Times New Roman" w:hAnsi="Times New Roman" w:cs="Times New Roman"/>
          <w:sz w:val="24"/>
          <w:szCs w:val="24"/>
          <w:lang w:val="en-GB"/>
        </w:rPr>
        <w:fldChar w:fldCharType="separate"/>
      </w:r>
      <w:r w:rsidR="00EB5B28" w:rsidRPr="00EB5B28">
        <w:rPr>
          <w:rFonts w:ascii="Times New Roman" w:hAnsi="Times New Roman" w:cs="Times New Roman"/>
          <w:sz w:val="24"/>
          <w:lang w:val="en-US"/>
        </w:rPr>
        <w:t>(Wright, 1990, 1987)</w:t>
      </w:r>
      <w:r w:rsidR="00EB5B28">
        <w:rPr>
          <w:rFonts w:ascii="Times New Roman" w:hAnsi="Times New Roman" w:cs="Times New Roman"/>
          <w:sz w:val="24"/>
          <w:szCs w:val="24"/>
          <w:lang w:val="en-GB"/>
        </w:rPr>
        <w:fldChar w:fldCharType="end"/>
      </w:r>
      <w:r w:rsidR="00EB5B28">
        <w:rPr>
          <w:rFonts w:ascii="Times New Roman" w:hAnsi="Times New Roman" w:cs="Times New Roman"/>
          <w:sz w:val="24"/>
          <w:szCs w:val="24"/>
          <w:lang w:val="en-GB"/>
        </w:rPr>
        <w:t xml:space="preserve">. Empirical research into energy-species relationships in human-dominated landscapes so far provided some indirect support for the relevance of HANPP for species richness </w:t>
      </w:r>
      <w:r w:rsidR="00EB5B28">
        <w:rPr>
          <w:rFonts w:ascii="Times New Roman" w:hAnsi="Times New Roman" w:cs="Times New Roman"/>
          <w:sz w:val="24"/>
          <w:szCs w:val="24"/>
          <w:lang w:val="en-GB"/>
        </w:rPr>
        <w:fldChar w:fldCharType="begin"/>
      </w:r>
      <w:r w:rsidR="00EB5B28">
        <w:rPr>
          <w:rFonts w:ascii="Times New Roman" w:hAnsi="Times New Roman" w:cs="Times New Roman"/>
          <w:sz w:val="24"/>
          <w:szCs w:val="24"/>
          <w:lang w:val="en-GB"/>
        </w:rPr>
        <w:instrText xml:space="preserve"> ADDIN ZOTERO_ITEM CSL_CITATION {"citationID":"fyn67lYR","properties":{"formattedCitation":"(Haberl et al., 2009, 2005, 2004b; Lorel et al., 2019; Mouchet et al., 2015)","plainCitation":"(Haberl et al., 2009, 2005, 2004b; Lorel et al., 2019; Mouchet et al., 2015)","noteIndex":0},"citationItems":[{"id":528,"uris":["http://zotero.org/users/666791/items/A6XFCJXD"],"uri":["http://zotero.org/users/666791/items/A6XFCJXD"],"itemData":{"id":528,"type":"article-journal","abstract":"Effective policies to slow the rate of anthropogenic biodiversity loss should reduce socioeconomic pressures on biodiversity, either directly or by modifying their underlying socioeconomic driving forces. The design of such policies is currently hampered by the limited understanding of socioeconomic drivers of and pressures on biodiversity as well as by lacking data, indicators and models. In order to improve understanding of these issues we here propose a conceptual model of socioeconomic biodiversity drivers and pressures. The model is based on the drivers-pressures-impacts-states-responses (DPSIR) scheme and on the socioeconomic metabolism approach. The aim of the model is to guide research aimed at improving our understanding of socioeconomic biodiversity pressures and drivers and to serve as a basis for the development of formal, quantitative models in that field. Based on three European long-term socio-ecological research (LTSER) platforms, we analyze the model's applicability and suitability as well as data availability and research needs. These platforms are the Danube Delta Wetland System in Romania, the Doñana in Spain and the Eisenwurzen in Austria. An empirical analysis of the relationship between the human appropriation of net primary production (HANPP) and breeding bird richness in the Eisenwurzen demonstrates the ability of HANPP to provide a link between socioeconomic pressures/drivers and biodiversity. The analysis of the case studies underlines the potential utility of the conceptual model to guide future research into socioeconomic biodiversity drivers and pressures. However, considerable investments in monitoring and reconstruction of past trajectories as well as in model development will be required before mathematical (computer) models of the interrelation processes between society and ecosystems can be successfully deployed.","container-title":"Ecological Economics","DOI":"16/j.ecolecon.2008.11.013","ISSN":"0921-8009","issue":"6","page":"1797-1812","source":"ScienceDirect","title":"Towards an integrated model of socioeconomic biodiversity drivers, pressures and impacts. A feasibility study based on three European long-term socio-ecological research platforms","volume":"68","author":[{"family":"Haberl","given":"Helmut"},{"family":"Gaube","given":"Veronika"},{"family":"Díaz-Delgado","given":"Ricardo"},{"family":"Krauze","given":"Kinga"},{"family":"Neuner","given":"Angelika"},{"family":"Peterseil","given":"Johannes"},{"family":"Plutzar","given":"Christoph"},{"family":"Singh","given":"Simron J."},{"family":"Vadineanu","given":"Angheluta"}],"issued":{"date-parts":[["2009",4,15]]}}},{"id":670,"uris":["http://zotero.org/users/666791/items/ENQ556TI"],"uri":["http://zotero.org/users/666791/items/ENQ556TI"],"itemData":{"id":670,"type":"article-journal","abstract":"The relationship between land-use induced changes in production ecology and avifauna diversity was analysed using a GIS land cover dataset on a 0.25&amp;#xa0;km&amp;#xa0;×&amp;#xa0;0.25&amp;#xa0;km grid covering Austria's national territory. Considering only aboveground processes, the “human appropriation of net primary production” (HANPP&amp;#xa0;=&amp;#xa0;potential NPP&amp;#xa0;−&amp;#xa0;NPPt), actual NPP (NPPact), harvest (NPPh) and NPPt (=&amp;#xa0;NPPact&amp;#xa0;−&amp;#xa0;harvest) were recalculated based on existing datasets. Elevation as well as indicators of land cover heterogeneity and landscape heterogeneity were also considered. Correlation analyses were performed between these potential determinants of avifauna diversity and breeding bird species richness data as well as the percentage of endangered breeding birds included in the Austrian red list. Four spatial scales—0.25&amp;#xa0;km&amp;#xa0;×&amp;#xa0;0.25&amp;#xa0;km, 1&amp;#xa0;km&amp;#xa0;×&amp;#xa0;1&amp;#xa0;km, 4&amp;#xa0;km&amp;#xa0;×&amp;#xa0;4&amp;#xa0;km and 16&amp;#xa0;×&amp;#xa0;16&amp;#xa0;km, were analysed. It was shown that breeding bird species richness was more strongly correlated with production ecological indicators and elevation than with heterogeneity indicators. A residual analysis in which the effect of elevation (a proxy for climate) on species richness and its potential determinants was removed confirmed the importance of the availability of trophic energy (NPP) for bird diversity patterns. The results support the species-energy hypothesis, thus confirming the notion that HANPP could be a useful pressure indicator for biodiversity loss.","container-title":"Agriculture, Ecosystems &amp; Environment","DOI":"10.1016/j.agee.2005.03.009","ISSN":"0167-8809","issue":"3–4","page":"119-131","source":"ScienceDirect","title":"Human appropriation of net primary production as determinant of avifauna diversity in Austria","volume":"110","author":[{"family":"Haberl","given":"Helmut"},{"family":"Plutzar","given":"Christoph"},{"family":"Erb","given":"Karl-Heinz"},{"family":"Gaube","given":"Veronika"},{"family":"Pollheimer","given":"Martin"},{"family":"Schulz","given":"Niels B."}],"issued":{"date-parts":[["2005",11,1]]}}},{"id":518,"uris":["http://zotero.org/users/666791/items/TR7SIPEQ"],"uri":["http://zotero.org/users/666791/items/TR7SIPEQ"],"itemData":{"id":518,"type":"article-journal","abstract":"The relationship between land-use induced changes in production ecology and species diversity was analyzed based on a transect of 38 squares (600 m×600 m) in landscapes of eastern Austria. \"Human appropriation of net primary production\" (=HANPP=potential NPP-NPPt), actual NPP (NPPact), harvest (NPPh) and NPPt (=NPPact-harvest) were calculated, considering aboveground processes only. HANPP is an indicator of changes in the production ecology induced by land-use which takes ecosystem productivity and harvest into account. NPPact, NPPt, and HANPP were correlated with data on species richness of vascular plants, bryophytes, orthopterans, gastropods, spiders, ants, and ground beetles. NPPact and HANPP were inversely correlated with species diversity, whereas NPPt was positively correlated with species diversity. Results were compatible with the species-energy hypothesis which predicts a positive relationship between energy flow and species diversity. The analysis of the relationship between HANPP and species diversity may yield results that are relevant in terms of ecological theory and biodiversity conservation.","container-title":"Agriculture, Ecosystems &amp; Environment","DOI":"16/j.agee.2003.07.004","ISSN":"0167-8809","issue":"2","page":"213-218","source":"ScienceDirect","title":"Human appropriation of net primary production and species diversity in agricultural landscapes","volume":"102","author":[{"family":"Haberl","given":"Helmut"},{"family":"Schulz","given":"Niels B."},{"family":"Plutzar","given":"Christoph"},{"family":"Erb","given":"Karl Heinz"},{"family":"Krausmann","given":"Fridolin"},{"family":"Loibl","given":"Wolfgang"},{"family":"Moser","given":"Dietmar"},{"family":"Sauberer","given":"Norbert"},{"family":"Weisz","given":"Helga"},{"family":"Zechmeister","given":"Harald G."},{"family":"Zulka","given":"Peter"}],"issued":{"date-parts":[["2004",4]]}}},{"id":56571,"uris":["http://zotero.org/users/666791/items/2L9PC5WM"],"uri":["http://zotero.org/users/666791/items/2L9PC5WM"],"itemData":{"id":56571,"type":"article-journal","abstract":"The intensification of European land use accelerated substantially in a few decades, particularly in agro-ecosystems that are facing an increasing demand for agricultural products and whose area is also constrained by other uses (e.g. urbanization). Increases in land use intensity (LUI) are characterized by increases of the agricultural outputs per land unit through management practices and/or by increasing amounts of inputs. LUI is a complex and multi-dimensional issue in which each dimension needs to be considered to have a better understanding of the impact of LUI on ecosystem functioning and biodiversity. Here, we focused on five existing LUI indicators: the Input Cost per hectare (IC/ha), assessing the expenses in inputs (fertilizers, pesticides, etc.), the High Nature Value (HNV), a scoring system of agricultural areas accounting for the presence of landscape elements and practices favorable to biodiversity, and three indices of the Human Appropriation of Net Primary Productivity (HANPP) framework, i.e. the harvested biomass (HANPPharv), the living biomass flow remaining available after harvests (NPPeco) and HANPP which combines harvested biomass and effects of land use conversion. First, we discussed how these indicators can relate to the dimensions of LUI. Then, we tested whether HANPP, HANPPharv and NPPeco were redundant with IC/ha and HNV throughout 25,758 French metropolitan municipalities, using Pearson’s correlation coefficient and Linear Mixed-effects Models, while accounting for climatic and landscape parameters. As expected, HANPP, NPPeco and HANPPharv were highly correlated with each other, but weakly to HNV and IC/ha. HNV showed a positive relationship with NPPeco but negative with HANPP and HANPPharv. The opposite findings were observed with IC/ha. These three indicators seem complementary to HNV and IC/ha indicators, linking farmland structural properties and inputs intensity. Finally, we showed how these indicators can be linked, i.e. particular combinations of the indicator values could reveal contrasting agro-ecosystems types (e.g. intensive vs extensive crop farming).","container-title":"Agriculture, Ecosystems &amp; Environment","DOI":"10.1016/j.agee.2019.06.004","ISSN":"0167-88</w:instrText>
      </w:r>
      <w:r w:rsidR="00EB5B28" w:rsidRPr="00212084">
        <w:rPr>
          <w:rFonts w:ascii="Times New Roman" w:hAnsi="Times New Roman" w:cs="Times New Roman"/>
          <w:sz w:val="24"/>
          <w:szCs w:val="24"/>
        </w:rPr>
        <w:instrText>09","journalAbbreviation":"Agriculture, Ecosystems &amp; Environment","pa</w:instrText>
      </w:r>
      <w:r w:rsidR="00EB5B28" w:rsidRPr="00D304EC">
        <w:rPr>
          <w:rFonts w:ascii="Times New Roman" w:hAnsi="Times New Roman" w:cs="Times New Roman"/>
          <w:sz w:val="24"/>
          <w:szCs w:val="24"/>
        </w:rPr>
        <w:instrText xml:space="preserve">ge":"106565","source":"ScienceDirect","title":"Linking the human appropriation of net primary productivity-based indicators, input cost and high nature value to the dimensions of land-use intensity across French agricultural landscapes","volume":"283","author":[{"family":"Lorel","given":"Claire"},{"family":"Plutzar","given":"Christoph"},{"family":"Erb","given":"Karl-Heinz"},{"family":"Mouchet","given":"Maud"}],"issued":{"date-parts":[["2019",11,1]]}}},{"id":1989,"uris":["http://zotero.org/users/666791/items/P7QKKIA2"],"uri":["http://zotero.org/users/666791/items/P7QKKIA2"],"itemData":{"id":1989,"type":"article-journal","container-title":"PLoS One","DOI":"10.1371/journal.pone.0131924","ISSN":"1932-6203","issue":"7","language":"en","page":"e0131924","source":"CrossRef","title":"Testing the Effectiveness of Environmental Variables to Explain European Terrestrial Vertebrate Species Richness across Biogeographical Scales","volume":"10","author":[{"family":"Mouchet","given":"Maud"},{"family":"Levers","given":"Christian"},{"family":"Zupan","given":"Laure"},{"family":"Kuemmerle","given":"Tobias"},{"family":"Plutzar","given":"Christoph"},{"family":"Erb","given":"Karlheinz"},{"family":"Lavorel","given":"Sandra"},{"family":"Thuiller","given":"Wilfried"},{"family":"Haberl","given":"Helmut"}],"issued":{"date-parts":[["2015"]]}}}],"schema":"https://github.com/citation-style-language/schema/raw/master/csl-citation.json"} </w:instrText>
      </w:r>
      <w:r w:rsidR="00EB5B28">
        <w:rPr>
          <w:rFonts w:ascii="Times New Roman" w:hAnsi="Times New Roman" w:cs="Times New Roman"/>
          <w:sz w:val="24"/>
          <w:szCs w:val="24"/>
          <w:lang w:val="en-GB"/>
        </w:rPr>
        <w:fldChar w:fldCharType="separate"/>
      </w:r>
      <w:r w:rsidR="00EB5B28" w:rsidRPr="00D304EC">
        <w:rPr>
          <w:rFonts w:ascii="Times New Roman" w:hAnsi="Times New Roman" w:cs="Times New Roman"/>
          <w:sz w:val="24"/>
        </w:rPr>
        <w:t>(Haberl et al., 2009, 2005, 2004b; Lorel et al., 2019; Mouchet et al., 2015)</w:t>
      </w:r>
      <w:r w:rsidR="00EB5B28">
        <w:rPr>
          <w:rFonts w:ascii="Times New Roman" w:hAnsi="Times New Roman" w:cs="Times New Roman"/>
          <w:sz w:val="24"/>
          <w:szCs w:val="24"/>
          <w:lang w:val="en-GB"/>
        </w:rPr>
        <w:fldChar w:fldCharType="end"/>
      </w:r>
      <w:r w:rsidR="00EB5B28" w:rsidRPr="00D304EC">
        <w:rPr>
          <w:rFonts w:ascii="Times New Roman" w:hAnsi="Times New Roman" w:cs="Times New Roman"/>
          <w:sz w:val="24"/>
          <w:szCs w:val="24"/>
        </w:rPr>
        <w:t>.</w:t>
      </w:r>
      <w:r w:rsidRPr="00D304EC">
        <w:rPr>
          <w:rFonts w:ascii="Times New Roman" w:hAnsi="Times New Roman" w:cs="Times New Roman"/>
          <w:sz w:val="24"/>
          <w:szCs w:val="24"/>
        </w:rPr>
        <w:t xml:space="preserve"> </w:t>
      </w:r>
      <w:r>
        <w:rPr>
          <w:rFonts w:ascii="Times New Roman" w:hAnsi="Times New Roman" w:cs="Times New Roman"/>
          <w:sz w:val="24"/>
          <w:szCs w:val="24"/>
          <w:lang w:val="en-GB"/>
        </w:rPr>
        <w:t>Fig 5b shows an example from one of these studies, in this case a multi-scale analysis of the relations between NPP indicators and HANPP and breeding bird richness in Austria.</w:t>
      </w:r>
      <w:r w:rsidRPr="00D304EC">
        <w:rPr>
          <w:rFonts w:ascii="Times New Roman" w:hAnsi="Times New Roman" w:cs="Times New Roman"/>
          <w:sz w:val="24"/>
          <w:szCs w:val="24"/>
          <w:lang w:val="en-GB"/>
        </w:rPr>
        <w:t xml:space="preserve"> </w:t>
      </w:r>
      <w:r>
        <w:rPr>
          <w:rFonts w:ascii="Times New Roman" w:hAnsi="Times New Roman" w:cs="Times New Roman"/>
          <w:sz w:val="24"/>
          <w:szCs w:val="24"/>
          <w:lang w:val="en-GB"/>
        </w:rPr>
        <w:t>While this and other studies were encouraging, more research is clearly needed.</w:t>
      </w:r>
    </w:p>
    <w:p w14:paraId="6E434608" w14:textId="77777777" w:rsidR="00F60FC6" w:rsidRDefault="00F60FC6" w:rsidP="00F60FC6">
      <w:pPr>
        <w:spacing w:after="0" w:line="240" w:lineRule="auto"/>
        <w:rPr>
          <w:rFonts w:ascii="Times New Roman" w:hAnsi="Times New Roman" w:cs="Times New Roman"/>
          <w:sz w:val="24"/>
          <w:szCs w:val="24"/>
          <w:lang w:val="en-US"/>
        </w:rPr>
      </w:pPr>
    </w:p>
    <w:p w14:paraId="17090B28" w14:textId="6BE2553C" w:rsidR="00F60FC6" w:rsidRPr="00EB5B28" w:rsidRDefault="00CF4646" w:rsidP="00306ACB">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4</w:t>
      </w:r>
      <w:r w:rsidR="00EB5B28" w:rsidRPr="00EB5B28">
        <w:rPr>
          <w:rFonts w:ascii="Times New Roman" w:hAnsi="Times New Roman" w:cs="Times New Roman"/>
          <w:b/>
          <w:sz w:val="28"/>
          <w:szCs w:val="28"/>
          <w:lang w:val="en-US"/>
        </w:rPr>
        <w:t xml:space="preserve">. </w:t>
      </w:r>
      <w:r w:rsidR="00EB5B28">
        <w:rPr>
          <w:rFonts w:ascii="Times New Roman" w:hAnsi="Times New Roman" w:cs="Times New Roman"/>
          <w:b/>
          <w:sz w:val="28"/>
          <w:szCs w:val="28"/>
          <w:lang w:val="en-US"/>
        </w:rPr>
        <w:t>Linking s</w:t>
      </w:r>
      <w:r w:rsidR="00EB5B28" w:rsidRPr="00EB5B28">
        <w:rPr>
          <w:rFonts w:ascii="Times New Roman" w:hAnsi="Times New Roman" w:cs="Times New Roman"/>
          <w:b/>
          <w:sz w:val="28"/>
          <w:szCs w:val="28"/>
          <w:lang w:val="en-US"/>
        </w:rPr>
        <w:t>ocial metabolism, sustainability and biodiversity</w:t>
      </w:r>
      <w:r w:rsidR="00EB5B28">
        <w:rPr>
          <w:rFonts w:ascii="Times New Roman" w:hAnsi="Times New Roman" w:cs="Times New Roman"/>
          <w:b/>
          <w:sz w:val="28"/>
          <w:szCs w:val="28"/>
          <w:lang w:val="en-US"/>
        </w:rPr>
        <w:t>:</w:t>
      </w:r>
      <w:r w:rsidR="00EB5B28" w:rsidRPr="00EB5B28">
        <w:rPr>
          <w:rFonts w:ascii="Times New Roman" w:hAnsi="Times New Roman" w:cs="Times New Roman"/>
          <w:b/>
          <w:sz w:val="28"/>
          <w:szCs w:val="28"/>
          <w:lang w:val="en-US"/>
        </w:rPr>
        <w:t xml:space="preserve"> some </w:t>
      </w:r>
      <w:r w:rsidR="00EB5B28">
        <w:rPr>
          <w:rFonts w:ascii="Times New Roman" w:hAnsi="Times New Roman" w:cs="Times New Roman"/>
          <w:b/>
          <w:sz w:val="28"/>
          <w:szCs w:val="28"/>
          <w:lang w:val="en-US"/>
        </w:rPr>
        <w:t>thoughts</w:t>
      </w:r>
    </w:p>
    <w:p w14:paraId="77B90978" w14:textId="512EFBDE" w:rsidR="00EB5B28" w:rsidRPr="00D304EC" w:rsidRDefault="00CF4646" w:rsidP="00306AC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4</w:t>
      </w:r>
      <w:r w:rsidR="00D304EC" w:rsidRPr="00D304EC">
        <w:rPr>
          <w:rFonts w:ascii="Times New Roman" w:hAnsi="Times New Roman" w:cs="Times New Roman"/>
          <w:b/>
          <w:sz w:val="24"/>
          <w:szCs w:val="24"/>
          <w:lang w:val="en-US"/>
        </w:rPr>
        <w:t>.1 Resources, economic activity, and societal wellbeing</w:t>
      </w:r>
    </w:p>
    <w:p w14:paraId="46F6ECF7" w14:textId="04BA34DA" w:rsidR="007D390C" w:rsidRDefault="00D304EC"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Resource use is not an end in itself</w:t>
      </w:r>
      <w:r w:rsidR="007D390C">
        <w:rPr>
          <w:rFonts w:ascii="Times New Roman" w:hAnsi="Times New Roman" w:cs="Times New Roman"/>
          <w:sz w:val="24"/>
          <w:szCs w:val="24"/>
          <w:lang w:val="en-US"/>
        </w:rPr>
        <w:t>;</w:t>
      </w:r>
      <w:r>
        <w:rPr>
          <w:rFonts w:ascii="Times New Roman" w:hAnsi="Times New Roman" w:cs="Times New Roman"/>
          <w:sz w:val="24"/>
          <w:szCs w:val="24"/>
          <w:lang w:val="en-US"/>
        </w:rPr>
        <w:t xml:space="preserve"> rather</w:t>
      </w:r>
      <w:r w:rsidR="007D390C">
        <w:rPr>
          <w:rFonts w:ascii="Times New Roman" w:hAnsi="Times New Roman" w:cs="Times New Roman"/>
          <w:sz w:val="24"/>
          <w:szCs w:val="24"/>
          <w:lang w:val="en-US"/>
        </w:rPr>
        <w:t xml:space="preserve">, societies use </w:t>
      </w:r>
      <w:r>
        <w:rPr>
          <w:rFonts w:ascii="Times New Roman" w:hAnsi="Times New Roman" w:cs="Times New Roman"/>
          <w:sz w:val="24"/>
          <w:szCs w:val="24"/>
          <w:lang w:val="en-US"/>
        </w:rPr>
        <w:t xml:space="preserve">resources during social and economic activities, e.g. as means of production required to provide services (e.g., housing, mobility, healthcare, education, nutrition, etc.), or as </w:t>
      </w:r>
      <w:r w:rsidR="007D390C">
        <w:rPr>
          <w:rFonts w:ascii="Times New Roman" w:hAnsi="Times New Roman" w:cs="Times New Roman"/>
          <w:sz w:val="24"/>
          <w:szCs w:val="24"/>
          <w:lang w:val="en-US"/>
        </w:rPr>
        <w:t xml:space="preserve">objects required for the performance of routinized </w:t>
      </w:r>
      <w:r w:rsidR="007D390C">
        <w:rPr>
          <w:rFonts w:ascii="Times New Roman" w:hAnsi="Times New Roman" w:cs="Times New Roman"/>
          <w:sz w:val="24"/>
          <w:szCs w:val="24"/>
          <w:lang w:val="en-US"/>
        </w:rPr>
        <w:lastRenderedPageBreak/>
        <w:t xml:space="preserve">practices of social life </w:t>
      </w:r>
      <w:r w:rsidR="007D390C">
        <w:rPr>
          <w:rFonts w:ascii="Times New Roman" w:hAnsi="Times New Roman" w:cs="Times New Roman"/>
          <w:sz w:val="24"/>
          <w:szCs w:val="24"/>
          <w:lang w:val="en-US"/>
        </w:rPr>
        <w:fldChar w:fldCharType="begin"/>
      </w:r>
      <w:r w:rsidR="007D390C">
        <w:rPr>
          <w:rFonts w:ascii="Times New Roman" w:hAnsi="Times New Roman" w:cs="Times New Roman"/>
          <w:sz w:val="24"/>
          <w:szCs w:val="24"/>
          <w:lang w:val="en-US"/>
        </w:rPr>
        <w:instrText xml:space="preserve"> ADDIN ZOTERO_ITEM CSL_CITATION {"citationID":"7gwSbVjz","properties":{"formattedCitation":"(Haberl et al., 2021)","plainCitation":"(Haberl et al., 2021)","noteIndex":0},"citationItems":[{"id":70808,"uris":["http://zotero.org/users/666791/items/XNQ5HWT7"],"uri":["http://zotero.org/users/666791/items/XNQ5HWT7"],"itemData":{"id":70808,"type":"article-journal","abstract":"Societies use material and energy resources to build up, maintain and utilize long-lasting structures such as buildings, infrastructures or machinery, i.e. entertain a ‘social metabolism’. Nexus approaches provide useful heuristics for interdisciplinary analyses of (un)sustainable society-nature interactions, for example by highlighting relations between different resources (e.g. land, water and energy). Assuming that social metabolism is mainly motivated by the aim of deriving benefits from products or services leads to the concept of a ‘stock-flow-service nexus’. This nexus approach connects biophysical stocks and flows involved in social metabolism to the services, benefits and well-being contributions they provide to society. It thus reaches beyond narrower concepts of ‘eco-efficiency’. At the same time, it remains mired in controversy over the valuation of services. The complementary approach of a ‘stock-flow-practice nexus’ is focused on the relationships between stocks, flows and practices, i.e. the routines of everyday life linked with resource use. Building on prominent theories of practice, in particular those that have gained traction in consumption research, it avoids controversies around the service concept and offers a fresh perspective on structure-agency issues at the heart of social metabolism. In this conceptual article, we discuss how these two complementary nexus approaches can serve as heuristic models for interdisciplinary sustainability research and sketch the different conceptual and empirical research directions each of these two approaches inspires.","container-title":"Ecological Economics","DOI":"10.1016/j.ecolecon.2021.106949","ISSN":"0921-8009","journalAbbreviation":"Ecological Economics","language":"en","page":"106949","source":"ScienceDirect","title":"Stocks, flows, services and practices: Nexus approaches to sustainable social metabolism","title-short":"Stocks, flows, services and practices","volume":"182","author":[{"family":"Haberl","given":"Helmut"},{"family":"Schmid","given":"Martin"},{"family":"Haas","given":"Willi"},{"family":"Wiedenhofer","given":"Dominik"},{"family":"Rau","given":"Henrike"},{"family":"Winiwarter","given":"Verena"}],"issued":{"date-parts":[["2021",4,1]]}}}],"schema":"https://github.com/citation-style-language/schema/raw/master/csl-citation.json"} </w:instrText>
      </w:r>
      <w:r w:rsidR="007D390C">
        <w:rPr>
          <w:rFonts w:ascii="Times New Roman" w:hAnsi="Times New Roman" w:cs="Times New Roman"/>
          <w:sz w:val="24"/>
          <w:szCs w:val="24"/>
          <w:lang w:val="en-US"/>
        </w:rPr>
        <w:fldChar w:fldCharType="separate"/>
      </w:r>
      <w:r w:rsidR="007D390C" w:rsidRPr="007D390C">
        <w:rPr>
          <w:rFonts w:ascii="Times New Roman" w:hAnsi="Times New Roman" w:cs="Times New Roman"/>
          <w:sz w:val="24"/>
          <w:lang w:val="en-US"/>
        </w:rPr>
        <w:t>(Haberl et al., 2021)</w:t>
      </w:r>
      <w:r w:rsidR="007D390C">
        <w:rPr>
          <w:rFonts w:ascii="Times New Roman" w:hAnsi="Times New Roman" w:cs="Times New Roman"/>
          <w:sz w:val="24"/>
          <w:szCs w:val="24"/>
          <w:lang w:val="en-US"/>
        </w:rPr>
        <w:fldChar w:fldCharType="end"/>
      </w:r>
      <w:r w:rsidR="007D390C">
        <w:rPr>
          <w:rFonts w:ascii="Times New Roman" w:hAnsi="Times New Roman" w:cs="Times New Roman"/>
          <w:sz w:val="24"/>
          <w:szCs w:val="24"/>
          <w:lang w:val="en-US"/>
        </w:rPr>
        <w:t>.</w:t>
      </w:r>
      <w:r w:rsidR="00F929E3">
        <w:rPr>
          <w:rFonts w:ascii="Times New Roman" w:hAnsi="Times New Roman" w:cs="Times New Roman"/>
          <w:sz w:val="24"/>
          <w:szCs w:val="24"/>
          <w:lang w:val="en-US"/>
        </w:rPr>
        <w:t xml:space="preserve"> </w:t>
      </w:r>
      <w:r w:rsidR="006C55AD">
        <w:rPr>
          <w:rFonts w:ascii="Times New Roman" w:hAnsi="Times New Roman" w:cs="Times New Roman"/>
          <w:sz w:val="24"/>
          <w:szCs w:val="24"/>
          <w:lang w:val="en-US"/>
        </w:rPr>
        <w:t>One may hence ask to what extent resource use (and hence environmental pressures) could be reduced without concomitant negative effects on economic and social goals.</w:t>
      </w:r>
    </w:p>
    <w:p w14:paraId="02CBCD2E" w14:textId="77777777" w:rsidR="007D390C" w:rsidRDefault="007D390C" w:rsidP="00306ACB">
      <w:pPr>
        <w:spacing w:after="0" w:line="240" w:lineRule="auto"/>
        <w:rPr>
          <w:rFonts w:ascii="Times New Roman" w:hAnsi="Times New Roman" w:cs="Times New Roman"/>
          <w:sz w:val="24"/>
          <w:szCs w:val="24"/>
          <w:lang w:val="en-US"/>
        </w:rPr>
      </w:pPr>
    </w:p>
    <w:p w14:paraId="46B6C7F3" w14:textId="0DCFF550" w:rsidR="00F60FC6" w:rsidRDefault="007D390C"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widespread concept underpinning many sustainability strategies of the last decades </w:t>
      </w:r>
      <w:r w:rsidR="006C55AD">
        <w:rPr>
          <w:rFonts w:ascii="Times New Roman" w:hAnsi="Times New Roman" w:cs="Times New Roman"/>
          <w:sz w:val="24"/>
          <w:szCs w:val="24"/>
          <w:lang w:val="en-US"/>
        </w:rPr>
        <w:t xml:space="preserve">is </w:t>
      </w:r>
      <w:r>
        <w:rPr>
          <w:rFonts w:ascii="Times New Roman" w:hAnsi="Times New Roman" w:cs="Times New Roman"/>
          <w:sz w:val="24"/>
          <w:szCs w:val="24"/>
          <w:lang w:val="en-US"/>
        </w:rPr>
        <w:t xml:space="preserve">‘eco-efficiency’, i.e. the idea that economic activity – bluntly: economic growth – could be ‘decoupled’ from the use of biophysical resources or other environmental detriments (e.g. greenhouse gas emissions) through more efficient technologies or by shifting demand towards less resource-intensive sectors or products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{"citationID":"ADuRPxHP","properties":{"formattedCitation":"(Steinberger et al., 2013)","plainCitation":"(Steinberger et al., 2013)","noteIndex":0},"citationItems":[{"id":1785,"uris":["http://zotero.org/users/666791/items/JPKWVRH8"],"uri":["http://zotero.org/users/666791/items/JPKWVRH8"],"itemData":{"id":1785,"type":"article-journal","abstract":"Economic development and growth depend on growing levels of resource use, and result in environmental impacts from large scale resource extraction and emissions of waste. In this study, we examine the resource dependency of economic activities over the past several decades for a set of countries comprising developing, emerging and mature industrialized economies. Rather than a single universal industrial development pathway, we find a diversity of economic dependencies on material use, made evident through cluster analysis. We conduct tests for relative and absolute decoupling of the economy from material use, and compare these with similar tests for decoupling from carbon emissions, both for single countries and country groupings using panel analysis. We show that, over the longer term, emerging and developing countries tend to have significantly larger material-economic coupling than mature industrialized economies (although this effect may be enhanced by trade patterns), but that the contrary is true for short-term coupling. Moreover, we demonstrate that absolute dematerialization limits economic growth rates, while the successful industrialization of developing countries inevitably requires a strong material component. Alternative development priorities are thus urgently needed both for mature and emerging economies: reducing absolute consumption levels for the former, and avoiding the trap of resource-intensive economic and human development for the latter.","container-title":"PLoS ONE","DOI":"10.1371/journal.pone.0070385","issue":"10","journalAbbreviation":"PLoS ONE","page":"e70385","source":"PLoS Journals","title":"Development and Dematerialization: An International Study","title-short":"Development and Dematerialization","volume":"8","author":[{"family":"Steinberger","given":"Julia K."},{"family":"Krausmann","given":"Fridolin"},{"family":"Getzner","given":"Michael"},{"family":"Schandl","given":"Heinz"},{"family":"West","given":"Jim"}],"issued":{"date-parts":[["2013",10,21]]}}}],"schema":"https://github.com/citation-style-language/schema/raw/master/csl-citation.json"} </w:instrText>
      </w:r>
      <w:r>
        <w:rPr>
          <w:rFonts w:ascii="Times New Roman" w:hAnsi="Times New Roman" w:cs="Times New Roman"/>
          <w:sz w:val="24"/>
          <w:szCs w:val="24"/>
          <w:lang w:val="en-US"/>
        </w:rPr>
        <w:fldChar w:fldCharType="separate"/>
      </w:r>
      <w:r w:rsidRPr="007D390C">
        <w:rPr>
          <w:rFonts w:ascii="Times New Roman" w:hAnsi="Times New Roman" w:cs="Times New Roman"/>
          <w:sz w:val="24"/>
          <w:lang w:val="en-US"/>
        </w:rPr>
        <w:t>(Steinberger et al., 2013)</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Indeed</w:t>
      </w:r>
      <w:r w:rsidR="00F929E3">
        <w:rPr>
          <w:rFonts w:ascii="Times New Roman" w:hAnsi="Times New Roman" w:cs="Times New Roman"/>
          <w:sz w:val="24"/>
          <w:szCs w:val="24"/>
          <w:lang w:val="en-US"/>
        </w:rPr>
        <w:t>,</w:t>
      </w:r>
      <w:r>
        <w:rPr>
          <w:rFonts w:ascii="Times New Roman" w:hAnsi="Times New Roman" w:cs="Times New Roman"/>
          <w:sz w:val="24"/>
          <w:szCs w:val="24"/>
          <w:lang w:val="en-US"/>
        </w:rPr>
        <w:t xml:space="preserve"> eco-efficiency and decoupling </w:t>
      </w:r>
      <w:r w:rsidR="00F929E3">
        <w:rPr>
          <w:rFonts w:ascii="Times New Roman" w:hAnsi="Times New Roman" w:cs="Times New Roman"/>
          <w:sz w:val="24"/>
          <w:szCs w:val="24"/>
          <w:lang w:val="en-US"/>
        </w:rPr>
        <w:t xml:space="preserve">of GDP from biophysical resource use </w:t>
      </w:r>
      <w:r w:rsidR="00F929E3">
        <w:rPr>
          <w:rFonts w:ascii="Times New Roman" w:hAnsi="Times New Roman" w:cs="Times New Roman"/>
          <w:sz w:val="24"/>
          <w:szCs w:val="24"/>
          <w:lang w:val="en-US"/>
        </w:rPr>
        <w:fldChar w:fldCharType="begin"/>
      </w:r>
      <w:r w:rsidR="00F929E3">
        <w:rPr>
          <w:rFonts w:ascii="Times New Roman" w:hAnsi="Times New Roman" w:cs="Times New Roman"/>
          <w:sz w:val="24"/>
          <w:szCs w:val="24"/>
          <w:lang w:val="en-US"/>
        </w:rPr>
        <w:instrText xml:space="preserve"> ADDIN ZOTERO_ITEM CSL_CITATION {"citationID":"m3AzlKXB","properties":{"formattedCitation":"(UNEP, 2011)","plainCitation":"(UNEP, 2011)","noteIndex":0},"citationItems":[{"id":1795,"uris":["http://zotero.org/users/666791/items/7WD3BKNG"],"uri":["http://zotero.org/users/666791/items/7WD3BKNG"],"itemData":{"id":1795,"type":"book","event-place":"Nairobi, Kenya","publisher":"United Nations Environment Programme. A Report of the Working Group on Decoupling to the International Resource Panel.","publisher-place":"Nairobi, Kenya","title":"Decoupling Natural Resource Use And Environmental Impacts From Economic Growth","author":[{"family":"UNEP","given":""}],"issued":{"date-parts":[["2011"]]}}}],"schema":"https://github.com/citation-style-language/schema/raw/master/csl-citation.json"} </w:instrText>
      </w:r>
      <w:r w:rsidR="00F929E3">
        <w:rPr>
          <w:rFonts w:ascii="Times New Roman" w:hAnsi="Times New Roman" w:cs="Times New Roman"/>
          <w:sz w:val="24"/>
          <w:szCs w:val="24"/>
          <w:lang w:val="en-US"/>
        </w:rPr>
        <w:fldChar w:fldCharType="separate"/>
      </w:r>
      <w:r w:rsidR="00F929E3" w:rsidRPr="00F929E3">
        <w:rPr>
          <w:rFonts w:ascii="Times New Roman" w:hAnsi="Times New Roman" w:cs="Times New Roman"/>
          <w:sz w:val="24"/>
          <w:lang w:val="en-US"/>
        </w:rPr>
        <w:t>(UNEP, 2011)</w:t>
      </w:r>
      <w:r w:rsidR="00F929E3">
        <w:rPr>
          <w:rFonts w:ascii="Times New Roman" w:hAnsi="Times New Roman" w:cs="Times New Roman"/>
          <w:sz w:val="24"/>
          <w:szCs w:val="24"/>
          <w:lang w:val="en-US"/>
        </w:rPr>
        <w:fldChar w:fldCharType="end"/>
      </w:r>
      <w:r w:rsidR="00F929E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were key </w:t>
      </w:r>
      <w:r w:rsidR="00F929E3">
        <w:rPr>
          <w:rFonts w:ascii="Times New Roman" w:hAnsi="Times New Roman" w:cs="Times New Roman"/>
          <w:sz w:val="24"/>
          <w:szCs w:val="24"/>
          <w:lang w:val="en-US"/>
        </w:rPr>
        <w:t xml:space="preserve">concepts that enabled a group of scientists and politicians to forge a </w:t>
      </w:r>
      <w:r>
        <w:rPr>
          <w:rFonts w:ascii="Times New Roman" w:hAnsi="Times New Roman" w:cs="Times New Roman"/>
          <w:sz w:val="24"/>
          <w:szCs w:val="24"/>
          <w:lang w:val="en-US"/>
        </w:rPr>
        <w:t xml:space="preserve">fragile truce between economic and ecological perspectives </w:t>
      </w:r>
      <w:r w:rsidR="00F929E3">
        <w:rPr>
          <w:rFonts w:ascii="Times New Roman" w:hAnsi="Times New Roman" w:cs="Times New Roman"/>
          <w:sz w:val="24"/>
          <w:szCs w:val="24"/>
          <w:lang w:val="en-US"/>
        </w:rPr>
        <w:t xml:space="preserve">underlying the </w:t>
      </w:r>
      <w:r>
        <w:rPr>
          <w:rFonts w:ascii="Times New Roman" w:hAnsi="Times New Roman" w:cs="Times New Roman"/>
          <w:sz w:val="24"/>
          <w:szCs w:val="24"/>
          <w:lang w:val="en-US"/>
        </w:rPr>
        <w:t xml:space="preserve">concept of ‘sustainable development’ in the 1980s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{"citationID":"vMHTKSNn","properties":{"formattedCitation":"(United Nations, 1987)","plainCitation":"(United Nations, 1987)","noteIndex":0},"citationItems":[{"id":1444,"uris":["http://zotero.org/users/666791/items/K3NAZTHC"],"uri":["http://zotero.org/users/666791/items/K3NAZTHC"],"itemData":{"id":1444,"type":"book","event-place":"Online at http://conspect.nl/pdf/Our_Common_Future-Brundtland_Report_1987.pdf","publisher":"UN Document","publisher-place":"Online at http://conspect.nl/pdf/Our_Common_Future-Brundtland_Report_1987.pdf","title":"Our Common Future. Report of the World Commission on Environment and Development","URL":"http://conspect.nl/pdf/Our_Common_Future-Brundtland_Report_1987.pdf","author":[{"family":"United Nations","given":""}],"issued":{"date-parts":[["1987"]]}}}],"schema":"https://github.com/citation-style-language/schema/raw/master/csl-citation.json"} </w:instrText>
      </w:r>
      <w:r>
        <w:rPr>
          <w:rFonts w:ascii="Times New Roman" w:hAnsi="Times New Roman" w:cs="Times New Roman"/>
          <w:sz w:val="24"/>
          <w:szCs w:val="24"/>
          <w:lang w:val="en-US"/>
        </w:rPr>
        <w:fldChar w:fldCharType="separate"/>
      </w:r>
      <w:r w:rsidRPr="007D390C">
        <w:rPr>
          <w:rFonts w:ascii="Times New Roman" w:hAnsi="Times New Roman" w:cs="Times New Roman"/>
          <w:sz w:val="24"/>
          <w:lang w:val="en-US"/>
        </w:rPr>
        <w:t>(United Nations, 1987)</w:t>
      </w:r>
      <w:r>
        <w:rPr>
          <w:rFonts w:ascii="Times New Roman" w:hAnsi="Times New Roman" w:cs="Times New Roman"/>
          <w:sz w:val="24"/>
          <w:szCs w:val="24"/>
          <w:lang w:val="en-US"/>
        </w:rPr>
        <w:fldChar w:fldCharType="end"/>
      </w:r>
      <w:r w:rsidR="00F929E3">
        <w:rPr>
          <w:rFonts w:ascii="Times New Roman" w:hAnsi="Times New Roman" w:cs="Times New Roman"/>
          <w:sz w:val="24"/>
          <w:szCs w:val="24"/>
          <w:lang w:val="en-US"/>
        </w:rPr>
        <w:t xml:space="preserve">. In the heated debate on ecological limits to growth fueled by </w:t>
      </w:r>
      <w:r w:rsidR="006C55AD">
        <w:rPr>
          <w:rFonts w:ascii="Times New Roman" w:hAnsi="Times New Roman" w:cs="Times New Roman"/>
          <w:sz w:val="24"/>
          <w:szCs w:val="24"/>
          <w:lang w:val="en-US"/>
        </w:rPr>
        <w:t>a</w:t>
      </w:r>
      <w:r w:rsidR="00F929E3">
        <w:rPr>
          <w:rFonts w:ascii="Times New Roman" w:hAnsi="Times New Roman" w:cs="Times New Roman"/>
          <w:sz w:val="24"/>
          <w:szCs w:val="24"/>
          <w:lang w:val="en-US"/>
        </w:rPr>
        <w:t xml:space="preserve"> </w:t>
      </w:r>
      <w:r w:rsidR="006C55AD">
        <w:rPr>
          <w:rFonts w:ascii="Times New Roman" w:hAnsi="Times New Roman" w:cs="Times New Roman"/>
          <w:sz w:val="24"/>
          <w:szCs w:val="24"/>
          <w:lang w:val="en-US"/>
        </w:rPr>
        <w:t xml:space="preserve">report to the </w:t>
      </w:r>
      <w:r w:rsidR="00F929E3">
        <w:rPr>
          <w:rFonts w:ascii="Times New Roman" w:hAnsi="Times New Roman" w:cs="Times New Roman"/>
          <w:sz w:val="24"/>
          <w:szCs w:val="24"/>
          <w:lang w:val="en-US"/>
        </w:rPr>
        <w:t xml:space="preserve">Club of Rome </w:t>
      </w:r>
      <w:r w:rsidR="00F929E3">
        <w:rPr>
          <w:rFonts w:ascii="Times New Roman" w:hAnsi="Times New Roman" w:cs="Times New Roman"/>
          <w:sz w:val="24"/>
          <w:szCs w:val="24"/>
          <w:lang w:val="en-US"/>
        </w:rPr>
        <w:fldChar w:fldCharType="begin"/>
      </w:r>
      <w:r w:rsidR="00F929E3">
        <w:rPr>
          <w:rFonts w:ascii="Times New Roman" w:hAnsi="Times New Roman" w:cs="Times New Roman"/>
          <w:sz w:val="24"/>
          <w:szCs w:val="24"/>
          <w:lang w:val="en-US"/>
        </w:rPr>
        <w:instrText xml:space="preserve"> ADDIN ZOTERO_ITEM CSL_CITATION {"citationID":"RnBFlmVS","properties":{"formattedCitation":"(Meadows et al., 1972)","plainCitation":"(Meadows et al., 1972)","noteIndex":0},"citationItems":[{"id":1441,"uris":["http://zotero.org/users/666791/items/4IEPGNPE"],"uri":["http://zotero.org/users/666791/items/4IEPGNPE"],"itemData":{"id":1441,"type":"book","event-place":"New York","publisher":"Universe Books","publisher-place":"New York","title":"The Limits To Growth.  A Report for the Club of Rome's Project on the Predicament of Mankind","author":[{"family":"Meadows","given":"Dennis H."},{"family":"Meadows","given":"Donella L."},{"family":"Randers","given":"Jørgen"},{"family":"Behrens","given":"W.W."}],"issued":{"date-parts":[["1972"]]}}}],"schema":"https://github.com/citation-style-language/schema/raw/master/csl-citation.json"} </w:instrText>
      </w:r>
      <w:r w:rsidR="00F929E3">
        <w:rPr>
          <w:rFonts w:ascii="Times New Roman" w:hAnsi="Times New Roman" w:cs="Times New Roman"/>
          <w:sz w:val="24"/>
          <w:szCs w:val="24"/>
          <w:lang w:val="en-US"/>
        </w:rPr>
        <w:fldChar w:fldCharType="separate"/>
      </w:r>
      <w:r w:rsidR="00F929E3" w:rsidRPr="00F929E3">
        <w:rPr>
          <w:rFonts w:ascii="Times New Roman" w:hAnsi="Times New Roman" w:cs="Times New Roman"/>
          <w:sz w:val="24"/>
          <w:lang w:val="en-US"/>
        </w:rPr>
        <w:t>(Meadows et al., 1972)</w:t>
      </w:r>
      <w:r w:rsidR="00F929E3">
        <w:rPr>
          <w:rFonts w:ascii="Times New Roman" w:hAnsi="Times New Roman" w:cs="Times New Roman"/>
          <w:sz w:val="24"/>
          <w:szCs w:val="24"/>
          <w:lang w:val="en-US"/>
        </w:rPr>
        <w:fldChar w:fldCharType="end"/>
      </w:r>
      <w:r w:rsidR="00F929E3">
        <w:rPr>
          <w:rFonts w:ascii="Times New Roman" w:hAnsi="Times New Roman" w:cs="Times New Roman"/>
          <w:sz w:val="24"/>
          <w:szCs w:val="24"/>
          <w:lang w:val="en-US"/>
        </w:rPr>
        <w:t>, th</w:t>
      </w:r>
      <w:r w:rsidR="006B2B1D">
        <w:rPr>
          <w:rFonts w:ascii="Times New Roman" w:hAnsi="Times New Roman" w:cs="Times New Roman"/>
          <w:sz w:val="24"/>
          <w:szCs w:val="24"/>
          <w:lang w:val="en-US"/>
        </w:rPr>
        <w:t>e</w:t>
      </w:r>
      <w:r w:rsidR="00F929E3">
        <w:rPr>
          <w:rFonts w:ascii="Times New Roman" w:hAnsi="Times New Roman" w:cs="Times New Roman"/>
          <w:sz w:val="24"/>
          <w:szCs w:val="24"/>
          <w:lang w:val="en-US"/>
        </w:rPr>
        <w:t xml:space="preserve"> concept </w:t>
      </w:r>
      <w:r w:rsidR="006B2B1D">
        <w:rPr>
          <w:rFonts w:ascii="Times New Roman" w:hAnsi="Times New Roman" w:cs="Times New Roman"/>
          <w:sz w:val="24"/>
          <w:szCs w:val="24"/>
          <w:lang w:val="en-US"/>
        </w:rPr>
        <w:t xml:space="preserve">of sustainable development </w:t>
      </w:r>
      <w:r w:rsidR="00F929E3">
        <w:rPr>
          <w:rFonts w:ascii="Times New Roman" w:hAnsi="Times New Roman" w:cs="Times New Roman"/>
          <w:sz w:val="24"/>
          <w:szCs w:val="24"/>
          <w:lang w:val="en-US"/>
        </w:rPr>
        <w:t>paved the way towards more integrative approaches that recognized the need to join forces across worldviews and scientific approaches in attempt</w:t>
      </w:r>
      <w:r w:rsidR="006C55AD">
        <w:rPr>
          <w:rFonts w:ascii="Times New Roman" w:hAnsi="Times New Roman" w:cs="Times New Roman"/>
          <w:sz w:val="24"/>
          <w:szCs w:val="24"/>
          <w:lang w:val="en-US"/>
        </w:rPr>
        <w:t>s</w:t>
      </w:r>
      <w:r w:rsidR="00F929E3">
        <w:rPr>
          <w:rFonts w:ascii="Times New Roman" w:hAnsi="Times New Roman" w:cs="Times New Roman"/>
          <w:sz w:val="24"/>
          <w:szCs w:val="24"/>
          <w:lang w:val="en-US"/>
        </w:rPr>
        <w:t xml:space="preserve"> to reduce poverty and hunger while saving </w:t>
      </w:r>
      <w:r w:rsidR="006B2B1D">
        <w:rPr>
          <w:rFonts w:ascii="Times New Roman" w:hAnsi="Times New Roman" w:cs="Times New Roman"/>
          <w:sz w:val="24"/>
          <w:szCs w:val="24"/>
          <w:lang w:val="en-US"/>
        </w:rPr>
        <w:t xml:space="preserve">planet earth’s climate, ecosystems and biodiversity. The adoption of 17 Sustainable Development Goals in 2017 is perhaps the most visible indication that this debate is continuing at the global level </w:t>
      </w:r>
      <w:r w:rsidR="006B2B1D">
        <w:rPr>
          <w:rFonts w:ascii="Times New Roman" w:hAnsi="Times New Roman" w:cs="Times New Roman"/>
          <w:sz w:val="24"/>
          <w:szCs w:val="24"/>
          <w:lang w:val="en-US"/>
        </w:rPr>
        <w:fldChar w:fldCharType="begin"/>
      </w:r>
      <w:r w:rsidR="006B2B1D">
        <w:rPr>
          <w:rFonts w:ascii="Times New Roman" w:hAnsi="Times New Roman" w:cs="Times New Roman"/>
          <w:sz w:val="24"/>
          <w:szCs w:val="24"/>
          <w:lang w:val="en-US"/>
        </w:rPr>
        <w:instrText xml:space="preserve"> ADDIN ZOTERO_ITEM CSL_CITATION {"citationID":"yp1JQvLO","properties":{"formattedCitation":"(Sachs et al., 2019)","plainCitation":"(Sachs et al., 2019)","noteIndex":0},"citationItems":[{"id":70380,"uris":["http://zotero.org/users/666791/items/LPWSU3EP"],"uri":["http://zotero.org/users/666791/items/LPWSU3EP"],"itemData":{"id":70380,"type":"article-journal","abstract":"The Sustainable Development Goals (SDGs) and the Paris Agreement on Climate Change call for deep transformations in every country that will require complementary actions by governments, civil society, science and business. Yet stakeholders lack a shared understanding of how the 17 SDGs can be operationalized. Drawing on earlier work by The World in 2050 initiative, we introduce six SDG Transformations as modular building-blocks of SDG achievement: (1) education, gender and inequality; (2) health, well-being and demography; (3) energy decarbonization and sustainable industry; (4) sustainable food, land, water and oceans; (5) sustainable cities and communities; and (6) digital revolution for sustainable development. Each Transformation identifies priority investments and regulatory challenges, calling for actions by well-defined parts of government working with business and civil society. Transformations may therefore be operationalized within the structures of government while respecting the strong interdependencies across the 17 SDGs. We also outline an action agenda for science to provide the knowledge required for designing, implementing and monitoring the SDG Transformations.","container-title":"Nature Sustainability","DOI":"10.1038/s41893-019-0352-9","ISSN":"2398-9629","issue":"9","language":"en","note":"number: 9\npublisher: Nature Publishing Group","page":"805-814","source":"www.nature.com","title":"Six Transformations to achieve the Sustainable Development Goals","volume":"2","author":[{"family":"Sachs","given":"Jeffrey D."},{"family":"Schmidt-Traub","given":"Guido"},{"family":"Mazzucato","given":"Mariana"},{"family":"Messner","given":"Dirk"},{"family":"Nakicenovic","given":"Nebojsa"},{"family":"Rockström","given":"Johan"}],"issued":{"date-parts":[["2019",9]]}}}],"schema":"https://github.com/citation-style-language/schema/raw/master/csl-citation.json"} </w:instrText>
      </w:r>
      <w:r w:rsidR="006B2B1D">
        <w:rPr>
          <w:rFonts w:ascii="Times New Roman" w:hAnsi="Times New Roman" w:cs="Times New Roman"/>
          <w:sz w:val="24"/>
          <w:szCs w:val="24"/>
          <w:lang w:val="en-US"/>
        </w:rPr>
        <w:fldChar w:fldCharType="separate"/>
      </w:r>
      <w:r w:rsidR="006B2B1D" w:rsidRPr="006B2B1D">
        <w:rPr>
          <w:rFonts w:ascii="Times New Roman" w:hAnsi="Times New Roman" w:cs="Times New Roman"/>
          <w:sz w:val="24"/>
          <w:lang w:val="en-US"/>
        </w:rPr>
        <w:t>(Sachs et al., 2019)</w:t>
      </w:r>
      <w:r w:rsidR="006B2B1D">
        <w:rPr>
          <w:rFonts w:ascii="Times New Roman" w:hAnsi="Times New Roman" w:cs="Times New Roman"/>
          <w:sz w:val="24"/>
          <w:szCs w:val="24"/>
          <w:lang w:val="en-US"/>
        </w:rPr>
        <w:fldChar w:fldCharType="end"/>
      </w:r>
      <w:r w:rsidR="006C55AD">
        <w:rPr>
          <w:rFonts w:ascii="Times New Roman" w:hAnsi="Times New Roman" w:cs="Times New Roman"/>
          <w:sz w:val="24"/>
          <w:szCs w:val="24"/>
          <w:lang w:val="en-US"/>
        </w:rPr>
        <w:t xml:space="preserve">. However, </w:t>
      </w:r>
      <w:r w:rsidR="006B2B1D">
        <w:rPr>
          <w:rFonts w:ascii="Times New Roman" w:hAnsi="Times New Roman" w:cs="Times New Roman"/>
          <w:sz w:val="24"/>
          <w:szCs w:val="24"/>
          <w:lang w:val="en-US"/>
        </w:rPr>
        <w:t xml:space="preserve">a flurry of publications on possible synergies or tradeoffs between these goals shows, how difficult and controversial this debate still is </w:t>
      </w:r>
      <w:r w:rsidR="006B2B1D">
        <w:rPr>
          <w:rFonts w:ascii="Times New Roman" w:hAnsi="Times New Roman" w:cs="Times New Roman"/>
          <w:sz w:val="24"/>
          <w:szCs w:val="24"/>
          <w:lang w:val="en-US"/>
        </w:rPr>
        <w:fldChar w:fldCharType="begin"/>
      </w:r>
      <w:r w:rsidR="006B2B1D">
        <w:rPr>
          <w:rFonts w:ascii="Times New Roman" w:hAnsi="Times New Roman" w:cs="Times New Roman"/>
          <w:sz w:val="24"/>
          <w:szCs w:val="24"/>
          <w:lang w:val="en-US"/>
        </w:rPr>
        <w:instrText xml:space="preserve"> ADDIN ZOTERO_ITEM CSL_CITATION {"citationID":"Db7humzw","properties":{"formattedCitation":"(Brand et al., 2021; Eisenmenger et al., 2020; Hickel, 2019)","plainCitation":"(Brand et al., 2021; Eisenmenger et al., 2020; Hickel, 2019)","noteIndex":0},"citationItems":[{"id":71579,"uris":["http://zotero.org/users/666791/items/LNWTBNR7"],"uri":["http://zotero.org/users/666791/items/LNWTBNR7"],"itemData":{"id":71579,"type":"article-journal","abstract":"The planetary boundaries concept has profoundly changed the vocabulary and representation of global environmental issues. We bring a critical social science perspective to this framework through the notion of societal boundaries and aim to provide a more nuanced understanding of the social nature of thresholds. We start by highlighting the strengths and weaknesses of planetary boundaries from a social science perspective. We then focus on capitalist societies as a heuristic for discussing the expansionary dynamics, power relations, and lock-ins of modern societies that impel highly unsustainable societal relations with nature. While formulating societal boundaries implies a controversial process ‒ based on normative judgments, ethical concerns, and socio-political struggles ‒ it has the potential to offer guidelines for a just, social-ecological transformation. Collective autonomy and the politics of self-limitation are key elements of societal boundaries and are linked to important proposals and pluriverse experiences to integrate well-being and boundaries. The role of the state and propositions for radical alternative approaches to well-being have particular importance. We conclude with reflections on social freedom, defined as the right not to live at others’ expense. Toward the aim of defining boundaries through transdisciplinary and democratic processes, we seek to open a dialogue on these issues.","container-title":"Sustainability: Science, Practice and Policy","DOI":"10.1080/15487733.2021.1940754","ISSN":"null","issue":"1","note":"publisher: Taylor &amp; Francis\n_eprint: https://www.tandfonline.com/doi/pdf/10.1080/15487733.2021.1940754","page":"265-292","source":"Taylor and Francis+NEJM","title":"From planetary to societal boundaries: an argument for collectively defined self-limitation","title-short":"From planetary to societal boundaries","volume":"17","author":[{"family":"Brand","given":"Ulrich"},{"family":"Muraca","given":"Barbara"},{"family":"Pineault","given":"Éric"},{"family":"Sahakian","given":"Marlyne"},{"family":"Schaffartzik","given":"Anke"},{"family":"Novy","given":"Andreas"},{"family":"Streissler","given":"Christoph"},{"family":"Haberl","given":"Helmut"},{"family":"Asara","given":"Viviana"},{"family":"Dietz","given":"Kristina"},{"family":"Lang","given":"Miriam"},{"family":"Kothari","given":"Ashish"},{"family":"Smith","given":"Tone"},{"family":"Spash","given":"Clive"},{"family":"Brad","given":"Alina"},{"family":"Pichler","given":"Melanie"},{"family":"Plank","given":"Christina"},{"family":"Velegrakis","given":"Giorgos"},{"family":"Jahn","given":"Thomas"},{"family":"Carter","given":"Angela"},{"family":"Huan","given":"Qingzhi"},{"family":"Kallis","given":"Giorgos"},{"family":"Alier","given":"Joan Martínez"},{"family":"Riva","given":"Gabriel"},{"family":"Satgar","given":"Vishwas"},{"family":"Mantovani","given":"Emiliano Teran"},{"family":"Williams","given":"Michelle"},{"family":"Wissen","given":"Markus"},{"family":"Görg","given":"Christoph"}],"issued":{"date-parts":[["2021",1,1]]}}},{"id":62107,"uris":["http://zotero.org/users/666791/items/WVZ8VLVX"],"uri":["http://zotero.org/users/666791/items/WVZ8VLVX"],"itemData":{"id":62107,"type":"article-journal","abstract":"The sustainable development goals (SDGs) were adopted in 2015, succeeding the Millennium Development Goals (MDGs). While the MDGs focused on improving well-being in the developing world, the 17 SDGs address all countries and aim at reconciling economic and social with ecological goals. We adopt a social ecology perspective and critically reflect on the SDGs’ potential for monitoring, supporting, and bringing about a transformation towards sustainability. Starting from a literature review on the SDGs, we link empirical findings from social ecology with analyses of SDG targets and indicators. First, we find that the SDGs fail to monitor absolute trends in resource use and thus prioritize economic growth over ecological integrity. Second, we discuss the contradictions between economic growth and sustainable resource use in early and late stages of industrialization processes and show that they are responsible for important trade-offs among SDG targets. Third, we analyze the transformative potential of the SDGs with a focus on the actors and institutions addressed to bring about transformative change. We find that the SDGs rely mainly on those institutions responsible for unsustainable resource use, and partly propose measures that even reinforce current trends towards less sustainability. Despite ascertaining limited transformative potential to the SDGs from an analytical perspective, we conclude by stressing the strategic relevance of the SDGs for visions, research, and practices of statt towards transformative change towards sustainability.","container-title":"Sustainability Science","DOI":"10.1007/s11625-020-00813-x","ISSN":"1862-4057","journalAbbreviation":"Sustain Sci","language":"en","page":"1101-1110","source":"Springer Link","title":"The Sustainable Development Goals prioritize economic growth over sustainable resource use: a critical reflection on the SDGs from a socio-ecological perspective","title-short":"The Sustainable Development Goals prioritize economic growth over sustainable resource use","volume":"15","author":[{"family":"Eisenmenger","given":"Nina"},{"family":"Pichler","given":"Melanie"},{"family":"Krenmayr","given":"Nora"},{"family":"Noll","given":"Dominik"},{"family":"Plank","given":"Barbara"},{"family":"Schalmann","given":"Ekaterina"},{"family":"Wandl","given":"Marie-Theres"},{"family":"Gingrich","given":"Simone"}],"issued":{"date-parts":[["2020"]]}}},{"id":70769,"uris":["http://zotero.org/users/666791/items/7RZ8KYEI"],"uri":["http://zotero.org/users/666791/items/7RZ8KYEI"],"itemData":{"id":70769,"type":"article-journal","abstract":"There are two sides to the Sustainable Development Goals (SDGs), which appear at risk of contradiction. One calls for humanity to achieve “harmony with nature” and to protect the planet from degradation, with specific targets laid out in Goals 6, 12, 13, 14, and 15. The other calls for continued global economic growth equivalent to 3% per year, as outlined in Goal 8, as a method for achieving human development objectives. The SDGs assume that efficiency improvements will suffice to reconcile the tension between growth and ecological sustainability. This paper draws on empirical data to test whether this assumption is valid, paying particular attention to two key ecological indicators: resource use and CO2 emissions. The results show that global growth of 3% per year renders it empirically infeasible to achieve (a) any reductions in aggregate global resource use and (b) reductions in CO2 emissions rapid enough to stay within the carbon budget for 2°C. In other words, Goal 8 violates the sustainability objectives of the SDGs. The paper proposes specific changes to SDG targets in order to resolve this issue, such as removing the requirement of aggregate global growth and introducing quantified objectives for resource use per capita with substantial reductions in high‐income nations. Scaling down resource use is also the most feasible way to achieve the climate target, as it reduces energy demand. The paper presents alternative pathways for realizing human development objectives that rely on reducing inequality—both within nations and between them—rather than aggregate growth.","container-title":"Sustainable Development","DOI":"10.1002/sd.1947","ISSN":"0968-0802, 1099-1719","issue":"5","journalAbbreviation":"Sustainable Development","language":"en","page":"873-884","source":"DOI.org (Crossref)","title":"The contradiction of the sustainable development goals: Growth versus ecology on a finite planet","title-short":"The contradiction of the sustainable development goals","volume":"27","author":[{"family":"Hickel","given":"Jason"}],"issued":{"date-parts":[["2019",9]]}}}],"schema":"https://github.com/citation-style-language/schema/raw/master/csl-citation.json"} </w:instrText>
      </w:r>
      <w:r w:rsidR="006B2B1D">
        <w:rPr>
          <w:rFonts w:ascii="Times New Roman" w:hAnsi="Times New Roman" w:cs="Times New Roman"/>
          <w:sz w:val="24"/>
          <w:szCs w:val="24"/>
          <w:lang w:val="en-US"/>
        </w:rPr>
        <w:fldChar w:fldCharType="separate"/>
      </w:r>
      <w:r w:rsidR="006B2B1D" w:rsidRPr="006B2B1D">
        <w:rPr>
          <w:rFonts w:ascii="Times New Roman" w:hAnsi="Times New Roman" w:cs="Times New Roman"/>
          <w:sz w:val="24"/>
          <w:lang w:val="en-US"/>
        </w:rPr>
        <w:t>(Brand et al., 2021; Eisenmenger et al., 2020; Hickel, 2019)</w:t>
      </w:r>
      <w:r w:rsidR="006B2B1D">
        <w:rPr>
          <w:rFonts w:ascii="Times New Roman" w:hAnsi="Times New Roman" w:cs="Times New Roman"/>
          <w:sz w:val="24"/>
          <w:szCs w:val="24"/>
          <w:lang w:val="en-US"/>
        </w:rPr>
        <w:fldChar w:fldCharType="end"/>
      </w:r>
      <w:r w:rsidR="006B2B1D">
        <w:rPr>
          <w:rFonts w:ascii="Times New Roman" w:hAnsi="Times New Roman" w:cs="Times New Roman"/>
          <w:sz w:val="24"/>
          <w:szCs w:val="24"/>
          <w:lang w:val="en-US"/>
        </w:rPr>
        <w:t>.</w:t>
      </w:r>
    </w:p>
    <w:p w14:paraId="30D74A07" w14:textId="59657C11" w:rsidR="00F929E3" w:rsidRDefault="00F929E3" w:rsidP="00306ACB">
      <w:pPr>
        <w:spacing w:after="0" w:line="240" w:lineRule="auto"/>
        <w:rPr>
          <w:rFonts w:ascii="Times New Roman" w:hAnsi="Times New Roman" w:cs="Times New Roman"/>
          <w:sz w:val="24"/>
          <w:szCs w:val="24"/>
          <w:lang w:val="en-US"/>
        </w:rPr>
      </w:pPr>
    </w:p>
    <w:p w14:paraId="7EE653E5" w14:textId="50AF29FD" w:rsidR="009B4990" w:rsidRDefault="00F929E3"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Decades </w:t>
      </w:r>
      <w:r w:rsidR="006C55AD">
        <w:rPr>
          <w:rFonts w:ascii="Times New Roman" w:hAnsi="Times New Roman" w:cs="Times New Roman"/>
          <w:sz w:val="24"/>
          <w:szCs w:val="24"/>
          <w:lang w:val="en-US"/>
        </w:rPr>
        <w:t xml:space="preserve">after the Brundtland report </w:t>
      </w:r>
      <w:r w:rsidR="006C55AD">
        <w:rPr>
          <w:rFonts w:ascii="Times New Roman" w:hAnsi="Times New Roman" w:cs="Times New Roman"/>
          <w:sz w:val="24"/>
          <w:szCs w:val="24"/>
          <w:lang w:val="en-US"/>
        </w:rPr>
        <w:fldChar w:fldCharType="begin"/>
      </w:r>
      <w:r w:rsidR="00072B02">
        <w:rPr>
          <w:rFonts w:ascii="Times New Roman" w:hAnsi="Times New Roman" w:cs="Times New Roman"/>
          <w:sz w:val="24"/>
          <w:szCs w:val="24"/>
          <w:lang w:val="en-US"/>
        </w:rPr>
        <w:instrText xml:space="preserve"> ADDIN ZOTERO_ITEM CSL_CITATION {"citationID":"6prlPt0V","properties":{"formattedCitation":"(United Nations, 1987)","plainCitation":"(United Nations, 1987)","noteIndex":0},"citationItems":[{"id":1444,"uris":["http://zotero.org/users/666791/items/K3NAZTHC"],"uri":["http://zotero.org/users/666791/items/K3NAZTHC"],"itemData":{"id":1444,"type":"book","event-place":"Online at http://conspect.nl/pdf/Our_Common_Future-Brundtland_Report_1987.pdf","publisher":"UN Document","publisher-place":"Online at http://conspect.nl/pdf/Our_Common_Future-Brundtland_Report_1987.pdf","title":"Our Common Future. Report of the World Commission on Environment and Development","URL":"http://conspect.nl/pdf/Our_Common_Future-Brundtland_Report_1987.pdf","author":[{"family":"United Nations","given":""}],"issued":{"date-parts":[["1987"]]}}}],"schema":"https://github.com/citation-style-language/schema/raw/master/csl-citation.json"} </w:instrText>
      </w:r>
      <w:r w:rsidR="006C55AD">
        <w:rPr>
          <w:rFonts w:ascii="Times New Roman" w:hAnsi="Times New Roman" w:cs="Times New Roman"/>
          <w:sz w:val="24"/>
          <w:szCs w:val="24"/>
          <w:lang w:val="en-US"/>
        </w:rPr>
        <w:fldChar w:fldCharType="separate"/>
      </w:r>
      <w:r w:rsidR="006C55AD" w:rsidRPr="007D390C">
        <w:rPr>
          <w:rFonts w:ascii="Times New Roman" w:hAnsi="Times New Roman" w:cs="Times New Roman"/>
          <w:sz w:val="24"/>
          <w:lang w:val="en-US"/>
        </w:rPr>
        <w:t>(United Nations, 1987)</w:t>
      </w:r>
      <w:r w:rsidR="006C55AD">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C55AD">
        <w:rPr>
          <w:rFonts w:ascii="Times New Roman" w:hAnsi="Times New Roman" w:cs="Times New Roman"/>
          <w:sz w:val="24"/>
          <w:szCs w:val="24"/>
          <w:lang w:val="en-US"/>
        </w:rPr>
        <w:t xml:space="preserve">which have witnessed the publication of thousands of empirical studies on ‘decoupling’, </w:t>
      </w:r>
      <w:r w:rsidR="00DF46AF">
        <w:rPr>
          <w:rFonts w:ascii="Times New Roman" w:hAnsi="Times New Roman" w:cs="Times New Roman"/>
          <w:sz w:val="24"/>
          <w:szCs w:val="24"/>
          <w:lang w:val="en-US"/>
        </w:rPr>
        <w:t xml:space="preserve">doubts are mounting </w:t>
      </w:r>
      <w:r w:rsidR="006B2B1D">
        <w:rPr>
          <w:rFonts w:ascii="Times New Roman" w:hAnsi="Times New Roman" w:cs="Times New Roman"/>
          <w:sz w:val="24"/>
          <w:szCs w:val="24"/>
          <w:lang w:val="en-US"/>
        </w:rPr>
        <w:t>to what extent eco-efficiency can help to achieve the stark reductions in resource use and greenhouse gas emissions required to halt climate heating or galloping species loss</w:t>
      </w:r>
      <w:r w:rsidR="009B4990">
        <w:rPr>
          <w:rFonts w:ascii="Times New Roman" w:hAnsi="Times New Roman" w:cs="Times New Roman"/>
          <w:sz w:val="24"/>
          <w:szCs w:val="24"/>
          <w:lang w:val="en-US"/>
        </w:rPr>
        <w:t xml:space="preserve">. A recent systematic review </w:t>
      </w:r>
      <w:r w:rsidR="006C55AD">
        <w:rPr>
          <w:rFonts w:ascii="Times New Roman" w:hAnsi="Times New Roman" w:cs="Times New Roman"/>
          <w:sz w:val="24"/>
          <w:szCs w:val="24"/>
          <w:lang w:val="en-US"/>
        </w:rPr>
        <w:t xml:space="preserve">analyzed thousands of studies sampled </w:t>
      </w:r>
      <w:r w:rsidR="00EF4FAC">
        <w:rPr>
          <w:rFonts w:ascii="Times New Roman" w:hAnsi="Times New Roman" w:cs="Times New Roman"/>
          <w:sz w:val="24"/>
          <w:szCs w:val="24"/>
          <w:lang w:val="en-US"/>
        </w:rPr>
        <w:t xml:space="preserve">with a standardized search query </w:t>
      </w:r>
      <w:r w:rsidR="006C55AD">
        <w:rPr>
          <w:rFonts w:ascii="Times New Roman" w:hAnsi="Times New Roman" w:cs="Times New Roman"/>
          <w:sz w:val="24"/>
          <w:szCs w:val="24"/>
          <w:lang w:val="en-US"/>
        </w:rPr>
        <w:t xml:space="preserve">from the </w:t>
      </w:r>
      <w:r w:rsidR="00EF4FAC">
        <w:rPr>
          <w:rFonts w:ascii="Times New Roman" w:hAnsi="Times New Roman" w:cs="Times New Roman"/>
          <w:sz w:val="24"/>
          <w:szCs w:val="24"/>
          <w:lang w:val="en-US"/>
        </w:rPr>
        <w:t>SCOPUS</w:t>
      </w:r>
      <w:r w:rsidR="009B4990">
        <w:rPr>
          <w:rFonts w:ascii="Times New Roman" w:hAnsi="Times New Roman" w:cs="Times New Roman"/>
          <w:sz w:val="24"/>
          <w:szCs w:val="24"/>
          <w:lang w:val="en-US"/>
        </w:rPr>
        <w:t xml:space="preserve"> </w:t>
      </w:r>
      <w:r w:rsidR="00EF4FAC">
        <w:rPr>
          <w:rFonts w:ascii="Times New Roman" w:hAnsi="Times New Roman" w:cs="Times New Roman"/>
          <w:sz w:val="24"/>
          <w:szCs w:val="24"/>
          <w:lang w:val="en-US"/>
        </w:rPr>
        <w:t xml:space="preserve">and the Web of Knowledge </w:t>
      </w:r>
      <w:r w:rsidR="00EF4FAC">
        <w:rPr>
          <w:rFonts w:ascii="Times New Roman" w:hAnsi="Times New Roman" w:cs="Times New Roman"/>
          <w:sz w:val="24"/>
          <w:szCs w:val="24"/>
          <w:lang w:val="en-US"/>
        </w:rPr>
        <w:fldChar w:fldCharType="begin"/>
      </w:r>
      <w:r w:rsidR="00EF4FAC">
        <w:rPr>
          <w:rFonts w:ascii="Times New Roman" w:hAnsi="Times New Roman" w:cs="Times New Roman"/>
          <w:sz w:val="24"/>
          <w:szCs w:val="24"/>
          <w:lang w:val="en-US"/>
        </w:rPr>
        <w:instrText xml:space="preserve"> ADDIN ZOTERO_ITEM CSL_CITATION {"citationID":"tjLSWYsi","properties":{"formattedCitation":"(Haberl et al., 2020; Wiedenhofer et al., 2020)","plainCitation":"(Haberl et al., 2020; Wiedenhofer et al., 2020)","noteIndex":0},"citationItems":[{"id":61866,"uris":["http://zotero.org/users/666791/items/ECLSEHUI"],"uri":["http://zotero.org/users/666791/items/ECLSEHUI"],"itemData":{"id":61866,"type":"article-journal","abstract":"Strategies toward ambitious climate targets usually rely on the concept of “decoupling”; that is, they aim at promoting economic growth while reducing the use of natural resources and GHG emissions. GDP growth coinciding with absolute reductions in emissions or resource use is denoted as “absolute decoupling”, as opposed to “relative decoupling”, where resource use or emissions increase less so than does GDP. Based on the bibliometric mapping in part I (Wiedenhofer et al., this issue), we synthesize the evidence emerging from the selected 835 peer-reviewed articles. We evaluate empirical studies of decoupling related to final/useful energy, exergy, use of material resources, as well as CO2 and total GHG emissions. We find that relative decoupling is frequent for material use as well as GHG and CO2 emissions but not for useful exergy, a quality-based measure of energy use. Primary energy can be decoupled from GDP largely to the extent to which the conversion of primary energy to useful exergy is improved. Examples of absolute long-term decoupling are rare, but recently some industrialized countries have decoupled GDP from both production- and, weaklier, consumption-based CO2 emissions. We analyze policies or strategies in the decoupling literature by classifying them into three groups: (1) Green growth, if sufficient reductions of resource use or emissions were deemed possible without altering the growth trajectory. (2) Degrowth, if reductions of resource use or emissions were given priority over GDP growth. (3) Others, e.g. if the role of energy for GDP growth was analyzed without reference to climate change mitigation. We conclude that large rapid absolute reductions of resource use and GHG emissions cannot be achieved through observed decoupling rates, hence decoupling needs to be complemented by sufficiency-oriented strategies and strict enforcement of absolute reduction targets. More research is needed on interdependencies between wellbeing, resources and emissions.","container-title":"Environmental Research Letters","DOI":"10.1088/1748-9326/ab842a","ISSN":"1748-9326","journalAbbreviation":"Environ. Res. Lett.","language":"en","page":"065003","source":"Institute of Physics","title":"A systematic review of the evidence on decoupling of GDP, resource use and GHG emissions, part II: synthesizing the insights","title-short":"A systematic review of the evidence on decoupling of GDP, resource use and GHG emissions, part II","volume":"15","author":[{"family":"Haberl","given":"Helmut"},{"family":"Wiedenhofer","given":"Dominik"},{"family":"Virág","given":"Doris"},{"family":"Kalt","given":"Gerald"},{"family":"Plank","given":"Barbara"},{"family":"Brockway","given":"Paul"},{"family":"Fishman","given":"Tomer"},{"family":"Hausknost","given":"Daniel"},{"family":"Krausmann","given":"Fridolin P."},{"family":"Leon-Gruchalski","given":"Bartholomäus"},{"family":"Mayer","given":"Andreas"},{"family":"Pichler","given":"Melanie"},{"family":"Schaffartzik","given":"Anke"},{"family":"Sousa","given":"Tânia"},{"family":"Streeck","given":"Jan"},{"family":"Creutzig","given":"Felix"}],"issued":{"date-parts":[["2020"]]}}},{"id":61868,"uris":["http://zotero.org/users/666791/items/8ARYS24X"],"uri":["http://zotero.org/users/666791/items/8ARYS24X"],"itemData":{"id":61868,"type":"article-journal","abstract":"As long as economic growth is a major political goal, decoupling growth from resource use and emissions is a prerequisite for a sustainable net-zero emissions future. However, empirical evidence for absolute decoupling, i.e., decreasing resource use and emissions at the required scale despite continued economic growth, is scarce and scattered across different research streams. In this two-part systematic review, we assess how and to what extent decoupling has been observed and what can be learnt for addressing the sustainability and climate crisis. Based on a transparent approach, we systematically identify and screen more than 11,500 scientific papers, eventually analyzing full texts of 835 empirical studies on the relationship between economic growth (GDP), resource use (materials and energy) and greenhouse gas emissions. Part I of the review examines how decoupling has been investigated across three research streams: energy, materials and energy, and emissions. Part II synthesizes the empirical evidence and policy implications (Haberl et al. part II, in review). In part I, we examine the topical, temporal and geographical scopes, methods of analysis, institutional networks and prevalent conceptual angles. We find that in this rapidly growing literature, the vast majority of studies – decomposition, ‘causality’ and Environmental Kuznets Curve analysis – approach the topic from a statistical-econometric point of view, while hardly acknowledging thermodynamic principles on the role of energy and materials for socio-economic activities. A potentially fundamental incompatibility between economic growth and systemic societal changes to address the climate crisis is rarely considered. We conclude that the existing wealth of empirical evidence merits braver conceptual advances than we have seen thus far. Future work should focus on comprehensive multi-indicator long-term analyses, conceptually grounded on the fundamental biophysical basis of socio-economic activities, incorporating the role of global supply chains as well as the wider societal role and preconditions of economic growth.","container-title":"Environmental Research Letters","DOI":"10.1088/1748-9326/ab8429","ISSN":"1748-9326","journalAbbreviation":"Environ. Res. Lett.","language":"en","page":"063002","source":"Institute of Physics","title":"A systematic review of the evidence on decoupling of GDP, resource use and GHG emissions, part I: bibliometric and conceptual mapping","title-short":"A systematic review of the evidence on decoupling of GDP, resource use and GHG emissions, part I","volume":"15","author":[{"family":"Wiedenhofer","given":"Dominik"},{"family":"Virág","given":"Doris"},{"family":"Kalt","given":"Gerald"},{"family":"Plank","given":"Barbara"},{"family":"Streeck","given":"Jan"},{"family":"Pichler","given":"Melanie"},{"family":"Mayer","given":"Andreas"},{"family":"Krausmann","given":"Fridolin P."},{"family":"Brockway","given":"Paul"},{"family":"Schaffartzik","given":"Anke"},{"family":"Fishman","given":"Tomer"},{"family":"Hausknost","given":"Daniel"},{"family":"Leon-Gruchalski","given":"Bartholomäus"},{"family":"Sousa","given":"Tânia"},{"family":"Creutzig","given":"Felix"},{"family":"Haberl","given":"Helmut"}],"issued":{"date-parts":[["2020"]]}}}],"schema":"https://github.com/citation-style-language/schema/raw/master/csl-citation.json"} </w:instrText>
      </w:r>
      <w:r w:rsidR="00EF4FAC">
        <w:rPr>
          <w:rFonts w:ascii="Times New Roman" w:hAnsi="Times New Roman" w:cs="Times New Roman"/>
          <w:sz w:val="24"/>
          <w:szCs w:val="24"/>
          <w:lang w:val="en-US"/>
        </w:rPr>
        <w:fldChar w:fldCharType="separate"/>
      </w:r>
      <w:r w:rsidR="00EF4FAC" w:rsidRPr="009B4990">
        <w:rPr>
          <w:rFonts w:ascii="Times New Roman" w:hAnsi="Times New Roman" w:cs="Times New Roman"/>
          <w:sz w:val="24"/>
          <w:lang w:val="en-US"/>
        </w:rPr>
        <w:t>(Haberl et al., 2020; Wiedenhofer et al., 2020)</w:t>
      </w:r>
      <w:r w:rsidR="00EF4FAC">
        <w:rPr>
          <w:rFonts w:ascii="Times New Roman" w:hAnsi="Times New Roman" w:cs="Times New Roman"/>
          <w:sz w:val="24"/>
          <w:szCs w:val="24"/>
          <w:lang w:val="en-US"/>
        </w:rPr>
        <w:fldChar w:fldCharType="end"/>
      </w:r>
      <w:r w:rsidR="006C55AD">
        <w:rPr>
          <w:rFonts w:ascii="Times New Roman" w:hAnsi="Times New Roman" w:cs="Times New Roman"/>
          <w:sz w:val="24"/>
          <w:szCs w:val="24"/>
          <w:lang w:val="en-US"/>
        </w:rPr>
        <w:t>, which</w:t>
      </w:r>
      <w:r w:rsidR="00EF4FAC">
        <w:rPr>
          <w:rFonts w:ascii="Times New Roman" w:hAnsi="Times New Roman" w:cs="Times New Roman"/>
          <w:sz w:val="24"/>
          <w:szCs w:val="24"/>
          <w:lang w:val="en-US"/>
        </w:rPr>
        <w:t xml:space="preserve"> </w:t>
      </w:r>
      <w:r w:rsidR="009B4990">
        <w:rPr>
          <w:rFonts w:ascii="Times New Roman" w:hAnsi="Times New Roman" w:cs="Times New Roman"/>
          <w:sz w:val="24"/>
          <w:szCs w:val="24"/>
          <w:lang w:val="en-US"/>
        </w:rPr>
        <w:t xml:space="preserve">yielded the </w:t>
      </w:r>
      <w:r w:rsidR="006C55AD">
        <w:rPr>
          <w:rFonts w:ascii="Times New Roman" w:hAnsi="Times New Roman" w:cs="Times New Roman"/>
          <w:sz w:val="24"/>
          <w:szCs w:val="24"/>
          <w:lang w:val="en-US"/>
        </w:rPr>
        <w:t xml:space="preserve">following </w:t>
      </w:r>
      <w:r w:rsidR="009B4990">
        <w:rPr>
          <w:rFonts w:ascii="Times New Roman" w:hAnsi="Times New Roman" w:cs="Times New Roman"/>
          <w:sz w:val="24"/>
          <w:szCs w:val="24"/>
          <w:lang w:val="en-US"/>
        </w:rPr>
        <w:t xml:space="preserve">conclusions on past decoupling: </w:t>
      </w:r>
    </w:p>
    <w:p w14:paraId="25557CF5" w14:textId="17A3DA4D" w:rsidR="00F929E3" w:rsidRDefault="00F929E3" w:rsidP="009B4990">
      <w:pPr>
        <w:pStyle w:val="Listenabsatz"/>
        <w:numPr>
          <w:ilvl w:val="0"/>
          <w:numId w:val="9"/>
        </w:numPr>
        <w:spacing w:after="0" w:line="240" w:lineRule="auto"/>
        <w:rPr>
          <w:rFonts w:ascii="Times New Roman" w:hAnsi="Times New Roman" w:cs="Times New Roman"/>
          <w:sz w:val="24"/>
          <w:szCs w:val="24"/>
          <w:lang w:val="en-US"/>
        </w:rPr>
      </w:pPr>
      <w:r w:rsidRPr="009B4990">
        <w:rPr>
          <w:rFonts w:ascii="Times New Roman" w:hAnsi="Times New Roman" w:cs="Times New Roman"/>
          <w:sz w:val="24"/>
          <w:szCs w:val="24"/>
          <w:lang w:val="en-US"/>
        </w:rPr>
        <w:t>‘</w:t>
      </w:r>
      <w:r w:rsidR="009B4990">
        <w:rPr>
          <w:rFonts w:ascii="Times New Roman" w:hAnsi="Times New Roman" w:cs="Times New Roman"/>
          <w:sz w:val="24"/>
          <w:szCs w:val="24"/>
          <w:lang w:val="en-US"/>
        </w:rPr>
        <w:t>R</w:t>
      </w:r>
      <w:r w:rsidRPr="009B4990">
        <w:rPr>
          <w:rFonts w:ascii="Times New Roman" w:hAnsi="Times New Roman" w:cs="Times New Roman"/>
          <w:sz w:val="24"/>
          <w:szCs w:val="24"/>
          <w:lang w:val="en-US"/>
        </w:rPr>
        <w:t>elative decoupling’ is frequent</w:t>
      </w:r>
      <w:r w:rsidR="009B4990">
        <w:rPr>
          <w:rFonts w:ascii="Times New Roman" w:hAnsi="Times New Roman" w:cs="Times New Roman"/>
          <w:sz w:val="24"/>
          <w:szCs w:val="24"/>
          <w:lang w:val="en-US"/>
        </w:rPr>
        <w:t xml:space="preserve">, i.e. there are many examples </w:t>
      </w:r>
      <w:r w:rsidR="00EF4FAC">
        <w:rPr>
          <w:rFonts w:ascii="Times New Roman" w:hAnsi="Times New Roman" w:cs="Times New Roman"/>
          <w:sz w:val="24"/>
          <w:szCs w:val="24"/>
          <w:lang w:val="en-US"/>
        </w:rPr>
        <w:t xml:space="preserve">of </w:t>
      </w:r>
      <w:r w:rsidRPr="009B4990">
        <w:rPr>
          <w:rFonts w:ascii="Times New Roman" w:hAnsi="Times New Roman" w:cs="Times New Roman"/>
          <w:sz w:val="24"/>
          <w:szCs w:val="24"/>
          <w:lang w:val="en-US"/>
        </w:rPr>
        <w:t>GDP grow</w:t>
      </w:r>
      <w:r w:rsidR="00EF4FAC">
        <w:rPr>
          <w:rFonts w:ascii="Times New Roman" w:hAnsi="Times New Roman" w:cs="Times New Roman"/>
          <w:sz w:val="24"/>
          <w:szCs w:val="24"/>
          <w:lang w:val="en-US"/>
        </w:rPr>
        <w:t>ing</w:t>
      </w:r>
      <w:r w:rsidRPr="009B4990">
        <w:rPr>
          <w:rFonts w:ascii="Times New Roman" w:hAnsi="Times New Roman" w:cs="Times New Roman"/>
          <w:sz w:val="24"/>
          <w:szCs w:val="24"/>
          <w:lang w:val="en-US"/>
        </w:rPr>
        <w:t xml:space="preserve"> faster than resource use</w:t>
      </w:r>
      <w:r w:rsidR="009B4990">
        <w:rPr>
          <w:rFonts w:ascii="Times New Roman" w:hAnsi="Times New Roman" w:cs="Times New Roman"/>
          <w:sz w:val="24"/>
          <w:szCs w:val="24"/>
          <w:lang w:val="en-US"/>
        </w:rPr>
        <w:t xml:space="preserve">. While this reduces resource use per unit of economic activity (GDP), resource use </w:t>
      </w:r>
      <w:r w:rsidR="006C55AD">
        <w:rPr>
          <w:rFonts w:ascii="Times New Roman" w:hAnsi="Times New Roman" w:cs="Times New Roman"/>
          <w:sz w:val="24"/>
          <w:szCs w:val="24"/>
          <w:lang w:val="en-US"/>
        </w:rPr>
        <w:t xml:space="preserve">and emissions are </w:t>
      </w:r>
      <w:r w:rsidR="009B4990">
        <w:rPr>
          <w:rFonts w:ascii="Times New Roman" w:hAnsi="Times New Roman" w:cs="Times New Roman"/>
          <w:sz w:val="24"/>
          <w:szCs w:val="24"/>
          <w:lang w:val="en-US"/>
        </w:rPr>
        <w:t>still rising in absolute terms</w:t>
      </w:r>
      <w:r w:rsidR="00FE6AD3">
        <w:rPr>
          <w:rFonts w:ascii="Times New Roman" w:hAnsi="Times New Roman" w:cs="Times New Roman"/>
          <w:sz w:val="24"/>
          <w:szCs w:val="24"/>
          <w:lang w:val="en-US"/>
        </w:rPr>
        <w:t xml:space="preserve"> (see also the global trends shown in Fig. 2)</w:t>
      </w:r>
      <w:r w:rsidR="009B4990">
        <w:rPr>
          <w:rFonts w:ascii="Times New Roman" w:hAnsi="Times New Roman" w:cs="Times New Roman"/>
          <w:sz w:val="24"/>
          <w:szCs w:val="24"/>
          <w:lang w:val="en-US"/>
        </w:rPr>
        <w:t>.</w:t>
      </w:r>
    </w:p>
    <w:p w14:paraId="4AD27860" w14:textId="6C8129B4" w:rsidR="009B4990" w:rsidRDefault="009B4990" w:rsidP="009B4990">
      <w:pPr>
        <w:pStyle w:val="Listenabsatz"/>
        <w:numPr>
          <w:ilvl w:val="0"/>
          <w:numId w:val="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‘Absolute decoupling’ – i.e., a situation in which resource use or emissions decline in absolute numbers while the economy is growing – is rare. Obviously, </w:t>
      </w:r>
      <w:r w:rsidR="006C55AD">
        <w:rPr>
          <w:rFonts w:ascii="Times New Roman" w:hAnsi="Times New Roman" w:cs="Times New Roman"/>
          <w:sz w:val="24"/>
          <w:szCs w:val="24"/>
          <w:lang w:val="en-US"/>
        </w:rPr>
        <w:t xml:space="preserve">massive </w:t>
      </w:r>
      <w:r>
        <w:rPr>
          <w:rFonts w:ascii="Times New Roman" w:hAnsi="Times New Roman" w:cs="Times New Roman"/>
          <w:sz w:val="24"/>
          <w:szCs w:val="24"/>
          <w:lang w:val="en-US"/>
        </w:rPr>
        <w:t xml:space="preserve">absolute decoupling would be required to solve the climate crisis, given the </w:t>
      </w:r>
      <w:r w:rsidR="006C55AD">
        <w:rPr>
          <w:rFonts w:ascii="Times New Roman" w:hAnsi="Times New Roman" w:cs="Times New Roman"/>
          <w:sz w:val="24"/>
          <w:szCs w:val="24"/>
          <w:lang w:val="en-US"/>
        </w:rPr>
        <w:t xml:space="preserve">deep and rapid </w:t>
      </w:r>
      <w:r>
        <w:rPr>
          <w:rFonts w:ascii="Times New Roman" w:hAnsi="Times New Roman" w:cs="Times New Roman"/>
          <w:sz w:val="24"/>
          <w:szCs w:val="24"/>
          <w:lang w:val="en-US"/>
        </w:rPr>
        <w:t xml:space="preserve">reductions in emissions required to stabilize the climate at acceptable levels of warming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{"citationID":"bCwPCu2Q","properties":{"formattedCitation":"(IPCC, 2018)","plainCitation":"(IPCC, 2018)","noteIndex":0},"citationItems":[{"id":13376,"uris":["http://zotero.org/users/666791/items/QC8ARPCL"],"uri":["http://zotero.org/users/666791/items/QC8ARPCL"],"itemData":{"id":13376,"type":"book","event-place":"Geneva, Switzerland","publisher":"WMO, UNEP","publisher-place":"Geneva, Switzerland","title":"Global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efforts to eradicate poverty","author":[{"family":"IPCC","given":""}],"issued":{"date-parts":[["2018"]]}}}],"schema":"https://github.com/citation-style-language/schema/raw/master/csl-citation.json"} </w:instrText>
      </w:r>
      <w:r>
        <w:rPr>
          <w:rFonts w:ascii="Times New Roman" w:hAnsi="Times New Roman" w:cs="Times New Roman"/>
          <w:sz w:val="24"/>
          <w:szCs w:val="24"/>
          <w:lang w:val="en-US"/>
        </w:rPr>
        <w:fldChar w:fldCharType="separate"/>
      </w:r>
      <w:r w:rsidRPr="009B4990">
        <w:rPr>
          <w:rFonts w:ascii="Times New Roman" w:hAnsi="Times New Roman" w:cs="Times New Roman"/>
          <w:sz w:val="24"/>
          <w:lang w:val="en-US"/>
        </w:rPr>
        <w:t>(IPCC, 2018)</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p>
    <w:p w14:paraId="4E91EED7" w14:textId="642C8686" w:rsidR="009B4990" w:rsidRDefault="009B4990" w:rsidP="009B4990">
      <w:pPr>
        <w:pStyle w:val="Listenabsatz"/>
        <w:numPr>
          <w:ilvl w:val="0"/>
          <w:numId w:val="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While decoupling is more frequent in richer parts of the world, it is often achieved through burden-shifting, i.e. by increasingly importing resource-intensive raw materials or products and focusing on less resource-intensive parts of the supply chain of many products.</w:t>
      </w:r>
    </w:p>
    <w:p w14:paraId="1B31BAF1" w14:textId="7987BABA" w:rsidR="009B4990" w:rsidRPr="009B4990" w:rsidRDefault="009B4990" w:rsidP="009B4990">
      <w:pPr>
        <w:pStyle w:val="Listenabsatz"/>
        <w:numPr>
          <w:ilvl w:val="0"/>
          <w:numId w:val="9"/>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Some evidence could be found that policies can help to reduce GHG emissions and even achieve some emissions reductions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{"citationID":"KGeekVZV","properties":{"formattedCitation":"(Le Qu\\uc0\\u233{}r\\uc0\\u233{} et al., 2019)","plainCitation":"(Le Quéré et al., 2019)","noteIndex":0},"citationItems":[{"id":15978,"uris":["http://zotero.org/users/666791/items/82MKVCI7"],"uri":["http://zotero.org/users/666791/items/82MKVCI7"],"itemData":{"id":15978,"type":"article-journal","container-title":"Nature Climate Change","DOI":"10.1038/s41558-019-0419-7","ISSN":"1758-678X, 1758-6798","issue":"3","language":"en","page":"213-217","source":"Crossref","title":"Drivers of declining CO2 emissions in 18 developed economies","volume":"9","author":[{"family":"Le Quéré","given":"Corinne"},{"family":"Korsbakken","given":"Jan Ivar"},{"family":"Wilson","given":"Charlie"},{"family":"Tosun","given":"Jale"},{"family":"Andrew","given":"Robbie"},{"family":"Andres","given":"Robert J."},{"family":"Canadell","given":"Josep G."},{"family":"Jordan","given":"Andrew"},{"family":"Peters","given":"Glen P."},{"family":"Vuuren","given":"Detlef P.","non-dropping-particle":"van"}],"issued":{"date-parts":[["2019",3]]}}}],"schema":"https://github.com/citation-style-language/schema/raw/master/csl-citation.json"} </w:instrText>
      </w:r>
      <w:r>
        <w:rPr>
          <w:rFonts w:ascii="Times New Roman" w:hAnsi="Times New Roman" w:cs="Times New Roman"/>
          <w:sz w:val="24"/>
          <w:szCs w:val="24"/>
          <w:lang w:val="en-US"/>
        </w:rPr>
        <w:fldChar w:fldCharType="separate"/>
      </w:r>
      <w:r w:rsidRPr="009B4990">
        <w:rPr>
          <w:rFonts w:ascii="Times New Roman" w:hAnsi="Times New Roman" w:cs="Times New Roman"/>
          <w:sz w:val="24"/>
          <w:szCs w:val="24"/>
          <w:lang w:val="en-US"/>
        </w:rPr>
        <w:t>(Le Quéré et al., 2019)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but these reductions were not commensurate </w:t>
      </w:r>
      <w:r w:rsidR="006C55AD">
        <w:rPr>
          <w:rFonts w:ascii="Times New Roman" w:hAnsi="Times New Roman" w:cs="Times New Roman"/>
          <w:sz w:val="24"/>
          <w:szCs w:val="24"/>
          <w:lang w:val="en-US"/>
        </w:rPr>
        <w:t xml:space="preserve">with </w:t>
      </w:r>
      <w:r>
        <w:rPr>
          <w:rFonts w:ascii="Times New Roman" w:hAnsi="Times New Roman" w:cs="Times New Roman"/>
          <w:sz w:val="24"/>
          <w:szCs w:val="24"/>
          <w:lang w:val="en-US"/>
        </w:rPr>
        <w:t xml:space="preserve">the speed of emissions reductions required to achieve ambitious climate targets </w:t>
      </w:r>
      <w:r>
        <w:rPr>
          <w:rFonts w:ascii="Times New Roman" w:hAnsi="Times New Roman" w:cs="Times New Roman"/>
          <w:sz w:val="24"/>
          <w:szCs w:val="24"/>
          <w:lang w:val="en-US"/>
        </w:rPr>
        <w:fldChar w:fldCharType="begin"/>
      </w:r>
      <w:r w:rsidR="00A01235">
        <w:rPr>
          <w:rFonts w:ascii="Times New Roman" w:hAnsi="Times New Roman" w:cs="Times New Roman"/>
          <w:sz w:val="24"/>
          <w:szCs w:val="24"/>
          <w:lang w:val="en-US"/>
        </w:rPr>
        <w:instrText xml:space="preserve"> ADDIN ZOTERO_ITEM CSL_CITATION {"citationID":"n0kwv358","properties":{"formattedCitation":"(IPCC, 2018)","plainCitation":"(IPCC, 2018)","noteIndex":0},"citationItems":[{"id":13376,"uris":["http://zotero.org/users/666791/items/QC8ARPCL"],"uri":["http://zotero.org/users/666791/items/QC8ARPCL"],"itemData":{"id":13376,"type":"book","event-place":"Geneva, Switzerland","publisher":"WMO, UNEP","publisher-place":"Geneva, Switzerland","title":"Global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efforts to eradicate poverty","author":[{"family":"IPCC","given":""}],"issued":{"date-parts":[["2018"]]}}}],"schema":"https://github.com/citation-style-language/schema/raw/master/csl-citation.json"} </w:instrText>
      </w:r>
      <w:r>
        <w:rPr>
          <w:rFonts w:ascii="Times New Roman" w:hAnsi="Times New Roman" w:cs="Times New Roman"/>
          <w:sz w:val="24"/>
          <w:szCs w:val="24"/>
          <w:lang w:val="en-US"/>
        </w:rPr>
        <w:fldChar w:fldCharType="separate"/>
      </w:r>
      <w:r w:rsidRPr="009B4990">
        <w:rPr>
          <w:rFonts w:ascii="Times New Roman" w:hAnsi="Times New Roman" w:cs="Times New Roman"/>
          <w:sz w:val="24"/>
          <w:lang w:val="en-US"/>
        </w:rPr>
        <w:t>(IPCC, 2018)</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w:t>
      </w:r>
    </w:p>
    <w:p w14:paraId="709D044D" w14:textId="77777777" w:rsidR="00D304EC" w:rsidRDefault="00D304EC" w:rsidP="00306ACB">
      <w:pPr>
        <w:spacing w:after="0" w:line="240" w:lineRule="auto"/>
        <w:rPr>
          <w:rFonts w:ascii="Times New Roman" w:hAnsi="Times New Roman" w:cs="Times New Roman"/>
          <w:sz w:val="24"/>
          <w:szCs w:val="24"/>
          <w:lang w:val="en-US"/>
        </w:rPr>
      </w:pPr>
    </w:p>
    <w:p w14:paraId="2B1C740D" w14:textId="64B3CE17" w:rsidR="00D304EC" w:rsidRDefault="00A01235"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While no empirical analysis of past decoupling can rule out the possibility of </w:t>
      </w:r>
      <w:r w:rsidR="006C55AD">
        <w:rPr>
          <w:rFonts w:ascii="Times New Roman" w:hAnsi="Times New Roman" w:cs="Times New Roman"/>
          <w:sz w:val="24"/>
          <w:szCs w:val="24"/>
          <w:lang w:val="en-US"/>
        </w:rPr>
        <w:t xml:space="preserve">fundamentally different trajectories in the </w:t>
      </w:r>
      <w:r>
        <w:rPr>
          <w:rFonts w:ascii="Times New Roman" w:hAnsi="Times New Roman" w:cs="Times New Roman"/>
          <w:sz w:val="24"/>
          <w:szCs w:val="24"/>
          <w:lang w:val="en-US"/>
        </w:rPr>
        <w:t xml:space="preserve">future, there </w:t>
      </w:r>
      <w:r w:rsidR="006322E6">
        <w:rPr>
          <w:rFonts w:ascii="Times New Roman" w:hAnsi="Times New Roman" w:cs="Times New Roman"/>
          <w:sz w:val="24"/>
          <w:szCs w:val="24"/>
          <w:lang w:val="en-US"/>
        </w:rPr>
        <w:t xml:space="preserve">is </w:t>
      </w:r>
      <w:r>
        <w:rPr>
          <w:rFonts w:ascii="Times New Roman" w:hAnsi="Times New Roman" w:cs="Times New Roman"/>
          <w:sz w:val="24"/>
          <w:szCs w:val="24"/>
          <w:lang w:val="en-US"/>
        </w:rPr>
        <w:t xml:space="preserve">one robust lesson, namely that </w:t>
      </w:r>
      <w:r w:rsidR="006322E6">
        <w:rPr>
          <w:rFonts w:ascii="Times New Roman" w:hAnsi="Times New Roman" w:cs="Times New Roman"/>
          <w:sz w:val="24"/>
          <w:szCs w:val="24"/>
          <w:lang w:val="en-US"/>
        </w:rPr>
        <w:t xml:space="preserve">future </w:t>
      </w:r>
      <w:r>
        <w:rPr>
          <w:rFonts w:ascii="Times New Roman" w:hAnsi="Times New Roman" w:cs="Times New Roman"/>
          <w:sz w:val="24"/>
          <w:szCs w:val="24"/>
          <w:lang w:val="en-US"/>
        </w:rPr>
        <w:t xml:space="preserve">deep decoupling </w:t>
      </w:r>
      <w:r w:rsidR="006322E6">
        <w:rPr>
          <w:rFonts w:ascii="Times New Roman" w:hAnsi="Times New Roman" w:cs="Times New Roman"/>
          <w:sz w:val="24"/>
          <w:szCs w:val="24"/>
          <w:lang w:val="en-US"/>
        </w:rPr>
        <w:t xml:space="preserve">is very unlikely </w:t>
      </w:r>
      <w:r>
        <w:rPr>
          <w:rFonts w:ascii="Times New Roman" w:hAnsi="Times New Roman" w:cs="Times New Roman"/>
          <w:sz w:val="24"/>
          <w:szCs w:val="24"/>
          <w:lang w:val="en-US"/>
        </w:rPr>
        <w:t xml:space="preserve">in the absence of structural changes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{"citationID":"RzxuOI9q","properties":{"formattedCitation":"(Jackson and Victor, 2019; Victor and Jackson, 2020)","plainCitation":"(Jackson and Victor, 2019; Victor and Jackson, 2020)","noteIndex":0},"citationItems":[{"id":57125,"uris":["http://zotero.org/users/666791/items/M9GWUIHN"],"uri":["http://zotero.org/users/666791/items/M9GWUIHN"],"itemData":{"id":57125,"type":"article-journal","container-title":"Science","language":"en","page":"950-951","source":"Zotero","title":"Unraveling the claims for (and against) green growth","volume":"366","author":[{"family":"Jackson","given":"Tim"},{"family":"Victor","given":"Peter A"}],"issued":{"date-parts":[["2019"]]}}},{"id":62246,"uris":["http://zotero.org/users/666791/items/ALQGDX97"],"uri":["http://zotero.org/users/666791/items/ALQGDX97"],"itemData":{"id":62246,"type":"chapter","abstract":"T\nhis chapter outlines the essential elements of a research agenda for an ‘ecological macroeconomics’. The overarching objective of ecological macroeconomics is to investigate and promote transitions to economies that deliver sustainable prosperity for all. Central to the proposed research agenda is the need for a more profound analysis of the interactions between economies and planetary systems than has been undertaken to date. The broad thrust of our argument is that an ecological macroeconomics must encompass three distinct spheres of modelling and metrics: the ecological sphere, the real economy and the financial economy. It should also include their complex inter-dependencies. The research agenda has three main components: modelling, metrics and contemporary issues. We provide ten specific recommended research priorities based on an assessment of the current state of ecological macroeconomics and where the greatest gains are to be made over the next decade.&lt;/p&gt;","container-title":"Sustainable Wellbeing Futures. A Research and Action Agenda for Ecological Macroeconomics","event-place":"Cheltenham, Northhampton","language":"en_US","note":"ISBN: 9781789900958\npublisher: Edward Elgar Publishing\nsection: Sustainable Wellbeing Futures","page":"357-372","publisher":"Edward Elgar","publisher-place":"Cheltenham, Northhampton","source":"www.elgaronline.com","title":"A research agenda for ecological macroeconomics","URL":"https://www.elgaronline.com/view/edcoll/9781789900941/9781789900941.00032.xml","author":[{"family":"Victor","given":"Peter A."},{"family":"Jackson","given":"Tim"}],"editor":[{"family":"Costanza","given":"Robert"},{"family":"Erickson","given":"Jon D."},{"family":"Farley","given":"Joshua"},{"family":"Kubiszewski","given":"Ida"}],"accessed":{"date-parts":[["2020",6,19]]},"issued":{"date-parts":[["2020"]]}}}],"schema":"https://github.com/citation-style-language/schema/raw/master/csl-citation.json"} </w:instrText>
      </w:r>
      <w:r>
        <w:rPr>
          <w:rFonts w:ascii="Times New Roman" w:hAnsi="Times New Roman" w:cs="Times New Roman"/>
          <w:sz w:val="24"/>
          <w:szCs w:val="24"/>
          <w:lang w:val="en-US"/>
        </w:rPr>
        <w:fldChar w:fldCharType="separate"/>
      </w:r>
      <w:r w:rsidRPr="00A01235">
        <w:rPr>
          <w:rFonts w:ascii="Times New Roman" w:hAnsi="Times New Roman" w:cs="Times New Roman"/>
          <w:sz w:val="24"/>
          <w:lang w:val="en-US"/>
        </w:rPr>
        <w:t>(Jackson and Victor, 2019; Victor and Jackson, 2020)</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6322E6">
        <w:rPr>
          <w:rFonts w:ascii="Times New Roman" w:hAnsi="Times New Roman" w:cs="Times New Roman"/>
          <w:sz w:val="24"/>
          <w:szCs w:val="24"/>
          <w:lang w:val="en-US"/>
        </w:rPr>
        <w:t xml:space="preserve">Increasing appreciation of such notions has sparked a lively and </w:t>
      </w:r>
      <w:r>
        <w:rPr>
          <w:rFonts w:ascii="Times New Roman" w:hAnsi="Times New Roman" w:cs="Times New Roman"/>
          <w:sz w:val="24"/>
          <w:szCs w:val="24"/>
          <w:lang w:val="en-US"/>
        </w:rPr>
        <w:lastRenderedPageBreak/>
        <w:t>contentious</w:t>
      </w:r>
      <w:r w:rsidR="006322E6">
        <w:rPr>
          <w:rFonts w:ascii="Times New Roman" w:hAnsi="Times New Roman" w:cs="Times New Roman"/>
          <w:sz w:val="24"/>
          <w:szCs w:val="24"/>
          <w:lang w:val="en-US"/>
        </w:rPr>
        <w:t xml:space="preserve"> debate</w:t>
      </w:r>
      <w:r>
        <w:rPr>
          <w:rFonts w:ascii="Times New Roman" w:hAnsi="Times New Roman" w:cs="Times New Roman"/>
          <w:sz w:val="24"/>
          <w:szCs w:val="24"/>
          <w:lang w:val="en-US"/>
        </w:rPr>
        <w:t xml:space="preserve">. Many scholars meanwhile believe, decoupling should be ‘debunked’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{"citationID":"SPSLeVwc","properties":{"formattedCitation":"(Parrique et al., 2019)","plainCitation":"(Parrique et al., 2019)","noteIndex":0},"citationItems":[{"id":56471,"uris":["http://zotero.org/users/666791/items/MG9QWKTA"],"uri":["http://zotero.org/users/666791/items/MG9QWKTA"],"itemData":{"id":56471,"type":"book","event-place":"eeb.org/library/decoupling-debunked","publisher":"European Environmental Bureau","publisher-place":"eeb.org/library/decoupling-debunked","title":"Decoupling debunked: evidence and arguments against green growth as a sole strategy for sustainability","author":[{"family":"Parrique","given":"T."},{"family":"Barth","given":"J."},{"family":"Briens","given":"F."},{"family":"Kerschner","given":"C."},{"family":"Kraus-Polk","given":"A."},{"family":"Kuokkanen","given":"Anna"},{"family":"Spangenberg","given":"Joachim H."}],"issued":{"date-parts":[["2019"]]}}}],"schema":"https://github.com/citation-style-language/schema/raw/master/csl-citation.json"} </w:instrText>
      </w:r>
      <w:r>
        <w:rPr>
          <w:rFonts w:ascii="Times New Roman" w:hAnsi="Times New Roman" w:cs="Times New Roman"/>
          <w:sz w:val="24"/>
          <w:szCs w:val="24"/>
          <w:lang w:val="en-US"/>
        </w:rPr>
        <w:fldChar w:fldCharType="separate"/>
      </w:r>
      <w:r w:rsidRPr="00A01235">
        <w:rPr>
          <w:rFonts w:ascii="Times New Roman" w:hAnsi="Times New Roman" w:cs="Times New Roman"/>
          <w:sz w:val="24"/>
          <w:lang w:val="en-US"/>
        </w:rPr>
        <w:t>(Parrique et al., 2019)</w:t>
      </w:r>
      <w:r>
        <w:rPr>
          <w:rFonts w:ascii="Times New Roman" w:hAnsi="Times New Roman" w:cs="Times New Roman"/>
          <w:sz w:val="24"/>
          <w:szCs w:val="24"/>
          <w:lang w:val="en-US"/>
        </w:rPr>
        <w:fldChar w:fldCharType="end"/>
      </w:r>
      <w:r w:rsidR="006322E6">
        <w:rPr>
          <w:rFonts w:ascii="Times New Roman" w:hAnsi="Times New Roman" w:cs="Times New Roman"/>
          <w:sz w:val="24"/>
          <w:szCs w:val="24"/>
          <w:lang w:val="en-US"/>
        </w:rPr>
        <w:t xml:space="preserve"> in favor of </w:t>
      </w:r>
      <w:r>
        <w:rPr>
          <w:rFonts w:ascii="Times New Roman" w:hAnsi="Times New Roman" w:cs="Times New Roman"/>
          <w:sz w:val="24"/>
          <w:szCs w:val="24"/>
          <w:lang w:val="en-US"/>
        </w:rPr>
        <w:t xml:space="preserve">‘degrowth’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{"citationID":"cUKS9VMJ","properties":{"formattedCitation":"(Hickel and Kallis, 2020; Kallis et al., 2012; Latouche, 2010; O\\uc0\\u8217{}Neill, 2012)","plainCitation":"(Hickel and Kallis, 2020; Kallis et al., 2012; Latouche, 2010; O’Neill, 2012)","noteIndex":0},"citationItems":[{"id":18383,"uris":["http://zotero.org/users/666791/items/Y6JIUPV5"],"uri":["http://zotero.org/users/666791/items/Y6JIUPV5"],"itemData":{"id":18383,"type":"article-journal","abstract":"The notion of green growth has emerged as a dominant policy response to climate change and ecological breakdown. Green growth theory asserts that continued economic expansion is compatible with our planet’s ecology, as technological change and substitution will allow us to absolutely decouple GDP growth from resource use and carbon emissions. This claim is now assumed in national and international policy, including in the Sustainable Development Goals. But empirical evidence on resource use and carbon emissions does not support green growth theory. Examining relevant studies on historical trends and model-based projections, we find that: (1) there is no empirical evidence that absolute decoupling from resource use can be achieved on a global scale against a background of continued economic growth, and (2) absolute decoupling from carbon emissions is highly unlikely to be achieved at a rate rapid enough to prevent global warming over 1.5°C or 2°C, even under optimistic policy conditions. We conclude that green growth is likely to be a misguided objective, and that policymakers need to look toward alternative strategies.","container-title":"New Political Economy","DOI":"10.1080/13563467.2019.1598964","ISSN":"1356-3467","issue":"4","page":"469-486","source":"Taylor and Francis+NEJM","title":"Is Green Growth Possible?","volume":"25","author":[{"family":"Hickel","given":"Jason"},{"family":"Kallis","given":"Giorgos"}],"issued":{"date-parts":[["2020"]]}}},{"id":924,"uris":["http://zotero.org/users/666791/items/RT5MCAZS"],"uri":["http://zotero.org/users/666791/items/RT5MCAZS"],"itemData":{"id":924,"type":"article-journal","abstract":"Economic degrowth is ecologically desirable, and possibly inevitable; but under what conditions can it become socially sustainable? How can we have full employment and economic stability without growth? What will happen to public spending and to public debt? How would production be organised in a degrowing economy? And under what plausible socio-political conditions could such grand changes happen? Standard economic theories and models ignore these questions. For them economic growth is an axiomatic necessity. This article reviews recent contributions in the economics of degrowth and identifies research avenues for ecological economists.","container-title":"Ecological Economics","DOI":"10.1016/j.ecolecon.2012.08.017","ISSN":"0921-8009","journalAbbreviation":"Ecological Economics","page":"172-180","source":"ScienceDirect","title":"The economics of degrowth","title-short":"The Economics of Degrowth","volume":"84","author":[{"family":"Kallis","given":"Giorgos"},{"family":"Kerschner","given":"Christian"},{"family":"Martinez-Alier","given":"Joan"}],"issued":{"date-parts":[["2012",12]]}}},{"id":16,"uris":["http://zotero.org/users/666791/items/ZXFIJB6M"],"uri":["http://zotero.org/users/666791/items/ZXFIJB6M"],"itemData":{"id":16,"type":"article-journal","container-title":"Journal of Cleaner Production","DOI":"10.1016/j.jclepro.2010.02.003","ISSN":"09596526","issue":"6","language":"en","page":"519-522","source":"CrossRef","title":"Degrowth","volume":"18","author":[{"family":"Latouche","given":"Serge"}],"issued":{"date-parts":[["2010",4]]}}},{"id":920,"uris":["http://zotero.org/users/666791/items/TQI8MBKQ"],"uri":["http://zotero.org/users/666791/items/TQI8MBKQ"],"itemData":{"id":920,"type":"article-journal","abstract":"In order to determine whether degrowth is occurring, or how close national economies are to the concept of a steady state economy, clear indicators are required. Within this paper I analyse four indicator approaches that could be used: (1) Gross Domestic Product, (2) the Index of Sustainable Economic Welfare, (3) biophysical and social indicators, and (4) a composite indicator. I conclude that separate biophysical and social indicators represent the best approach, but a unifying conceptual framework is required to choose appropriate indicators and interpret the relationships between them. I propose a framework based on ends and means, and a set of biophysical and social indicators within this framework. The biophysical indicators are derived from Herman Daly's definition of a steady state economy, and measure the major stocks and flows in the economy–environment system. The social indicators are based on the stated goals of the degrowth movement, and measure the functioning of the socio-economic system, and how effectively it delivers well-being. I discuss some potential applications of the indicators, including a method that allows national economies to be placed into one of five categories: desirable growth, undesirable growth, desirable degrowth, undesirable degrowth, and a steady state economy.","container-title":"Ecological Economics","DOI":"10.1016/j.ecolecon.2011.05.020","ISSN":"0921-8009","journalAbbreviation":"Ecological Economics","page":"221-231","source":"ScienceDirect","title":"Measuring progress in the degrowth transition to a steady state economy","title-short":"The Economics of Degrowth","volume":"84","author":[{"family":"O'Neill","given":"Daniel W."}],"issued":{"date-parts":[["2012",12]]}}}],"schema":"https://github.com/citation-style-language/schema/raw/master/csl-citation.json"} </w:instrText>
      </w:r>
      <w:r>
        <w:rPr>
          <w:rFonts w:ascii="Times New Roman" w:hAnsi="Times New Roman" w:cs="Times New Roman"/>
          <w:sz w:val="24"/>
          <w:szCs w:val="24"/>
          <w:lang w:val="en-US"/>
        </w:rPr>
        <w:fldChar w:fldCharType="separate"/>
      </w:r>
      <w:r w:rsidRPr="00A01235">
        <w:rPr>
          <w:rFonts w:ascii="Times New Roman" w:hAnsi="Times New Roman" w:cs="Times New Roman"/>
          <w:sz w:val="24"/>
          <w:szCs w:val="24"/>
          <w:lang w:val="en-US"/>
        </w:rPr>
        <w:t>(Hickel and Kallis, 2020; Kallis et al., 2012; Latouche, 2010; O’Neill, 2012)</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or collectively defined self-limitation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{"citationID":"E3gKkJKE","properties":{"formattedCitation":"(Brand et al., 2021)","plainCitation":"(Brand et al., 2021)","noteIndex":0},"citationItems":[{"id":71579,"uris":["http://zotero.org/users/666791/items/LNWTBNR7"],"uri":["http://zotero.org/users/666791/items/LNWTBNR7"],"itemData":{"id":71579,"type":"article-journal","abstract":"The planetary boundaries concept has profoundly changed the vocabulary and representation of global environmental issues. We bring a critical social science perspective to this framework through the notion of societal boundaries and aim to provide a more nuanced understanding of the social nature of thresholds. We start by highlighting the strengths and weaknesses of planetary boundaries from a social science perspective. We then focus on capitalist societies as a heuristic for discussing the expansionary dynamics, power relations, and lock-ins of modern societies that impel highly unsustainable societal relations with nature. While formulating societal boundaries implies a controversial process ‒ based on normative judgments, ethical concerns, and socio-political struggles ‒ it has the potential to offer guidelines for a just, social-ecological transformation. Collective autonomy and the politics of self-limitation are key elements of societal boundaries and are linked to important proposals and pluriverse experiences to integrate well-being and boundaries. The role of the state and propositions for radical alternative approaches to well-being have particular importance. We conclude with reflections on social freedom, defined as the right not to live at others’ expense. Toward the aim of defining boundaries through transdisciplinary and democratic processes, we seek to open a dialogue on these issues.","container-title":"Sustainability: Science, Practice and Policy","DOI":"10.1080/15487733.2021.1940754","ISSN":"null","issue":"1","note":"publisher: Taylor &amp; Francis\n_eprint: https://www.tandfonline.com/doi/pdf/10.1080/15487733.2021.1940754","page":"265-292","source":"Taylor and Francis+NEJM","title":"From planetary to societal boundaries: an argument for collectively defined self-limitation","title-short":"From planetary to societal boundaries","volume":"17","author":[{"family":"Brand","given":"Ulrich"},{"family":"Muraca","given":"Barbara"},{"family":"Pineault","given":"Éric"},{"family":"Sahakian","given":"Marlyne"},{"family":"Schaffartzik","given":"Anke"},{"family":"Novy","given":"Andreas"},{"family":"Streissler","given":"Christoph"},{"family":"Haberl","given":"Helmut"},{"family":"Asara","given":"Viviana"},{"family":"Dietz","given":"Kristina"},{"family":"Lang","given":"Miriam"},{"family":"Kothari","given":"Ashish"},{"family":"Smith","given":"Tone"},{"family":"Spash","given":"Clive"},{"family":"Brad","given":"Alina"},{"family":"Pichler","given":"Melanie"},{"family":"Plank","given":"Christina"},{"family":"Velegrakis","given":"Giorgos"},{"family":"Jahn","given":"Thomas"},{"family":"Carter","given":"Angela"},{"family":"Huan","given":"Qingzhi"},{"family":"Kallis","given":"Giorgos"},{"family":"Alier","given":"Joan Martínez"},{"family":"Riva","given":"Gabriel"},{"family":"Satgar","given":"Vishwas"},{"family":"Mantovani","given":"Emiliano Teran"},{"family":"Williams","given":"Michelle"},{"family":"Wissen","given":"Markus"},{"family":"Görg","given":"Christoph"}],"issued":{"date-parts":[["2021",1,1]]}}}],"schema":"https://github.com/citation-style-language/schema/raw/master/csl-citation.json"} </w:instrText>
      </w:r>
      <w:r>
        <w:rPr>
          <w:rFonts w:ascii="Times New Roman" w:hAnsi="Times New Roman" w:cs="Times New Roman"/>
          <w:sz w:val="24"/>
          <w:szCs w:val="24"/>
          <w:lang w:val="en-US"/>
        </w:rPr>
        <w:fldChar w:fldCharType="separate"/>
      </w:r>
      <w:r w:rsidRPr="00A01235">
        <w:rPr>
          <w:rFonts w:ascii="Times New Roman" w:hAnsi="Times New Roman" w:cs="Times New Roman"/>
          <w:sz w:val="24"/>
          <w:lang w:val="en-US"/>
        </w:rPr>
        <w:t>(Brand et al., 2021)</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w:t>
      </w:r>
      <w:r w:rsidR="00EF4FAC">
        <w:rPr>
          <w:rFonts w:ascii="Times New Roman" w:hAnsi="Times New Roman" w:cs="Times New Roman"/>
          <w:sz w:val="24"/>
          <w:szCs w:val="24"/>
          <w:lang w:val="en-US"/>
        </w:rPr>
        <w:t xml:space="preserve">The strong support of many biodiversity strategies for economic growth has recently been </w:t>
      </w:r>
      <w:r w:rsidR="006322E6">
        <w:rPr>
          <w:rFonts w:ascii="Times New Roman" w:hAnsi="Times New Roman" w:cs="Times New Roman"/>
          <w:sz w:val="24"/>
          <w:szCs w:val="24"/>
          <w:lang w:val="en-US"/>
        </w:rPr>
        <w:t xml:space="preserve">fiercely </w:t>
      </w:r>
      <w:r w:rsidR="00EF4FAC">
        <w:rPr>
          <w:rFonts w:ascii="Times New Roman" w:hAnsi="Times New Roman" w:cs="Times New Roman"/>
          <w:sz w:val="24"/>
          <w:szCs w:val="24"/>
          <w:lang w:val="en-US"/>
        </w:rPr>
        <w:t xml:space="preserve">criticized </w:t>
      </w:r>
      <w:r w:rsidR="00EF4FAC">
        <w:rPr>
          <w:rFonts w:ascii="Times New Roman" w:hAnsi="Times New Roman" w:cs="Times New Roman"/>
          <w:sz w:val="24"/>
          <w:szCs w:val="24"/>
          <w:lang w:val="en-US"/>
        </w:rPr>
        <w:fldChar w:fldCharType="begin"/>
      </w:r>
      <w:r w:rsidR="00234C65">
        <w:rPr>
          <w:rFonts w:ascii="Times New Roman" w:hAnsi="Times New Roman" w:cs="Times New Roman"/>
          <w:sz w:val="24"/>
          <w:szCs w:val="24"/>
          <w:lang w:val="en-US"/>
        </w:rPr>
        <w:instrText xml:space="preserve"> ADDIN ZOTERO_ITEM CSL_CITATION {"citationID":"vkns45pY","properties":{"formattedCitation":"(IPBES, 2019; Otero et al., 2020)","plainCitation":"(IPBES, 2019; Otero et al., 2020)","noteIndex":0},"citationItems":[{"id":70243,"uris":["http://zotero.org/users/666791/items/Y45MZLF8"],"uri":["http://zotero.org/users/666791/items/Y45MZLF8"],"itemData":{"id":70243,"type":"book","event-place":"Bonn,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id":62012,"uris":["http://zotero.org/users/666791/items/W889USWY"],"uri":["http://zotero.org/users/666791/items/W889USWY"],"itemData":{"id":62012,"type":"article-journal","abstract":"Increasing evidence—synthesized in this paper—shows that economic growth contributes to biodiversity loss via greater resource consumption and higher emissions. Nonetheless, a review of international biodiversity and sustainability policies shows that the majority advocate economic growth. Since improvements in resource use efficiency have so far not allowed for absolute global reductions in resource use and pollution, we question the support for economic growth in these policies, where inadequate attention is paid to the question of how growth can be decoupled from biodiversity loss. Drawing on the literature about alternatives to economic growth, we explore this contradiction and suggest ways forward to halt global biodiversity decline. These include policy proposals to move beyond the growth paradigm while enhancing overall prosperity, which can be implemented by combining top-down and bottom-up governance across scales. Finally, we call the attention of researchers and policy makers to two immediate steps: acknowledge the conflict between economic growth and biodiversity conservation in future policies; and explore socioeconomic trajectories beyond economic growth in the next generation of biodiversity scenarios.","container-title":"Conservation Letters","DOI":"10.1111/conl.12713","ISSN":"1755-263X","issue":"4","language":"en","note":"_eprint: https://conbio.onlinelibrary.wiley.com/doi/pdf/10.1111/conl.12713","page":"e12713","source":"Wiley Online Library","title":"Biodiversity policy beyond economic growth","volume":"13","author":[{"family":"Otero","given":"Iago"},{"family":"Farrell","given":"Katharine N."},{"family":"Pueyo","given":"Salvador"},{"family":"Kallis","given":"Giorgos"},{"family":"Kehoe","given":"Laura"},{"family":"Haberl","given":"Helmut"},{"family":"Plutzar","given":"Christoph"},{"family":"Hobson","given":"Peter"},{"family":"García‐Márquez","given":"Jaime"},{"family":"Rodríguez‐Labajos","given":"Beatriz"},{"family":"Martin","given":"Jean-Louis"},{"family":"Erb","given":"Karl-Heinz"},{"family":"Schindler","given":"Stefan"},{"family":"Nielsen","given":"Jonas"},{"family":"Skorin","given":"Teuta"},{"family":"Settele","given":"Josef"},{"family":"Essl","given":"Franz"},{"family":"Gómez‐Baggethun","given":"Erik"},{"family":"Brotons","given":"Lluís"},{"family":"Rabitsch","given":"Wolfgang"},{"family":"Schneider","given":"François"},{"family":"Pe'er","given":"Guy"}],"issued":{"date-parts":[["2020"]]}}}],"schema":"https://github.com/citation-style-language/schema/raw/master/csl-citation.json"} </w:instrText>
      </w:r>
      <w:r w:rsidR="00EF4FAC">
        <w:rPr>
          <w:rFonts w:ascii="Times New Roman" w:hAnsi="Times New Roman" w:cs="Times New Roman"/>
          <w:sz w:val="24"/>
          <w:szCs w:val="24"/>
          <w:lang w:val="en-US"/>
        </w:rPr>
        <w:fldChar w:fldCharType="separate"/>
      </w:r>
      <w:r w:rsidR="00EF4FAC" w:rsidRPr="00EF4FAC">
        <w:rPr>
          <w:rFonts w:ascii="Times New Roman" w:hAnsi="Times New Roman" w:cs="Times New Roman"/>
          <w:sz w:val="24"/>
          <w:lang w:val="en-US"/>
        </w:rPr>
        <w:t>(IPBES, 2019; Otero et al., 2020)</w:t>
      </w:r>
      <w:r w:rsidR="00EF4FAC">
        <w:rPr>
          <w:rFonts w:ascii="Times New Roman" w:hAnsi="Times New Roman" w:cs="Times New Roman"/>
          <w:sz w:val="24"/>
          <w:szCs w:val="24"/>
          <w:lang w:val="en-US"/>
        </w:rPr>
        <w:fldChar w:fldCharType="end"/>
      </w:r>
      <w:r w:rsidR="00EF4FAC">
        <w:rPr>
          <w:rFonts w:ascii="Times New Roman" w:hAnsi="Times New Roman" w:cs="Times New Roman"/>
          <w:sz w:val="24"/>
          <w:szCs w:val="24"/>
          <w:lang w:val="en-US"/>
        </w:rPr>
        <w:t xml:space="preserve">. </w:t>
      </w:r>
      <w:r w:rsidR="00D90D4F">
        <w:rPr>
          <w:rFonts w:ascii="Times New Roman" w:hAnsi="Times New Roman" w:cs="Times New Roman"/>
          <w:sz w:val="24"/>
          <w:szCs w:val="24"/>
          <w:lang w:val="en-US"/>
        </w:rPr>
        <w:t>Other</w:t>
      </w:r>
      <w:r w:rsidR="006322E6">
        <w:rPr>
          <w:rFonts w:ascii="Times New Roman" w:hAnsi="Times New Roman" w:cs="Times New Roman"/>
          <w:sz w:val="24"/>
          <w:szCs w:val="24"/>
          <w:lang w:val="en-US"/>
        </w:rPr>
        <w:t xml:space="preserve"> scholar</w:t>
      </w:r>
      <w:r w:rsidR="00D90D4F">
        <w:rPr>
          <w:rFonts w:ascii="Times New Roman" w:hAnsi="Times New Roman" w:cs="Times New Roman"/>
          <w:sz w:val="24"/>
          <w:szCs w:val="24"/>
          <w:lang w:val="en-US"/>
        </w:rPr>
        <w:t xml:space="preserve">s favor a </w:t>
      </w:r>
      <w:r w:rsidR="006322E6">
        <w:rPr>
          <w:rFonts w:ascii="Times New Roman" w:hAnsi="Times New Roman" w:cs="Times New Roman"/>
          <w:sz w:val="24"/>
          <w:szCs w:val="24"/>
          <w:lang w:val="en-US"/>
        </w:rPr>
        <w:t xml:space="preserve">strategy to pursue </w:t>
      </w:r>
      <w:r w:rsidR="00D90D4F">
        <w:rPr>
          <w:rFonts w:ascii="Times New Roman" w:hAnsi="Times New Roman" w:cs="Times New Roman"/>
          <w:sz w:val="24"/>
          <w:szCs w:val="24"/>
          <w:lang w:val="en-US"/>
        </w:rPr>
        <w:t xml:space="preserve">ambitious ecological targets such as halting biodiversity loss or limiting global heating to 1.5°C, preferably without a temporary overshoot period, </w:t>
      </w:r>
      <w:r w:rsidR="006322E6">
        <w:rPr>
          <w:rFonts w:ascii="Times New Roman" w:hAnsi="Times New Roman" w:cs="Times New Roman"/>
          <w:sz w:val="24"/>
          <w:szCs w:val="24"/>
          <w:lang w:val="en-US"/>
        </w:rPr>
        <w:t xml:space="preserve">in </w:t>
      </w:r>
      <w:r w:rsidR="00D90D4F">
        <w:rPr>
          <w:rFonts w:ascii="Times New Roman" w:hAnsi="Times New Roman" w:cs="Times New Roman"/>
          <w:sz w:val="24"/>
          <w:szCs w:val="24"/>
          <w:lang w:val="en-US"/>
        </w:rPr>
        <w:t>combin</w:t>
      </w:r>
      <w:r w:rsidR="006322E6">
        <w:rPr>
          <w:rFonts w:ascii="Times New Roman" w:hAnsi="Times New Roman" w:cs="Times New Roman"/>
          <w:sz w:val="24"/>
          <w:szCs w:val="24"/>
          <w:lang w:val="en-US"/>
        </w:rPr>
        <w:t>ation</w:t>
      </w:r>
      <w:r w:rsidR="00D90D4F">
        <w:rPr>
          <w:rFonts w:ascii="Times New Roman" w:hAnsi="Times New Roman" w:cs="Times New Roman"/>
          <w:sz w:val="24"/>
          <w:szCs w:val="24"/>
          <w:lang w:val="en-US"/>
        </w:rPr>
        <w:t xml:space="preserve"> with a more growth-agnostic position </w:t>
      </w:r>
      <w:r w:rsidR="00D90D4F">
        <w:rPr>
          <w:rFonts w:ascii="Times New Roman" w:hAnsi="Times New Roman" w:cs="Times New Roman"/>
          <w:sz w:val="24"/>
          <w:szCs w:val="24"/>
          <w:lang w:val="en-US"/>
        </w:rPr>
        <w:fldChar w:fldCharType="begin"/>
      </w:r>
      <w:r w:rsidR="00D90D4F">
        <w:rPr>
          <w:rFonts w:ascii="Times New Roman" w:hAnsi="Times New Roman" w:cs="Times New Roman"/>
          <w:sz w:val="24"/>
          <w:szCs w:val="24"/>
          <w:lang w:val="en-US"/>
        </w:rPr>
        <w:instrText xml:space="preserve"> ADDIN ZOTERO_ITEM CSL_CITATION {"citationID":"AlsKzO08","properties":{"formattedCitation":"(IPCC, 2018; van den Bergh, 2010; van den Bergh and Kallis, 2012)","plainCitation":"(IPCC, 2018; van den Bergh, 2010; van den Bergh and Kallis, 2012)","noteIndex":0},"citationItems":[{"id":13376,"uris":["http://zotero.org/users/666791/items/QC8ARPCL"],"uri":["http://zotero.org/users/666791/items/QC8ARPCL"],"itemData":{"id":13376,"type":"book","event-place":"Geneva, Switzerland","publisher":"WMO, UNEP","publisher-place":"Geneva, Switzerland","title":"Global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w:instrText>
      </w:r>
      <w:r w:rsidR="00D90D4F" w:rsidRPr="00EF4FAC">
        <w:rPr>
          <w:rFonts w:ascii="Times New Roman" w:hAnsi="Times New Roman" w:cs="Times New Roman"/>
          <w:sz w:val="24"/>
          <w:szCs w:val="24"/>
          <w:lang w:val="en-US"/>
        </w:rPr>
        <w:instrText>s to eradicate poverty","author":[{"family":"IPCC","given":""}],"issued":{"date-parts":[["2018"]]}}},{"id":86,"uris":["http://zotero.org/users/666791/items/G8IHIX34"],"uri":["http://zotero.org/users/666791/items/G8IHIX34"],"itemData":{"id":86,"type":"article-journal","collection-title":"Growth, Recession or Degrowth for Sustainability and Equity?","container-title":"Journal of Cleaner Production","DOI":"10.1016/j.jclepro.2009.08.011","IS</w:instrText>
      </w:r>
      <w:r w:rsidR="00D90D4F" w:rsidRPr="00212084">
        <w:rPr>
          <w:rFonts w:ascii="Times New Roman" w:hAnsi="Times New Roman" w:cs="Times New Roman"/>
          <w:sz w:val="24"/>
          <w:szCs w:val="24"/>
          <w:lang w:val="en-US"/>
        </w:rPr>
        <w:instrText xml:space="preserve">SN":"0959-6526","issue":"6","journalAbbreviation":"Journal of Cleaner Production","page":"540-543","source":"ScienceDirect","title":"Relax about GDP growth: implications for climate and crisis policies","title-short":"Relax about GDP growth","volume":"18","author":[{"family":"Bergh","given":"Jeroen C. J. M.","non-dropping-particle":"van den"}],"issued":{"date-parts":[["2010",4,1]]}}},{"id":963,"uris":["http://zotero.org/users/666791/items/MAUM385B"],"uri":["http://zotero.org/users/666791/items/MAUM385B"],"itemData":{"id":963,"type":"article-journal","container-title":"Journal of Economic Issues","DOI":"10.2753/JEI0021-3624460404","ISSN":"0021-3624","issue":"4","page":"909-920","source":"CrossRef","title":"Growth, A-Growth or Degrowth to Stay within Planetary Boundaries?","volume":"46","author":[{"family":"Bergh","given":"Jeroen C. J. M.","non-dropping-particle":"van den"},{"family":"Kallis","given":"Giorgos"}],"issued":{"date-parts":[["2012",12,1]]}}}],"schema":"https://github.com/citation-style-language/schema/raw/master/csl-citation.json"} </w:instrText>
      </w:r>
      <w:r w:rsidR="00D90D4F">
        <w:rPr>
          <w:rFonts w:ascii="Times New Roman" w:hAnsi="Times New Roman" w:cs="Times New Roman"/>
          <w:sz w:val="24"/>
          <w:szCs w:val="24"/>
          <w:lang w:val="en-US"/>
        </w:rPr>
        <w:fldChar w:fldCharType="separate"/>
      </w:r>
      <w:r w:rsidR="00D90D4F" w:rsidRPr="00212084">
        <w:rPr>
          <w:rFonts w:ascii="Times New Roman" w:hAnsi="Times New Roman" w:cs="Times New Roman"/>
          <w:sz w:val="24"/>
          <w:lang w:val="en-US"/>
        </w:rPr>
        <w:t>(IPCC, 2018; van den Bergh, 2010; van den Bergh and Kallis, 2012)</w:t>
      </w:r>
      <w:r w:rsidR="00D90D4F">
        <w:rPr>
          <w:rFonts w:ascii="Times New Roman" w:hAnsi="Times New Roman" w:cs="Times New Roman"/>
          <w:sz w:val="24"/>
          <w:szCs w:val="24"/>
          <w:lang w:val="en-US"/>
        </w:rPr>
        <w:fldChar w:fldCharType="end"/>
      </w:r>
      <w:r w:rsidR="00D90D4F" w:rsidRPr="00212084">
        <w:rPr>
          <w:rFonts w:ascii="Times New Roman" w:hAnsi="Times New Roman" w:cs="Times New Roman"/>
          <w:sz w:val="24"/>
          <w:szCs w:val="24"/>
          <w:lang w:val="en-US"/>
        </w:rPr>
        <w:t xml:space="preserve">. </w:t>
      </w:r>
      <w:r w:rsidR="00D90D4F" w:rsidRPr="00D90D4F">
        <w:rPr>
          <w:rFonts w:ascii="Times New Roman" w:hAnsi="Times New Roman" w:cs="Times New Roman"/>
          <w:sz w:val="24"/>
          <w:szCs w:val="24"/>
          <w:lang w:val="en-US"/>
        </w:rPr>
        <w:t>Proponents of unfettered economic growth call for large-scale t</w:t>
      </w:r>
      <w:r w:rsidR="00D90D4F">
        <w:rPr>
          <w:rFonts w:ascii="Times New Roman" w:hAnsi="Times New Roman" w:cs="Times New Roman"/>
          <w:sz w:val="24"/>
          <w:szCs w:val="24"/>
          <w:lang w:val="en-US"/>
        </w:rPr>
        <w:t xml:space="preserve">echnological solutions such as negative emission technologies </w:t>
      </w:r>
      <w:r w:rsidR="00D90D4F">
        <w:rPr>
          <w:rFonts w:ascii="Times New Roman" w:hAnsi="Times New Roman" w:cs="Times New Roman"/>
          <w:sz w:val="24"/>
          <w:szCs w:val="24"/>
          <w:lang w:val="en-US"/>
        </w:rPr>
        <w:fldChar w:fldCharType="begin"/>
      </w:r>
      <w:r w:rsidR="00D90D4F">
        <w:rPr>
          <w:rFonts w:ascii="Times New Roman" w:hAnsi="Times New Roman" w:cs="Times New Roman"/>
          <w:sz w:val="24"/>
          <w:szCs w:val="24"/>
          <w:lang w:val="en-US"/>
        </w:rPr>
        <w:instrText xml:space="preserve"> ADDIN ZOTERO_ITEM CSL_CITATION {"citationID":"8sbKi5zl","properties":{"formattedCitation":"(Hepburn et al., 2019; IPCC, 2018)","plainCitation":"(Hepburn et al., 2019; IPCC, 2018)","noteIndex":0},"citationItems":[{"id":62039,"uris":["http://zotero.org/users/666791/items/PFXQ76J2"],"uri":["http://zotero.org/users/666791/items/PFXQ76J2"],"itemData":{"id":62039,"type":"article-journal","abstract":"Ten pathways for the utilization of carbon dioxide are reviewed, considering their potential scale, economics and barriers to implementation.","container-title":"Nature","DOI":"10.1038/s41586-019-1681-6","ISSN":"1476-4687","issue":"7781","journalAbbreviation":"Nature","language":"en","note":"number: 7781\npublisher: Nature Publishing Group","page":"87-97","source":"www.nature.com","title":"The technological and economic prospects for CO 2 utilization and removal","volume":"575","author":[{"family":"Hepburn","given":"Cameron"},{"family":"Adlen","given":"Ella"},{"family":"Beddington","given":"John"},{"family":"Carter","given":"Emily A."},{"family":"Fuss","given":"Sabine"},{"family":"Dowell","given":"Niall Mac"},{"family":"Minx","given":"Jan C."},{"family":"Smith","given":"Pete"},{"family":"Williams","given":"Charlotte K."}],"issued":{"date-parts":[["2019",11]]}}},{"id":13376,"uris":["http://zotero.org/users/666791/items/QC8ARPCL"],"uri":["http://zotero.org/users/666791/items/QC8ARPCL"],"itemData":{"id":13376,"type":"book","event-place":"Geneva, Switzerland","publisher":"WMO, UNEP","publisher-place":"Geneva, Switzerland","title":"Global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efforts to eradicate poverty","author":[{"family":"IPCC","given":""}],"issued":{"date-parts":[["2018"]]}}}],"schema":"https://github.com/citation-style-language/schema/raw/master/csl-citation.json"} </w:instrText>
      </w:r>
      <w:r w:rsidR="00D90D4F">
        <w:rPr>
          <w:rFonts w:ascii="Times New Roman" w:hAnsi="Times New Roman" w:cs="Times New Roman"/>
          <w:sz w:val="24"/>
          <w:szCs w:val="24"/>
          <w:lang w:val="en-US"/>
        </w:rPr>
        <w:fldChar w:fldCharType="separate"/>
      </w:r>
      <w:r w:rsidR="00D90D4F" w:rsidRPr="00D90D4F">
        <w:rPr>
          <w:rFonts w:ascii="Times New Roman" w:hAnsi="Times New Roman" w:cs="Times New Roman"/>
          <w:sz w:val="24"/>
          <w:lang w:val="en-US"/>
        </w:rPr>
        <w:t>(Hepburn et al., 2019; IPCC, 2018)</w:t>
      </w:r>
      <w:r w:rsidR="00D90D4F">
        <w:rPr>
          <w:rFonts w:ascii="Times New Roman" w:hAnsi="Times New Roman" w:cs="Times New Roman"/>
          <w:sz w:val="24"/>
          <w:szCs w:val="24"/>
          <w:lang w:val="en-US"/>
        </w:rPr>
        <w:fldChar w:fldCharType="end"/>
      </w:r>
      <w:r w:rsidR="00D90D4F">
        <w:rPr>
          <w:rFonts w:ascii="Times New Roman" w:hAnsi="Times New Roman" w:cs="Times New Roman"/>
          <w:sz w:val="24"/>
          <w:szCs w:val="24"/>
          <w:lang w:val="en-US"/>
        </w:rPr>
        <w:t>, while other</w:t>
      </w:r>
      <w:r w:rsidR="006322E6">
        <w:rPr>
          <w:rFonts w:ascii="Times New Roman" w:hAnsi="Times New Roman" w:cs="Times New Roman"/>
          <w:sz w:val="24"/>
          <w:szCs w:val="24"/>
          <w:lang w:val="en-US"/>
        </w:rPr>
        <w:t xml:space="preserve"> researchers</w:t>
      </w:r>
      <w:r w:rsidR="00D90D4F">
        <w:rPr>
          <w:rFonts w:ascii="Times New Roman" w:hAnsi="Times New Roman" w:cs="Times New Roman"/>
          <w:sz w:val="24"/>
          <w:szCs w:val="24"/>
          <w:lang w:val="en-US"/>
        </w:rPr>
        <w:t xml:space="preserve"> raise caveats regarding the large land demand of many of these technologies, in particular bioenergy with carbon capture and sequestration, or BECCS </w:t>
      </w:r>
      <w:r w:rsidR="00D90D4F">
        <w:rPr>
          <w:rFonts w:ascii="Times New Roman" w:hAnsi="Times New Roman" w:cs="Times New Roman"/>
          <w:sz w:val="24"/>
          <w:szCs w:val="24"/>
          <w:lang w:val="en-US"/>
        </w:rPr>
        <w:fldChar w:fldCharType="begin"/>
      </w:r>
      <w:r w:rsidR="00D90D4F">
        <w:rPr>
          <w:rFonts w:ascii="Times New Roman" w:hAnsi="Times New Roman" w:cs="Times New Roman"/>
          <w:sz w:val="24"/>
          <w:szCs w:val="24"/>
          <w:lang w:val="en-US"/>
        </w:rPr>
        <w:instrText xml:space="preserve"> ADDIN ZOTERO_ITEM CSL_CITATION {"citationID":"HU7u63mi","properties":{"formattedCitation":"(Creutzig et al., 2021)","plainCitation":"(Creutzig et al., 2021)","noteIndex":0},"citationItems":[{"id":70899,"uris":["http://zotero.org/users/666791/items/9I38XPN9"],"uri":["http://zotero.org/users/666791/items/9I38XPN9"],"itemData":{"id":70899,"type":"article-journal","abstract":"The majority of scenarios that meet the goals of the Paris agreements exceed sustainability and precautionary thresholds in land, biodiversity and BECCS potentials. Risks may be best avoided by demand-side driven rapid decarbonization and less land-intensive carbon dioxide removal technologies.","container-title":"GCB Bioenergy","DOI":"https://doi.org/10.1111/gcbb.12798","ISSN":"1757-1707","issue":"n/a","language":"en","note":"_eprint: https://onlinelibrary.wiley.com/doi/pdf/10.1111/gcbb.12798","source":"Wiley Online Library","title":"Considering sustainability thresholds for BECCS in IPCC and biodiversity assessments","URL":"https://onlinelibrary.wiley.com/doi/abs/10.1111/gcbb.12798","volume":"n/a","author":[{"family":"Creutzig","given":"Felix"},{"family":"Erb","given":"Karl-Heinz"},{"family":"Haberl","given":"Helmut"},{"family":"Hof","given":"Christian"},{"family":"Hunsberger","given":"Carol"},{"family":"Roe","given":"Stephanie"}],"accessed":{"date-parts":[["2021",3,8]]},"issued":{"date-parts":[["2021"]]}}}],"schema":"https://github.com/citation-style-language/schema/raw/master/csl-citation.json"} </w:instrText>
      </w:r>
      <w:r w:rsidR="00D90D4F">
        <w:rPr>
          <w:rFonts w:ascii="Times New Roman" w:hAnsi="Times New Roman" w:cs="Times New Roman"/>
          <w:sz w:val="24"/>
          <w:szCs w:val="24"/>
          <w:lang w:val="en-US"/>
        </w:rPr>
        <w:fldChar w:fldCharType="separate"/>
      </w:r>
      <w:r w:rsidR="00D90D4F" w:rsidRPr="00D90D4F">
        <w:rPr>
          <w:rFonts w:ascii="Times New Roman" w:hAnsi="Times New Roman" w:cs="Times New Roman"/>
          <w:sz w:val="24"/>
          <w:lang w:val="en-US"/>
        </w:rPr>
        <w:t>(Creutzig et al., 2021)</w:t>
      </w:r>
      <w:r w:rsidR="00D90D4F">
        <w:rPr>
          <w:rFonts w:ascii="Times New Roman" w:hAnsi="Times New Roman" w:cs="Times New Roman"/>
          <w:sz w:val="24"/>
          <w:szCs w:val="24"/>
          <w:lang w:val="en-US"/>
        </w:rPr>
        <w:fldChar w:fldCharType="end"/>
      </w:r>
      <w:r w:rsidR="00D90D4F">
        <w:rPr>
          <w:rFonts w:ascii="Times New Roman" w:hAnsi="Times New Roman" w:cs="Times New Roman"/>
          <w:sz w:val="24"/>
          <w:szCs w:val="24"/>
          <w:lang w:val="en-US"/>
        </w:rPr>
        <w:t>. Large-scale implementation of</w:t>
      </w:r>
      <w:r w:rsidR="006322E6">
        <w:rPr>
          <w:rFonts w:ascii="Times New Roman" w:hAnsi="Times New Roman" w:cs="Times New Roman"/>
          <w:sz w:val="24"/>
          <w:szCs w:val="24"/>
          <w:lang w:val="en-US"/>
        </w:rPr>
        <w:t xml:space="preserve"> bioenergy (with or without CCS) </w:t>
      </w:r>
      <w:r w:rsidR="00F40815">
        <w:rPr>
          <w:rFonts w:ascii="Times New Roman" w:hAnsi="Times New Roman" w:cs="Times New Roman"/>
          <w:sz w:val="24"/>
          <w:szCs w:val="24"/>
          <w:lang w:val="en-US"/>
        </w:rPr>
        <w:t>w</w:t>
      </w:r>
      <w:r w:rsidR="00D90D4F">
        <w:rPr>
          <w:rFonts w:ascii="Times New Roman" w:hAnsi="Times New Roman" w:cs="Times New Roman"/>
          <w:sz w:val="24"/>
          <w:szCs w:val="24"/>
          <w:lang w:val="en-US"/>
        </w:rPr>
        <w:t>ould indeed result in massive land-take of bioenergy plantations</w:t>
      </w:r>
      <w:r w:rsidR="00F40815">
        <w:rPr>
          <w:rFonts w:ascii="Times New Roman" w:hAnsi="Times New Roman" w:cs="Times New Roman"/>
          <w:sz w:val="24"/>
          <w:szCs w:val="24"/>
          <w:lang w:val="en-US"/>
        </w:rPr>
        <w:t xml:space="preserve">, which in turn </w:t>
      </w:r>
      <w:r w:rsidR="00D90D4F">
        <w:rPr>
          <w:rFonts w:ascii="Times New Roman" w:hAnsi="Times New Roman" w:cs="Times New Roman"/>
          <w:sz w:val="24"/>
          <w:szCs w:val="24"/>
          <w:lang w:val="en-US"/>
        </w:rPr>
        <w:t xml:space="preserve">could have considerable implications not only for GHG emissions </w:t>
      </w:r>
      <w:r w:rsidR="00D90D4F">
        <w:rPr>
          <w:rFonts w:ascii="Times New Roman" w:hAnsi="Times New Roman" w:cs="Times New Roman"/>
          <w:sz w:val="24"/>
          <w:szCs w:val="24"/>
          <w:lang w:val="en-US"/>
        </w:rPr>
        <w:fldChar w:fldCharType="begin"/>
      </w:r>
      <w:r w:rsidR="00D90D4F">
        <w:rPr>
          <w:rFonts w:ascii="Times New Roman" w:hAnsi="Times New Roman" w:cs="Times New Roman"/>
          <w:sz w:val="24"/>
          <w:szCs w:val="24"/>
          <w:lang w:val="en-US"/>
        </w:rPr>
        <w:instrText xml:space="preserve"> ADDIN ZOTERO_ITEM CSL_CITATION {"citationID":"qOepA8Id","properties":{"formattedCitation":"(Kalt et al., 2020)","plainCitation":"(Kalt et al., 2020)","noteIndex":0},"citationItems":[{"id":61823,"uris":["http://zotero.org/users/666791/items/5K6959JB"],"uri":["http://zotero.org/users/666791/items/5K6959JB"],"itemData":{"id":61823,"type":"article-journal","abstract":"Global bioenergy potentials have been the subject of extensive research and continued controversy. Due to vast uncertainties regarding future yields, diets and other influencing parameters, estimates of future agricultural biomass potentials vary widely. Most scenarios compatible with ambitious climate targets foresee a large expansion of bioenergy, mainly from energy crops that needs to be kept consistent with projections of agriculture and food production. Using the global biomass balance model BioBaM, we here present an assessment of agricultural bioenergy potentials compatible with the Food and Agriculture Organization’s (2018) ‘Alternative pathways to 2050’ projections. Mobilizing biomass at larger scales may be associated with systemic feedbacks causing greenhouse gas (GHG) emissions, e.g. crop residue removal resulting in loss of soil carbon stocks and increased emissions from fertilization. To assess these effects, we derive ‘GHG cost supply-curves’, i.e. integrated representations of biomass potentials and their systemic GHG costs. Livestock manure is most favourable in terms of GHG costs, as anaerobic digestion yields reductions of GHG emissions from manure management. Global potentials from intensive livestock systems are about 5 EJ/yr. Crop residues can provide up to 20 EJ/yr at moderate GHG costs. For energy crops, we find that the medium range of literature estimates (</w:instrText>
      </w:r>
      <w:r w:rsidR="00D90D4F">
        <w:rPr>
          <w:rFonts w:ascii="Cambria Math" w:hAnsi="Cambria Math" w:cs="Cambria Math"/>
          <w:sz w:val="24"/>
          <w:szCs w:val="24"/>
          <w:lang w:val="en-US"/>
        </w:rPr>
        <w:instrText>∼</w:instrText>
      </w:r>
      <w:r w:rsidR="00D90D4F">
        <w:rPr>
          <w:rFonts w:ascii="Times New Roman" w:hAnsi="Times New Roman" w:cs="Times New Roman"/>
          <w:sz w:val="24"/>
          <w:szCs w:val="24"/>
          <w:lang w:val="en-US"/>
        </w:rPr>
        <w:instrText>40 to 90 EJ/yr) is only compatible with FAO yield and human diet projections if energy plantations expand into grazing areas (</w:instrText>
      </w:r>
      <w:r w:rsidR="00D90D4F">
        <w:rPr>
          <w:rFonts w:ascii="Cambria Math" w:hAnsi="Cambria Math" w:cs="Cambria Math"/>
          <w:sz w:val="24"/>
          <w:szCs w:val="24"/>
          <w:lang w:val="en-US"/>
        </w:rPr>
        <w:instrText>∼</w:instrText>
      </w:r>
      <w:r w:rsidR="00D90D4F">
        <w:rPr>
          <w:rFonts w:ascii="Times New Roman" w:hAnsi="Times New Roman" w:cs="Times New Roman"/>
          <w:sz w:val="24"/>
          <w:szCs w:val="24"/>
          <w:lang w:val="en-US"/>
        </w:rPr>
        <w:instrText xml:space="preserve">4–5 million km2) and grazing land is intensified globally. Direct carbon stock changes associated with perennial energy crops are beneficial for climate mitigation, yet there are—sometimes considerable—‘opportunity GHG costs’ if one accounts the foregone opportunity of afforestation. Our results indicate that the large potentials of energy crops foreseen in many energy scenarios are not freely and unconditionally available. Disregarding systemic effects in agriculture can result in misjudgement of GHG saving potentials and flawed climate mitigation strategies.","container-title":"Environmental Research Letters","DOI":"10.1088/1748-9326/ab6c2e","ISSN":"1748-9326","issue":"3","journalAbbreviation":"Environ. Res. Lett.","language":"en","note":"publisher: IOP Publishing","page":"034066","source":"Institute of Physics","title":"Greenhouse gas implications of mobilizing agricultural biomass for energy: a reassessment of global potentials in 2050 under different food-system pathways","title-short":"Greenhouse gas implications of mobilizing agricultural biomass for energy","volume":"15","author":[{"family":"Kalt","given":"Gerald"},{"family":"Lauk","given":"Christian"},{"family":"Mayer","given":"Andreas"},{"family":"Theurl","given":"Michaela C."},{"family":"Kaltenegger","given":"Katrin"},{"family":"Winiwarter","given":"Wilfried"},{"family":"Erb","given":"Karl-Heinz"},{"family":"Matej","given":"Sarah"},{"family":"Haberl","given":"Helmut"}],"issued":{"date-parts":[["2020",3]]}}}],"schema":"https://github.com/citation-style-language/schema/raw/master/csl-citation.json"} </w:instrText>
      </w:r>
      <w:r w:rsidR="00D90D4F">
        <w:rPr>
          <w:rFonts w:ascii="Times New Roman" w:hAnsi="Times New Roman" w:cs="Times New Roman"/>
          <w:sz w:val="24"/>
          <w:szCs w:val="24"/>
          <w:lang w:val="en-US"/>
        </w:rPr>
        <w:fldChar w:fldCharType="separate"/>
      </w:r>
      <w:r w:rsidR="00D90D4F" w:rsidRPr="00D90D4F">
        <w:rPr>
          <w:rFonts w:ascii="Times New Roman" w:hAnsi="Times New Roman" w:cs="Times New Roman"/>
          <w:sz w:val="24"/>
          <w:lang w:val="en-US"/>
        </w:rPr>
        <w:t>(Kalt et al., 2020)</w:t>
      </w:r>
      <w:r w:rsidR="00D90D4F">
        <w:rPr>
          <w:rFonts w:ascii="Times New Roman" w:hAnsi="Times New Roman" w:cs="Times New Roman"/>
          <w:sz w:val="24"/>
          <w:szCs w:val="24"/>
          <w:lang w:val="en-US"/>
        </w:rPr>
        <w:fldChar w:fldCharType="end"/>
      </w:r>
      <w:r w:rsidR="00D90D4F">
        <w:rPr>
          <w:rFonts w:ascii="Times New Roman" w:hAnsi="Times New Roman" w:cs="Times New Roman"/>
          <w:sz w:val="24"/>
          <w:szCs w:val="24"/>
          <w:lang w:val="en-US"/>
        </w:rPr>
        <w:t xml:space="preserve">, but also for biodiversity </w:t>
      </w:r>
      <w:r w:rsidR="00D90D4F">
        <w:rPr>
          <w:rFonts w:ascii="Times New Roman" w:hAnsi="Times New Roman" w:cs="Times New Roman"/>
          <w:sz w:val="24"/>
          <w:szCs w:val="24"/>
          <w:lang w:val="en-US"/>
        </w:rPr>
        <w:fldChar w:fldCharType="begin"/>
      </w:r>
      <w:r w:rsidR="00D90D4F">
        <w:rPr>
          <w:rFonts w:ascii="Times New Roman" w:hAnsi="Times New Roman" w:cs="Times New Roman"/>
          <w:sz w:val="24"/>
          <w:szCs w:val="24"/>
          <w:lang w:val="en-US"/>
        </w:rPr>
        <w:instrText xml:space="preserve"> ADDIN ZOTERO_ITEM CSL_CITATION {"citationID":"HomJGItj","properties":{"formattedCitation":"(Haberl, 2015; IPBES, 2019; Searchinger et al., 2015)","plainCitation":"(Haberl, 2015; IPBES, 2019; Searchinger et al., 2015)","noteIndex":0},"citationItems":[{"id":2073,"uris":["http://zotero.org/users/666791/items/GIU2DEZU"],"uri":["http://zotero.org/users/666791/items/GIU2DEZU"],"itemData":{"id":2073,"type":"article-journal","abstract":"Possible negative effects of increased competition for land include pressures on biodiversity, rising food prices and GHG emissions. However, neoclassical economists often highlight positive aspects of competition, e.g. increased efficiency and innovation. Competition for land occurs when several agents demand the same good or service produced from a limited area. It implies that when one agent acquires scarce resources from land, less resource is available for competing agents. The resource competed for is often not land but rather its function for biomass production, which may be supplanted by other inputs that raise yields. Increased competition may stimulate efficiency but negative environmental effects are likely in the absence of appropriate regulations. Competition between affluent countries with poor people in subsistence economies likely results in adverse social and development outcomes if not mitigated through effective policies. The socioecological metabolism approach is a framework to analyze land-related limits and functions in particular with respect to production and consumption of biomass and carbon sequestration. It can generate databases that consistently link land used with biomass flows which are useful in understanding interlinkages between different products and services and thereby help to analyze systemic feedbacks in the global land system.","container-title":"Ecological Economics","DOI":"10.1016/j.ecolecon.2014.10.002","ISSN":"0921-8009","journalAbbreviation":"Ecological Economics","page":"424–431","source":"ScienceDirect","title":"Competition for land: A sociometabolic perspective","title-short":"Competition for land","volume":"119","author":[{"family":"Haberl","given":"Helmut"}],"issued":{"date-parts":[["2015"]]}}},{"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Services","author":[{"family":"IPBES","given":""}],"issued":{"date-parts":[["2019"]]}}},{"id":1862,"uris":["http://zotero.org/users/666791/items/XSH4JQZB"],"uri":["http://zotero.org/users/666791/items/XSH4JQZB"],"itemData":{"id":1862,"type":"article-journal","abstract":"Do the wet savannahs and shrublands of Africa provide a large reserve of potential croplands to produce food staples or bioenergy with low carbon and biodiversity costs? We find that only small percentages of these lands have meaningful potential to be low-carbon sources of maize (~2%) or soybeans (9.5–11.5%), meaning that their conversion would release at least one-third less carbon per ton of crop than released on average for the production of those crops on existing croplands. Factoring in land-use change, less than 1% is likely to produce cellulosic ethanol that would meet European standards for greenhouse gas reductions. Biodiversity effects of converting these lands are also likely to be significant as bird and mammal richness is comparable to that of the world’s tropical forest regions. Our findings contrast with influential studies that assume these lands provide a large, low-environmental-cost cropland reserve.","container-title":"Nature Climate Change","DOI":"10.1038/nclimate2584","ISSN":"1758-678X","issue":"5","journalAbbreviation":"Nature Clim. Change","language":"en","page":"481-486","source":"www.nature.com","title":"High carbon and biodiversity costs from converting Africa/'s wet savannahs to cropland","volume":"5","author":[{"family":"Searchinger","given":"Timothy D."},{"family":"Estes","given":"Lyndon"},{"family":"Thornton","given":"Philip K."},{"family":"Beringer","given":"Tim"},{"family":"Notenbaert","given":"An"},{"family":"Rubenstein","given":"Daniel"},{"family":"Heimlich","given":"Ralph"},{"family":"Licker","given":"Rachel"},{"family":"Herrero","given":"Mario"}],"issued":{"date-parts":[["2015",5]]}}}],"schema":"https://github.com/citation-style-language/schema/raw/master/csl-citation.json"} </w:instrText>
      </w:r>
      <w:r w:rsidR="00D90D4F">
        <w:rPr>
          <w:rFonts w:ascii="Times New Roman" w:hAnsi="Times New Roman" w:cs="Times New Roman"/>
          <w:sz w:val="24"/>
          <w:szCs w:val="24"/>
          <w:lang w:val="en-US"/>
        </w:rPr>
        <w:fldChar w:fldCharType="separate"/>
      </w:r>
      <w:r w:rsidR="00D90D4F" w:rsidRPr="00D90D4F">
        <w:rPr>
          <w:rFonts w:ascii="Times New Roman" w:hAnsi="Times New Roman" w:cs="Times New Roman"/>
          <w:sz w:val="24"/>
          <w:lang w:val="en-US"/>
        </w:rPr>
        <w:t>(Haberl, 2015; IPBES, 2019; Searchinger et al., 2015)</w:t>
      </w:r>
      <w:r w:rsidR="00D90D4F">
        <w:rPr>
          <w:rFonts w:ascii="Times New Roman" w:hAnsi="Times New Roman" w:cs="Times New Roman"/>
          <w:sz w:val="24"/>
          <w:szCs w:val="24"/>
          <w:lang w:val="en-US"/>
        </w:rPr>
        <w:fldChar w:fldCharType="end"/>
      </w:r>
      <w:r w:rsidR="00D90D4F">
        <w:rPr>
          <w:rFonts w:ascii="Times New Roman" w:hAnsi="Times New Roman" w:cs="Times New Roman"/>
          <w:sz w:val="24"/>
          <w:szCs w:val="24"/>
          <w:lang w:val="en-US"/>
        </w:rPr>
        <w:t>.</w:t>
      </w:r>
    </w:p>
    <w:p w14:paraId="059D430E" w14:textId="6A1F61E6" w:rsidR="00D90D4F" w:rsidRDefault="00D90D4F" w:rsidP="00306ACB">
      <w:pPr>
        <w:spacing w:after="0" w:line="240" w:lineRule="auto"/>
        <w:rPr>
          <w:rFonts w:ascii="Times New Roman" w:hAnsi="Times New Roman" w:cs="Times New Roman"/>
          <w:sz w:val="24"/>
          <w:szCs w:val="24"/>
          <w:lang w:val="en-US"/>
        </w:rPr>
      </w:pPr>
    </w:p>
    <w:p w14:paraId="50FBA28C" w14:textId="759B1C9B" w:rsidR="00D90D4F" w:rsidRPr="00212084" w:rsidRDefault="0094618D"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One r</w:t>
      </w:r>
      <w:r w:rsidR="00D90D4F">
        <w:rPr>
          <w:rFonts w:ascii="Times New Roman" w:hAnsi="Times New Roman" w:cs="Times New Roman"/>
          <w:sz w:val="24"/>
          <w:szCs w:val="24"/>
          <w:lang w:val="en-US"/>
        </w:rPr>
        <w:t xml:space="preserve">ecent conceptual proposal to support </w:t>
      </w:r>
      <w:r>
        <w:rPr>
          <w:rFonts w:ascii="Times New Roman" w:hAnsi="Times New Roman" w:cs="Times New Roman"/>
          <w:sz w:val="24"/>
          <w:szCs w:val="24"/>
          <w:lang w:val="en-US"/>
        </w:rPr>
        <w:t xml:space="preserve">research into possible </w:t>
      </w:r>
      <w:r w:rsidR="00D90D4F">
        <w:rPr>
          <w:rFonts w:ascii="Times New Roman" w:hAnsi="Times New Roman" w:cs="Times New Roman"/>
          <w:sz w:val="24"/>
          <w:szCs w:val="24"/>
          <w:lang w:val="en-US"/>
        </w:rPr>
        <w:t xml:space="preserve">structural changes in societal patterns of resource use </w:t>
      </w:r>
      <w:r>
        <w:rPr>
          <w:rFonts w:ascii="Times New Roman" w:hAnsi="Times New Roman" w:cs="Times New Roman"/>
          <w:sz w:val="24"/>
          <w:szCs w:val="24"/>
          <w:lang w:val="en-US"/>
        </w:rPr>
        <w:t xml:space="preserve">is the ‘stock-flow-service nexus’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{"citationID":"fNf6kwck","properties":{"formattedCitation":"(Haberl et al., 2021, 2017)","plainCitation":"(Haberl et al., 2021, 2017)","noteIndex":0},"citationItems":[{"id":70808,"uris":["http://zotero.org/users/666791/items/XNQ5HWT7"],"uri":["http://zotero.org/users/666791/items/XNQ5HWT7"],"itemData":{"id":70808,"type":"article-journal","abstract":"Societies use material and energy resources to build up, maintain and utilize long-lasting structures such as buildings, infrastructures or machinery, i.e. entertain a ‘social metabolism’. Nexus approaches provide useful heuristics for interdisciplinary analyses of (un)sustainable society-nature interactions, for example by highlighting relations between different resources (e.g. land, water and energy). Assuming that social metabolism is mainly motivated by the aim of deriving benefits from products or services leads to the concept of a ‘stock-flow-service nexus’. This nexus approach connects biophysical stocks and flows involved in social metabolism to the services, benefits and well-being contributions they provide to society. It thus reaches beyond narrower concepts of ‘eco-efficiency’. At the same time, it remains mired in controversy over the valuation of services. The complementary approach of a ‘stock-flow-practice nexus’ is focused on the relationships between stocks, flows and practices, i.e. the routines of everyday life linked with resource use. Building on prominent theories of practice, in particular those that have gained traction in consumption research, it avoids controversies around the service concept and offers a fresh perspective on structure-agency issues at the heart of social metabolism. In this conceptual article, we discuss how these two complementary nexus approaches can serve as heuristic models for interdisciplinary sustainability research and sketch the different conceptual and empirical research directions each of these two approaches inspires.","container-title":"Ecological Economics","DOI":"10.1016/j.ecolecon.2021.106949","ISSN":"0921-8009","journalAbbreviation":"Ecological Economics","language":"en","page":"106949","source":"ScienceDirect","title":"Stocks, flows, services and practices: Nexus approaches to sustainable social metabolism","title-short":"Stocks, flows, services and practices","volume":"182","author":[{"family":"Haberl","given":"Helmut"},{"family":"Schmid","given":"Martin"},{"family":"Haas","given":"Willi"},{"family":"Wiedenhofer","given":"Dominik"},{"family":"Rau","given":"Henrike"},{"family":"Winiwarter","given":"Verena"}],"issued":{"date-parts":[["2021",4,1]]}}},{"id":73,"uris":["http://zotero.org/users/666791/items/E2I43R4A"],"uri":["http://zotero.org/users/666791/items/E2I43R4A"],"itemData":{"id":73,"type":"article-journal","abstract":"Fundamental changes in the societal use of biophysical resources are required for a sustainability transformation. Current socioeconomic metabolism research traces flows of energy, materials or substances to capture resource use: input of raw materials or energy, their fate in production and consumption, and the discharge of wastes and emissions. This approach has yielded important insights into eco-efficiency and long-term drivers of resource use. But socio-metabolic research has not yet fully incorporated material stocks or their services, hence not completely exploiting the analytic power of the metabolism concept. This commentary argues for a material stock–flow–service nexus approach focused on the analysis of interrelations between material and energy flows, socioeconomic material stocks (“in-use stocks of materials”) and the services provided by specific stock/flow combinations. Analyzing the interrelations between stocks, flows and services will allow researchers to develop highly innovative indicators of eco-efficiency and open new research directions that will help to better understand biophysical foundations of transformations towards sustainability.","container-title":"Sustainability","DOI":"10.3390/su9071049","issue":"7","language":"en","page":"1049","source":"www.mdpi.com","title":"The Material Stock–Flow–Service Nexus: A New Approach for Tackling the Decoupling Conundrum","title-short":"The Material Stock–Flow–Service Nexus","volume":"9","author":[{"family":"Haberl","given":"Helmut"},{"family":"Wiedenhofer","given":"Dominik"},{"family":"Erb","given":"Karl-Heinz"},{"family":"Görg","given":"Christoph"},{"family":"Krausmann","given":"Fridolin"}],"issued":{"date-parts":[["2017",6,26]]}}}],"schema":"https://github.com/citation-style-language/schema/raw/master/csl-citation.json"} </w:instrText>
      </w:r>
      <w:r>
        <w:rPr>
          <w:rFonts w:ascii="Times New Roman" w:hAnsi="Times New Roman" w:cs="Times New Roman"/>
          <w:sz w:val="24"/>
          <w:szCs w:val="24"/>
          <w:lang w:val="en-US"/>
        </w:rPr>
        <w:fldChar w:fldCharType="separate"/>
      </w:r>
      <w:r w:rsidRPr="00EF4FAC">
        <w:rPr>
          <w:rFonts w:ascii="Times New Roman" w:hAnsi="Times New Roman" w:cs="Times New Roman"/>
          <w:sz w:val="24"/>
          <w:lang w:val="en-US"/>
        </w:rPr>
        <w:t>(Haberl et al., 2021, 2017)</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This </w:t>
      </w:r>
      <w:r w:rsidR="00F40815">
        <w:rPr>
          <w:rFonts w:ascii="Times New Roman" w:hAnsi="Times New Roman" w:cs="Times New Roman"/>
          <w:sz w:val="24"/>
          <w:szCs w:val="24"/>
          <w:lang w:val="en-US"/>
        </w:rPr>
        <w:t>approach</w:t>
      </w:r>
      <w:r>
        <w:rPr>
          <w:rFonts w:ascii="Times New Roman" w:hAnsi="Times New Roman" w:cs="Times New Roman"/>
          <w:sz w:val="24"/>
          <w:szCs w:val="24"/>
          <w:lang w:val="en-US"/>
        </w:rPr>
        <w:t xml:space="preserve"> recognizes the critique of GDP as a measure of societal wellbeing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{"citationID":"Kqe0K3F9","properties":{"formattedCitation":"(Hoekstra, 2019; Stiglitz et al., 2009)","plainCitation":"(Hoekstra, 2019; Stiglitz et al., 2009)","noteIndex":0},"citationItems":[{"id":56512,"uris":["http://zotero.org/users/666791/items/HLGGPQQF"],"uri":["http://zotero.org/users/666791/items/HLGGPQQF"],"itemData":{"id":56512,"type":"book","archive":"SOWIRE F1-18756","event-place":"Cambridge, UK","number-of-pages":"341","publisher":"Cambride University Press","publisher-place":"Cambridge, UK","title":"Replacing GDP by 2030. Towards a Common Language for the Well-being and Sustainability Community","author":[{"family":"Hoekstra","given":"Rutger"}],"issued":{"date-parts":[["2019"]]}}},{"id":61957,"uris":["http://zotero.org/users/666791/items/TN4J548X"],"uri":["http://zotero.org/users/666791/items/TN4J548X"],"itemData":{"id":61957,"type":"book","event-place":"Paris, France","publisher":"www.stiglitzsen-fitoussi.fr/","publisher-place":"Paris, France","title":"Report by the Commission on the Measurement of Economic Performance and Social Progress (CMEPSP)","author":[{"family":"Stiglitz","given":"Joseph E."},{"family":"Sen","given":"Amartya"},{"family":"Fitoussi","given":"Jean-Paul"}],"issued":{"date-parts":[["2009"]]}}}],"schema":"https://github.com/citation-style-language/schema/raw/master/csl-citation.json"} </w:instrText>
      </w:r>
      <w:r>
        <w:rPr>
          <w:rFonts w:ascii="Times New Roman" w:hAnsi="Times New Roman" w:cs="Times New Roman"/>
          <w:sz w:val="24"/>
          <w:szCs w:val="24"/>
          <w:lang w:val="en-US"/>
        </w:rPr>
        <w:fldChar w:fldCharType="separate"/>
      </w:r>
      <w:r w:rsidRPr="0094618D">
        <w:rPr>
          <w:rFonts w:ascii="Times New Roman" w:hAnsi="Times New Roman" w:cs="Times New Roman"/>
          <w:sz w:val="24"/>
          <w:lang w:val="en-US"/>
        </w:rPr>
        <w:t>(Hoekstra, 2019; Stiglitz et al., 2009)</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and instead focuses on ‘services’ as key wellbeing contributions </w:t>
      </w:r>
      <w:r>
        <w:rPr>
          <w:rFonts w:ascii="Times New Roman" w:hAnsi="Times New Roman" w:cs="Times New Roman"/>
          <w:sz w:val="24"/>
          <w:szCs w:val="24"/>
          <w:lang w:val="en-US"/>
        </w:rPr>
        <w:fldChar w:fldCharType="begin"/>
      </w:r>
      <w:r w:rsidR="00EF4FAC">
        <w:rPr>
          <w:rFonts w:ascii="Times New Roman" w:hAnsi="Times New Roman" w:cs="Times New Roman"/>
          <w:sz w:val="24"/>
          <w:szCs w:val="24"/>
          <w:lang w:val="en-US"/>
        </w:rPr>
        <w:instrText xml:space="preserve"> ADDIN ZOTERO_ITEM CSL_CITATION {"citationID":"0rxuScbr","properties":{"formattedCitation":"(Baltruszewicz et al., 2021; Brand-Correa and Steinberger, 2017; Fell, 2017; Kalt et al., 2019; Lovins, 1979)","plainCitation":"(Baltruszewicz et al., 2021; Brand-Correa and Steinberger, 2017; Fell, 2017; Kalt et al., 2019; Lovins, 1979)","noteIndex":0},"citationItems":[{"id":71226,"uris":["http://zotero.org/users/666791/items/WP6JYPRR"],"uri":["http://zotero.org/users/666791/items/WP6JYPRR"],"itemData":{"id":71226,"type":"article-journal","abstract":"The link between energy use, social and environmental well-being is at the root of critical synergies between clean and affordable energy (SDG7) and other Sustainable Development Goals (SDGs). Household-level quantitative energy analyses enable better understanding regarding interconnections between the level and composition of energy use, and SDG achievement. This study examines the household-level energy footprints in Nepal, Vietnam, and Zambia. We calculate the footprints using multi-regional input–output with energy extensions based on International Energy Agency data. We propose an original perspective on the links between household final energy use and well-being, measured through access to safe water, health, education, sustenance, and modern fuels. In all three countries, households with high well-being show much lower housing energy use, due to a transition from inefficient biomass-based traditional fuels to efficient modern fuels, such as gas and electricity. We find that households achieving well-being have 60%–80% lower energy footprint of residential fuel use compared to average across the countries. We observe that collective provisioning systems in form of access to health centers, public transport, markets, and garbage disposal and characteristics linked to having solid shelter, access to sanitation, and minimum floor area are more important for the attainment of well-being than changes in income or total energy consumption. This is an important finding, contradicting the narrative that basic well-being outcomes require increased income and individual consumption of energy. Substantial synergies exist between the achievement of well-being at a low level of energy use and other SDGs linked to poverty reduction (encompassed in SDG1), health (SDG3), sanitation (SDG6), gender equality (SDG5), climate action and reduced deforestation (SDG 13 and SDG15) and inequalities (SDG10).","container-title":"Environmental Research Letters","DOI":"10.1088/1748-9326/abd588","ISSN":"1748-9326","issue":"2","journalAbbreviation":"Environ. Res. Lett.","language":"en","note":"publisher: IOP Publishing","page":"025011","source":"Institute of Physics","title":"Household final energy footprints in Nepal, Vietnam and Zambia: composition, inequality and links to well-being","title-short":"Household final energy footprints in Nepal, Vietnam and Zambia","volume":"16","author":[{"family":"Baltruszewicz","given":"Marta"},{"family":"Steinberger","given":"Julia K."},{"family":"Ivanova","given":"Diana"},{"family":"Brand-Correa","given":"Lina I."},{"family":"Paavola","given":"Jouni"},{"family":"Owen","given":"Anne"}],"issued":{"date-parts":[["2021",2]]}}},{"id":15,"uris":["http://zotero.org/users/666791/items/34QXWUE4"],"uri":["http://zotero.org/users/666791/items/34QXWUE4"],"itemData":{"id":15,"type":"article-journal","container-title":"Ecological Economics","DOI":"10.1016/j.ecolecon.2017.05.019","ISSN":"09218009","language":"en","page":"43-52","source":"CrossRef","title":"A Framework for Decoupling Human Need Satisfaction From Energy Use","volume":"141","author":[{"family":"Brand-Correa","given":"Lina I."},{"family":"Steinberger","given":"Julia K."}],"issued":{"date-parts":[["2017",11]]}}},{"id":12723,"uris":["http://zotero.org/users/666791/items/ZRDHX5U8"],"uri":["http://zotero.org/users/666791/items/ZRDHX5U8"],"itemData":{"id":12723,"type":"article-journal","abstract":"It is often stated that people do not desire energy itself but the ‘energy services’ it provides. Despite its importance, initial searches revealed no obviously dominant definitions of the term ‘energy services’, and inconsistent illustrative examples. This paper presents the results of a content analysis and literature review which aimed to answer the question: ‘what are energy services?’. One hundred and eighty-five articles from the journals Energy Policy and Energy Research and Social Science containing the term “energy service*” in the title, abstract or keywords were analysed, and additional documents relevant to the concept were identified for review. In total, 27 definitions of ‘energy services’ were recorded, and 173 separate examples (such as ‘space heating’ or ‘lighting’). Thematic analysis of the definitions revealed a number of recurring themes, such as ‘useful energy/work’ and the provision of ‘benefits’ to people. Previous literature suggested the importance of distinguishing between ‘energy services’ and the ‘end services or states’ which they help obtain. On the basis of the identified themes, examples and conceptual discussion, the following definition of ‘energy services’ is proposed: Energy services are those functions performed using energy which are means to obtain or facilitate desired end services or states.","container-title":"Energy Research &amp; Social Science","DOI":"10.1016/j.erss.2017.02.010","ISSN":"2214-6296","journalAbbreviation":"Energy Research &amp; Social Science","page":"129-140","source":"ScienceDirect","title":"Energy services: A conceptual review","title-short":"Energy services","volume":"27","author":[{"family":"Fell","given":"Michael James"}],"issued":{"date-parts":[["2017",5,1]]}}},{"id":16022,"uris":["http://zotero.org/users/666791/items/LBGMSP3D"],"uri":["http://zotero.org/users/666791/items/LBGMSP3D"],"itemData":{"id":16022,"type":"article-journal","abstract":"The concept of energy services is used in different contexts and scientific fields mainly to emphasize that it is the services provided by energy rather than energy carriers that people demand and that generate well-being. While the value of the concept is widely acknowledged, there are remarkable differences in how energy services are conceptualized. This article proposes the ‘Energy Service Cascade’ (ESC) as a conceptual framework aimed at clarifying and bridging different approaches. The ESC is inspired by Haines-Young’s and Potschin’s (2011) ‘Ecosystem Service Cascade’, which distinguishes: a) structures, b) functions, c) services, d) benefits and e) values. When used to systematize the debates around energy services, we argue that these differentiations reflect a) energy conversion chains comprising natural structures, human-made capital and labor; b) physical functions performed by energy chains; c) services humans demand to foster well-being; d) the actual contributions to human well-being (health, life satisfaction, …); e) individual preferences and attitudes that create willingness to pay, encourage business models, etc. ‘Values’ influence how services and benefits are perceived and affect ‘structures’ through various mechanisms (investment decisions, environmental and economic policy, …). To showcase the usefulness of the ESC as conceptual framework, we provide a review of literature to reveal the differing scopes of four main contexts in which energy services are being studied. We call them ‘energy chain context’, ‘energy demand context’, ‘well-being context’ and ‘entrepreneurial context’. Given the diversity of how energy services are interpreted and the various scopes and research aims, a full harmonization of concepts seems out of reach. Nevertheless, a more unified understanding of what is considered as ‘service’ and differentiation from ‘functions’ and ‘benefits’, as provided by the ESC, could be a first step towards more systematic terminology and may support interaction between the different discourses.","container-title":"Energy Research &amp; Social Science","DOI":"10.1016/j.erss.2019.02.026","ISSN":"2214-6296","journalAbbreviation":"Energy Research &amp; Social Science","page":"47-58","source":"ScienceDirect","title":"Conceptualizing energy services: A review of energy and well-being along the Energy Service Cascade","title-short":"Conceptualizing energy services","volume":"53","author":[{"family":"Kalt","given":"Gerald"},{"family":"Wiedenhofer","given":"Dominik"},{"family":"Görg","given":"Christoph"},{"family":"Haberl","given":"Helmut"}],"issued":{"date-parts":[["2019",7,1]]}}},{"id":1202,"uris":["http://zotero.org/users/666791/items/3X4BS85C"],"uri":["http://zotero.org/users/666791/items/3X4BS85C"],"itemData":{"id":1202,"type":"book","event-place":"San Francisco, Calif., Cambridge, Mass.","publisher":"Friends of the Earth International","publisher-place":"San Francisco, Calif., Cambridge, Mass.","title":"Soft Energy Paths: Towards A Durable Peace","author":[{"family":"Lovins","given":"Amory B."}],"issued":{"date-parts":[["1979"]]}}}],"schema":"https://github.com/citation-style-language/schema/raw/master/csl-citation.json"} </w:instrText>
      </w:r>
      <w:r>
        <w:rPr>
          <w:rFonts w:ascii="Times New Roman" w:hAnsi="Times New Roman" w:cs="Times New Roman"/>
          <w:sz w:val="24"/>
          <w:szCs w:val="24"/>
          <w:lang w:val="en-US"/>
        </w:rPr>
        <w:fldChar w:fldCharType="separate"/>
      </w:r>
      <w:r w:rsidR="00EF4FAC" w:rsidRPr="00EF4FAC">
        <w:rPr>
          <w:rFonts w:ascii="Times New Roman" w:hAnsi="Times New Roman" w:cs="Times New Roman"/>
          <w:sz w:val="24"/>
          <w:lang w:val="en-US"/>
        </w:rPr>
        <w:t>(Baltruszewicz et al., 2021; Brand-Correa and Steinberger, 2017; Fell, 2017; Kalt et al., 2019; Lovins, 1979)</w:t>
      </w:r>
      <w:r>
        <w:rPr>
          <w:rFonts w:ascii="Times New Roman" w:hAnsi="Times New Roman" w:cs="Times New Roman"/>
          <w:sz w:val="24"/>
          <w:szCs w:val="24"/>
          <w:lang w:val="en-US"/>
        </w:rPr>
        <w:fldChar w:fldCharType="end"/>
      </w:r>
      <w:r w:rsidR="00EF4FAC">
        <w:rPr>
          <w:rFonts w:ascii="Times New Roman" w:hAnsi="Times New Roman" w:cs="Times New Roman"/>
          <w:sz w:val="24"/>
          <w:szCs w:val="24"/>
          <w:lang w:val="en-US"/>
        </w:rPr>
        <w:t>. The key tenet is that services emerge from specific combinations of ‘material stocks’ such as buildings, infrastructures or machinery with</w:t>
      </w:r>
      <w:r w:rsidR="00F40815">
        <w:rPr>
          <w:rFonts w:ascii="Times New Roman" w:hAnsi="Times New Roman" w:cs="Times New Roman"/>
          <w:sz w:val="24"/>
          <w:szCs w:val="24"/>
          <w:lang w:val="en-US"/>
        </w:rPr>
        <w:t xml:space="preserve"> flows of</w:t>
      </w:r>
      <w:r w:rsidR="00EF4FAC">
        <w:rPr>
          <w:rFonts w:ascii="Times New Roman" w:hAnsi="Times New Roman" w:cs="Times New Roman"/>
          <w:sz w:val="24"/>
          <w:szCs w:val="24"/>
          <w:lang w:val="en-US"/>
        </w:rPr>
        <w:t xml:space="preserve"> biophysical resources, hence a reconfiguration of material stock patterns (e.g., their quality or their spatial patterns) offers options to systemically reduce resource requirements of delivering certain services </w:t>
      </w:r>
      <w:r w:rsidR="00EF4FAC">
        <w:rPr>
          <w:rFonts w:ascii="Times New Roman" w:hAnsi="Times New Roman" w:cs="Times New Roman"/>
          <w:sz w:val="24"/>
          <w:szCs w:val="24"/>
          <w:lang w:val="en-US"/>
        </w:rPr>
        <w:fldChar w:fldCharType="begin"/>
      </w:r>
      <w:r w:rsidR="00EF4FAC">
        <w:rPr>
          <w:rFonts w:ascii="Times New Roman" w:hAnsi="Times New Roman" w:cs="Times New Roman"/>
          <w:sz w:val="24"/>
          <w:szCs w:val="24"/>
          <w:lang w:val="en-US"/>
        </w:rPr>
        <w:instrText xml:space="preserve"> ADDIN ZOTERO_ITEM CSL_CITATION {"citationID":"9te0u6ZB","properties":{"formattedCitation":"(Carmona et al., 2021; Haberl et al., 2019; Whiting et al., 2020)","plainCitation":"(Carmona et al., 2021; Haberl et al., 2019; Whiting et al., 2020)","noteIndex":0},"citationItems":[{"id":70811,"uris":["http://zotero.org/users/666791/items/DIWIWZY8"],"uri":["http://zotero.org/users/666791/items/DIWIWZY8"],"itemData":{"id":70811,"type":"article-journal","abstract":"Energy and material flows and material stocks are key requirements for the supply of goods and services, which in turn support societal development. However, most resource accounting methods restrict the analysis to resource flows, which fails to acknowledge the increasing role of in-use stocks in service provision. Using the UK transport sector as a case study, we undertook a material flow analysis through the lens of the stock–flow–service (SFS) nexus. We used the latter to identify how steel consumption and accumulation in vehicles contributed to passenger mobility between 1960 and 2015. Our results show that the efficiency of the steel stock contained in cars and motorcycles decreased from 37.5 to 28.0 passenger-km (pkm)/kg-year. The steel service for buses decreased from 63.6 to 32.1 pkm/kg-year, while that of the national railway increased from 23.8 to 70.3 pkm/kg-year steel. London Underground steel stock–service efficiency improved from 31.5 to 57.0 pkm/kg-year steel. The annual fraction of flows that maintained the steel stock varied according to vehicle category and was between 3.4% and 8.2%. In terms of the stock expansion rate, the greatest change (on average, an annual increase of 3%) was that of “cars and motorcycles.” This reflects the demographic transitions and the growing consumer demand for car-based mobility. We discussed how the SFS nexus contributes to a more comprehensive form of resource accounting and reflect upon some of its limitations and how they might be addressed.","container-title":"Journal of Industrial Ecology","DOI":"https://doi.org/10.1111/jiec.13055","ISSN":"1530-9290","issue":"1","language":"en","note":"_eprint: https://onlinelibrary.wiley.com/doi/pdf/10.1111/jiec.13055","page":"125-143","source":"Wiley Online Library","title":"The use of steel in the United Kingdom's transport sector: A stock–flow–service nexus case study","title-short":"The use of steel in the United Kingdom's transport sector","volume":"25","author":[{"family":"Carmona","given":"Luis Gabriel"},{"family":"Whiting","given":"Kai"},{"family":"Haberl","given":"Helmut"},{"family":"Sousa","given":"Tânia"}],"issued":{"date-parts":[["2021"]]}}},{"id":15980,"uris":["http://zotero.org/users/666791/items/SXS8K78I"],"uri":["http://zotero.org/users/666791/items/SXS8K78I"],"itemData":{"id":15980,"type":"article-journal","abstract":"The United Nations Sustainable Development Goals and other high-level agreements acknowledge the linked nature of social and biophysical systems. This Review explains one research tradition, sociometabolic research, that explores these links. Sociometabolic research uses methods from systems science and allied areas to study the biophysical basis of economic activity. The authors use tangible examples from recent research to demonstrate strengths and weaknesses and then explore future directions.","container-title":"Nature Sustainability","DOI":"10.1038/s41893-019-0225-2","ISSN":"2398-9629","language":"En","page":"173-184","source":"www.nature.com","title":"Contributions of sociometabolic research to sustainability science","volume":"2","author":[{"family":"Haberl","given":"Helmut"},{"family":"Wiedenhofer","given":"Dominik"},{"family":"Pauliuk","given":"Stefan"},{"family":"Krausmann","given":"Fridolin"},{"family":"Müller","given":"Daniel B."},{"family":"Fischer-Kowalski","given":"Marina"}],"issued":{"date-parts":[["2019"]]}}},{"id":57087,"uris":["http://zotero.org/users/666791/items/RYTTYMAH"],"uri":["http://zotero.org/users/666791/items/RYTTYMAH"],"itemData":{"id":57087,"type":"article-journal","abstract":"Specific combinations of energy flows, material flows and stocks are responsible for those services that support societal function and development. In this paper, we develop the concept and accounting method for material services, which we define as “those functions that materials contribute to personal or societal activity with the purpose of obtaining or facilitating desired end goals or states, regardless of whether or not a material flow or stock is supplied by the market”. In this respect, material services are an intermediate step that incorporates stock to bridge the gap between resource consumption, accumulation and aspects of wellbeing. We provide a material service case study, which identifies the level of lighting experienced by urban Ancient Romans relative to that enjoyed by inhabitants of 1820s London (the Georgians). Our results show that the average Roman experienced 41,102lm-hour/year, which is more lighting than the Georgian value per capita (at 35,698lm-hour/year). In terms of fuel consumption, Georgians were four times more efficient than their Roman counterparts, but there was a trade-off between materials and energy, given that stock efficiency was 53 times lower than that of the Romans. This trend of improving fuel efficiency at the expense of materials appears to have continued into the 21st century, which holds important implications for sustainable development. Further research needs to be undertaken to ascertain whether this holds true for other material services such as heating, transport and shelter.","container-title":"Ecological Economics","DOI":"10.1016/j.ecolecon.2019.106502","ISSN":"0921-8009","journalAbbreviation":"Ecological Economics","language":"en","page":"106502","source":"ScienceDirect","title":"Illumination as a material service: A comparison between Ancient Rome and early 19th century London","title-short":"Illumination as a material service","volume":"169","author":[{"family":"Whiting","given":"Kai"},{"family":"Carmona","given":"Luis Gabriel"},{"family":"Brand-Correa","given":"Lina"},{"family":"Simpson","given":"Edward"}],"issued":{"date-parts":[["2020",3,1]]}}}],"schema":"https://github.com/citation-style-language/schema/raw/master/csl-citation.json"} </w:instrText>
      </w:r>
      <w:r w:rsidR="00EF4FAC">
        <w:rPr>
          <w:rFonts w:ascii="Times New Roman" w:hAnsi="Times New Roman" w:cs="Times New Roman"/>
          <w:sz w:val="24"/>
          <w:szCs w:val="24"/>
          <w:lang w:val="en-US"/>
        </w:rPr>
        <w:fldChar w:fldCharType="separate"/>
      </w:r>
      <w:r w:rsidR="00EF4FAC" w:rsidRPr="00EF4FAC">
        <w:rPr>
          <w:rFonts w:ascii="Times New Roman" w:hAnsi="Times New Roman" w:cs="Times New Roman"/>
          <w:sz w:val="24"/>
          <w:lang w:val="en-US"/>
        </w:rPr>
        <w:t>(Carmona et al., 2021; Haberl et al., 2019; Whiting et al., 2020)</w:t>
      </w:r>
      <w:r w:rsidR="00EF4FAC">
        <w:rPr>
          <w:rFonts w:ascii="Times New Roman" w:hAnsi="Times New Roman" w:cs="Times New Roman"/>
          <w:sz w:val="24"/>
          <w:szCs w:val="24"/>
          <w:lang w:val="en-US"/>
        </w:rPr>
        <w:fldChar w:fldCharType="end"/>
      </w:r>
      <w:r w:rsidR="00EF4FAC">
        <w:rPr>
          <w:rFonts w:ascii="Times New Roman" w:hAnsi="Times New Roman" w:cs="Times New Roman"/>
          <w:sz w:val="24"/>
          <w:szCs w:val="24"/>
          <w:lang w:val="en-US"/>
        </w:rPr>
        <w:t xml:space="preserve">. </w:t>
      </w:r>
      <w:r w:rsidR="009835AE">
        <w:rPr>
          <w:rFonts w:ascii="Times New Roman" w:hAnsi="Times New Roman" w:cs="Times New Roman"/>
          <w:sz w:val="24"/>
          <w:szCs w:val="24"/>
          <w:lang w:val="en-US"/>
        </w:rPr>
        <w:t xml:space="preserve">This approach also highlights that resource requirements for building up material stocks have become dominant determinants of yearly resource flows and currently require almost 60% of all material resources used by humanity </w:t>
      </w:r>
      <w:r w:rsidR="009835AE">
        <w:rPr>
          <w:rFonts w:ascii="Times New Roman" w:hAnsi="Times New Roman" w:cs="Times New Roman"/>
          <w:sz w:val="24"/>
          <w:szCs w:val="24"/>
          <w:lang w:val="en-US"/>
        </w:rPr>
        <w:fldChar w:fldCharType="begin"/>
      </w:r>
      <w:r w:rsidR="009835AE">
        <w:rPr>
          <w:rFonts w:ascii="Times New Roman" w:hAnsi="Times New Roman" w:cs="Times New Roman"/>
          <w:sz w:val="24"/>
          <w:szCs w:val="24"/>
          <w:lang w:val="en-US"/>
        </w:rPr>
        <w:instrText xml:space="preserve"> ADDIN ZOTERO_ITEM CSL_CITATION {"citationID":"efjWrWl2","properties":{"formattedCitation":"(Krausmann et al., 2017b)","plainCitation":"(Krausmann et al., 2017b)","noteIndex":0},"citationItems":[{"id":2700,"uris":["http://zotero.org/users/666791/items/CQ6IUX5T"],"uri":["http://zotero.org/users/666791/items/CQ6IUX5T"],"itemData":{"id":2700,"type":"article-journal","container-title":"Proceedings of the National Academy of Sciences of the USA","DOI":"https://doi.org/10.1073/pnas.1613773114","issue":"8","page":"1880-1885","title":"Global socioeconomic material stocks rise 23-fold over the 20th century and require half of annual resource use","volume":"114","author":[{"family":"Krausmann","given":"Fridolin"},{"family":"Wiedenhofer","given":"Dominik"},{"family":"Lauk","given":"Christian"},{"family":"Haas","given":"Willi"},{"family":"Tanikawa","given":"Hiroki"},{"family":"Fishman","given":"Tomer"},{"family":"Miatto","given":"Alessandro"},{"family":"Schandl","given":"Heinz"},{"family":"Haberl","given":"Helmut"}],"issued":{"date-parts":[["2017"]]}}}],"schema":"https://github.com/citation-style-language/schema/raw/master/csl-citation.json"} </w:instrText>
      </w:r>
      <w:r w:rsidR="009835AE">
        <w:rPr>
          <w:rFonts w:ascii="Times New Roman" w:hAnsi="Times New Roman" w:cs="Times New Roman"/>
          <w:sz w:val="24"/>
          <w:szCs w:val="24"/>
          <w:lang w:val="en-US"/>
        </w:rPr>
        <w:fldChar w:fldCharType="separate"/>
      </w:r>
      <w:r w:rsidR="009835AE" w:rsidRPr="009835AE">
        <w:rPr>
          <w:rFonts w:ascii="Times New Roman" w:hAnsi="Times New Roman" w:cs="Times New Roman"/>
          <w:sz w:val="24"/>
          <w:lang w:val="en-US"/>
        </w:rPr>
        <w:t>(Krausmann et al., 2017b)</w:t>
      </w:r>
      <w:r w:rsidR="009835AE">
        <w:rPr>
          <w:rFonts w:ascii="Times New Roman" w:hAnsi="Times New Roman" w:cs="Times New Roman"/>
          <w:sz w:val="24"/>
          <w:szCs w:val="24"/>
          <w:lang w:val="en-US"/>
        </w:rPr>
        <w:fldChar w:fldCharType="end"/>
      </w:r>
      <w:r w:rsidR="009835AE">
        <w:rPr>
          <w:rFonts w:ascii="Times New Roman" w:hAnsi="Times New Roman" w:cs="Times New Roman"/>
          <w:sz w:val="24"/>
          <w:szCs w:val="24"/>
          <w:lang w:val="en-US"/>
        </w:rPr>
        <w:t xml:space="preserve">, and they reflect the appreciation that the design of infrastructures and settlements plays a major role in forging and stabilizing resource-intensive practices of everyday life </w:t>
      </w:r>
      <w:r w:rsidR="009835AE">
        <w:rPr>
          <w:rFonts w:ascii="Times New Roman" w:hAnsi="Times New Roman" w:cs="Times New Roman"/>
          <w:sz w:val="24"/>
          <w:szCs w:val="24"/>
          <w:lang w:val="en-US"/>
        </w:rPr>
        <w:fldChar w:fldCharType="begin"/>
      </w:r>
      <w:r w:rsidR="009835AE">
        <w:rPr>
          <w:rFonts w:ascii="Times New Roman" w:hAnsi="Times New Roman" w:cs="Times New Roman"/>
          <w:sz w:val="24"/>
          <w:szCs w:val="24"/>
          <w:lang w:val="en-US"/>
        </w:rPr>
        <w:instrText xml:space="preserve"> ADDIN ZOTERO_ITEM CSL_CITATION {"citationID":"yd8QuTV8","properties":{"formattedCitation":"(Haberl et al., 2021)","plainCitation":"(Haberl et al., 2021)","noteIndex":0},"citationItems":[{"id":70808,"uris":["http://zotero.org/users/666791/items/XNQ5HWT7"],"uri":["http://zotero.org/users/666791/items/XNQ5HWT7"],"itemData":{"id":70808,"type":"article-journal","abstract":"Societies use material and energy resources to build up, maintain and utilize long-lasting structures such as buildings, infrastructures or machinery, i.e. entertain a ‘social metabolism’. Nexus approaches provide useful heuristics for interdisciplinary analyses of (un)sustainable society-nature interactions, for example by highlighting relations between different resources (e.g. land, water and energy). Assuming that social metabolism is mainly motivated by the aim of deriving benefits from products or services leads to the concept of a ‘stock-flow-service nexus’. This nexus approach connects biophysical stocks and flows involved in social metabolism to the services, benefits and well-being contributions they provide to society. It thus reaches beyond narrower concepts of ‘eco-efficiency’. At the same time, it remains mired in controversy over the valuation of services. The complementary approach of a ‘stock-flow-practice nexus’ is focused on the relationships between stocks, flows and practices, i.e. the routines of everyday life linked with resource use. Building on prominent theories of practice, in particular those that have gained traction in consumption research, it avoids controversies around the service concept and offers a fresh perspective on structure-agency issues at the heart of social metabolism. In this conceptual article, we discuss how these two complementary nexus approaches can serve as heuristic models for interdisciplinary sustainability research and sketch the different conceptual and empirical research directions each of these two approaches inspires.","container-title":"Ecological Economics","DOI":"10.1016/j.ecolecon.2021.106949","ISSN":"0921-8009","journalAbbreviation":"Ecological Economics","language":"en","page":"106949","source":"ScienceDirect","title":"Stocks, flows, services and practices: Nexus approaches to sustainable social metabolism","title-short":"Stocks, flows, services and practices","volume":"182","author":[{"family":"Haberl","given":"Helmut"},{"family":"Schmid","given":"Martin"},{"family":"Haas","given":"Willi"},{"family":"Wiedenhofer","given":"Dominik"},{"family":"Rau","given":"Henrike"},{"family":"Winiwarter","given":"Verena"}],"issued":{"date-parts":[["2021",4,1]]}}}],"schema":"https://github.com/citation-style-language/schema/raw/master/csl-citation.json"} </w:instrText>
      </w:r>
      <w:r w:rsidR="009835AE">
        <w:rPr>
          <w:rFonts w:ascii="Times New Roman" w:hAnsi="Times New Roman" w:cs="Times New Roman"/>
          <w:sz w:val="24"/>
          <w:szCs w:val="24"/>
          <w:lang w:val="en-US"/>
        </w:rPr>
        <w:fldChar w:fldCharType="separate"/>
      </w:r>
      <w:r w:rsidR="009835AE" w:rsidRPr="009835AE">
        <w:rPr>
          <w:rFonts w:ascii="Times New Roman" w:hAnsi="Times New Roman" w:cs="Times New Roman"/>
          <w:sz w:val="24"/>
          <w:lang w:val="en-US"/>
        </w:rPr>
        <w:t>(Haberl et al., 2021)</w:t>
      </w:r>
      <w:r w:rsidR="009835AE">
        <w:rPr>
          <w:rFonts w:ascii="Times New Roman" w:hAnsi="Times New Roman" w:cs="Times New Roman"/>
          <w:sz w:val="24"/>
          <w:szCs w:val="24"/>
          <w:lang w:val="en-US"/>
        </w:rPr>
        <w:fldChar w:fldCharType="end"/>
      </w:r>
      <w:r w:rsidR="009835AE">
        <w:rPr>
          <w:rFonts w:ascii="Times New Roman" w:hAnsi="Times New Roman" w:cs="Times New Roman"/>
          <w:sz w:val="24"/>
          <w:szCs w:val="24"/>
          <w:lang w:val="en-US"/>
        </w:rPr>
        <w:t>. R</w:t>
      </w:r>
      <w:r w:rsidR="00EF4FAC">
        <w:rPr>
          <w:rFonts w:ascii="Times New Roman" w:hAnsi="Times New Roman" w:cs="Times New Roman"/>
          <w:sz w:val="24"/>
          <w:szCs w:val="24"/>
          <w:lang w:val="en-US"/>
        </w:rPr>
        <w:t>elated approach</w:t>
      </w:r>
      <w:r w:rsidR="009835AE">
        <w:rPr>
          <w:rFonts w:ascii="Times New Roman" w:hAnsi="Times New Roman" w:cs="Times New Roman"/>
          <w:sz w:val="24"/>
          <w:szCs w:val="24"/>
          <w:lang w:val="en-US"/>
        </w:rPr>
        <w:t xml:space="preserve">es aim to develop the concept </w:t>
      </w:r>
      <w:r w:rsidR="00EF4FAC">
        <w:rPr>
          <w:rFonts w:ascii="Times New Roman" w:hAnsi="Times New Roman" w:cs="Times New Roman"/>
          <w:sz w:val="24"/>
          <w:szCs w:val="24"/>
          <w:lang w:val="en-US"/>
        </w:rPr>
        <w:t xml:space="preserve">of ‘provisioning systems’ </w:t>
      </w:r>
      <w:r w:rsidR="009835AE">
        <w:rPr>
          <w:rFonts w:ascii="Times New Roman" w:hAnsi="Times New Roman" w:cs="Times New Roman"/>
          <w:sz w:val="24"/>
          <w:szCs w:val="24"/>
          <w:lang w:val="en-US"/>
        </w:rPr>
        <w:t xml:space="preserve">as mediators between resource use and social wellbeing, thereby opening up opportunities to link material stocks and social/institutional structures with social and policy processes that could shape their future patterns </w:t>
      </w:r>
      <w:r w:rsidR="009835AE">
        <w:rPr>
          <w:rFonts w:ascii="Times New Roman" w:hAnsi="Times New Roman" w:cs="Times New Roman"/>
          <w:sz w:val="24"/>
          <w:szCs w:val="24"/>
          <w:lang w:val="en-US"/>
        </w:rPr>
        <w:fldChar w:fldCharType="begin"/>
      </w:r>
      <w:r w:rsidR="009835AE">
        <w:rPr>
          <w:rFonts w:ascii="Times New Roman" w:hAnsi="Times New Roman" w:cs="Times New Roman"/>
          <w:sz w:val="24"/>
          <w:szCs w:val="24"/>
          <w:lang w:val="en-US"/>
        </w:rPr>
        <w:instrText xml:space="preserve"> ADDIN ZOTERO_ITEM CSL_CITATION {"citationID":"4qOdUyZa","properties":{"formattedCitation":"(O\\uc0\\u8217{}Neill et al., 2018; Plank et al., 2021; Schaffartzik et al., 2021)","plainCitation":"(O’Neill et al., 2018; Plank et al., 2021; Schaffartzik et al., 2021)","noteIndex":0},"citationItems":[{"id":2777,"uris":["http://zotero.org/users/666791/items/4U8ZLMYP"],"uri":["http://zotero.org/users/666791/items/4U8ZLMYP"],"itemData":{"id":2777,"type":"article-journal","abstract":"Achieving a high quality of life within the biophysical limits of the planet is a significant challenge. This study quantifies the resource use associated with meeting basic human needs, compares it to downscaled planetary boundaries for over 150 nations and finds that no country meets its citizens’ basic needs sustainably.","container-title":"Nature Sustainability","DOI":"10.1038/s41893-018-0021-4","ISSN":"2398-9629","language":"en","page":"88–95","source":"www.nature.com","title":"A good life for all within planetary boundaries","volume":"1","author":[{"family":"O’Neill","given":"Daniel W."},{"family":"Fanning","given":"Andrew L."},{"family":"Lamb","given":"William F."},{"family":"Steinberger","given":"Julia K."}],"issued":{"date-parts":[["2018"]]}}},{"id":71284,"uris":["http://zotero.org/users/666791/items/ENISZ89J"],"uri":["http://zotero.org/users/666791/items/ENISZ89J"],"itemData":{"id":71284,"type":"article-journal","container-title":"Ecological Economics","DOI":"https://doi.org/10.1016/j.ecolecon.2021.107093","page":"107093","title":"Doing more with less: Provisioning systems and the transformation of the stock-flow-service nexus","volume":"187","author":[{"family":"Plank","given":"Christina"},{"family":"Liehr","given":"Stefan"},{"family":"Hummel","given":"Diana"},{"family":"Wiedenhofer","given":"Dominik"},{"family":"Haberl","given":"Helmut"},{"family":"Görg","given":"Christoph"}],"issued":{"date-parts":[["2021"]]}}},{"id":71113,"uris":["http://zotero.org/users/666791/items/6S5XZBNS"],"uri":["http://zotero.org/users/666791/items/6S5XZBNS"],"itemData":{"id":71113,"type":"article-journal","abstract":"Energy, food, or mobility can be conceptualized as provisioning systems which are decisive to sustainability transformations in how they shape resource use and because of emissions resulting from them. To curb environmental pressures and improve societal well-being, fundamental changes to existing provisioning systems are necessary. In this article, we propose that provisioning systems be conceptualized as featuring integrated socio-metabolic and political-economic dimensions. In socio-metabolic terms, material stocks—buildings, infrastructures, and machines, for example—are key components of provisioning systems and transform flows of energy and materials into goods and services. In political-economic terms, provisioning systems are formed by actors, institutions, and capital. We loosely identify and closely analyze, from socio-metabolic and political-economic perspectives, five phases along which provisioning systems are shaped and in which sp</w:instrText>
      </w:r>
      <w:r w:rsidR="009835AE" w:rsidRPr="00212084">
        <w:rPr>
          <w:rFonts w:ascii="Times New Roman" w:hAnsi="Times New Roman" w:cs="Times New Roman"/>
          <w:sz w:val="24"/>
          <w:szCs w:val="24"/>
          <w:lang w:val="en-US"/>
        </w:rPr>
        <w:instrText xml:space="preserve">ecific opportunities for interventions exist. Relying mainly on examples from the fossil-fueled electricity system, we argue that an integrated conceptualization of provisioning systems can advance understanding of these systems in two essential ways: by (1) facilitating a more encompassing perspective on current forms of provisioning as relying on capitalist regulation and on material stocks and flows and by (2) embedding provisioning systems within their historical context, making it possible to conceive of more sustainable and just forms of provisioning under (radically) altered conditions.","container-title":"Sustainability Science","DOI":"10.1007/s11625-021-00952-9","ISSN":"1862-4057","journalAbbreviation":"Sustain Sci","language":"en","page":"in press","source":"Springer Link","title":"The transformation of provisioning systems from an integrated perspective of social metabolism and political economy: a conceptual framework","title-short":"The transformation of provisioning systems from an integrated perspective of social metabolism and political economy","volume":"doi: 10.1007/s11625-021-00952-9","author":[{"family":"Schaffartzik","given":"Anke"},{"family":"Pichler","given":"Melanie"},{"family":"Pineault","given":"Eric"},{"family":"Wiedenhofer","given":"Dominik"},{"family":"Gross","given":"Robert"},{"family":"Haberl","given":"Helmut"}],"issued":{"date-parts":[["2021",4,18]]}}}],"schema":"https://github.com/citation-style-language/schema/raw/master/csl-citation.json"} </w:instrText>
      </w:r>
      <w:r w:rsidR="009835AE">
        <w:rPr>
          <w:rFonts w:ascii="Times New Roman" w:hAnsi="Times New Roman" w:cs="Times New Roman"/>
          <w:sz w:val="24"/>
          <w:szCs w:val="24"/>
          <w:lang w:val="en-US"/>
        </w:rPr>
        <w:fldChar w:fldCharType="separate"/>
      </w:r>
      <w:r w:rsidR="009835AE" w:rsidRPr="00212084">
        <w:rPr>
          <w:rFonts w:ascii="Times New Roman" w:hAnsi="Times New Roman" w:cs="Times New Roman"/>
          <w:sz w:val="24"/>
          <w:szCs w:val="24"/>
          <w:lang w:val="en-US"/>
        </w:rPr>
        <w:t>(O’Neill et al., 2018; Plank et al., 2021; Schaffartzik et al., 2021)</w:t>
      </w:r>
      <w:r w:rsidR="009835AE">
        <w:rPr>
          <w:rFonts w:ascii="Times New Roman" w:hAnsi="Times New Roman" w:cs="Times New Roman"/>
          <w:sz w:val="24"/>
          <w:szCs w:val="24"/>
          <w:lang w:val="en-US"/>
        </w:rPr>
        <w:fldChar w:fldCharType="end"/>
      </w:r>
      <w:r w:rsidR="009835AE" w:rsidRPr="00212084">
        <w:rPr>
          <w:rFonts w:ascii="Times New Roman" w:hAnsi="Times New Roman" w:cs="Times New Roman"/>
          <w:sz w:val="24"/>
          <w:szCs w:val="24"/>
          <w:lang w:val="en-US"/>
        </w:rPr>
        <w:t>.</w:t>
      </w:r>
    </w:p>
    <w:p w14:paraId="48C8360A" w14:textId="50190129" w:rsidR="00A01235" w:rsidRPr="00212084" w:rsidRDefault="00A01235" w:rsidP="00306ACB">
      <w:pPr>
        <w:spacing w:after="0" w:line="240" w:lineRule="auto"/>
        <w:rPr>
          <w:rFonts w:ascii="Times New Roman" w:hAnsi="Times New Roman" w:cs="Times New Roman"/>
          <w:sz w:val="24"/>
          <w:szCs w:val="24"/>
          <w:lang w:val="en-US"/>
        </w:rPr>
      </w:pPr>
    </w:p>
    <w:p w14:paraId="6A4E5690" w14:textId="7C1A8414" w:rsidR="00A01235" w:rsidRPr="006F5F19" w:rsidRDefault="00CF4646" w:rsidP="00306AC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4</w:t>
      </w:r>
      <w:r w:rsidR="00954E11" w:rsidRPr="006F5F19">
        <w:rPr>
          <w:rFonts w:ascii="Times New Roman" w:hAnsi="Times New Roman" w:cs="Times New Roman"/>
          <w:b/>
          <w:sz w:val="24"/>
          <w:szCs w:val="24"/>
          <w:lang w:val="en-US"/>
        </w:rPr>
        <w:t>.2 Linking decision-making with social metabolism and biodiversity at regional scales</w:t>
      </w:r>
    </w:p>
    <w:p w14:paraId="6344AC36" w14:textId="5FF977C5" w:rsidR="00D304EC" w:rsidRDefault="00F40815" w:rsidP="00D304EC">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At the macro-level (nation states or supranational entities), attempts to reduce resource use or emissions</w:t>
      </w:r>
      <w:r w:rsidR="00072B02">
        <w:rPr>
          <w:rFonts w:ascii="Times New Roman" w:hAnsi="Times New Roman" w:cs="Times New Roman"/>
          <w:sz w:val="24"/>
          <w:szCs w:val="24"/>
          <w:lang w:val="en-US"/>
        </w:rPr>
        <w:t xml:space="preserve"> are</w:t>
      </w:r>
      <w:r>
        <w:rPr>
          <w:rFonts w:ascii="Times New Roman" w:hAnsi="Times New Roman" w:cs="Times New Roman"/>
          <w:sz w:val="24"/>
          <w:szCs w:val="24"/>
          <w:lang w:val="en-US"/>
        </w:rPr>
        <w:t xml:space="preserve"> mainly </w:t>
      </w:r>
      <w:r w:rsidR="00072B02">
        <w:rPr>
          <w:rFonts w:ascii="Times New Roman" w:hAnsi="Times New Roman" w:cs="Times New Roman"/>
          <w:sz w:val="24"/>
          <w:szCs w:val="24"/>
          <w:lang w:val="en-US"/>
        </w:rPr>
        <w:t xml:space="preserve">based </w:t>
      </w:r>
      <w:r>
        <w:rPr>
          <w:rFonts w:ascii="Times New Roman" w:hAnsi="Times New Roman" w:cs="Times New Roman"/>
          <w:sz w:val="24"/>
          <w:szCs w:val="24"/>
          <w:lang w:val="en-US"/>
        </w:rPr>
        <w:t xml:space="preserve">on </w:t>
      </w:r>
      <w:r w:rsidR="00072B02">
        <w:rPr>
          <w:rFonts w:ascii="Times New Roman" w:hAnsi="Times New Roman" w:cs="Times New Roman"/>
          <w:sz w:val="24"/>
          <w:szCs w:val="24"/>
          <w:lang w:val="en-US"/>
        </w:rPr>
        <w:t xml:space="preserve">macroeconomic models </w:t>
      </w:r>
      <w:r w:rsidR="00072B02">
        <w:rPr>
          <w:rFonts w:ascii="Times New Roman" w:hAnsi="Times New Roman" w:cs="Times New Roman"/>
          <w:sz w:val="24"/>
          <w:szCs w:val="24"/>
          <w:lang w:val="en-US"/>
        </w:rPr>
        <w:fldChar w:fldCharType="begin"/>
      </w:r>
      <w:r w:rsidR="00072B02">
        <w:rPr>
          <w:rFonts w:ascii="Times New Roman" w:hAnsi="Times New Roman" w:cs="Times New Roman"/>
          <w:sz w:val="24"/>
          <w:szCs w:val="24"/>
          <w:lang w:val="en-US"/>
        </w:rPr>
        <w:instrText xml:space="preserve"> ADDIN ZOTERO_ITEM CSL_CITATION {"citationID":"641SdnZ7","properties":{"formattedCitation":"(Hardt and O\\uc0\\u8217{}Neill, 2017)","plainCitation":"(Hardt and O’Neill, 2017)","noteIndex":0},"citationItems":[{"id":2707,"uris":["http://zotero.org/users/666791/items/AKHXKWQH"],"uri":["http://zotero.org/users/666791/items/AKHXKWQH"],"itemData":{"id":2707,"type":"article-journal","abstract":"Our society faces a dilemma. While continued economic growth is ecologically unsustainable, low or negative rates of economic growth are accompanied by adverse social impacts. Hence there is a need for macroeconomic tools that can help identify socially sustainable post-growth pathways. The emerging field of ecological macroeconomics aims to address this need and features a number of new macroeconomic modelling approaches. This article provides (1) a review of modelling developments in ecological macroeconomics, based on the literature and interviews with researchers, and (2) an analysis of how the different models incorporate policy themes from the post-growth literature. Twenty-two ecological macroeconomic models were analysed and compared to eight policy themes. It was found that environmental interactions and the monetary system were treated most comprehensively. Themes of income inequality, work patterns, indicators of well-being, and disaggregated production were addressed with less detail, while alternative business models and cross-scale interactions were hardly addressed. Overall, the combination of input-output analysis with stock-flow consistent modelling was identified as a promising avenue for developing macroeconomic models for a post-growth economy. However, due to the wide interpretation of what “the economy” entails, future research will benefit from employing a range of approaches.","container-title":"Ecological Economics","DOI":"10.1016/j.ecolecon.2016.12.027","ISSN":"0921-8009","journalAbbreviation":"Ecological Economics","page":"198-211","source":"ScienceDirect","title":"Ecological Macroeconomic Models: Assessing Current Developments","title-short":"Ecological Macroeconomic Models","volume":"134","author":[{"family":"Hardt","given":"Lukas"},{"family":"O'Neill","given":"Daniel W."}],"issued":{"date-parts":[["2017",4]]}}}],"schema":"https://github.com/citation-style-language/schema/raw/master/csl-citation.json"} </w:instrText>
      </w:r>
      <w:r w:rsidR="00072B02">
        <w:rPr>
          <w:rFonts w:ascii="Times New Roman" w:hAnsi="Times New Roman" w:cs="Times New Roman"/>
          <w:sz w:val="24"/>
          <w:szCs w:val="24"/>
          <w:lang w:val="en-US"/>
        </w:rPr>
        <w:fldChar w:fldCharType="separate"/>
      </w:r>
      <w:r w:rsidR="00072B02" w:rsidRPr="00072B02">
        <w:rPr>
          <w:rFonts w:ascii="Times New Roman" w:hAnsi="Times New Roman" w:cs="Times New Roman"/>
          <w:sz w:val="24"/>
          <w:szCs w:val="24"/>
          <w:lang w:val="en-US"/>
        </w:rPr>
        <w:t>(Hardt and O’Neill, 2017)</w:t>
      </w:r>
      <w:r w:rsidR="00072B02">
        <w:rPr>
          <w:rFonts w:ascii="Times New Roman" w:hAnsi="Times New Roman" w:cs="Times New Roman"/>
          <w:sz w:val="24"/>
          <w:szCs w:val="24"/>
          <w:lang w:val="en-US"/>
        </w:rPr>
        <w:fldChar w:fldCharType="end"/>
      </w:r>
      <w:r w:rsidR="00072B02">
        <w:rPr>
          <w:rFonts w:ascii="Times New Roman" w:hAnsi="Times New Roman" w:cs="Times New Roman"/>
          <w:sz w:val="24"/>
          <w:szCs w:val="24"/>
          <w:lang w:val="en-US"/>
        </w:rPr>
        <w:t xml:space="preserve">. Possible instruments include tax policies, technology policies, standards, caps, and other options to set framework conditions in a manner that aims to help reducing resource use or emissions. At local and regional levels, it is possible to dig deeper and incorporate decision-making processes of actors in response to such framework conditions, and the effects of these decisions on the use of resources such as energy, materials or land. Developing such models in transdisciplinary research processes </w:t>
      </w:r>
      <w:r w:rsidR="00072B02">
        <w:rPr>
          <w:rFonts w:ascii="Times New Roman" w:hAnsi="Times New Roman" w:cs="Times New Roman"/>
          <w:sz w:val="24"/>
          <w:szCs w:val="24"/>
          <w:lang w:val="en-US"/>
        </w:rPr>
        <w:fldChar w:fldCharType="begin"/>
      </w:r>
      <w:r w:rsidR="00072B02">
        <w:rPr>
          <w:rFonts w:ascii="Times New Roman" w:hAnsi="Times New Roman" w:cs="Times New Roman"/>
          <w:sz w:val="24"/>
          <w:szCs w:val="24"/>
          <w:lang w:val="en-US"/>
        </w:rPr>
        <w:instrText xml:space="preserve"> ADDIN ZOTERO_ITEM CSL_CITATION {"citationID":"lUR4vn1M","properties":{"formattedCitation":"(Smetschka and Gaube, 2020)","plainCitation":"(Smetschka and Gaube, 2020)","noteIndex":0},"citationItems":[{"id":71661,"uris":["http://zotero.org/users/666791/items/HUU74GPK"],"uri":["http://zotero.org/users/666791/items/HUU74GPK"],"itemData":{"id":71661,"type":"article-journal","abstract":"The key challenge for transdisciplinary research aiming to integrate social and scientific knowledge is to produce societal and scientific impacts at the same time. Participatory modelling is a method that uses models in three ways: as a means to generate knowledge, to achieve knowledge integration and to enable societal impact. Agent-based modelling is a computer simulation technique that allows for simulating different actors as agents, the socioeconomic and natural environment they are embedded in, and the interactions among agents and between agents and their environment. This paper presents projects developing agent-based models of Austrian regions with single farm households as agents. The models simulate how changes in socioeconomic and political conditions affect patterns of land use, agricultural production and the socioeconomic situation within this region. Farm households and their decision-making process with its ecological, economic and social implications represent the basis of the agent-based models. We discuss how and why participatory modelling can help foster the impact potentials of transdisciplinary research and what the limitations of the different types of models are. We show that participatory modelling allows for the integration of the most relevant issues in the models and for the development of scenarios and strategies together with the stakeholders. Participatory modelling shows its strength in structuring communication on future scenarios and recommendations for action towards reaching the targets of the various groups involved in transdisciplinary research. Stakeholders can use the model for effective discussion and education processes to find sustainable pathways in agricultural development.","container-title":"Environmental Science &amp; Policy","DOI":"10.1016/j.envsci.2019.10.005","ISSN":"1462-9011","journalAbbreviation":"Environmental Science &amp; Policy","language":"en","page":"41-49","source":"ScienceDirect","title":"Co-creating formalized models: Participatory modelling as method and process in transdisciplinary research and its impact potentials","title-short":"Co-creating formalized models","volume":"103","author":[{"family":"Smetschka","given":"Barbara"},{"family":"Gaube","given":"Veronika"}],"issued":{"date-parts":[["2020",1,1]]}}}],"schema":"https://github.com/citation-style-language/schema/raw/master/csl-citation.json"} </w:instrText>
      </w:r>
      <w:r w:rsidR="00072B02">
        <w:rPr>
          <w:rFonts w:ascii="Times New Roman" w:hAnsi="Times New Roman" w:cs="Times New Roman"/>
          <w:sz w:val="24"/>
          <w:szCs w:val="24"/>
          <w:lang w:val="en-US"/>
        </w:rPr>
        <w:fldChar w:fldCharType="separate"/>
      </w:r>
      <w:r w:rsidR="00072B02" w:rsidRPr="00072B02">
        <w:rPr>
          <w:rFonts w:ascii="Times New Roman" w:hAnsi="Times New Roman" w:cs="Times New Roman"/>
          <w:sz w:val="24"/>
          <w:lang w:val="en-US"/>
        </w:rPr>
        <w:t>(Smetschka and Gaube, 2020)</w:t>
      </w:r>
      <w:r w:rsidR="00072B02">
        <w:rPr>
          <w:rFonts w:ascii="Times New Roman" w:hAnsi="Times New Roman" w:cs="Times New Roman"/>
          <w:sz w:val="24"/>
          <w:szCs w:val="24"/>
          <w:lang w:val="en-US"/>
        </w:rPr>
        <w:fldChar w:fldCharType="end"/>
      </w:r>
      <w:r w:rsidR="00072B02">
        <w:rPr>
          <w:rFonts w:ascii="Times New Roman" w:hAnsi="Times New Roman" w:cs="Times New Roman"/>
          <w:sz w:val="24"/>
          <w:szCs w:val="24"/>
          <w:lang w:val="en-US"/>
        </w:rPr>
        <w:t xml:space="preserve"> is an innovative approach to analyze the complex interactions between social and ecological systems, also with an explicit focus on biodiversity </w:t>
      </w:r>
      <w:r w:rsidR="00072B02">
        <w:rPr>
          <w:rFonts w:ascii="Times New Roman" w:hAnsi="Times New Roman" w:cs="Times New Roman"/>
          <w:sz w:val="24"/>
          <w:szCs w:val="24"/>
          <w:lang w:val="en-US"/>
        </w:rPr>
        <w:fldChar w:fldCharType="begin"/>
      </w:r>
      <w:r w:rsidR="00072B02">
        <w:rPr>
          <w:rFonts w:ascii="Times New Roman" w:hAnsi="Times New Roman" w:cs="Times New Roman"/>
          <w:sz w:val="24"/>
          <w:szCs w:val="24"/>
          <w:lang w:val="en-US"/>
        </w:rPr>
        <w:instrText xml:space="preserve"> ADDIN ZOTERO_ITEM CSL_CITATION {"citationID":"jY7qUyfu","properties":{"formattedCitation":"(Dullinger et al., 2020)","plainCitation":"(Dullinger et al., 2020)","noteIndex":0},"citationItems":[{"id":61676,"uris":["http://zotero.org/users/666791/items/DHZNR7MK"],"uri":["http://zotero.org/users/666791/items/DHZNR7MK"],"itemData":{"id":61676,"type":"article-journal","abstract":"Climate and land-use change jointly affect the future of biodiversity. Yet, biodiversity scenarios have so far concentrated on climatic effects because forecasts of land use are rarely available at appropriate spatial and thematic scales. Agent-based models (ABMs) represent a potentially powerful but little explored tool for establishing thematically and spatially fine-grained land-use scenarios. Here, we use an ABM parameterized for 1,329 agents, mostly farmers, in a Central European model region, and simulate the changes to land-use patterns resulting from their response to three scenarios of changing socio-economic conditions and three scenarios of climate change until the mid of the century. Subsequently, we use species distribution models to, first, analyse relationships between the realized niches of 832 plant species and climatic gradients or land-use types, respectively, and, second, to project consequent changes in potential regional ranges of these species as triggered by changes in both the altered land-use patterns and the changing climate. We find that both drivers determine the realized niches of the studied plants, with land use having a stronger effect than any single climatic variable in the model. Nevertheless, the plants' future distributions appear much more responsive to climate than to land-use changes because alternative future socio-economic backgrounds have only modest impact on land-use decisions in the model region. However, relative effects of climate and land-use changes on biodiversity may differ drastically in other regions, especially where landscapes are still dominated by natural or semi-natural habitat. We conclude that agent-based modelling of land use is able to provide scenarios at scales relevant to individual species distribution and suggest that coupling ABMs with models of species' range change should be intensified to provide more realistic biodiversity forecasts.","container-title":"Global Change Biology","DOI":"10.1111/gcb.14977","ISSN":"1365-2486","issue":"4","language":"en","page":"2336-2352","source":"Wiley Online Library","title":"A socio-ecological model for predicting impacts of land-use and climate change on regional plant diversity in the Austrian Alps","volume":"26","author":[{"family":"Dullinger","given":"Iwona"},{"family":"Gattringer","given":"Andreas"},{"family":"Wessely","given":"Johannes"},{"family":"Moser","given":"Dietmar"},{"family":"Plutzar","given":"Christoph"},{"family":"Willner","given":"Wolfgang"},{"family":"Egger","given":"Claudine"},{"family":"Gaube","given":"Veronika"},{"family":"Haberl","given":"Helmut"},{"family":"Mayer","given":"Andreas"},{"family":"Bohner","given":"Andreas"},{"family":"Gilli","given":"Christian"},{"family":"Pascher","given":"Kathrin"},{"family":"Essl","given":"Franz"},{"family":"Dullinger","given":"Stefan"}],"issued":{"date-parts":[["2020"]]}}}],"schema":"https://github.com/citation-style-language/schema/raw/master/csl-citation.json"} </w:instrText>
      </w:r>
      <w:r w:rsidR="00072B02">
        <w:rPr>
          <w:rFonts w:ascii="Times New Roman" w:hAnsi="Times New Roman" w:cs="Times New Roman"/>
          <w:sz w:val="24"/>
          <w:szCs w:val="24"/>
          <w:lang w:val="en-US"/>
        </w:rPr>
        <w:fldChar w:fldCharType="separate"/>
      </w:r>
      <w:r w:rsidR="00072B02" w:rsidRPr="00072B02">
        <w:rPr>
          <w:rFonts w:ascii="Times New Roman" w:hAnsi="Times New Roman" w:cs="Times New Roman"/>
          <w:sz w:val="24"/>
          <w:lang w:val="en-US"/>
        </w:rPr>
        <w:t>(Dullinger et al., 2020)</w:t>
      </w:r>
      <w:r w:rsidR="00072B02">
        <w:rPr>
          <w:rFonts w:ascii="Times New Roman" w:hAnsi="Times New Roman" w:cs="Times New Roman"/>
          <w:sz w:val="24"/>
          <w:szCs w:val="24"/>
          <w:lang w:val="en-US"/>
        </w:rPr>
        <w:fldChar w:fldCharType="end"/>
      </w:r>
      <w:r w:rsidR="00072B02">
        <w:rPr>
          <w:rFonts w:ascii="Times New Roman" w:hAnsi="Times New Roman" w:cs="Times New Roman"/>
          <w:sz w:val="24"/>
          <w:szCs w:val="24"/>
          <w:lang w:val="en-US"/>
        </w:rPr>
        <w:t xml:space="preserve">. </w:t>
      </w:r>
    </w:p>
    <w:p w14:paraId="5779070C" w14:textId="77777777" w:rsidR="00F40815" w:rsidRPr="00954E11" w:rsidRDefault="00F40815" w:rsidP="00D304EC">
      <w:pPr>
        <w:spacing w:after="0" w:line="240" w:lineRule="auto"/>
        <w:rPr>
          <w:rFonts w:ascii="Times New Roman" w:hAnsi="Times New Roman" w:cs="Times New Roman"/>
          <w:sz w:val="24"/>
          <w:szCs w:val="24"/>
          <w:lang w:val="en-US"/>
        </w:rPr>
      </w:pPr>
    </w:p>
    <w:p w14:paraId="05C102E4" w14:textId="297505D8" w:rsidR="006F5F19" w:rsidRPr="006F5F19" w:rsidRDefault="006F5F19" w:rsidP="006F5F19">
      <w:pPr>
        <w:spacing w:after="0" w:line="240" w:lineRule="auto"/>
        <w:rPr>
          <w:rFonts w:ascii="Times New Roman" w:eastAsia="Times New Roman" w:hAnsi="Times New Roman" w:cs="Times New Roman"/>
          <w:sz w:val="24"/>
          <w:szCs w:val="24"/>
          <w:lang w:val="en-GB" w:eastAsia="de-AT"/>
        </w:rPr>
      </w:pPr>
      <w:r w:rsidRPr="006F5F19">
        <w:rPr>
          <w:rFonts w:ascii="Times New Roman" w:eastAsia="Times New Roman" w:hAnsi="Times New Roman" w:cs="Times New Roman"/>
          <w:sz w:val="24"/>
          <w:szCs w:val="24"/>
          <w:lang w:val="en-GB" w:eastAsia="de-AT"/>
        </w:rPr>
        <w:t>Fig</w:t>
      </w:r>
      <w:r w:rsidR="00072B02">
        <w:rPr>
          <w:rFonts w:ascii="Times New Roman" w:eastAsia="Times New Roman" w:hAnsi="Times New Roman" w:cs="Times New Roman"/>
          <w:sz w:val="24"/>
          <w:szCs w:val="24"/>
          <w:lang w:val="en-GB" w:eastAsia="de-AT"/>
        </w:rPr>
        <w:t>. 6</w:t>
      </w:r>
      <w:r w:rsidRPr="006F5F19">
        <w:rPr>
          <w:rFonts w:ascii="Times New Roman" w:eastAsia="Times New Roman" w:hAnsi="Times New Roman" w:cs="Times New Roman"/>
          <w:sz w:val="24"/>
          <w:szCs w:val="24"/>
          <w:lang w:val="en-GB" w:eastAsia="de-AT"/>
        </w:rPr>
        <w:t xml:space="preserve"> shows a </w:t>
      </w:r>
      <w:r w:rsidR="00072B02">
        <w:rPr>
          <w:rFonts w:ascii="Times New Roman" w:eastAsia="Times New Roman" w:hAnsi="Times New Roman" w:cs="Times New Roman"/>
          <w:sz w:val="24"/>
          <w:szCs w:val="24"/>
          <w:lang w:val="en-GB" w:eastAsia="de-AT"/>
        </w:rPr>
        <w:t>conceptual</w:t>
      </w:r>
      <w:r w:rsidRPr="006F5F19">
        <w:rPr>
          <w:rFonts w:ascii="Times New Roman" w:eastAsia="Times New Roman" w:hAnsi="Times New Roman" w:cs="Times New Roman"/>
          <w:sz w:val="24"/>
          <w:szCs w:val="24"/>
          <w:lang w:val="en-GB" w:eastAsia="de-AT"/>
        </w:rPr>
        <w:t xml:space="preserve"> model of the relationships between human decision-making</w:t>
      </w:r>
      <w:r w:rsidR="00294F31">
        <w:rPr>
          <w:rFonts w:ascii="Times New Roman" w:eastAsia="Times New Roman" w:hAnsi="Times New Roman" w:cs="Times New Roman"/>
          <w:sz w:val="24"/>
          <w:szCs w:val="24"/>
          <w:lang w:val="en-GB" w:eastAsia="de-AT"/>
        </w:rPr>
        <w:t>, socio-metabolic processes</w:t>
      </w:r>
      <w:r w:rsidRPr="006F5F19">
        <w:rPr>
          <w:rFonts w:ascii="Times New Roman" w:eastAsia="Times New Roman" w:hAnsi="Times New Roman" w:cs="Times New Roman"/>
          <w:sz w:val="24"/>
          <w:szCs w:val="24"/>
          <w:lang w:val="en-GB" w:eastAsia="de-AT"/>
        </w:rPr>
        <w:t xml:space="preserve"> and changes in ecosystem processes and structures such as biodiversity</w:t>
      </w:r>
      <w:r w:rsidR="00E02719">
        <w:rPr>
          <w:rFonts w:ascii="Times New Roman" w:eastAsia="Times New Roman" w:hAnsi="Times New Roman" w:cs="Times New Roman"/>
          <w:sz w:val="24"/>
          <w:szCs w:val="24"/>
          <w:lang w:val="en-GB" w:eastAsia="de-AT"/>
        </w:rPr>
        <w:t xml:space="preserve"> </w:t>
      </w:r>
      <w:r w:rsidR="00E02719">
        <w:rPr>
          <w:rFonts w:ascii="Times New Roman" w:eastAsia="Times New Roman" w:hAnsi="Times New Roman" w:cs="Times New Roman"/>
          <w:sz w:val="24"/>
          <w:szCs w:val="24"/>
          <w:lang w:val="en-GB" w:eastAsia="de-AT"/>
        </w:rPr>
        <w:lastRenderedPageBreak/>
        <w:fldChar w:fldCharType="begin"/>
      </w:r>
      <w:r w:rsidR="00E02719">
        <w:rPr>
          <w:rFonts w:ascii="Times New Roman" w:eastAsia="Times New Roman" w:hAnsi="Times New Roman" w:cs="Times New Roman"/>
          <w:sz w:val="24"/>
          <w:szCs w:val="24"/>
          <w:lang w:val="en-GB" w:eastAsia="de-AT"/>
        </w:rPr>
        <w:instrText xml:space="preserve"> ADDIN ZOTERO_ITEM CSL_CITATION {"citationID":"e357E8eG","properties":{"formattedCitation":"(Gaube et al., 2009; Haberl et al., 2009)","plainCitation":"(Gaube et al., 2009; Haberl et al., 2009)","noteIndex":0},"citationItems":[{"id":557,"uris":["http://zotero.org/users/666791/items/DCK3IK4V"],"uri":["http://zotero.org/users/666791/items/DCK3IK4V"],"itemData":{"id":557,"type":"article-journal","abstract":"The integrated modelling of coupled socio-ecological systems in land-change science requires innovative model concepts capable of grasping the interrelations between socioeconomic and natural components. Here, we discuss the integrated socio-ecological model SERD (Simulation of Ecological Compatibility of Regional Development) that was developed for the municipality of Reichraming in Upper Austria in a participative 2-year process involving local stakeholders. SERD includes three main components: (1) an agent-based actors module that simulates decisions of farmsteads, the municipal administration and other important actors; (2) a spatially explicit (GIS based) land-use module that simulates land-use change at the level of individual parcels of land and (3) an integrated socio-ecological stock-flow module that simulates carbon and nitrogen flows through both socioeconomic and ecological system compartments. We report on outcomes of a scenario analysis that outlines possible future trajectories depending on both external (e.g. agricultural subsidies and prices) and internal (e.g. innovation, willingness to co-operate) factors. We find that both external and internal factors can affect the behaviour of the integrated system considerably. Local and regional policies are found to be able to counteract adverse global socioeconomic conditions to some extent, but not to reverse the trend altogether. We also find strong interdependencies between socioeconomic and ecological components of the system. Fully evaluating these interdependencies is, however, not possible at the local scale alone and will require explicit consideration of higher-level effects in future research.","container-title":"Landscape Ecology","DOI":"10.1007/s10980-009-9356-6","ISSN":"0921-2973","issue":"9","page":"1149-1165","source":"SpringerLink","title":"Combining agent-based and stock-flow modelling approaches in a participative analysis of the integrated land system in Reichraming, Austria","volume":"24","author":[{"family":"Gaube","given":"Veronika"},{"family":"Kaiser","given":"Christina"},{"family":"Wildenberg","given":"Martin"},{"family":"Adensam","given":"Heidi"},{"family":"Fleissner","given":"Peter"},{"family":"Kobler","given":"Johannes"},{"family":"Lutz","given":"Juliana"},{"family":"Schaumberger","given":"Andreas"},{"family":"Schaumberger","given":"Jakob"},{"family":"Smetschka","given":"Barbara"},{"family":"Wolf","given":"Angelika"},{"family":"Richter","given":"Andreas"},{"family":"Haberl","given":"Helmut"}],"issued":{"date-parts":[["2009"]]}}},{"id":528,"uris":["http://zotero.org/users/666791/items/A6XFCJXD"],"uri":["http://zotero.org/users/666791/items/A6XFCJXD"],"itemData":{"id":528,"type":"article-journal","abstract":"Effective policies to slow the rate of anthropogenic biodiversity loss should reduce socioeconomic pressures on biodiversity, either directly or by modifying their underlying socioeconomic driving forces. The design of such policies is currently hampered by the limited understanding of socioeconomic drivers of and pressures on biodiversity as well as by lacking data, indicators and models. In order to improve understanding of these issues we here propose a conceptual model of socioeconomic biodiversity drivers and pressures. The model is based on the drivers-pressures-impacts-states-responses (DPSIR) scheme and on the socioeconomic metabolism approach. The aim of the model is to guide research aimed at improving our understanding of socioeconomic biodiversity pressures and drivers and to serve as a basis for the development of formal, quantitative models in that field. Based on three European long-term socio-ecological research (LTSER) platforms, we analyze the model's applicability and suitability as well as data availability and research needs. These platforms are the Danube Delta Wetland System in Romania, the Doñana in Spain and the Eisenwurzen in Austria. An empirical analysis of the relationship between the human appropriation of net primary production (HANPP) and breeding bird richness in the Eisenwurzen demonstrates the ability of HANPP to provide a link between socioeconomic pressures/drivers and biodiversity. The analysis of the case studies underlines the potential utility of the conceptual model to guide future research into socioeconomic biodiversity drivers and pressures. However, considerable investments in monitoring and reconstruction of past trajectories as well as in model development will be required before mathematical (computer) models of the interrelation processes between society and ecosystems can be successfully deployed.","container-title":"Ecological Economics","DOI":"16/j.ecolecon.2008.11.013","ISSN":"0921-8009","issue":"6","page":"1797-1812","source":"ScienceDirect","title":"Towards an integrated model of socioeconomic biodiversity drivers, pressures and impacts. A feasibility study based on three European long-term socio-ecological research platforms","volume":"68","author":[{"family":"Haberl","given":"Helmut"},{"family":"Gaube","given":"Veronika"},{"family":"Díaz-Delgado","given":"Ricardo"},{"family":"Krauze","given":"Kinga"},{"family":"Neuner","given":"Angelika"},{"family":"Peterseil","given":"Johannes"},{"family":"Plutzar","given":"Christoph"},{"family":"Singh","given":"Simron J."},{"family":"Vadineanu","given":"Angheluta"}],"issued":{"date-parts":[["2009",4,15]]}}}],"schema":"https://github.com/citation-style-language/schema/raw/master/csl-citation.json"} </w:instrText>
      </w:r>
      <w:r w:rsidR="00E02719">
        <w:rPr>
          <w:rFonts w:ascii="Times New Roman" w:eastAsia="Times New Roman" w:hAnsi="Times New Roman" w:cs="Times New Roman"/>
          <w:sz w:val="24"/>
          <w:szCs w:val="24"/>
          <w:lang w:val="en-GB" w:eastAsia="de-AT"/>
        </w:rPr>
        <w:fldChar w:fldCharType="separate"/>
      </w:r>
      <w:r w:rsidR="00E02719" w:rsidRPr="005F3383">
        <w:rPr>
          <w:rFonts w:ascii="Times New Roman" w:hAnsi="Times New Roman" w:cs="Times New Roman"/>
          <w:sz w:val="24"/>
          <w:lang w:val="en-US"/>
        </w:rPr>
        <w:t>(Gaube et al., 2009; Haberl et al., 2009)</w:t>
      </w:r>
      <w:r w:rsidR="00E02719">
        <w:rPr>
          <w:rFonts w:ascii="Times New Roman" w:eastAsia="Times New Roman" w:hAnsi="Times New Roman" w:cs="Times New Roman"/>
          <w:sz w:val="24"/>
          <w:szCs w:val="24"/>
          <w:lang w:val="en-GB" w:eastAsia="de-AT"/>
        </w:rPr>
        <w:fldChar w:fldCharType="end"/>
      </w:r>
      <w:r w:rsidRPr="006F5F19">
        <w:rPr>
          <w:rFonts w:ascii="Times New Roman" w:eastAsia="Times New Roman" w:hAnsi="Times New Roman" w:cs="Times New Roman"/>
          <w:sz w:val="24"/>
          <w:szCs w:val="24"/>
          <w:lang w:val="en-GB" w:eastAsia="de-AT"/>
        </w:rPr>
        <w:t>. The key components in the framework are direct and indirect socio-economic as well as natural drivers that affect humans and human decision-making in relation to resource use and land use. Natural drivers additionally have a direct impact on processes and structures in ecosystems, including biodiversity.</w:t>
      </w:r>
    </w:p>
    <w:p w14:paraId="7447C0A2" w14:textId="3DC44D12" w:rsidR="00A954FF" w:rsidRDefault="00A954FF" w:rsidP="00306ACB">
      <w:pPr>
        <w:spacing w:after="0" w:line="240" w:lineRule="auto"/>
        <w:rPr>
          <w:rFonts w:ascii="Times New Roman" w:hAnsi="Times New Roman" w:cs="Times New Roman"/>
          <w:sz w:val="24"/>
          <w:szCs w:val="24"/>
          <w:lang w:val="en-US"/>
        </w:rPr>
      </w:pPr>
    </w:p>
    <w:p w14:paraId="3A6368C7" w14:textId="77777777" w:rsidR="00F60FC6" w:rsidRDefault="00F60FC6" w:rsidP="00F60FC6">
      <w:pPr>
        <w:spacing w:after="0" w:line="240" w:lineRule="auto"/>
        <w:rPr>
          <w:rFonts w:ascii="Times New Roman" w:hAnsi="Times New Roman" w:cs="Times New Roman"/>
          <w:sz w:val="24"/>
          <w:szCs w:val="24"/>
          <w:lang w:val="en-US"/>
        </w:rPr>
      </w:pPr>
      <w:r>
        <w:rPr>
          <w:rFonts w:ascii="Times New Roman" w:hAnsi="Times New Roman" w:cs="Times New Roman"/>
          <w:noProof/>
          <w:sz w:val="24"/>
          <w:szCs w:val="24"/>
          <w:lang w:eastAsia="de-AT"/>
        </w:rPr>
        <w:drawing>
          <wp:inline distT="0" distB="0" distL="0" distR="0" wp14:anchorId="3F6106C1" wp14:editId="34BDD8E6">
            <wp:extent cx="5949483" cy="3758565"/>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68681" cy="3770693"/>
                    </a:xfrm>
                    <a:prstGeom prst="rect">
                      <a:avLst/>
                    </a:prstGeom>
                    <a:noFill/>
                  </pic:spPr>
                </pic:pic>
              </a:graphicData>
            </a:graphic>
          </wp:inline>
        </w:drawing>
      </w:r>
    </w:p>
    <w:p w14:paraId="12B78059" w14:textId="285C1E5B" w:rsidR="00F60FC6" w:rsidRPr="00B1574E" w:rsidRDefault="00F60FC6" w:rsidP="00F60FC6">
      <w:pPr>
        <w:spacing w:after="0" w:line="240" w:lineRule="auto"/>
        <w:rPr>
          <w:rFonts w:ascii="Times New Roman" w:hAnsi="Times New Roman" w:cs="Times New Roman"/>
          <w:sz w:val="20"/>
          <w:szCs w:val="20"/>
          <w:lang w:val="en-US"/>
        </w:rPr>
      </w:pPr>
      <w:r w:rsidRPr="00B1574E">
        <w:rPr>
          <w:rFonts w:ascii="Times New Roman" w:hAnsi="Times New Roman" w:cs="Times New Roman"/>
          <w:b/>
          <w:sz w:val="20"/>
          <w:szCs w:val="20"/>
          <w:lang w:val="en-US"/>
        </w:rPr>
        <w:t xml:space="preserve">Fig. </w:t>
      </w:r>
      <w:r w:rsidR="00F40815">
        <w:rPr>
          <w:rFonts w:ascii="Times New Roman" w:hAnsi="Times New Roman" w:cs="Times New Roman"/>
          <w:b/>
          <w:sz w:val="20"/>
          <w:szCs w:val="20"/>
          <w:lang w:val="en-US"/>
        </w:rPr>
        <w:t>6</w:t>
      </w:r>
      <w:r>
        <w:rPr>
          <w:rFonts w:ascii="Times New Roman" w:hAnsi="Times New Roman" w:cs="Times New Roman"/>
          <w:b/>
          <w:sz w:val="20"/>
          <w:szCs w:val="20"/>
          <w:lang w:val="en-US"/>
        </w:rPr>
        <w:t xml:space="preserve">. </w:t>
      </w:r>
      <w:r w:rsidRPr="00B1574E">
        <w:rPr>
          <w:rFonts w:ascii="Times New Roman" w:hAnsi="Times New Roman" w:cs="Times New Roman"/>
          <w:sz w:val="20"/>
          <w:szCs w:val="20"/>
          <w:lang w:val="en-US"/>
        </w:rPr>
        <w:t xml:space="preserve"> </w:t>
      </w:r>
      <w:r>
        <w:rPr>
          <w:rFonts w:ascii="Times New Roman" w:hAnsi="Times New Roman" w:cs="Times New Roman"/>
          <w:sz w:val="20"/>
          <w:szCs w:val="20"/>
          <w:lang w:val="en-US"/>
        </w:rPr>
        <w:t>Conceptual figure linking resource use and land use with societal dynamics. Own graph.</w:t>
      </w:r>
    </w:p>
    <w:p w14:paraId="24C398F2" w14:textId="77777777" w:rsidR="00F60FC6" w:rsidRDefault="00F60FC6" w:rsidP="00F60FC6">
      <w:pPr>
        <w:spacing w:after="0" w:line="240" w:lineRule="auto"/>
        <w:rPr>
          <w:rFonts w:ascii="Times New Roman" w:hAnsi="Times New Roman" w:cs="Times New Roman"/>
          <w:sz w:val="24"/>
          <w:szCs w:val="24"/>
          <w:lang w:val="en-US"/>
        </w:rPr>
      </w:pPr>
    </w:p>
    <w:p w14:paraId="357CEDAE" w14:textId="54AEE269" w:rsidR="00F60FC6" w:rsidRDefault="00F60FC6" w:rsidP="00F60FC6">
      <w:pPr>
        <w:spacing w:after="0" w:line="240" w:lineRule="auto"/>
        <w:rPr>
          <w:rFonts w:ascii="Times New Roman" w:eastAsia="Times New Roman" w:hAnsi="Times New Roman" w:cs="Times New Roman"/>
          <w:sz w:val="24"/>
          <w:szCs w:val="24"/>
          <w:lang w:val="en-GB" w:eastAsia="de-AT"/>
        </w:rPr>
      </w:pPr>
      <w:r w:rsidRPr="00E04263">
        <w:rPr>
          <w:rFonts w:ascii="Times New Roman" w:eastAsia="Times New Roman" w:hAnsi="Times New Roman" w:cs="Times New Roman"/>
          <w:sz w:val="24"/>
          <w:szCs w:val="24"/>
          <w:lang w:val="en-GB" w:eastAsia="de-AT"/>
        </w:rPr>
        <w:t xml:space="preserve">Human </w:t>
      </w:r>
      <w:r>
        <w:rPr>
          <w:rFonts w:ascii="Times New Roman" w:eastAsia="Times New Roman" w:hAnsi="Times New Roman" w:cs="Times New Roman"/>
          <w:sz w:val="24"/>
          <w:szCs w:val="24"/>
          <w:lang w:val="en-GB" w:eastAsia="de-AT"/>
        </w:rPr>
        <w:t xml:space="preserve">activities </w:t>
      </w:r>
      <w:r w:rsidRPr="00E04263">
        <w:rPr>
          <w:rFonts w:ascii="Times New Roman" w:eastAsia="Times New Roman" w:hAnsi="Times New Roman" w:cs="Times New Roman"/>
          <w:sz w:val="24"/>
          <w:szCs w:val="24"/>
          <w:lang w:val="en-GB" w:eastAsia="de-AT"/>
        </w:rPr>
        <w:t>influence biodiversity through their population size and land and resource use, which are s</w:t>
      </w:r>
      <w:r>
        <w:rPr>
          <w:rFonts w:ascii="Times New Roman" w:eastAsia="Times New Roman" w:hAnsi="Times New Roman" w:cs="Times New Roman"/>
          <w:sz w:val="24"/>
          <w:szCs w:val="24"/>
          <w:lang w:val="en-GB" w:eastAsia="de-AT"/>
        </w:rPr>
        <w:t>haped by different lifestyles</w:t>
      </w:r>
      <w:r w:rsidR="00072B02">
        <w:rPr>
          <w:rFonts w:ascii="Times New Roman" w:eastAsia="Times New Roman" w:hAnsi="Times New Roman" w:cs="Times New Roman"/>
          <w:sz w:val="24"/>
          <w:szCs w:val="24"/>
          <w:lang w:val="en-GB" w:eastAsia="de-AT"/>
        </w:rPr>
        <w:t xml:space="preserve"> or practices</w:t>
      </w:r>
      <w:r>
        <w:rPr>
          <w:rFonts w:ascii="Times New Roman" w:eastAsia="Times New Roman" w:hAnsi="Times New Roman" w:cs="Times New Roman"/>
          <w:sz w:val="24"/>
          <w:szCs w:val="24"/>
          <w:lang w:val="en-GB" w:eastAsia="de-AT"/>
        </w:rPr>
        <w:t xml:space="preserve">. </w:t>
      </w:r>
      <w:r w:rsidRPr="00E04263">
        <w:rPr>
          <w:rFonts w:ascii="Times New Roman" w:eastAsia="Times New Roman" w:hAnsi="Times New Roman" w:cs="Times New Roman"/>
          <w:sz w:val="24"/>
          <w:szCs w:val="24"/>
          <w:lang w:val="en-GB" w:eastAsia="de-AT"/>
        </w:rPr>
        <w:t>Although it is difficult to determine the overall impact of humans on biodiversity, it is important to understand how human actions influence biodiversity through resource use and land use decisions</w:t>
      </w:r>
      <w:r w:rsidR="00E02719">
        <w:rPr>
          <w:rFonts w:ascii="Times New Roman" w:eastAsia="Times New Roman" w:hAnsi="Times New Roman" w:cs="Times New Roman"/>
          <w:sz w:val="24"/>
          <w:szCs w:val="24"/>
          <w:lang w:val="en-GB" w:eastAsia="de-AT"/>
        </w:rPr>
        <w:t xml:space="preserve"> </w:t>
      </w:r>
      <w:r w:rsidR="00E02719">
        <w:rPr>
          <w:rFonts w:ascii="Times New Roman" w:eastAsia="Times New Roman" w:hAnsi="Times New Roman" w:cs="Times New Roman"/>
          <w:sz w:val="24"/>
          <w:szCs w:val="24"/>
          <w:lang w:val="en-GB" w:eastAsia="de-AT"/>
        </w:rPr>
        <w:fldChar w:fldCharType="begin"/>
      </w:r>
      <w:r w:rsidR="00E02719">
        <w:rPr>
          <w:rFonts w:ascii="Times New Roman" w:eastAsia="Times New Roman" w:hAnsi="Times New Roman" w:cs="Times New Roman"/>
          <w:sz w:val="24"/>
          <w:szCs w:val="24"/>
          <w:lang w:val="en-GB" w:eastAsia="de-AT"/>
        </w:rPr>
        <w:instrText xml:space="preserve"> ADDIN ZOTERO_ITEM CSL_CITATION {"citationID":"AUkDbOSm","properties":{"formattedCitation":"(Dullinger et al., 2020)","plainCitation":"(Dullinger et al., 2020)","noteIndex":0},"citationItems":[{"id":61676,"uris":["http://zotero.org/users/666791/items/DHZNR7MK"],"uri":["http://zotero.org/users/666791/items/DHZNR7MK"],"itemData":{"id":61676,"type":"article-journal","abstract":"Climate and land-use change jointly affect the future of biodiversity. Yet, biodiversity scenarios have so far concentrated on climatic effects because forecasts of land use are rarely available at appropriate spatial and thematic scales. Agent-based models (ABMs) represent a potentially powerful but little explored tool for establishing thematically and spatially fine-grained land-use scenarios. Here, we use an ABM parameterized for 1,329 agents, mostly farmers, in a Central European model region, and simulate the changes to land-use patterns resulting from their response to three scenarios of changing socio-economic conditions and three scenarios of climate change until the mid of the century. Subsequently, we use species distribution models to, first, analyse relationships between the realized niches of 832 plant species and climatic gradients or land-use types, respectively, and, second, to project consequent changes in potential regional ranges of these species as triggered by changes in both the altered land-use patterns and the changing climate. We find that both drivers determine the realized niches of the studied plants, with land use having a stronger effect than any single climatic variable in the model. Nevertheless, the plants' future distributions appear much more responsive to climate than to land-use changes because alternative future socio-economic backgrounds have only modest impact on land-use decisions in the model region. However, relative effects of climate and land-use changes on biodiversity may differ drastically in other regions, especially where landscapes are still dominated by natural or semi-natural habitat. We conclude that agent-based modelling of land use is able to provide scenarios at scales relevant to individual species distribution and suggest that coupling ABMs with models of species' range change should be intensified to provide more realistic biodiversity forecasts.","container-title":"Global Change Biology","DOI":"10.1111/gcb.14977","ISSN":"1365-2486","issue":"4","language":"en","page":"2336-2352","source":"Wiley Online Library","title":"A socio-ecological model for predicting impacts of land-use and climate change on regional plant diversity in the Austrian Alps","volume":"26","author":[{"family":"Dullinger","given":"Iwona"},{"family":"Gattringer","given":"Andreas"},{"family":"Wessely","given":"Johannes"},{"family":"Moser","given":"Dietmar"},{"family":"Plutzar","given":"Christoph"},{"family":"Willner","given":"Wolfgang"},{"family":"Egger","given":"Claudine"},{"family":"Gaube","given":"Veronika"},{"family":"Haberl","given":"Helmut"},{"family":"Mayer","given":"Andreas"},{"family":"Bohner","given":"Andreas"},{"family":"Gilli","given":"Christian"},{"family":"Pascher","given":"Kathrin"},{"family":"Essl","given":"Franz"},{"family":"Dullinger","given":"Stefan"}],"issued":{"date-parts":[["2020"]]}}}],"schema":"https://github.com/citation-style-language/schema/raw/master/csl-citation.json"} </w:instrText>
      </w:r>
      <w:r w:rsidR="00E02719">
        <w:rPr>
          <w:rFonts w:ascii="Times New Roman" w:eastAsia="Times New Roman" w:hAnsi="Times New Roman" w:cs="Times New Roman"/>
          <w:sz w:val="24"/>
          <w:szCs w:val="24"/>
          <w:lang w:val="en-GB" w:eastAsia="de-AT"/>
        </w:rPr>
        <w:fldChar w:fldCharType="separate"/>
      </w:r>
      <w:r w:rsidR="00E02719" w:rsidRPr="00E02719">
        <w:rPr>
          <w:rFonts w:ascii="Times New Roman" w:hAnsi="Times New Roman" w:cs="Times New Roman"/>
          <w:sz w:val="24"/>
          <w:lang w:val="en-US"/>
        </w:rPr>
        <w:t>(Dullinger et al., 2020)</w:t>
      </w:r>
      <w:r w:rsidR="00E02719">
        <w:rPr>
          <w:rFonts w:ascii="Times New Roman" w:eastAsia="Times New Roman" w:hAnsi="Times New Roman" w:cs="Times New Roman"/>
          <w:sz w:val="24"/>
          <w:szCs w:val="24"/>
          <w:lang w:val="en-GB" w:eastAsia="de-AT"/>
        </w:rPr>
        <w:fldChar w:fldCharType="end"/>
      </w:r>
      <w:r w:rsidRPr="00E04263">
        <w:rPr>
          <w:rFonts w:ascii="Times New Roman" w:eastAsia="Times New Roman" w:hAnsi="Times New Roman" w:cs="Times New Roman"/>
          <w:sz w:val="24"/>
          <w:szCs w:val="24"/>
          <w:lang w:val="en-GB" w:eastAsia="de-AT"/>
        </w:rPr>
        <w:t xml:space="preserve">. </w:t>
      </w:r>
      <w:r w:rsidR="00E02719">
        <w:rPr>
          <w:rFonts w:ascii="Times New Roman" w:eastAsia="Times New Roman" w:hAnsi="Times New Roman" w:cs="Times New Roman"/>
          <w:sz w:val="24"/>
          <w:szCs w:val="24"/>
          <w:lang w:val="en-GB" w:eastAsia="de-AT"/>
        </w:rPr>
        <w:t>D</w:t>
      </w:r>
      <w:r w:rsidRPr="00E04263">
        <w:rPr>
          <w:rFonts w:ascii="Times New Roman" w:eastAsia="Times New Roman" w:hAnsi="Times New Roman" w:cs="Times New Roman"/>
          <w:sz w:val="24"/>
          <w:szCs w:val="24"/>
          <w:lang w:val="en-GB" w:eastAsia="de-AT"/>
        </w:rPr>
        <w:t xml:space="preserve">irect human influences include changes in local land and resource use, species introductions or removals, </w:t>
      </w:r>
      <w:r>
        <w:rPr>
          <w:rFonts w:ascii="Times New Roman" w:eastAsia="Times New Roman" w:hAnsi="Times New Roman" w:cs="Times New Roman"/>
          <w:sz w:val="24"/>
          <w:szCs w:val="24"/>
          <w:lang w:val="en-GB" w:eastAsia="de-AT"/>
        </w:rPr>
        <w:t>external</w:t>
      </w:r>
      <w:r w:rsidRPr="00E04263">
        <w:rPr>
          <w:rFonts w:ascii="Times New Roman" w:eastAsia="Times New Roman" w:hAnsi="Times New Roman" w:cs="Times New Roman"/>
          <w:sz w:val="24"/>
          <w:szCs w:val="24"/>
          <w:lang w:val="en-GB" w:eastAsia="de-AT"/>
        </w:rPr>
        <w:t xml:space="preserve"> inputs</w:t>
      </w:r>
      <w:r w:rsidR="00EC6189">
        <w:rPr>
          <w:rFonts w:ascii="Times New Roman" w:eastAsia="Times New Roman" w:hAnsi="Times New Roman" w:cs="Times New Roman"/>
          <w:sz w:val="24"/>
          <w:szCs w:val="24"/>
          <w:lang w:val="en-GB" w:eastAsia="de-AT"/>
        </w:rPr>
        <w:t xml:space="preserve"> in agricultural ecosystems</w:t>
      </w:r>
      <w:r w:rsidRPr="00E04263">
        <w:rPr>
          <w:rFonts w:ascii="Times New Roman" w:eastAsia="Times New Roman" w:hAnsi="Times New Roman" w:cs="Times New Roman"/>
          <w:sz w:val="24"/>
          <w:szCs w:val="24"/>
          <w:lang w:val="en-GB" w:eastAsia="de-AT"/>
        </w:rPr>
        <w:t>, harvests, air and water pollution, an</w:t>
      </w:r>
      <w:r>
        <w:rPr>
          <w:rFonts w:ascii="Times New Roman" w:eastAsia="Times New Roman" w:hAnsi="Times New Roman" w:cs="Times New Roman"/>
          <w:sz w:val="24"/>
          <w:szCs w:val="24"/>
          <w:lang w:val="en-GB" w:eastAsia="de-AT"/>
        </w:rPr>
        <w:t>d climate change</w:t>
      </w:r>
      <w:r w:rsidRPr="00E04263">
        <w:rPr>
          <w:rFonts w:ascii="Times New Roman" w:eastAsia="Times New Roman" w:hAnsi="Times New Roman" w:cs="Times New Roman"/>
          <w:sz w:val="24"/>
          <w:szCs w:val="24"/>
          <w:lang w:val="en-GB" w:eastAsia="de-AT"/>
        </w:rPr>
        <w:t>. In addition</w:t>
      </w:r>
      <w:r>
        <w:rPr>
          <w:rFonts w:ascii="Times New Roman" w:eastAsia="Times New Roman" w:hAnsi="Times New Roman" w:cs="Times New Roman"/>
          <w:sz w:val="24"/>
          <w:szCs w:val="24"/>
          <w:lang w:val="en-GB" w:eastAsia="de-AT"/>
        </w:rPr>
        <w:t>,</w:t>
      </w:r>
      <w:r w:rsidRPr="00E04263">
        <w:rPr>
          <w:rFonts w:ascii="Times New Roman" w:eastAsia="Times New Roman" w:hAnsi="Times New Roman" w:cs="Times New Roman"/>
          <w:sz w:val="24"/>
          <w:szCs w:val="24"/>
          <w:lang w:val="en-GB" w:eastAsia="de-AT"/>
        </w:rPr>
        <w:t xml:space="preserve"> to understand how human actions affect biodiversity, it is at least as important to better understand how people (land users, producers, consumers) make </w:t>
      </w:r>
      <w:r>
        <w:rPr>
          <w:rFonts w:ascii="Times New Roman" w:eastAsia="Times New Roman" w:hAnsi="Times New Roman" w:cs="Times New Roman"/>
          <w:sz w:val="24"/>
          <w:szCs w:val="24"/>
          <w:lang w:val="en-GB" w:eastAsia="de-AT"/>
        </w:rPr>
        <w:t>resource</w:t>
      </w:r>
      <w:r w:rsidR="0030793F">
        <w:rPr>
          <w:rFonts w:ascii="Times New Roman" w:eastAsia="Times New Roman" w:hAnsi="Times New Roman" w:cs="Times New Roman"/>
          <w:sz w:val="24"/>
          <w:szCs w:val="24"/>
          <w:lang w:val="en-GB" w:eastAsia="de-AT"/>
        </w:rPr>
        <w:t>-</w:t>
      </w:r>
      <w:r>
        <w:rPr>
          <w:rFonts w:ascii="Times New Roman" w:eastAsia="Times New Roman" w:hAnsi="Times New Roman" w:cs="Times New Roman"/>
          <w:sz w:val="24"/>
          <w:szCs w:val="24"/>
          <w:lang w:val="en-GB" w:eastAsia="de-AT"/>
        </w:rPr>
        <w:t xml:space="preserve">use </w:t>
      </w:r>
      <w:r w:rsidRPr="00E04263">
        <w:rPr>
          <w:rFonts w:ascii="Times New Roman" w:eastAsia="Times New Roman" w:hAnsi="Times New Roman" w:cs="Times New Roman"/>
          <w:sz w:val="24"/>
          <w:szCs w:val="24"/>
          <w:lang w:val="en-GB" w:eastAsia="de-AT"/>
        </w:rPr>
        <w:t>decisions relevant to biodiversity under different framework</w:t>
      </w:r>
      <w:r>
        <w:rPr>
          <w:rFonts w:ascii="Times New Roman" w:eastAsia="Times New Roman" w:hAnsi="Times New Roman" w:cs="Times New Roman"/>
          <w:sz w:val="24"/>
          <w:szCs w:val="24"/>
          <w:lang w:val="en-GB" w:eastAsia="de-AT"/>
        </w:rPr>
        <w:t xml:space="preserve"> condition</w:t>
      </w:r>
      <w:r w:rsidRPr="00E04263">
        <w:rPr>
          <w:rFonts w:ascii="Times New Roman" w:eastAsia="Times New Roman" w:hAnsi="Times New Roman" w:cs="Times New Roman"/>
          <w:sz w:val="24"/>
          <w:szCs w:val="24"/>
          <w:lang w:val="en-GB" w:eastAsia="de-AT"/>
        </w:rPr>
        <w:t>s</w:t>
      </w:r>
      <w:r w:rsidR="00E02719">
        <w:rPr>
          <w:rFonts w:ascii="Times New Roman" w:eastAsia="Times New Roman" w:hAnsi="Times New Roman" w:cs="Times New Roman"/>
          <w:sz w:val="24"/>
          <w:szCs w:val="24"/>
          <w:lang w:val="en-GB" w:eastAsia="de-AT"/>
        </w:rPr>
        <w:t xml:space="preserve"> </w:t>
      </w:r>
      <w:r w:rsidR="00E02719">
        <w:rPr>
          <w:rFonts w:ascii="Times New Roman" w:eastAsia="Times New Roman" w:hAnsi="Times New Roman" w:cs="Times New Roman"/>
          <w:sz w:val="24"/>
          <w:szCs w:val="24"/>
          <w:lang w:val="en-GB" w:eastAsia="de-AT"/>
        </w:rPr>
        <w:fldChar w:fldCharType="begin"/>
      </w:r>
      <w:r w:rsidR="00E02719">
        <w:rPr>
          <w:rFonts w:ascii="Times New Roman" w:eastAsia="Times New Roman" w:hAnsi="Times New Roman" w:cs="Times New Roman"/>
          <w:sz w:val="24"/>
          <w:szCs w:val="24"/>
          <w:lang w:val="en-GB" w:eastAsia="de-AT"/>
        </w:rPr>
        <w:instrText xml:space="preserve"> ADDIN ZOTERO_ITEM CSL_CITATION {"citationID":"eS6GrODb","properties":{"formattedCitation":"(Gaube et al., 2009)","plainCitation":"(Gaube et al., 2009)","noteIndex":0},"citationItems":[{"id":557,"uris":["http://zotero.org/users/666791/items/DCK3IK4V"],"uri":["http://zotero.org/users/666791/items/DCK3IK4V"],"itemData":{"id":557,"type":"article-journal","abstract":"The integrated modelling of coupled socio-ecological systems in land-change science requires innovative model concepts capable of grasping the interrelations between socioeconomic and natural components. Here, we discuss the integrated socio-ecological model SERD (Simulation of Ecological Compatibility of Regional Development) that was developed for the municipality of Reichraming in Upper Austria in a participative 2-year process involving local stakeholders. SERD includes three main components: (1) an agent-based actors module that simulates decisions of farmsteads, the municipal administration and other important actors; (2) a spatially explicit (GIS based) land-use module that simulates land-use change at the level of individual parcels of land and (3) an integrated socio-ecological stock-flow module that simulates carbon and nitrogen flows through both socioeconomic and ecological system compartments. We report on outcomes of a scenario analysis that outlines possible future trajectories depending on both external (e.g. agricultural subsidies and prices) and internal (e.g. innovation, willingness to co-operate) factors. We find that both external and internal factors can affect the behaviour of the integrated system considerably. Local and regional policies are found to be able to counteract adverse global socioeconomic conditions to some extent, but not to reverse the trend altogether. We also find strong interdependencies between socioeconomic and ecological components of the system. Fully evaluating these interdependencies is, however, not possible at the local scale alone and will require explicit consideration of higher-level effects in future research.","container-title":"Landscape Ecology","DOI":"10.1007/s10980-009-9356-6","ISSN":"0921-2973","issue":"9","page":"1149-1165","source":"SpringerLink","title":"Combining agent-based and stock-flow modelling approaches in a participative analysis of the integrated land system in Reichraming, Austria","volume":"24","author":[{"family":"Gaube","given":"Veronika"},{"family":"Kaiser","given":"Christina"},{"family":"Wildenberg","given":"Martin"},{"family":"Adensam","given":"Heidi"},{"family":"Fleissner","given":"Peter"},{"family":"Kobler","given":"Johannes"},{"family":"Lutz","given":"Juliana"},{"family":"Schaumberger","given":"Andreas"},{"family":"Schaumberger","given":"Jakob"},{"family":"Smetschka","given":"Barbara"},{"family":"Wolf","given":"Angelika"},{"family":"Richter","given":"Andreas"},{"family":"Haberl","given":"Helmut"}],"issued":{"date-parts":[["2009"]]}}}],"schema":"https://github.com/citation-style-language/schema/raw/master/csl-citation.json"} </w:instrText>
      </w:r>
      <w:r w:rsidR="00E02719">
        <w:rPr>
          <w:rFonts w:ascii="Times New Roman" w:eastAsia="Times New Roman" w:hAnsi="Times New Roman" w:cs="Times New Roman"/>
          <w:sz w:val="24"/>
          <w:szCs w:val="24"/>
          <w:lang w:val="en-GB" w:eastAsia="de-AT"/>
        </w:rPr>
        <w:fldChar w:fldCharType="separate"/>
      </w:r>
      <w:r w:rsidR="00E02719" w:rsidRPr="00E02719">
        <w:rPr>
          <w:rFonts w:ascii="Times New Roman" w:hAnsi="Times New Roman" w:cs="Times New Roman"/>
          <w:sz w:val="24"/>
          <w:lang w:val="en-US"/>
        </w:rPr>
        <w:t>(Gaube et al., 2009)</w:t>
      </w:r>
      <w:r w:rsidR="00E02719">
        <w:rPr>
          <w:rFonts w:ascii="Times New Roman" w:eastAsia="Times New Roman" w:hAnsi="Times New Roman" w:cs="Times New Roman"/>
          <w:sz w:val="24"/>
          <w:szCs w:val="24"/>
          <w:lang w:val="en-GB" w:eastAsia="de-AT"/>
        </w:rPr>
        <w:fldChar w:fldCharType="end"/>
      </w:r>
      <w:r w:rsidRPr="00E04263">
        <w:rPr>
          <w:rFonts w:ascii="Times New Roman" w:eastAsia="Times New Roman" w:hAnsi="Times New Roman" w:cs="Times New Roman"/>
          <w:sz w:val="24"/>
          <w:szCs w:val="24"/>
          <w:lang w:val="en-GB" w:eastAsia="de-AT"/>
        </w:rPr>
        <w:t xml:space="preserve">. Even if each individual </w:t>
      </w:r>
      <w:r w:rsidR="00E02719">
        <w:rPr>
          <w:rFonts w:ascii="Times New Roman" w:eastAsia="Times New Roman" w:hAnsi="Times New Roman" w:cs="Times New Roman"/>
          <w:sz w:val="24"/>
          <w:szCs w:val="24"/>
          <w:lang w:val="en-GB" w:eastAsia="de-AT"/>
        </w:rPr>
        <w:t xml:space="preserve">person </w:t>
      </w:r>
      <w:r w:rsidRPr="00E04263">
        <w:rPr>
          <w:rFonts w:ascii="Times New Roman" w:eastAsia="Times New Roman" w:hAnsi="Times New Roman" w:cs="Times New Roman"/>
          <w:sz w:val="24"/>
          <w:szCs w:val="24"/>
          <w:lang w:val="en-GB" w:eastAsia="de-AT"/>
        </w:rPr>
        <w:t xml:space="preserve">makes decisions that ultimately affect biodiversity, it is important to know the drivers that lead to different </w:t>
      </w:r>
      <w:r>
        <w:rPr>
          <w:rFonts w:ascii="Times New Roman" w:eastAsia="Times New Roman" w:hAnsi="Times New Roman" w:cs="Times New Roman"/>
          <w:sz w:val="24"/>
          <w:szCs w:val="24"/>
          <w:lang w:val="en-GB" w:eastAsia="de-AT"/>
        </w:rPr>
        <w:t xml:space="preserve">individual </w:t>
      </w:r>
      <w:r w:rsidRPr="00E04263">
        <w:rPr>
          <w:rFonts w:ascii="Times New Roman" w:eastAsia="Times New Roman" w:hAnsi="Times New Roman" w:cs="Times New Roman"/>
          <w:sz w:val="24"/>
          <w:szCs w:val="24"/>
          <w:lang w:val="en-GB" w:eastAsia="de-AT"/>
        </w:rPr>
        <w:t>decisions and the interaction between drivers and decision</w:t>
      </w:r>
      <w:r>
        <w:rPr>
          <w:rFonts w:ascii="Times New Roman" w:eastAsia="Times New Roman" w:hAnsi="Times New Roman" w:cs="Times New Roman"/>
          <w:sz w:val="24"/>
          <w:szCs w:val="24"/>
          <w:lang w:val="en-GB" w:eastAsia="de-AT"/>
        </w:rPr>
        <w:t xml:space="preserve"> making</w:t>
      </w:r>
      <w:r w:rsidRPr="00E04263">
        <w:rPr>
          <w:rFonts w:ascii="Times New Roman" w:eastAsia="Times New Roman" w:hAnsi="Times New Roman" w:cs="Times New Roman"/>
          <w:sz w:val="24"/>
          <w:szCs w:val="24"/>
          <w:lang w:val="en-GB" w:eastAsia="de-AT"/>
        </w:rPr>
        <w:t>.</w:t>
      </w:r>
      <w:r>
        <w:rPr>
          <w:rFonts w:ascii="Times New Roman" w:eastAsia="Times New Roman" w:hAnsi="Times New Roman" w:cs="Times New Roman"/>
          <w:sz w:val="24"/>
          <w:szCs w:val="24"/>
          <w:lang w:val="en-GB" w:eastAsia="de-AT"/>
        </w:rPr>
        <w:t xml:space="preserve"> </w:t>
      </w:r>
      <w:r w:rsidRPr="003B0539">
        <w:rPr>
          <w:rFonts w:ascii="Times New Roman" w:eastAsia="Times New Roman" w:hAnsi="Times New Roman" w:cs="Times New Roman"/>
          <w:sz w:val="24"/>
          <w:szCs w:val="24"/>
          <w:lang w:val="en-GB" w:eastAsia="de-AT"/>
        </w:rPr>
        <w:t xml:space="preserve">One example is the question of how subsidy </w:t>
      </w:r>
      <w:r>
        <w:rPr>
          <w:rFonts w:ascii="Times New Roman" w:eastAsia="Times New Roman" w:hAnsi="Times New Roman" w:cs="Times New Roman"/>
          <w:sz w:val="24"/>
          <w:szCs w:val="24"/>
          <w:lang w:val="en-GB" w:eastAsia="de-AT"/>
        </w:rPr>
        <w:t>schemes</w:t>
      </w:r>
      <w:r w:rsidRPr="003B0539">
        <w:rPr>
          <w:rFonts w:ascii="Times New Roman" w:eastAsia="Times New Roman" w:hAnsi="Times New Roman" w:cs="Times New Roman"/>
          <w:sz w:val="24"/>
          <w:szCs w:val="24"/>
          <w:lang w:val="en-GB" w:eastAsia="de-AT"/>
        </w:rPr>
        <w:t xml:space="preserve"> for agricultural production influence farmers' decisions on how (more or less intensively) to produce their agricultural products. </w:t>
      </w:r>
      <w:r>
        <w:rPr>
          <w:rFonts w:ascii="Times New Roman" w:eastAsia="Times New Roman" w:hAnsi="Times New Roman" w:cs="Times New Roman"/>
          <w:sz w:val="24"/>
          <w:szCs w:val="24"/>
          <w:lang w:val="en-GB" w:eastAsia="de-AT"/>
        </w:rPr>
        <w:t>I</w:t>
      </w:r>
      <w:r w:rsidRPr="005D29A2">
        <w:rPr>
          <w:rFonts w:ascii="Times New Roman" w:eastAsia="Times New Roman" w:hAnsi="Times New Roman" w:cs="Times New Roman"/>
          <w:sz w:val="24"/>
          <w:szCs w:val="24"/>
          <w:lang w:val="en-GB" w:eastAsia="de-AT"/>
        </w:rPr>
        <w:t>t could be that other socio-economic or climatic factors besides agricultural subsidies determine the decision</w:t>
      </w:r>
      <w:r>
        <w:rPr>
          <w:rFonts w:ascii="Times New Roman" w:eastAsia="Times New Roman" w:hAnsi="Times New Roman" w:cs="Times New Roman"/>
          <w:sz w:val="24"/>
          <w:szCs w:val="24"/>
          <w:lang w:val="en-GB" w:eastAsia="de-AT"/>
        </w:rPr>
        <w:t>s</w:t>
      </w:r>
      <w:r w:rsidRPr="005D29A2">
        <w:rPr>
          <w:rFonts w:ascii="Times New Roman" w:eastAsia="Times New Roman" w:hAnsi="Times New Roman" w:cs="Times New Roman"/>
          <w:sz w:val="24"/>
          <w:szCs w:val="24"/>
          <w:lang w:val="en-GB" w:eastAsia="de-AT"/>
        </w:rPr>
        <w:t xml:space="preserve"> for or against certain production practices. Therefore, it is relevant to better understand the interaction between different drivers and drivers and decisions.</w:t>
      </w:r>
    </w:p>
    <w:p w14:paraId="14B6EA2E" w14:textId="77777777" w:rsidR="00F60FC6" w:rsidRPr="00B90A1C" w:rsidRDefault="00F60FC6" w:rsidP="00F60FC6">
      <w:pPr>
        <w:spacing w:after="0" w:line="240" w:lineRule="auto"/>
        <w:rPr>
          <w:rFonts w:ascii="Times New Roman" w:hAnsi="Times New Roman" w:cs="Times New Roman"/>
          <w:sz w:val="24"/>
          <w:szCs w:val="24"/>
          <w:lang w:val="en-US"/>
        </w:rPr>
      </w:pPr>
    </w:p>
    <w:p w14:paraId="455CD442" w14:textId="453064DB" w:rsidR="00B90A1C" w:rsidRPr="00B90A1C" w:rsidRDefault="00F60FC6" w:rsidP="00B90A1C">
      <w:pPr>
        <w:spacing w:after="0" w:line="240" w:lineRule="auto"/>
        <w:rPr>
          <w:rFonts w:ascii="Times New Roman" w:hAnsi="Times New Roman" w:cs="Times New Roman"/>
          <w:sz w:val="24"/>
          <w:szCs w:val="24"/>
          <w:lang w:val="en-US"/>
        </w:rPr>
      </w:pPr>
      <w:r w:rsidRPr="00B90A1C">
        <w:rPr>
          <w:rFonts w:ascii="Times New Roman" w:hAnsi="Times New Roman" w:cs="Times New Roman"/>
          <w:sz w:val="24"/>
          <w:szCs w:val="24"/>
          <w:lang w:val="en-US"/>
        </w:rPr>
        <w:t xml:space="preserve">Agent-based models (ABMs) are particularly well-suited tools in this respect, especially on landscape to regional scales, because they can represent future land and resource use patterns at a spatial and thematic resolution relevant to species distribution. </w:t>
      </w:r>
      <w:r w:rsidR="00E02719">
        <w:rPr>
          <w:rFonts w:ascii="Times New Roman" w:hAnsi="Times New Roman" w:cs="Times New Roman"/>
          <w:sz w:val="24"/>
          <w:szCs w:val="24"/>
          <w:lang w:val="en-US"/>
        </w:rPr>
        <w:t>Moreover</w:t>
      </w:r>
      <w:r w:rsidRPr="00B90A1C">
        <w:rPr>
          <w:rFonts w:ascii="Times New Roman" w:hAnsi="Times New Roman" w:cs="Times New Roman"/>
          <w:sz w:val="24"/>
          <w:szCs w:val="24"/>
          <w:lang w:val="en-US"/>
        </w:rPr>
        <w:t xml:space="preserve">, by explicitly integrating individual decision making they better capture the complex motivation that often drives plot-level land-use change </w:t>
      </w:r>
      <w:r w:rsidRPr="00B90A1C">
        <w:rPr>
          <w:rFonts w:ascii="Times New Roman" w:hAnsi="Times New Roman" w:cs="Times New Roman"/>
          <w:sz w:val="24"/>
          <w:szCs w:val="24"/>
          <w:lang w:val="en-US"/>
        </w:rPr>
        <w:fldChar w:fldCharType="begin"/>
      </w:r>
      <w:r w:rsidRPr="00B90A1C">
        <w:rPr>
          <w:rFonts w:ascii="Times New Roman" w:hAnsi="Times New Roman" w:cs="Times New Roman"/>
          <w:sz w:val="24"/>
          <w:szCs w:val="24"/>
          <w:lang w:val="en-US"/>
        </w:rPr>
        <w:instrText xml:space="preserve"> ADDIN ZOTERO_ITEM CSL_CITATION {"citationID":"Vk6wBxWV","properties":{"formattedCitation":"(Janssen and Ostrom, 2006)","plainCitation":"(Janssen and Ostrom, 2006)","noteIndex":0},"citationItems":[{"id":2028,"uris":["http://zotero.org/users/666791/items/7A9KBZ4J"],"uri":["http://zotero.org/users/666791/items/7A9KBZ4J"],"itemData":{"id":2028,"type":"article-journal","container-title":"Ecology and Society","issue":"2","page":"37","title":"Empirically based, agent-based models","volume":"11","author":[{"family":"Janssen","given":"Marco A."},{"family":"Ostrom","given":"Elinor"}],"issued":{"date-parts":[["2006"]]}}}],"schema":"https://github.com/citation-style-language/schema/raw/master/csl-citation.json"} </w:instrText>
      </w:r>
      <w:r w:rsidRPr="00B90A1C">
        <w:rPr>
          <w:rFonts w:ascii="Times New Roman" w:hAnsi="Times New Roman" w:cs="Times New Roman"/>
          <w:sz w:val="24"/>
          <w:szCs w:val="24"/>
          <w:lang w:val="en-US"/>
        </w:rPr>
        <w:fldChar w:fldCharType="separate"/>
      </w:r>
      <w:r w:rsidRPr="00B90A1C">
        <w:rPr>
          <w:rFonts w:ascii="Times New Roman" w:hAnsi="Times New Roman" w:cs="Times New Roman"/>
          <w:sz w:val="24"/>
          <w:szCs w:val="24"/>
          <w:lang w:val="en-US"/>
        </w:rPr>
        <w:t>(Janssen and Ostrom, 2006)</w:t>
      </w:r>
      <w:r w:rsidRPr="00B90A1C">
        <w:rPr>
          <w:rFonts w:ascii="Times New Roman" w:hAnsi="Times New Roman" w:cs="Times New Roman"/>
          <w:sz w:val="24"/>
          <w:szCs w:val="24"/>
          <w:lang w:val="en-US"/>
        </w:rPr>
        <w:fldChar w:fldCharType="end"/>
      </w:r>
      <w:r w:rsidRPr="00B90A1C">
        <w:rPr>
          <w:rFonts w:ascii="Times New Roman" w:hAnsi="Times New Roman" w:cs="Times New Roman"/>
          <w:sz w:val="24"/>
          <w:szCs w:val="24"/>
          <w:lang w:val="en-US"/>
        </w:rPr>
        <w:t xml:space="preserve">. </w:t>
      </w:r>
      <w:r w:rsidR="002A5E70">
        <w:rPr>
          <w:rFonts w:ascii="Times New Roman" w:hAnsi="Times New Roman" w:cs="Times New Roman"/>
          <w:sz w:val="24"/>
          <w:szCs w:val="24"/>
          <w:lang w:val="en-US"/>
        </w:rPr>
        <w:t xml:space="preserve">They allow to </w:t>
      </w:r>
      <w:r w:rsidRPr="00B90A1C">
        <w:rPr>
          <w:rFonts w:ascii="Times New Roman" w:hAnsi="Times New Roman" w:cs="Times New Roman"/>
          <w:sz w:val="24"/>
          <w:szCs w:val="24"/>
          <w:lang w:val="en-US"/>
        </w:rPr>
        <w:t>integrat</w:t>
      </w:r>
      <w:r w:rsidR="002A5E70">
        <w:rPr>
          <w:rFonts w:ascii="Times New Roman" w:hAnsi="Times New Roman" w:cs="Times New Roman"/>
          <w:sz w:val="24"/>
          <w:szCs w:val="24"/>
          <w:lang w:val="en-US"/>
        </w:rPr>
        <w:t>e</w:t>
      </w:r>
      <w:r w:rsidRPr="00B90A1C">
        <w:rPr>
          <w:rFonts w:ascii="Times New Roman" w:hAnsi="Times New Roman" w:cs="Times New Roman"/>
          <w:sz w:val="24"/>
          <w:szCs w:val="24"/>
          <w:lang w:val="en-US"/>
        </w:rPr>
        <w:t xml:space="preserve"> the </w:t>
      </w:r>
      <w:r w:rsidRPr="00B90A1C">
        <w:rPr>
          <w:rFonts w:ascii="Times New Roman" w:hAnsi="Times New Roman" w:cs="Times New Roman"/>
          <w:sz w:val="24"/>
          <w:szCs w:val="24"/>
          <w:lang w:val="en-US"/>
        </w:rPr>
        <w:lastRenderedPageBreak/>
        <w:t xml:space="preserve">perspective of relevant stakeholders </w:t>
      </w:r>
      <w:r w:rsidR="002A5E70">
        <w:rPr>
          <w:rFonts w:ascii="Times New Roman" w:hAnsi="Times New Roman" w:cs="Times New Roman"/>
          <w:sz w:val="24"/>
          <w:szCs w:val="24"/>
          <w:lang w:val="en-US"/>
        </w:rPr>
        <w:t xml:space="preserve">in transdisciplinary research processes </w:t>
      </w:r>
      <w:r w:rsidRPr="00B90A1C">
        <w:rPr>
          <w:rFonts w:ascii="Times New Roman" w:hAnsi="Times New Roman" w:cs="Times New Roman"/>
          <w:sz w:val="24"/>
          <w:szCs w:val="24"/>
          <w:lang w:val="en-US"/>
        </w:rPr>
        <w:fldChar w:fldCharType="begin"/>
      </w:r>
      <w:r w:rsidRPr="00B90A1C">
        <w:rPr>
          <w:rFonts w:ascii="Times New Roman" w:hAnsi="Times New Roman" w:cs="Times New Roman"/>
          <w:sz w:val="24"/>
          <w:szCs w:val="24"/>
          <w:lang w:val="en-US"/>
        </w:rPr>
        <w:instrText xml:space="preserve"> ADDIN ZOTERO_ITEM CSL_CITATION {"citationID":"ESWMaZyu","properties":{"formattedCitation":"(Smetschka and Gaube, 2020)","plainCitation":"(Smetschka and Gaube, 2020)","noteIndex":0},"citationItems":[{"id":71661,"uris":["http://zotero.org/users/666791/items/HUU74GPK"],"uri":["http://zotero.org/users/666791/items/HUU74GPK"],"itemData":{"id":71661,"type":"article-journal","abstract":"The key challenge for transdisciplinary research aiming to integrate social and scientific knowledge is to produce societal and scientific impacts at the same time. Participatory modelling is a method that uses models in three ways: as a means to generate knowledge, to achieve knowledge integration and to enable societal impact. Agent-based modelling is a computer simulation technique that allows for simulating different actors as agents, the socioeconomic and natural environment they are embedded in, and the interactions among agents and between agents and their environment. This paper presents projects developing agent-based models of Austrian regions with single farm households as agents. The models simulate how changes in socioeconomic and political conditions affect patterns of land use, agricultural production and the socioeconomic situation within this region. Farm households and their decision-making process with its ecological, economic and social implications represent the basis of the agent-based models. We discuss how and why participatory modelling can help foster the impact potentials of transdisciplinary research and what the limitations of the different types of models are. We show that participatory modelling allows for the integration of the most relevant issues in the models and for the development of scenarios and strategies together with the stakeholders. Participatory modelling shows its strength in structuring communication on future scenarios and recommendations for action towards reaching the targets of the various groups involved in transdisciplinary research. Stakeholders can use the model for effective discussion and education processes to find sustainable pathways in agricultural development.","container-title":"Environmental Science &amp; Policy","DOI":"10.1016/j.envsci.2019.10.005","ISSN":"1462-9011","journalAbbreviation":"Environmental Science &amp; Policy","language":"en","page":"41-49","source":"ScienceDirect","title":"Co-creating formalized models: Participatory modelling as method and process in transdisciplinary research and its impact potentials","title-short":"Co-creating formalized models","volume":"103","author":[{"family":"Smetschka","given":"Barbara"},{"family":"Gaube","given":"Veronika"}],"issued":{"date-parts":[["2020",1,1]]}}}],"schema":"https://github.com/citation-style-language/schema/raw/master/csl-citation.json"} </w:instrText>
      </w:r>
      <w:r w:rsidRPr="00B90A1C">
        <w:rPr>
          <w:rFonts w:ascii="Times New Roman" w:hAnsi="Times New Roman" w:cs="Times New Roman"/>
          <w:sz w:val="24"/>
          <w:szCs w:val="24"/>
          <w:lang w:val="en-US"/>
        </w:rPr>
        <w:fldChar w:fldCharType="separate"/>
      </w:r>
      <w:r w:rsidRPr="00B90A1C">
        <w:rPr>
          <w:rFonts w:ascii="Times New Roman" w:hAnsi="Times New Roman" w:cs="Times New Roman"/>
          <w:sz w:val="24"/>
          <w:szCs w:val="24"/>
          <w:lang w:val="en-US"/>
        </w:rPr>
        <w:t>(Smetschka and Gaube, 2020)</w:t>
      </w:r>
      <w:r w:rsidRPr="00B90A1C">
        <w:rPr>
          <w:rFonts w:ascii="Times New Roman" w:hAnsi="Times New Roman" w:cs="Times New Roman"/>
          <w:sz w:val="24"/>
          <w:szCs w:val="24"/>
          <w:lang w:val="en-US"/>
        </w:rPr>
        <w:fldChar w:fldCharType="end"/>
      </w:r>
      <w:r w:rsidRPr="00B90A1C">
        <w:rPr>
          <w:rFonts w:ascii="Times New Roman" w:hAnsi="Times New Roman" w:cs="Times New Roman"/>
          <w:sz w:val="24"/>
          <w:szCs w:val="24"/>
          <w:lang w:val="en-US"/>
        </w:rPr>
        <w:t xml:space="preserve">, </w:t>
      </w:r>
      <w:r w:rsidR="002A5E70">
        <w:rPr>
          <w:rFonts w:ascii="Times New Roman" w:hAnsi="Times New Roman" w:cs="Times New Roman"/>
          <w:sz w:val="24"/>
          <w:szCs w:val="24"/>
          <w:lang w:val="en-US"/>
        </w:rPr>
        <w:t xml:space="preserve">thereby helping to develop </w:t>
      </w:r>
      <w:r w:rsidRPr="00B90A1C">
        <w:rPr>
          <w:rFonts w:ascii="Times New Roman" w:hAnsi="Times New Roman" w:cs="Times New Roman"/>
          <w:sz w:val="24"/>
          <w:szCs w:val="24"/>
          <w:lang w:val="en-US"/>
        </w:rPr>
        <w:t xml:space="preserve">a realistic representation of </w:t>
      </w:r>
      <w:r w:rsidR="002A5E70">
        <w:rPr>
          <w:rFonts w:ascii="Times New Roman" w:hAnsi="Times New Roman" w:cs="Times New Roman"/>
          <w:sz w:val="24"/>
          <w:szCs w:val="24"/>
          <w:lang w:val="en-US"/>
        </w:rPr>
        <w:t xml:space="preserve">the contexts of decisions, </w:t>
      </w:r>
      <w:r w:rsidRPr="00B90A1C">
        <w:rPr>
          <w:rFonts w:ascii="Times New Roman" w:hAnsi="Times New Roman" w:cs="Times New Roman"/>
          <w:sz w:val="24"/>
          <w:szCs w:val="24"/>
          <w:lang w:val="en-US"/>
        </w:rPr>
        <w:t>which is crucial for assessments of policy instruments in terms of their implications for biodiversity. The development and implementation of land</w:t>
      </w:r>
      <w:r w:rsidR="0030793F">
        <w:rPr>
          <w:rFonts w:ascii="Times New Roman" w:hAnsi="Times New Roman" w:cs="Times New Roman"/>
          <w:sz w:val="24"/>
          <w:szCs w:val="24"/>
          <w:lang w:val="en-US"/>
        </w:rPr>
        <w:t>-</w:t>
      </w:r>
      <w:r w:rsidRPr="00B90A1C">
        <w:rPr>
          <w:rFonts w:ascii="Times New Roman" w:hAnsi="Times New Roman" w:cs="Times New Roman"/>
          <w:sz w:val="24"/>
          <w:szCs w:val="24"/>
          <w:lang w:val="en-US"/>
        </w:rPr>
        <w:t>use and resource</w:t>
      </w:r>
      <w:r w:rsidR="0030793F">
        <w:rPr>
          <w:rFonts w:ascii="Times New Roman" w:hAnsi="Times New Roman" w:cs="Times New Roman"/>
          <w:sz w:val="24"/>
          <w:szCs w:val="24"/>
          <w:lang w:val="en-US"/>
        </w:rPr>
        <w:t>-</w:t>
      </w:r>
      <w:r w:rsidRPr="00B90A1C">
        <w:rPr>
          <w:rFonts w:ascii="Times New Roman" w:hAnsi="Times New Roman" w:cs="Times New Roman"/>
          <w:sz w:val="24"/>
          <w:szCs w:val="24"/>
          <w:lang w:val="en-US"/>
        </w:rPr>
        <w:t xml:space="preserve">use scenarios via ABMs and their linkage with biodiversity models should be intensified. Moreover, ABMs can potentially be coupled with any type of biodiversity models such as species distribution models </w:t>
      </w:r>
      <w:r w:rsidRPr="00B90A1C">
        <w:rPr>
          <w:rFonts w:ascii="Times New Roman" w:hAnsi="Times New Roman" w:cs="Times New Roman"/>
          <w:sz w:val="24"/>
          <w:szCs w:val="24"/>
          <w:lang w:val="en-US"/>
        </w:rPr>
        <w:fldChar w:fldCharType="begin"/>
      </w:r>
      <w:r w:rsidRPr="00B90A1C">
        <w:rPr>
          <w:rFonts w:ascii="Times New Roman" w:hAnsi="Times New Roman" w:cs="Times New Roman"/>
          <w:sz w:val="24"/>
          <w:szCs w:val="24"/>
          <w:lang w:val="en-US"/>
        </w:rPr>
        <w:instrText xml:space="preserve"> ADDIN ZOTERO_ITEM CSL_CITATION {"citationID":"mjrEsBA9","properties":{"formattedCitation":"(Dullinger et al., 2020)","plainCitation":"(Dullinger et al., 2020)","noteIndex":0},"citationItems":[{"id":61676,"uris":["http://zotero.org/users/666791/items/DHZNR7MK"],"uri":["http://zotero.org/users/666791/items/DHZNR7MK"],"itemData":{"id":61676,"type":"article-journal","abstract":"Climate and land-use change jointly affect the future of biodiversity. Yet, biodiversity scenarios have so far concentrated on climatic effects because forecasts of land use are rarely available at appropriate spatial and thematic scales. Agent-based models (ABMs) represent a potentially powerful but little explored tool for establishing thematically and spatially fine-grained land-use scenarios. Here, we use an ABM parameterized for 1,329 agents, mostly farmers, in a Central European model region, and simulate the changes to land-use patterns resulting from their response to three scenarios of changing socio-economic conditions and three scenarios of climate change until the mid of the century. Subsequently, we use species distribution models to, first, analyse relationships between the realized niches of 832 plant species and climatic gradients or land-use types, respectively, and, second, to project consequent changes in potential regional ranges of these species as triggered by changes in both the altered land-use patterns and the changing climate. We find that both drivers determine the realized niches of the studied plants, with land use having a stronger effect than any single climatic variable in the model. Nevertheless, the plants' future distributions appear much more responsive to climate than to land-use changes because alternative future socio-economic backgrounds have only modest impact on land-use decisions in the model region. However, relative effects of climate and land-use changes on biodiversity may differ drastically in other regions, especially where landscapes are still dominated by natural or semi-natural habitat. We conclude that agent-based modelling of land use is able to provide scenarios at scales relevant to individual species distribution and suggest that coupling ABMs with models of species' range change should be intensified to provide more realistic biodiversity forecasts.","container-title":"Global Change Biology","DOI":"10.1111/gcb.14977","ISSN":"1365-2486","issue":"4","language":"en","page":"2336-2352","source":"Wiley Online Library","title":"A socio-ecological model for predicting impacts of land-use and climate change on regional plant diversity in the Austrian Alps","volume":"26","author":[{"family":"Dullinger","given":"Iwona"},{"family":"Gattringer","given":"Andreas"},{"family":"Wessely","given":"Johannes"},{"family":"Moser","given":"Dietmar"},{"family":"Plutzar","given":"Christoph"},{"family":"Willner","given":"Wolfgang"},{"family":"Egger","given":"Claudine"},{"family":"Gaube","given":"Veronika"},{"family":"Haberl","given":"Helmut"},{"family":"Mayer","given":"Andreas"},{"family":"Bohner","given":"Andreas"},{"family":"Gilli","given":"Christian"},{"family":"Pascher","given":"Kathrin"},{"family":"Essl","given":"Franz"},{"family":"Dullinger","given":"Stefan"}],"issued":{"date-parts":[["2020"]]}}}],"schema":"https://github.com/citation-style-language/schema/raw/master/csl-citation.json"} </w:instrText>
      </w:r>
      <w:r w:rsidRPr="00B90A1C">
        <w:rPr>
          <w:rFonts w:ascii="Times New Roman" w:hAnsi="Times New Roman" w:cs="Times New Roman"/>
          <w:sz w:val="24"/>
          <w:szCs w:val="24"/>
          <w:lang w:val="en-US"/>
        </w:rPr>
        <w:fldChar w:fldCharType="separate"/>
      </w:r>
      <w:r w:rsidRPr="00B90A1C">
        <w:rPr>
          <w:rFonts w:ascii="Times New Roman" w:hAnsi="Times New Roman" w:cs="Times New Roman"/>
          <w:sz w:val="24"/>
          <w:szCs w:val="24"/>
          <w:lang w:val="en-US"/>
        </w:rPr>
        <w:t>(Dullinger et al., 2020)</w:t>
      </w:r>
      <w:r w:rsidRPr="00B90A1C">
        <w:rPr>
          <w:rFonts w:ascii="Times New Roman" w:hAnsi="Times New Roman" w:cs="Times New Roman"/>
          <w:sz w:val="24"/>
          <w:szCs w:val="24"/>
          <w:lang w:val="en-US"/>
        </w:rPr>
        <w:fldChar w:fldCharType="end"/>
      </w:r>
      <w:r w:rsidRPr="00B90A1C">
        <w:rPr>
          <w:rFonts w:ascii="Times New Roman" w:hAnsi="Times New Roman" w:cs="Times New Roman"/>
          <w:sz w:val="24"/>
          <w:szCs w:val="24"/>
          <w:lang w:val="en-US"/>
        </w:rPr>
        <w:t xml:space="preserve">. But also links with dynamic range models </w:t>
      </w:r>
      <w:r w:rsidRPr="00B90A1C">
        <w:rPr>
          <w:rFonts w:ascii="Times New Roman" w:hAnsi="Times New Roman" w:cs="Times New Roman"/>
          <w:sz w:val="24"/>
          <w:szCs w:val="24"/>
          <w:lang w:val="en-US"/>
        </w:rPr>
        <w:fldChar w:fldCharType="begin"/>
      </w:r>
      <w:r w:rsidRPr="00B90A1C">
        <w:rPr>
          <w:rFonts w:ascii="Times New Roman" w:hAnsi="Times New Roman" w:cs="Times New Roman"/>
          <w:sz w:val="24"/>
          <w:szCs w:val="24"/>
          <w:lang w:val="en-US"/>
        </w:rPr>
        <w:instrText xml:space="preserve"> ADDIN ZOTERO_ITEM CSL_CITATION {"citationID":"OI6zeVN7","properties":{"formattedCitation":"(Lurgi et al., 2015; Zurell et al., 2016)","plainCitation":"(Lurgi et al., 2015; Zurell et al., 2016)","noteIndex":0},"citationItems":[{"id":71663,"uris":["http://zotero.org/users/666791/items/VIXAFKWD"],"uri":["http://zotero.org/users/666791/items/VIXAFKWD"],"itemData":{"id":71663,"type":"article-journal","abstract":"To conserve future biodiversity, a better understanding of the likely effects of climate and land-use change on the geographical distributions of species and the persistence of ecological communities is needed. Recent advances have integrated population dynamic processes into species distribution models (SDMs), to reduce potential biases in predictions and to better reflect the demographic nuances of incremental range shifts. However, there is no clear framework for selecting the most appropriate demographic-based model for a given data set or scientific question. We review the computer-based modelling platforms currently used for the development of either population- or individual-based species range dynamics models. We describe the features and requirements of 20 software platforms commonly used to generate simulations of species ranges and abundances. We classify the platforms according to particular capabilities or features that account for user requirements and constraints, such as (i) ability to simulate simple to complex population dynamics, (ii) organism specificity or (iii) their computational capacities. Using this classification, we develop a protocol for choosing the most appropriate framework for modelling species range dynamics based in data availability and research requirements. We find that the main differences between modelling platforms are related to the way in which they simulate population dynamics, the type of organisms they are able to model and the ecological processes they incorporate. We show that some platforms can be used as generic modelling software to investigate a broad range of ecological questions related to the range dynamics of most species, and how these are likely to change in the future in response to forecast climate and land-use change. We argue that model predictions will be improved by reducing usage to a smaller number of highly flexible freeware platforms. Our approach provides ecologists and conservation biologists with a clear method for selecting the most appropriate software platform that meets their needs when developing SDMs coupled with population-dynamic processes. We argue that informed tool choice will translate to better predictions of species responses to climate and land-use change and improved conservation management.","container-title":"Methods in Ecology and Evolution","DOI":"10.1111/2041-210X.12315","ISSN":"2041-210X","issue":"3","language":"en","note":"_eprint: https://besjournals.onlinelibrary.wiley.com/doi/pdf/10.1111/2041-210X.12315","page":"247-256","source":"Wiley Online Library","title":"Modelling range dynamics under global change: which framework and why?","title-short":"Modelling range dynamics under global change","volume":"6","author":[{"family":"Lurgi","given":"Miguel"},{"family":"Brook","given":"Barry W."},{"family":"Saltré","given":"Frédérik"},{"family":"Fordham","given":"Damien A."}],"issued":{"date-parts":[["2015"]]}}},{"id":71666,"uris":["http://zotero.org/users/666791/items/GJVDZ6NU"],"uri":["http://zotero.org/users/666791/items/GJVDZ6NU"],"itemData":{"id":71666,"type":"article-journal","abstract":"Increasing biodiversity loss due to climate change is one of the most vital challenges of the 21st century. To anticipate and mitigate biodiversity loss, models are needed that reliably project species’ range dynamics and extinction risks. Recently, several new approaches to model range dynamics have been developed to supplement correlative species distribution models (SDMs), but applications clearly lag behind model development. Indeed, no comparative analysis has been performed to evaluate their performance. Here, we build on process-based, simulated data for benchmarking five range (dynamic) models of varying complexity including classical SDMs, SDMs coupled with simple dispersal or more complex population dynamic models (SDM hybrids), and a hierarchical Bayesian process-based dynamic range model (DRM). We specifically test the effects of demographic and community processes on model predictive performance. Under current climate, DRMs performed best, although only marginally. Under climate change, predictive performance varied considerably, with no clear winners. Yet, all range dynamic models improved predictions under climate change substantially compared to purely correlative SDMs, and the population dynamic models also predicted reasonable extinction risks for most scenarios. When benchmarking data were simulated with more complex demographic and community processes, simple SDM hybrids including only dispersal often proved most reliable. Finally, we found that structural decisions during model building can have great impact on model accuracy, but prior system knowledge on important processes can reduce these uncertainties considerably. Our results reassure the clear merit in using dynamic approaches for modelling species’ response to climate change but also emphasize several needs for further model and data improvement. We propose and discuss perspectives for improving range projections through combination of multiple models and for making these approaches operational for large numbers of species.","container-title":"Global Change Biology","DOI":"10.1111/gcb.13251","ISSN":"1365-2486","issue":"8","language":"en","note":"_eprint: https://onlinelibrary.wiley.com/doi/pdf/10.1111/gcb.13251","page":"2651-2664","source":"Wiley Online Library","title":"Benchmarking novel approaches for modelling species range dynamics","volume":"22","author":[{"family":"Zurell","given":"Damaris"},{"family":"Thuiller","given":"Wilfried"},{"family":"Pagel","given":"Jörn"},{"family":"Cabral","given":"Juliano S."},{"family":"Münkemüller","given":"Tamara"},{"family":"Gravel","given":"Dominique"},{"family":"Dullinger","given":"Stefan"},{"family":"Normand","given":"Signe"},{"family":"Schiffers","given":"Katja H."},{"family":"Moore","given":"Kara A."},{"family":"Zimmermann","given":"Niklaus E."}],"issued":{"date-parts":[["2016"]]}}}],"schema":"https://github.com/citation-style-language/schema/raw/master/csl-citation.json"} </w:instrText>
      </w:r>
      <w:r w:rsidRPr="00B90A1C">
        <w:rPr>
          <w:rFonts w:ascii="Times New Roman" w:hAnsi="Times New Roman" w:cs="Times New Roman"/>
          <w:sz w:val="24"/>
          <w:szCs w:val="24"/>
          <w:lang w:val="en-US"/>
        </w:rPr>
        <w:fldChar w:fldCharType="separate"/>
      </w:r>
      <w:r w:rsidRPr="00B90A1C">
        <w:rPr>
          <w:rFonts w:ascii="Times New Roman" w:hAnsi="Times New Roman" w:cs="Times New Roman"/>
          <w:sz w:val="24"/>
          <w:szCs w:val="24"/>
          <w:lang w:val="en-US"/>
        </w:rPr>
        <w:t>(Lurgi et al., 2015; Zurell et al., 2016)</w:t>
      </w:r>
      <w:r w:rsidRPr="00B90A1C">
        <w:rPr>
          <w:rFonts w:ascii="Times New Roman" w:hAnsi="Times New Roman" w:cs="Times New Roman"/>
          <w:sz w:val="24"/>
          <w:szCs w:val="24"/>
          <w:lang w:val="en-US"/>
        </w:rPr>
        <w:fldChar w:fldCharType="end"/>
      </w:r>
      <w:r w:rsidRPr="00B90A1C">
        <w:rPr>
          <w:rFonts w:ascii="Times New Roman" w:hAnsi="Times New Roman" w:cs="Times New Roman"/>
          <w:sz w:val="24"/>
          <w:szCs w:val="24"/>
          <w:lang w:val="en-US"/>
        </w:rPr>
        <w:t xml:space="preserve"> that integrate the demography and dispersal of species and simulate real instead of potential range changes may be especially attractive as both types of models are able to represent transient change. When coupling </w:t>
      </w:r>
      <w:r w:rsidR="002A5E70">
        <w:rPr>
          <w:rFonts w:ascii="Times New Roman" w:hAnsi="Times New Roman" w:cs="Times New Roman"/>
          <w:sz w:val="24"/>
          <w:szCs w:val="24"/>
          <w:lang w:val="en-US"/>
        </w:rPr>
        <w:t xml:space="preserve">ABMs </w:t>
      </w:r>
      <w:r w:rsidRPr="00B90A1C">
        <w:rPr>
          <w:rFonts w:ascii="Times New Roman" w:hAnsi="Times New Roman" w:cs="Times New Roman"/>
          <w:sz w:val="24"/>
          <w:szCs w:val="24"/>
          <w:lang w:val="en-US"/>
        </w:rPr>
        <w:t xml:space="preserve">with such dynamic range models it is moreover possible to include the feedbacks of changing biodiversity on practices of farmers for example. These feedbacks can be particularly important when changes to biodiversity affect ecosystem services relevant to farmers, such as crop pollination </w:t>
      </w:r>
      <w:r w:rsidRPr="00B90A1C">
        <w:rPr>
          <w:rFonts w:ascii="Times New Roman" w:hAnsi="Times New Roman" w:cs="Times New Roman"/>
          <w:sz w:val="24"/>
          <w:szCs w:val="24"/>
          <w:lang w:val="en-US"/>
        </w:rPr>
        <w:fldChar w:fldCharType="begin"/>
      </w:r>
      <w:r w:rsidRPr="00B90A1C">
        <w:rPr>
          <w:rFonts w:ascii="Times New Roman" w:hAnsi="Times New Roman" w:cs="Times New Roman"/>
          <w:sz w:val="24"/>
          <w:szCs w:val="24"/>
          <w:lang w:val="en-US"/>
        </w:rPr>
        <w:instrText xml:space="preserve"> ADDIN ZOTERO_ITEM CSL_CITATION {"citationID":"DpgiJFvV","properties":{"formattedCitation":"(Synes et al., 2019)","plainCitation":"(Synes et al., 2019)","noteIndex":0},"citationItems":[{"id":70510,"uris":["http://zotero.org/users/666791/items/BTZZZ7GL"],"uri":["http://zotero.org/users/666791/items/BTZZZ7GL"],"itemData":{"id":70510,"type":"article-journal","abstract":"Understanding the dynamics of socio-ecological systems is crucial to the development of environmentally sustainable practices. Models of social or ecological sub-systems have greatly enhanced such understanding, but at the risk of obscuring important feedbacks and emergent effects. Integrated modelling approaches have the potential to address this shortcoming by explicitly representing linked socio-ecological dynamics. We developed a socio-ecological system model by coupling an existing agent-based model of land-use dynamics and an individual-based model of demography and dispersal. A hypothetical case-study was established to simulate the interaction of crops and their pollinators in a changing agricultural landscape, initialised from a spatially random distribution of natural assets. The bi-directional coupled model predicted larger changes in crop yield and pollinator populations than a unidirectional uncoupled version. The spatial properties of the system also differed, the coupled version revealing the emergence of spatial land-use clusters that neither supported nor required pollinators. These findings suggest that important dynamics may be missed by uncoupled modelling approaches, but that these can be captured through the combination of currently-available, compatible model frameworks. Such model integrations are required to further fundamental understanding of socio-ecological dynamics and thus improve management of socio-ecological systems.","container-title":"Ecography","DOI":"10.1111/ecog.04039","ISSN":"1600-0587","issue":"4","language":"en","note":"_eprint: https://onlinelibrary.wiley.com/doi/pdf/10.1111/ecog.04039","page":"814-825","source":"Wiley Online Library","title":"Coupled land use and ecological models reveal emergence and feedbacks in socio-ecological systems","volume":"42","author":[{"family":"Synes","given":"Nicholas W."},{"family":"Brown","given":"Calum"},{"family":"Palmer","given":"Stephen C. F."},{"family":"Bocedi","given":"Greta"},{"family":"Osborne","given":"Patrick E."},{"family":"Watts","given":"Kevin"},{"family":"Franklin","given":"Janet"},{"family":"Travis","given":"Justin M. J."}],"issued":{"date-parts":[["2019"]]}}}],"schema":"https://github.com/citation-style-language/schema/raw/master/csl-citation.json"} </w:instrText>
      </w:r>
      <w:r w:rsidRPr="00B90A1C">
        <w:rPr>
          <w:rFonts w:ascii="Times New Roman" w:hAnsi="Times New Roman" w:cs="Times New Roman"/>
          <w:sz w:val="24"/>
          <w:szCs w:val="24"/>
          <w:lang w:val="en-US"/>
        </w:rPr>
        <w:fldChar w:fldCharType="separate"/>
      </w:r>
      <w:r w:rsidRPr="00B90A1C">
        <w:rPr>
          <w:rFonts w:ascii="Times New Roman" w:hAnsi="Times New Roman" w:cs="Times New Roman"/>
          <w:sz w:val="24"/>
          <w:szCs w:val="24"/>
          <w:lang w:val="en-US"/>
        </w:rPr>
        <w:t>(Synes et al., 2019)</w:t>
      </w:r>
      <w:r w:rsidRPr="00B90A1C">
        <w:rPr>
          <w:rFonts w:ascii="Times New Roman" w:hAnsi="Times New Roman" w:cs="Times New Roman"/>
          <w:sz w:val="24"/>
          <w:szCs w:val="24"/>
          <w:lang w:val="en-US"/>
        </w:rPr>
        <w:fldChar w:fldCharType="end"/>
      </w:r>
      <w:r w:rsidRPr="00B90A1C">
        <w:rPr>
          <w:rFonts w:ascii="Times New Roman" w:hAnsi="Times New Roman" w:cs="Times New Roman"/>
          <w:sz w:val="24"/>
          <w:szCs w:val="24"/>
          <w:lang w:val="en-US"/>
        </w:rPr>
        <w:t>. The necessary effort to parameterize and run such combined socio-ecological models is certainly larger, but its forecasts will also be more realistic than those of climate impact models in isolation.</w:t>
      </w:r>
    </w:p>
    <w:p w14:paraId="4B7963A7" w14:textId="127556E0" w:rsidR="007E74AE" w:rsidRDefault="007E74AE" w:rsidP="00306ACB">
      <w:pPr>
        <w:spacing w:after="0" w:line="240" w:lineRule="auto"/>
        <w:rPr>
          <w:rFonts w:ascii="Times New Roman" w:hAnsi="Times New Roman" w:cs="Times New Roman"/>
          <w:sz w:val="24"/>
          <w:szCs w:val="24"/>
          <w:lang w:val="en-US"/>
        </w:rPr>
      </w:pPr>
    </w:p>
    <w:p w14:paraId="3A9280C1" w14:textId="1907AD4A" w:rsidR="00907F37" w:rsidRPr="00907F37" w:rsidRDefault="00CF4646" w:rsidP="00306ACB">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5</w:t>
      </w:r>
      <w:r w:rsidR="00907F37" w:rsidRPr="00907F37">
        <w:rPr>
          <w:rFonts w:ascii="Times New Roman" w:hAnsi="Times New Roman" w:cs="Times New Roman"/>
          <w:b/>
          <w:sz w:val="28"/>
          <w:szCs w:val="28"/>
          <w:lang w:val="en-US"/>
        </w:rPr>
        <w:t>. Outlook and conclusion</w:t>
      </w:r>
      <w:r w:rsidR="00644BC1">
        <w:rPr>
          <w:rFonts w:ascii="Times New Roman" w:hAnsi="Times New Roman" w:cs="Times New Roman"/>
          <w:b/>
          <w:sz w:val="28"/>
          <w:szCs w:val="28"/>
          <w:lang w:val="en-US"/>
        </w:rPr>
        <w:t>s</w:t>
      </w:r>
    </w:p>
    <w:p w14:paraId="31A66809" w14:textId="77777777" w:rsidR="0030793F" w:rsidRDefault="00907F37"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Current extinction rates for many taxonomic groups are orders of magnitude larger than background extinction rates known from the past </w:t>
      </w:r>
      <w:r>
        <w:rPr>
          <w:rFonts w:ascii="Times New Roman" w:hAnsi="Times New Roman" w:cs="Times New Roman"/>
          <w:sz w:val="24"/>
          <w:szCs w:val="24"/>
          <w:lang w:val="en-US"/>
        </w:rPr>
        <w:fldChar w:fldCharType="begin"/>
      </w:r>
      <w:r>
        <w:rPr>
          <w:rFonts w:ascii="Times New Roman" w:hAnsi="Times New Roman" w:cs="Times New Roman"/>
          <w:sz w:val="24"/>
          <w:szCs w:val="24"/>
          <w:lang w:val="en-US"/>
        </w:rPr>
        <w:instrText xml:space="preserve"> ADDIN ZOTERO_ITEM CSL_CITATION {"citationID":"c4tNfPul","properties":{"formattedCitation":"(Millennium Ecosystem Assessment, 2005)","plainCitation":"(Millennium Ecosystem Assessment, 2005)","noteIndex":0},"citationItems":[{"id":368,"uris":["http://zotero.org/users/666791/items/UW486UMJ"],"uri":["http://zotero.org/users/666791/items/UW486UMJ"],"itemData":{"id":368,"type":"book","event-place":"Washington, DC","number-of-pages":"155","publisher":"Island Press","publisher-place":"Washington, DC","title":"Ecosystems and Human Well-being: Synthesis","URL":"http://www.maweb.org/documents/document.356.aspx.pdf","author":[{"family":"Millennium Ecosystem Assessment","given":""}],"accessed":{"date-parts":[["2011",10,11]]},"issued":{"date-parts":[["2005"]]}}}],"schema":"https://github.com/citation-style-language/schema/raw/master/csl-citation.json"} </w:instrText>
      </w:r>
      <w:r>
        <w:rPr>
          <w:rFonts w:ascii="Times New Roman" w:hAnsi="Times New Roman" w:cs="Times New Roman"/>
          <w:sz w:val="24"/>
          <w:szCs w:val="24"/>
          <w:lang w:val="en-US"/>
        </w:rPr>
        <w:fldChar w:fldCharType="separate"/>
      </w:r>
      <w:r w:rsidRPr="00907F37">
        <w:rPr>
          <w:rFonts w:ascii="Times New Roman" w:hAnsi="Times New Roman" w:cs="Times New Roman"/>
          <w:sz w:val="24"/>
          <w:lang w:val="en-US"/>
        </w:rPr>
        <w:t>(Millennium Ecosystem Assessment, 2005)</w:t>
      </w:r>
      <w:r>
        <w:rPr>
          <w:rFonts w:ascii="Times New Roman" w:hAnsi="Times New Roman" w:cs="Times New Roman"/>
          <w:sz w:val="24"/>
          <w:szCs w:val="24"/>
          <w:lang w:val="en-US"/>
        </w:rPr>
        <w:fldChar w:fldCharType="end"/>
      </w:r>
      <w:r>
        <w:rPr>
          <w:rFonts w:ascii="Times New Roman" w:hAnsi="Times New Roman" w:cs="Times New Roman"/>
          <w:sz w:val="24"/>
          <w:szCs w:val="24"/>
          <w:lang w:val="en-US"/>
        </w:rPr>
        <w:t xml:space="preserve">. Current assessments </w:t>
      </w:r>
      <w:r w:rsidR="001A75F2">
        <w:rPr>
          <w:rFonts w:ascii="Times New Roman" w:hAnsi="Times New Roman" w:cs="Times New Roman"/>
          <w:sz w:val="24"/>
          <w:szCs w:val="24"/>
          <w:lang w:val="en-US"/>
        </w:rPr>
        <w:fldChar w:fldCharType="begin"/>
      </w:r>
      <w:r w:rsidR="0030793F">
        <w:rPr>
          <w:rFonts w:ascii="Times New Roman" w:hAnsi="Times New Roman" w:cs="Times New Roman"/>
          <w:sz w:val="24"/>
          <w:szCs w:val="24"/>
          <w:lang w:val="en-US"/>
        </w:rPr>
        <w:instrText xml:space="preserve"> ADDIN ZOTERO_ITEM CSL_CITATION {"citationID":"3nj3clPT","properties":{"formattedCitation":"(IPBES, 2019; Maxwell et al., 2016)","plainCitation":"(IPBES, 2019; Maxwell et al., 2016)","noteIndex":0},"citationItems":[{"id":70243,"uris":["http://zotero.org/users/666791/items/Y45MZLF8"],"uri":["http://zotero.org/users/666791/items/Y45MZLF8"],"itemData":{"id":70243,"type":"book","event-place":"Bonn, Germany","publisher":"IPBES secretariat","publisher-place":"Bonn, Germany","title":"Global assessment report on biodiversity and ecosystem services of the Intergovernmental Science-Policy Platform on Biodiversity and Ecosystem Services","author":[{"family":"IPBES","given":""}],"issued":{"date-parts":[["2019"]]}}},{"id":70932,"uris":["http://zotero.org/users/666791/items/YVUE3HI4"],"uri":["http://zotero.org/users/666791/items/YVUE3HI4"],"itemData":{"id":70932,"type":"article-journal","abstract":"The threats of old are still the dominant drivers of current species loss, indicates an analysis of IUCN Red List data by Sean Maxwell and colleagues.","container-title":"Nature News","DOI":"10.1038/536143a","issue":"7615","language":"en","note":"section: Comment","page":"143","source":"www.nature.com","title":"Biodiversity: The ravages of guns, nets and bulldozers","title-short":"Biodiversity","volume":"536","author":[{"family":"Maxwell","given":"Sean L."},{"family":"Fuller","given":"Richard A."},{"family":"Brooks","given":"Thomas M."},{"family":"Watson","given":"James E. M."}],"issued":{"date-parts":[["2016",8,11]]}}}],"schema":"https://github.com/citation-style-language/schema/raw/master/csl-citation.json"} </w:instrText>
      </w:r>
      <w:r w:rsidR="001A75F2">
        <w:rPr>
          <w:rFonts w:ascii="Times New Roman" w:hAnsi="Times New Roman" w:cs="Times New Roman"/>
          <w:sz w:val="24"/>
          <w:szCs w:val="24"/>
          <w:lang w:val="en-US"/>
        </w:rPr>
        <w:fldChar w:fldCharType="separate"/>
      </w:r>
      <w:r w:rsidR="0030793F" w:rsidRPr="0030793F">
        <w:rPr>
          <w:rFonts w:ascii="Times New Roman" w:hAnsi="Times New Roman" w:cs="Times New Roman"/>
          <w:sz w:val="24"/>
          <w:lang w:val="en-US"/>
        </w:rPr>
        <w:t>(IPBES, 2019; Maxwell et al., 2016)</w:t>
      </w:r>
      <w:r w:rsidR="001A75F2">
        <w:rPr>
          <w:rFonts w:ascii="Times New Roman" w:hAnsi="Times New Roman" w:cs="Times New Roman"/>
          <w:sz w:val="24"/>
          <w:szCs w:val="24"/>
          <w:lang w:val="en-US"/>
        </w:rPr>
        <w:fldChar w:fldCharType="end"/>
      </w:r>
      <w:r w:rsidR="001A75F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impressively show that one of the key drivers behind </w:t>
      </w:r>
      <w:r w:rsidR="001A75F2">
        <w:rPr>
          <w:rFonts w:ascii="Times New Roman" w:hAnsi="Times New Roman" w:cs="Times New Roman"/>
          <w:sz w:val="24"/>
          <w:szCs w:val="24"/>
          <w:lang w:val="en-US"/>
        </w:rPr>
        <w:t xml:space="preserve">humanity’s pressure on biodiversity is the high, and still growing use of biophysical resources, i.e. materials and energy. </w:t>
      </w:r>
      <w:r w:rsidR="00403AA6">
        <w:rPr>
          <w:rFonts w:ascii="Times New Roman" w:hAnsi="Times New Roman" w:cs="Times New Roman"/>
          <w:sz w:val="24"/>
          <w:szCs w:val="24"/>
          <w:lang w:val="en-US"/>
        </w:rPr>
        <w:t xml:space="preserve">Pressures on biodiversity occur during all stages of societies metabolism from the extraction of resources, their processing and use including the accumulation in buildings and infrastructures to the outflow of wastes and emissions. </w:t>
      </w:r>
      <w:r w:rsidR="002A5E70">
        <w:rPr>
          <w:rFonts w:ascii="Times New Roman" w:hAnsi="Times New Roman" w:cs="Times New Roman"/>
          <w:sz w:val="24"/>
          <w:szCs w:val="24"/>
          <w:lang w:val="en-US"/>
        </w:rPr>
        <w:t xml:space="preserve">Climate change is a pervasive indirect driver of biodiversity loss, which is in turn mainly driven by the emissions of greenhouse gases. These emerge during production and consumption of biophysical resources, which are in focus of social metabolism research. </w:t>
      </w:r>
    </w:p>
    <w:p w14:paraId="0C239267" w14:textId="77777777" w:rsidR="0030793F" w:rsidRDefault="0030793F" w:rsidP="00306ACB">
      <w:pPr>
        <w:spacing w:after="0" w:line="240" w:lineRule="auto"/>
        <w:rPr>
          <w:rFonts w:ascii="Times New Roman" w:hAnsi="Times New Roman" w:cs="Times New Roman"/>
          <w:sz w:val="24"/>
          <w:szCs w:val="24"/>
          <w:lang w:val="en-US"/>
        </w:rPr>
      </w:pPr>
    </w:p>
    <w:p w14:paraId="40CA6385" w14:textId="77777777" w:rsidR="0030793F" w:rsidRDefault="002A5E70"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In terms of resources, b</w:t>
      </w:r>
      <w:r w:rsidR="001A75F2">
        <w:rPr>
          <w:rFonts w:ascii="Times New Roman" w:hAnsi="Times New Roman" w:cs="Times New Roman"/>
          <w:sz w:val="24"/>
          <w:szCs w:val="24"/>
          <w:lang w:val="en-US"/>
        </w:rPr>
        <w:t xml:space="preserve">iomass plays a key role: </w:t>
      </w:r>
      <w:r w:rsidR="00403AA6">
        <w:rPr>
          <w:rFonts w:ascii="Times New Roman" w:hAnsi="Times New Roman" w:cs="Times New Roman"/>
          <w:sz w:val="24"/>
          <w:szCs w:val="24"/>
          <w:lang w:val="en-US"/>
        </w:rPr>
        <w:t xml:space="preserve">biomass is a fundamental component of societies metabolism. The </w:t>
      </w:r>
      <w:r w:rsidR="001A75F2">
        <w:rPr>
          <w:rFonts w:ascii="Times New Roman" w:hAnsi="Times New Roman" w:cs="Times New Roman"/>
          <w:sz w:val="24"/>
          <w:szCs w:val="24"/>
          <w:lang w:val="en-US"/>
        </w:rPr>
        <w:t>extraction of biomass through agriculture and forestry requires approximately three quarters of the earth’s land</w:t>
      </w:r>
      <w:r>
        <w:rPr>
          <w:rFonts w:ascii="Times New Roman" w:hAnsi="Times New Roman" w:cs="Times New Roman"/>
          <w:sz w:val="24"/>
          <w:szCs w:val="24"/>
          <w:lang w:val="en-US"/>
        </w:rPr>
        <w:t xml:space="preserve"> and fundamentally alters processes and structures in ecosystems around the globe. Approximately one quarter to one third of the net primary production on earth’s lands is appropriated by humans. Land use has approximately halved the amount of carbon potentially stored in plant biomass as well as the mean residence time of each atom of carbon in vegetation. These changes </w:t>
      </w:r>
      <w:r w:rsidR="0030793F">
        <w:rPr>
          <w:rFonts w:ascii="Times New Roman" w:hAnsi="Times New Roman" w:cs="Times New Roman"/>
          <w:sz w:val="24"/>
          <w:szCs w:val="24"/>
          <w:lang w:val="en-US"/>
        </w:rPr>
        <w:t xml:space="preserve">in ecosystem functioning </w:t>
      </w:r>
      <w:r>
        <w:rPr>
          <w:rFonts w:ascii="Times New Roman" w:hAnsi="Times New Roman" w:cs="Times New Roman"/>
          <w:sz w:val="24"/>
          <w:szCs w:val="24"/>
          <w:lang w:val="en-US"/>
        </w:rPr>
        <w:t xml:space="preserve">are concomitant, and perhaps causally related, to the ongoing loss of biodiversity. </w:t>
      </w:r>
    </w:p>
    <w:p w14:paraId="3C771216" w14:textId="77777777" w:rsidR="0030793F" w:rsidRDefault="0030793F" w:rsidP="00306ACB">
      <w:pPr>
        <w:spacing w:after="0" w:line="240" w:lineRule="auto"/>
        <w:rPr>
          <w:rFonts w:ascii="Times New Roman" w:hAnsi="Times New Roman" w:cs="Times New Roman"/>
          <w:sz w:val="24"/>
          <w:szCs w:val="24"/>
          <w:lang w:val="en-US"/>
        </w:rPr>
      </w:pPr>
    </w:p>
    <w:p w14:paraId="3CA847FF" w14:textId="5B4D3856" w:rsidR="001A75F2" w:rsidRDefault="002A5E70" w:rsidP="00306ACB">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Reducing pressures on ecosystems and biodiversity will hinge on humanity’s ability to reduce its use of biophysical resources (energy, materials) and reduce rather than further increase land-use intensity. Current strategies to raise eco-efficiency, while useful, will not achieve sufficient reductions in resource use and emissions to comply with agreed targets, e.g. the Paris climate goals or the Aichi biodiversity targets. Various approaches have been discussed in this article to analyze systemic interrelations between resource use and societal wellbeing at macro-scales, as well as decision-making and resource use at regional and local scales.</w:t>
      </w:r>
    </w:p>
    <w:p w14:paraId="3A153F85" w14:textId="77777777" w:rsidR="00856D15" w:rsidRPr="000949CE" w:rsidRDefault="00856D15" w:rsidP="00306ACB">
      <w:pPr>
        <w:spacing w:after="0" w:line="240" w:lineRule="auto"/>
        <w:rPr>
          <w:rFonts w:ascii="Times New Roman" w:hAnsi="Times New Roman" w:cs="Times New Roman"/>
          <w:sz w:val="24"/>
          <w:szCs w:val="24"/>
          <w:lang w:val="en-US"/>
        </w:rPr>
      </w:pPr>
    </w:p>
    <w:p w14:paraId="32A07059" w14:textId="77777777" w:rsidR="007E74AE" w:rsidRPr="002A45AC" w:rsidRDefault="007E74AE" w:rsidP="00306ACB">
      <w:pPr>
        <w:spacing w:after="0" w:line="240" w:lineRule="auto"/>
        <w:rPr>
          <w:rFonts w:ascii="Times New Roman" w:hAnsi="Times New Roman" w:cs="Times New Roman"/>
          <w:b/>
          <w:sz w:val="24"/>
          <w:szCs w:val="24"/>
          <w:lang w:val="en-US"/>
        </w:rPr>
      </w:pPr>
      <w:r w:rsidRPr="002A45AC">
        <w:rPr>
          <w:rFonts w:ascii="Times New Roman" w:hAnsi="Times New Roman" w:cs="Times New Roman"/>
          <w:b/>
          <w:sz w:val="24"/>
          <w:szCs w:val="24"/>
          <w:lang w:val="en-US"/>
        </w:rPr>
        <w:t>References</w:t>
      </w:r>
    </w:p>
    <w:p w14:paraId="5002CABE" w14:textId="255AF1A3" w:rsidR="007E74AE" w:rsidRPr="0030793F" w:rsidRDefault="007E74AE" w:rsidP="00306ACB">
      <w:pPr>
        <w:spacing w:after="0" w:line="240" w:lineRule="auto"/>
        <w:rPr>
          <w:rFonts w:ascii="Times New Roman" w:hAnsi="Times New Roman" w:cs="Times New Roman"/>
          <w:lang w:val="en-US"/>
        </w:rPr>
      </w:pPr>
    </w:p>
    <w:p w14:paraId="24169537" w14:textId="77777777" w:rsidR="0030793F" w:rsidRPr="0030793F" w:rsidRDefault="001A0748" w:rsidP="0030793F">
      <w:pPr>
        <w:pStyle w:val="Literaturverzeichnis"/>
        <w:rPr>
          <w:rFonts w:ascii="Times New Roman" w:hAnsi="Times New Roman" w:cs="Times New Roman"/>
          <w:lang w:val="en-US"/>
        </w:rPr>
      </w:pPr>
      <w:r w:rsidRPr="0030793F">
        <w:rPr>
          <w:rFonts w:ascii="Times New Roman" w:hAnsi="Times New Roman" w:cs="Times New Roman"/>
          <w:lang w:val="en-US"/>
        </w:rPr>
        <w:fldChar w:fldCharType="begin"/>
      </w:r>
      <w:r w:rsidR="00D22753" w:rsidRPr="0030793F">
        <w:rPr>
          <w:rFonts w:ascii="Times New Roman" w:hAnsi="Times New Roman" w:cs="Times New Roman"/>
          <w:lang w:val="en-US"/>
        </w:rPr>
        <w:instrText xml:space="preserve"> ADDIN ZOTERO_BIBL {"uncited":[],"omitted":[],"custom":[]} CSL_BIBLIOGRAPHY </w:instrText>
      </w:r>
      <w:r w:rsidRPr="0030793F">
        <w:rPr>
          <w:rFonts w:ascii="Times New Roman" w:hAnsi="Times New Roman" w:cs="Times New Roman"/>
          <w:lang w:val="en-US"/>
        </w:rPr>
        <w:fldChar w:fldCharType="separate"/>
      </w:r>
      <w:r w:rsidR="0030793F" w:rsidRPr="0030793F">
        <w:rPr>
          <w:rFonts w:ascii="Times New Roman" w:hAnsi="Times New Roman" w:cs="Times New Roman"/>
          <w:lang w:val="en-US"/>
        </w:rPr>
        <w:t xml:space="preserve">Arneth, A., Denton, F., Fahmuddin, A., Elbehri, A., Erb, K., Elasha, B.O., Rahimi, M., Rounsevell, M., Spence, A., Valentini, R., 2019. Framing and context, in: Shukla, P.R., Skea, J., Calvo Buendia, E., Masson-Delmotte, V., Pörtner, H.-O., Roberts, D.C., Zhai, P., Slade, R., </w:t>
      </w:r>
      <w:r w:rsidR="0030793F" w:rsidRPr="0030793F">
        <w:rPr>
          <w:rFonts w:ascii="Times New Roman" w:hAnsi="Times New Roman" w:cs="Times New Roman"/>
          <w:lang w:val="en-US"/>
        </w:rPr>
        <w:lastRenderedPageBreak/>
        <w:t>Connors, S., van Diemen, R., Ferrat, M., Haughey, E., Luz, S., Neogi, S., Pathak, M., Petzold, J., Portugal-Pereira, J., Vyas, P., Huntley, E., Kissick, K., Belkacemi, M., Malley, J. (Eds.), IPCC, 2019: Climate Change and Land: An IPCC Special Report on Climate Change, Desertification, Land Degradation, Sustainable Land Management, Food Security, and Greenhouse Gas Fluxes in Terrestrial Ecosystems. Cambridge University Press, pp. 77–129.</w:t>
      </w:r>
    </w:p>
    <w:p w14:paraId="116732C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Ayres, R.U., Kneese, A.V., 1969. Production, Consumption, and Externalities. American Economic Review 59, 282–297.</w:t>
      </w:r>
    </w:p>
    <w:p w14:paraId="3F12CC7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Ayres, R.U., Warr, B., 2009. </w:t>
      </w:r>
      <w:r w:rsidRPr="0030793F">
        <w:rPr>
          <w:rFonts w:ascii="Times New Roman" w:hAnsi="Times New Roman" w:cs="Times New Roman"/>
          <w:lang w:val="en-US"/>
        </w:rPr>
        <w:t>The Economic Growth Engine: How Energy And Work Drive Material Prosperity. Edward Elgar, Cheltenham, UK ; Northampton, MA.</w:t>
      </w:r>
    </w:p>
    <w:p w14:paraId="4F39B29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Baltruszewicz, M., Steinberger, J.K., Ivanova, D., Brand-Correa, L.I., Paavola, J., Owen, A., 2021. Household final energy footprints in Nepal, Vietnam and Zambia: composition, inequality and links to well-being. Environ. Res. Lett. 16, 025011. https://doi.org/10.1088/1748-9326/abd588</w:t>
      </w:r>
    </w:p>
    <w:p w14:paraId="7386074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 xml:space="preserve">Bloom, A.A., Exbrayat, J.-F., Velde, I.R. van der, Feng, L., Williams, M., 2016. The decadal state of </w:t>
      </w:r>
      <w:bookmarkStart w:id="0" w:name="_GoBack"/>
      <w:bookmarkEnd w:id="0"/>
      <w:r w:rsidRPr="0030793F">
        <w:rPr>
          <w:rFonts w:ascii="Times New Roman" w:hAnsi="Times New Roman" w:cs="Times New Roman"/>
          <w:lang w:val="en-US"/>
        </w:rPr>
        <w:t>the terrestrial carbon cycle: Global retrievals of terrestrial carbon allocation, pools, and residence times. PNAS 113, 1285–1290. https://doi.org/10.1073/pnas.1515160113</w:t>
      </w:r>
    </w:p>
    <w:p w14:paraId="77D20B4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Boulding, K., 1972. The Economics of the Coming Spaceship Earth, in: Daly, H.E. (Ed.), Steady State Economics. W.H. Freeman, San Francisco, pp. 121–132.</w:t>
      </w:r>
    </w:p>
    <w:p w14:paraId="50069C2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Brand, U., Muraca, B., Pineault, É., Sahakian, M., Schaffartzik, A., Novy, A., Streissler, C., Haberl, H., Asara, V., Dietz, K., Lang, M., Kothari, A., Smith, T., Spash, C., Brad, A., Pichler, M., Plank, C., Velegrakis, G., Jahn, T., Carter, A., Huan, Q., Kallis, G., Alier, J.M., Riva, G., Satgar, V., Mantovani, E.T., Williams, M., Wissen, M., Görg, C., 2021. From planetary to societal boundaries: an argument for collectively defined self-limitation. Sustainability: Science, Practice and Policy 17, 265–292. https://doi.org/10.1080/15487733.2021.1940754</w:t>
      </w:r>
    </w:p>
    <w:p w14:paraId="28A1280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Brand-Correa, L.I., Steinberger, J.K., 2017. A Framework for Decoupling Human Need Satisfaction From Energy Use. Ecological Economics 141, 43–52. https://doi.org/10.1016/j.ecolecon.2017.05.019</w:t>
      </w:r>
    </w:p>
    <w:p w14:paraId="498AA18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Brown, J.H., 1995. Macroecology. Chicago University Press, Chicago.</w:t>
      </w:r>
    </w:p>
    <w:p w14:paraId="6663052A"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Brown, J.H., 1981. Two Decades of Homage to Santa Rosalia: Toward a General Theory of Diversity. </w:t>
      </w:r>
      <w:r w:rsidRPr="0030793F">
        <w:rPr>
          <w:rFonts w:ascii="Times New Roman" w:hAnsi="Times New Roman" w:cs="Times New Roman"/>
        </w:rPr>
        <w:t>Amer. Zool. 21, 877–888. https://doi.org/10.1093/icb/21.4.877</w:t>
      </w:r>
    </w:p>
    <w:p w14:paraId="7FCA0FA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Bryant, D., Nielsen, D., Tangley, L., 1997. </w:t>
      </w:r>
      <w:r w:rsidRPr="0030793F">
        <w:rPr>
          <w:rFonts w:ascii="Times New Roman" w:hAnsi="Times New Roman" w:cs="Times New Roman"/>
          <w:lang w:val="en-US"/>
        </w:rPr>
        <w:t>The Last Frontier Forests - Ecosystems &amp; Economies On The Edge. World Resources Institute, Washington DC.</w:t>
      </w:r>
    </w:p>
    <w:p w14:paraId="05C722A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Carmona, L.G., Whiting, K., Haberl, H., Sousa, T., 2021. The use of steel in the United Kingdom’s transport sector: A stock–flow–service nexus case study. Journal of Industrial Ecology 25, 125–143. https://doi.org/10.1111/jiec.13055</w:t>
      </w:r>
    </w:p>
    <w:p w14:paraId="4389484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Chaudhary, A., Kastner, T., 2016. Land use biodiversity impacts embodied in international food trade. Global Environmental Change 38, 195–204. https://doi.org/10.1016/j.gloenvcha.2016.03.013</w:t>
      </w:r>
    </w:p>
    <w:p w14:paraId="04A7471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Chaudhary, A., Verones, F., de Baan, L., Hellweg, S., 2015. Quantifying Land Use Impacts on Biodiversity: Combining Species–Area Models and Vulnerability Indicators. Environ. Sci. Technol. 49, 9987–9995. https://doi.org/10.1021/acs.est.5b02507</w:t>
      </w:r>
    </w:p>
    <w:p w14:paraId="205F92D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Costanza, R., 1992. Ecological economics: the science and management of sustainability. Columbia University Press.</w:t>
      </w:r>
    </w:p>
    <w:p w14:paraId="0D90957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Creutzig, F., Erb, K.-H., Haberl, H., Hof, C., Hunsberger, C., Roe, S., 2021. Considering sustainability thresholds for BECCS in IPCC and biodiversity assessments. GCB Bioenergy n/a. https://doi.org/10.1111/gcbb.12798</w:t>
      </w:r>
    </w:p>
    <w:p w14:paraId="7EC22CB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Crutzen, P.J., 2002. Geology of mankind. Nature 415, 23–23.</w:t>
      </w:r>
    </w:p>
    <w:p w14:paraId="7A3AAE2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Cusens, J., Wright, S.D., McBride, P.D., Gillman, L.N., 2012. What is the form of the productivity–animal-species-richness relationship? A critical review and meta-analysis. Ecology 93, 2241–2252. https://doi.org/10.1890/11-1861.1</w:t>
      </w:r>
    </w:p>
    <w:p w14:paraId="38377B8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Daly, H.E., 1968. On Economics as a Life Science. Journal of Political Economy 76, 392–406. https://doi.org/10.1086/259412</w:t>
      </w:r>
    </w:p>
    <w:p w14:paraId="438A21B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Daniels, P.L., 2002. Approaches for Quantifying the Metabolism of Physical Economies: A Comparative Survey: Part II: Review of Individual Approaches. Journal of Industrial Ecology 6, 65–88. https://doi.org/10.1162/108819802320971641</w:t>
      </w:r>
    </w:p>
    <w:p w14:paraId="253D1EA3"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Díaz, S., Settele, J., Brondízio, E.S., Ngo, H.T., Agard, J., Arneth, A., Balvanera, P., Brauman, K.A., Butchart, S.H.M., Chan, K.M.A., Garibaldi, L.A., Ichii, K., Liu, J., Subramanian, S.M., Midgley, G.F., Miloslavich, P., Molnár, Z., Obura, D., Pfaff, A., Polasky, S., Purvis, A., </w:t>
      </w:r>
      <w:r w:rsidRPr="0030793F">
        <w:rPr>
          <w:rFonts w:ascii="Times New Roman" w:hAnsi="Times New Roman" w:cs="Times New Roman"/>
          <w:lang w:val="en-US"/>
        </w:rPr>
        <w:lastRenderedPageBreak/>
        <w:t xml:space="preserve">Razzaque, J., Reyers, B., Chowdhury, R.R., Shin, Y.-J., Visseren-Hamakers, I., Willis, K.J., Zayas, C.N., 2019. Pervasive human-driven decline of life on Earth points to the need for transformative change. </w:t>
      </w:r>
      <w:r w:rsidRPr="0030793F">
        <w:rPr>
          <w:rFonts w:ascii="Times New Roman" w:hAnsi="Times New Roman" w:cs="Times New Roman"/>
        </w:rPr>
        <w:t>Science 366. https://doi.org/10.1126/science.aax3100</w:t>
      </w:r>
    </w:p>
    <w:p w14:paraId="34CD17E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Drupp, M.A., Baumgärtner, S., Meyer, M., Quaas, M.F., von Wehrden, H., 2020. </w:t>
      </w:r>
      <w:r w:rsidRPr="0030793F">
        <w:rPr>
          <w:rFonts w:ascii="Times New Roman" w:hAnsi="Times New Roman" w:cs="Times New Roman"/>
          <w:lang w:val="en-US"/>
        </w:rPr>
        <w:t>Between Ostrom and Nordhaus: The research landscape of sustainability economics. Ecological Economics 172, 106620. https://doi.org/10.1016/j.ecolecon.2020.106620</w:t>
      </w:r>
    </w:p>
    <w:p w14:paraId="3B1BA83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Drupp, M.A., Meya, J.N., Baumgärtner, S., Quaas, M.F., 2018. Economic Inequality and the Value of Nature. Ecological Economics 150, 340–345. https://doi.org/10.1016/j.ecolecon.2018.03.029</w:t>
      </w:r>
    </w:p>
    <w:p w14:paraId="2F119DB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Dullinger, I., Essl, F., Moser, D., Erb, K., Haberl, H., Dullinger, S., 2021. Biodiversity models need to represent land-use intensity more comprehensively. Global Ecology and Biogeography 30, 924–932. https://doi.org/10.1111/geb.13289</w:t>
      </w:r>
    </w:p>
    <w:p w14:paraId="51DBB3B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Dullinger, I., Gattringer, A., Wessely, J., Moser, D., Plutzar, C., Willner, W., Egger, C., Gaube, V., Haberl, H., Mayer, A., Bohner, A., Gilli, C., Pascher, K., Essl, F., Dullinger, S., 2020. A socio-ecological model for predicting impacts of land-use and climate change on regional plant diversity in the Austrian Alps. Global Change Biology 26, 2336–2352. https://doi.org/10.1111/gcb.14977</w:t>
      </w:r>
    </w:p>
    <w:p w14:paraId="74897B1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Eisenmenger, N., Pichler, M., Krenmayr, N., Noll, D., Plank, B., Schalmann, E., Wandl, M.-T., Gingrich, S., 2020. The Sustainable Development Goals prioritize economic growth over sustainable resource use: a critical reflection on the SDGs from a socio-ecological perspective. Sustain Sci 15, 1101–1110. https://doi.org/10.1007/s11625-020-00813-x</w:t>
      </w:r>
    </w:p>
    <w:p w14:paraId="59433F5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Elhacham, E., Ben-Uri, L., Grozovski, J., Bar-On, Y.M., Milo, R., 2020. Global human-made mass exceeds all living biomass. Nature 588, 442–444. https://doi.org/10.1038/s41586-020-3010-5</w:t>
      </w:r>
    </w:p>
    <w:p w14:paraId="03E2230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Ellis, E.C., Gauthier, N., Goldewijk, K.K., Bird, R.B., Boivin, N., Díaz, S., Fuller, D.Q., Gill, J.L., Kaplan, J.O., Kingston, N., Locke, H., McMichael, C.N.H., Ranco, D., Rick, T.C., Shaw, M.R., Stephens, L., Svenning, J.-C., Watson, J.E.M., 2021. People have shaped most of terrestrial nature for at least 12,000 years. PNAS 118. https://doi.org/10.1073/pnas.2023483118</w:t>
      </w:r>
    </w:p>
    <w:p w14:paraId="1567B53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Ellis, E.C., Kaplan, J.O., Fuller, D.Q., Vavrus, S., Goldewijk, K.K., Verburg, P.H., 2013. Used planet: A global history. PNAS 110, 7978–7985. https://doi.org/10.1073/pnas.1217241110</w:t>
      </w:r>
    </w:p>
    <w:p w14:paraId="46A0C73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Erb, K.H., Fetzel, T., Haberl, H., Kastner, T., Kroisleitner, C., Lauk, C., Niedertscheider, M., Plutzar, C., 2016. </w:t>
      </w:r>
      <w:r w:rsidRPr="0030793F">
        <w:rPr>
          <w:rFonts w:ascii="Times New Roman" w:hAnsi="Times New Roman" w:cs="Times New Roman"/>
          <w:lang w:val="en-US"/>
        </w:rPr>
        <w:t>Beyond Inputs and Outputs: Opening the Black-Box of Land-Use Intensity, in: Haberl, H., Fischer-Kowalski, M., Krausmann, F., Winiwarter, V. (Eds.), Social Ecology. Society-Nature Relations across Time and Space. Springer International Publishing, Cham, pp. 93–124. https://doi.org/10.1007/978-3-319-33326-7_4</w:t>
      </w:r>
    </w:p>
    <w:p w14:paraId="21086673"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Erb, K.-H., Fetzel, T., Plutzar, C., Kastner, T., Lauk, C., Mayer, A., Niedertscheider, M., Korner, C., Haberl, H., 2016. </w:t>
      </w:r>
      <w:r w:rsidRPr="0030793F">
        <w:rPr>
          <w:rFonts w:ascii="Times New Roman" w:hAnsi="Times New Roman" w:cs="Times New Roman"/>
          <w:lang w:val="en-US"/>
        </w:rPr>
        <w:t xml:space="preserve">Biomass turnover time in terrestrial ecosystems halved by land use. </w:t>
      </w:r>
      <w:r w:rsidRPr="0030793F">
        <w:rPr>
          <w:rFonts w:ascii="Times New Roman" w:hAnsi="Times New Roman" w:cs="Times New Roman"/>
        </w:rPr>
        <w:t>Nature Geosci 9, 674–678.</w:t>
      </w:r>
    </w:p>
    <w:p w14:paraId="5A4F03D8"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Erb, K.-H., Gaube, V., Krausmann, F., Plutzar, C., Bondeau, A., Haberl, H., 2007. </w:t>
      </w:r>
      <w:r w:rsidRPr="0030793F">
        <w:rPr>
          <w:rFonts w:ascii="Times New Roman" w:hAnsi="Times New Roman" w:cs="Times New Roman"/>
          <w:lang w:val="en-US"/>
        </w:rPr>
        <w:t xml:space="preserve">A comprehensive global 5 min resolution land-use data set for the year 2000 consistent with national census data. </w:t>
      </w:r>
      <w:r w:rsidRPr="0030793F">
        <w:rPr>
          <w:rFonts w:ascii="Times New Roman" w:hAnsi="Times New Roman" w:cs="Times New Roman"/>
        </w:rPr>
        <w:t>Journal of Land Use Science 2, 191–224. https://doi.org/10.1080/17474230701622981</w:t>
      </w:r>
    </w:p>
    <w:p w14:paraId="24536CE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Erb, K.-H., Haberl, H., Jepsen, M.R., Kuemmerle, T., Lindner, M., Müller, D., Verburg, P.H., Reenberg, A., 2013. </w:t>
      </w:r>
      <w:r w:rsidRPr="0030793F">
        <w:rPr>
          <w:rFonts w:ascii="Times New Roman" w:hAnsi="Times New Roman" w:cs="Times New Roman"/>
          <w:lang w:val="en-US"/>
        </w:rPr>
        <w:t>A conceptual framework for analysing and measuring land-use intensity. Current Opinion in Environmental Sustainability 5, 464–470. https://doi.org/10.1016/j.cosust.2013.07.010</w:t>
      </w:r>
    </w:p>
    <w:p w14:paraId="2F85C84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Erb, K.-H., Kastner, T., Plutzar, C., Bais, A.L.S., Carvalhais, N., Fetzel, T., Gingrich, S., Haberl, H., Lauk, C., Niedertscheider, M., Pongratz, J., Thurner, M., Luyssaert, S., 2018. Unexpectedly large impact of forest management and grazing on global vegetation biomass. Nature 553, 73–76. https://doi.org/10.1038/nature25138</w:t>
      </w:r>
    </w:p>
    <w:p w14:paraId="3A6187B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Erb, K.-H., Luyssaert, S., Meyfroidt, P., Pongratz, J., Don, A., Kloster, S., Kuemmerle, T., Fetzel, T., Fuchs, R., Herold, M., Haberl, H., Jones, C.D., Marín-Spiotta, E., McCallum, I., Robertson, E., Seufert, V., Fritz, S., Valade, A., Wiltshire, A., Dolman, A.J., 2017. Land management: data availability and process understanding for global change studies. Glob Change Biol 23, 512–533. https://doi.org/10.1111/gcb.13443</w:t>
      </w:r>
    </w:p>
    <w:p w14:paraId="4AA0403C"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Eurostat, 2007. Economy-wide Material Flow Accounting. A Compilation Guide. European Statistical Office Eurostat, Luxembourg.</w:t>
      </w:r>
    </w:p>
    <w:p w14:paraId="00CD25F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Evans, K.L., Warren, P.H., Gaston, K.J., 2005. Species–energy relationships at the macroecological scale: a review of the mechanisms. Biological Reviews 80, 1–25. https://doi.org/10.1017/S1464793104006517</w:t>
      </w:r>
    </w:p>
    <w:p w14:paraId="5935A12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FAO, 2021a. Aquastat - FAO’s Global Information System on Water and Agriculture. Food and Agriculture Organization of the United Nations, online [fao.org/aquastat], accessed 30.7.2021.</w:t>
      </w:r>
    </w:p>
    <w:p w14:paraId="797573F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FAO, 2021b. FAOSTAT - Food and agriculture data. Food and Agriculture Organization of the United Nations, online [http://www.fao.org/faostat], last accessed 30.7.2021.</w:t>
      </w:r>
    </w:p>
    <w:p w14:paraId="29EEEBF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FAO, 2020. Global Forest Resources Assessment 2020. Food and Agriculture Organization of the United Nations, online [https://doi.org/10.4060/ca9825en].</w:t>
      </w:r>
    </w:p>
    <w:p w14:paraId="4DDFAB7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FAO, 2012. FAOSTAT statistical database. Food and Agriculture Organisation of the United Nations (online) www.fao.org (accessed 7.19.12), Rome.</w:t>
      </w:r>
    </w:p>
    <w:p w14:paraId="18C1BF5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Fell, M.J., 2017. Energy services: A conceptual review. Energy Research &amp; Social Science 27, 129–140. https://doi.org/10.1016/j.erss.2017.02.010</w:t>
      </w:r>
    </w:p>
    <w:p w14:paraId="5BD513B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Fischer-Kowalski, M., 1998. Society’s Metabolism: The Intellectual History of Materials Flow Analysis, Part I, 1860– 1970. Journal of Industrial Ecology 2, 107–136. https://doi.org/10.1162/jiec.1998.2.4.107</w:t>
      </w:r>
    </w:p>
    <w:p w14:paraId="1861268C"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Fischer-Kowalski, M., Haberl, H., 2007. Socioecological Transitions and Global Change. Trajectories of Social Metabolism and Land Use, Advances in Ecological Economics (series editor: Jeroen van den Bergh). </w:t>
      </w:r>
      <w:r w:rsidRPr="0030793F">
        <w:rPr>
          <w:rFonts w:ascii="Times New Roman" w:hAnsi="Times New Roman" w:cs="Times New Roman"/>
        </w:rPr>
        <w:t>Edward Elgar, Cheltenham and Northampton.</w:t>
      </w:r>
    </w:p>
    <w:p w14:paraId="62109A0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Fischer-Kowalski, M., Krausmann, F., Giljum, S., Lutter, S., Mayer, A., Bringezu, S., Moriguchi, Y., Schütz, H., Schandl, H., Weisz, H., 2011. </w:t>
      </w:r>
      <w:r w:rsidRPr="0030793F">
        <w:rPr>
          <w:rFonts w:ascii="Times New Roman" w:hAnsi="Times New Roman" w:cs="Times New Roman"/>
          <w:lang w:val="en-US"/>
        </w:rPr>
        <w:t>Methodology and Indicators of Economy-wide Material Flow Accounting - State of the Art and Reliability Across Sources. Journal of Industrial Ecology 15, 855–876. https://doi.org/10.1111/j.1530-9290.2011.00366.x</w:t>
      </w:r>
    </w:p>
    <w:p w14:paraId="31F10DB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Fischer-Kowalski, M., Krausmann, F., Pallua, I., 2014. A sociometabolic reading of the Anthropocene: Modes of subsistence, population size and human impact on Earth. The Anthropocene Review 1, 8–33. https://doi.org/10.1177/2053019613518033</w:t>
      </w:r>
    </w:p>
    <w:p w14:paraId="07A7771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Fischer-Kowalski, M., Weisz, H., 1999. Society as hybrid between material and symbolic realms. Advances in Human Ecology 8, 215–251.</w:t>
      </w:r>
    </w:p>
    <w:p w14:paraId="3E90E99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Fraser, M.W., Short, J., Kendrick, G., McLean, D., Keesing, J., Byrne, M., Caley, M.J., Clarke, D., Davis, A.R., Erftemeijer, P.L.A., Field, S., Gustin-Craig, S., Huisman, J., Keough, M., Lavery, P.S., Masini, R., McMahon, K., Mengersen, K., Rasheed, M., Statton, J., Stoddart, J., Wu, P., 2017. Effects of dredging on critical ecological processes for marine invertebrates, seagrasses and macroalgae, and the potential for management with environmental windows using Western Australia as a case study. Ecological Indicators 78, 229–242. https://doi.org/10.1016/j.ecolind.2017.03.026</w:t>
      </w:r>
    </w:p>
    <w:p w14:paraId="585D910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Friedlingstein, P., O’Sullivan, M., Jones, M.W., Andrew, R.M., Hauck, J., Olsen, A., Peters, G.P., Peters, W., Pongratz, J., Sitch, S., Le Quéré, C., Canadell, J.G., Ciais, P., Jackson, R.B., Alin, S., Aragão, L.E.O.C., Arneth, A., Arora, V., Bates, N.R., Becker, M., Benoit-Cattin, A., Bittig, H.C., Bopp, L., Bultan, S., Chandra, N., Chevallier, F., Chini, L.P., Evans, W., Florentie, L., Forster, P.M., Gasser, T., Gehlen, M., Gilfillan, D., Gkritzalis, T., Gregor, L., Gruber, N., Harris, I., Hartung, K., Haverd, V., Houghton, R.A., Ilyina, T., Jain, A.K., Joetzjer, E., Kadono, K., Kato, E., Kitidis, V., Korsbakken, J.I., Landschützer, P., Lefèvre, N., Lenton, A., Lienert, S., Liu, Z., Lombardozzi, D., Marland, G., Metzl, N., Munro, D.R., Nabel, J.E.M.S., Nakaoka, S.-I., Niwa, Y., O’Brien, K., Ono, T., Palmer, P.I., Pierrot, D., Poulter, B., Resplandy, L., Robertson, E., Rödenbeck, C., Schwinger, J., Séférian, R., Skjelvan, I., Smith, A.J.P., Sutton, A.J., Tanhua, T., Tans, P.P., Tian, H., Tilbrook, B., van der Werf, G., Vuichard, N., Walker, A.P., Wanninkhof, R., Watson, A.J., Willis, D., Wiltshire, A.J., Yuan, W., Yue, X., Zaehle, S., 2020. Global Carbon Budget 2020. Earth System Science Data 12, 3269–3340. https://doi.org/10.5194/essd-12-3269-2020</w:t>
      </w:r>
    </w:p>
    <w:p w14:paraId="1891B79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Gaston, K.J., 2000. Global patterns in biodiversity. Nature 405, 220–227. https://doi.org/10.1038/35012228</w:t>
      </w:r>
    </w:p>
    <w:p w14:paraId="293C49D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Gaube, V., Kaiser, C., Wildenberg, M., Adensam, H., Fleissner, P., Kobler, J., Lutz, J., Schaumberger, A., Schaumberger, J., Smetschka, B., Wolf, A., Richter, A., Haberl, H., 2009. </w:t>
      </w:r>
      <w:r w:rsidRPr="0030793F">
        <w:rPr>
          <w:rFonts w:ascii="Times New Roman" w:hAnsi="Times New Roman" w:cs="Times New Roman"/>
          <w:lang w:val="en-US"/>
        </w:rPr>
        <w:t>Combining agent-based and stock-flow modelling approaches in a participative analysis of the integrated land system in Reichraming, Austria. Landscape Ecology 24, 1149–1165. https://doi.org/10.1007/s10980-009-9356-6</w:t>
      </w:r>
    </w:p>
    <w:p w14:paraId="08E8680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Gerber, J.-F., Scheidel, A., 2018. In Search of Substantive Economics: Comparing Today’s Two Major Socio-metabolic Approaches to the Economy – MEFA and MuSIASEM. Ecological Economics 144, 186–194. https://doi.org/10.1016/j.ecolecon.2017.08.012</w:t>
      </w:r>
    </w:p>
    <w:p w14:paraId="56EAFE73"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Giampietro, M., Mayumi, K., 2000. Multiple-Scale Integrated Assessment of Societal Metabolism: Introducing the Approach. </w:t>
      </w:r>
      <w:r w:rsidRPr="0030793F">
        <w:rPr>
          <w:rFonts w:ascii="Times New Roman" w:hAnsi="Times New Roman" w:cs="Times New Roman"/>
        </w:rPr>
        <w:t>Population and Environment 22, 109–153. https://doi.org/10.1023/A:1026691623300</w:t>
      </w:r>
    </w:p>
    <w:p w14:paraId="103066E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Gingrich, S., Lauk, C., Niedertscheider, M., Pichler, M., Schaffartzik, A., Schmid, M., Magerl, A., Le Noë, J., Bhan, M., Erb, K., 2019. </w:t>
      </w:r>
      <w:r w:rsidRPr="0030793F">
        <w:rPr>
          <w:rFonts w:ascii="Times New Roman" w:hAnsi="Times New Roman" w:cs="Times New Roman"/>
          <w:lang w:val="en-US"/>
        </w:rPr>
        <w:t>Hidden emissions of forest transitions: a socio-ecological reading of forest change. Current Opinion in Environmental Sustainability 38, 14–21. https://doi.org/10.1016/j.cosust.2019.04.005</w:t>
      </w:r>
    </w:p>
    <w:p w14:paraId="2BE99A8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Görg, C., Plank, C., Wiedenhofer, D., Mayer, A., Pichler, M., Schaffartzik, A., Krausmann, F., 2019. </w:t>
      </w:r>
      <w:r w:rsidRPr="0030793F">
        <w:rPr>
          <w:rFonts w:ascii="Times New Roman" w:hAnsi="Times New Roman" w:cs="Times New Roman"/>
          <w:lang w:val="en-US"/>
        </w:rPr>
        <w:t>Scrutinizing the Great Acceleration: The Anthropocene and its analytic challenges for social-ecological transformations. The Anthropocene Review 2053019619895034. https://doi.org/10.1177/2053019619895034</w:t>
      </w:r>
    </w:p>
    <w:p w14:paraId="3BDA976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Graedel, T.E., 2019. Material Flow Analysis from Origin to Evolution. Environ. Sci. Technol. 53, 12188–12196. https://doi.org/10.1021/acs.est.9b03413</w:t>
      </w:r>
    </w:p>
    <w:p w14:paraId="4BEFC44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2015. Competition for land: A sociometabolic perspective. Ecological Economics 119, 424–431. https://doi.org/10.1016/j.ecolecon.2014.10.002</w:t>
      </w:r>
    </w:p>
    <w:p w14:paraId="484AB56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2001. The Energetic Metabolism of Societies Part I: Accounting Concepts. Journal of Industrial Ecology 5, 11–33. https://doi.org/10.1162/108819801753358481</w:t>
      </w:r>
    </w:p>
    <w:p w14:paraId="751E452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Erb, K.-H., Krausmann, F., 2014. Human Appropriation of Net Primary Production: Patterns, Trends, and Planetary Boundaries. Annual Review of Environment and Resources 39, 363–391. https://doi.org/10.1146/annurev-environ-121912-094620</w:t>
      </w:r>
    </w:p>
    <w:p w14:paraId="254FB20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Haberl, H., Erb, K.H., Krausmann, F., Gaube, V., Bondeau, A., Plutzar, C., Gingrich, S., Lucht, W., Fischer-Kowalski, M., 2007. </w:t>
      </w:r>
      <w:r w:rsidRPr="0030793F">
        <w:rPr>
          <w:rFonts w:ascii="Times New Roman" w:hAnsi="Times New Roman" w:cs="Times New Roman"/>
          <w:lang w:val="en-US"/>
        </w:rPr>
        <w:t>Quantifying and mapping the human appropriation of net primary production in earth’s terrestrial ecosystems. Proceedings of the National Academy of Sciences 104, 12942–12947. https://doi.org/10.1073/pnas.0704243104</w:t>
      </w:r>
    </w:p>
    <w:p w14:paraId="7D6C72C0"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Haberl, H., Fischer-Kowalski, M., Krausmann, F., Weisz, H., Winiwarter, V., 2004a. </w:t>
      </w:r>
      <w:r w:rsidRPr="0030793F">
        <w:rPr>
          <w:rFonts w:ascii="Times New Roman" w:hAnsi="Times New Roman" w:cs="Times New Roman"/>
          <w:lang w:val="en-US"/>
        </w:rPr>
        <w:t xml:space="preserve">Progress towards sustainability? What the conceptual framework of material and energy flow accounting (MEFA) can offer. </w:t>
      </w:r>
      <w:r w:rsidRPr="0030793F">
        <w:rPr>
          <w:rFonts w:ascii="Times New Roman" w:hAnsi="Times New Roman" w:cs="Times New Roman"/>
        </w:rPr>
        <w:t>Land Use Policy 21, 199–213. https://doi.org/16/j.landusepol.2003.10.013</w:t>
      </w:r>
    </w:p>
    <w:p w14:paraId="447B3E4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Haberl, H., Fischer-Kowalski, M., Krausmann, F., Winiwarter, V., 2016. </w:t>
      </w:r>
      <w:r w:rsidRPr="0030793F">
        <w:rPr>
          <w:rFonts w:ascii="Times New Roman" w:hAnsi="Times New Roman" w:cs="Times New Roman"/>
          <w:lang w:val="en-US"/>
        </w:rPr>
        <w:t>Social Ecology, Society-Nature Relations across Time and Space. Springer, Human-Environment Interactions, no. 5, Dordrecht.</w:t>
      </w:r>
    </w:p>
    <w:p w14:paraId="47107CC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Haberl, H., Gaube, V., Díaz-Delgado, R., Krauze, K., Neuner, A., Peterseil, J., Plutzar, C., Singh, S.J., Vadineanu, A., 2009. </w:t>
      </w:r>
      <w:r w:rsidRPr="0030793F">
        <w:rPr>
          <w:rFonts w:ascii="Times New Roman" w:hAnsi="Times New Roman" w:cs="Times New Roman"/>
          <w:lang w:val="en-US"/>
        </w:rPr>
        <w:t>Towards an integrated model of socioeconomic biodiversity drivers, pressures and impacts. A feasibility study based on three European long-term socio-ecological research platforms. Ecological Economics 68, 1797–1812. https://doi.org/16/j.ecolecon.2008.11.013</w:t>
      </w:r>
    </w:p>
    <w:p w14:paraId="5E8F184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Plutzar, C., Erb, K.-H., Gaube, V., Pollheimer, M., Schulz, N.B., 2005. Human appropriation of net primary production as determinant of avifauna diversity in Austria. Agriculture, Ecosystems &amp; Environment 110, 119–131. https://doi.org/10.1016/j.agee.2005.03.009</w:t>
      </w:r>
    </w:p>
    <w:p w14:paraId="32A475E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Schmid, M., Haas, W., Wiedenhofer, D., Rau, H., Winiwarter, V., 2021. Stocks, flows, services and practices: Nexus approaches to sustainable social metabolism. Ecological Economics 182, 106949. https://doi.org/10.1016/j.ecolecon.2021.106949</w:t>
      </w:r>
    </w:p>
    <w:p w14:paraId="6A4AF0C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Haberl, H., Schulz, N.B., Plutzar, C., Erb, K.H., Krausmann, F., Loibl, W., Moser, D., Sauberer, N., Weisz, H., Zechmeister, H.G., Zulka, P., 2004b. Human appropriation of net primary production and species diversity in agricultural landscapes. Agriculture, Ecosystems &amp; Environment 102, 213–218. https://doi.org/16/j.agee.2003.07.004</w:t>
      </w:r>
    </w:p>
    <w:p w14:paraId="580423C3"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Haberl, H., Wiedenhofer, D., Erb, K.-H., Görg, C., Krausmann, F., 2017. The Material Stock–Flow–Service Nexus: A New Approach for Tackling the Decoupling Conundrum. </w:t>
      </w:r>
      <w:r w:rsidRPr="0030793F">
        <w:rPr>
          <w:rFonts w:ascii="Times New Roman" w:hAnsi="Times New Roman" w:cs="Times New Roman"/>
        </w:rPr>
        <w:t>Sustainability 9, 1049. https://doi.org/10.3390/su9071049</w:t>
      </w:r>
    </w:p>
    <w:p w14:paraId="31DCDA6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Haberl, H., Wiedenhofer, D., Pauliuk, S., Krausmann, F., Müller, D.B., Fischer-Kowalski, M., 2019. </w:t>
      </w:r>
      <w:r w:rsidRPr="0030793F">
        <w:rPr>
          <w:rFonts w:ascii="Times New Roman" w:hAnsi="Times New Roman" w:cs="Times New Roman"/>
          <w:lang w:val="en-US"/>
        </w:rPr>
        <w:t>Contributions of sociometabolic research to sustainability science. Nature Sustainability 2, 173–184. https://doi.org/10.1038/s41893-019-0225-2</w:t>
      </w:r>
    </w:p>
    <w:p w14:paraId="00B2ED0C"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lastRenderedPageBreak/>
        <w:t xml:space="preserve">Haberl, H., Wiedenhofer, D., Virág, D., Kalt, G., Plank, B., Brockway, P., Fishman, T., Hausknost, D., Krausmann, F.P., Leon-Gruchalski, B., Mayer, A., Pichler, M., Schaffartzik, A., Sousa, T., Streeck, J., Creutzig, F., 2020. A systematic review of the evidence on decoupling of GDP, resource use and GHG emissions, part II: synthesizing the insights. </w:t>
      </w:r>
      <w:r w:rsidRPr="0030793F">
        <w:rPr>
          <w:rFonts w:ascii="Times New Roman" w:hAnsi="Times New Roman" w:cs="Times New Roman"/>
        </w:rPr>
        <w:t>Environ. Res. Lett. 15, 065003. https://doi.org/10.1088/1748-9326/ab842a</w:t>
      </w:r>
    </w:p>
    <w:p w14:paraId="6B3C9A1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Hall, C., Lindenberger, D., Kümmel, R., Kroeger, T., Eichhorn, W., 2001. </w:t>
      </w:r>
      <w:r w:rsidRPr="0030793F">
        <w:rPr>
          <w:rFonts w:ascii="Times New Roman" w:hAnsi="Times New Roman" w:cs="Times New Roman"/>
          <w:lang w:val="en-US"/>
        </w:rPr>
        <w:t>The Need to Reintegrate the Natural Sciences with Economics. BioScience 51, 663–673. https://doi.org/10.1641/0006-3568(2001)051[0663:TNTRTN]2.0.CO;2</w:t>
      </w:r>
    </w:p>
    <w:p w14:paraId="0EF0F93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Hardt, L., O’Neill, D.W., 2017. </w:t>
      </w:r>
      <w:r w:rsidRPr="0030793F">
        <w:rPr>
          <w:rFonts w:ascii="Times New Roman" w:hAnsi="Times New Roman" w:cs="Times New Roman"/>
          <w:lang w:val="en-US"/>
        </w:rPr>
        <w:t>Ecological Macroeconomic Models: Assessing Current Developments. Ecological Economics 134, 198–211. https://doi.org/10.1016/j.ecolecon.2016.12.027</w:t>
      </w:r>
    </w:p>
    <w:p w14:paraId="4D959EA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Hellweg, S., Canals, L.M. i, 2014. Emerging approaches, challenges and opportunities in life cycle assessment. Science 344, 1109–1113. https://doi.org/10.1126/science.1248361</w:t>
      </w:r>
    </w:p>
    <w:p w14:paraId="7FF4472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Hepburn, C., Adlen, E., Beddington, J., Carter, E.A., Fuss, S., Dowell, N.M., Minx, J.C., Smith, P., Williams, C.K., 2019. The technological and economic prospects for CO 2 utilization and removal. Nature 575, 87–97. https://doi.org/10.1038/s41586-019-1681-6</w:t>
      </w:r>
    </w:p>
    <w:p w14:paraId="595B99BC"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Hickel, J., 2019. The contradiction of the sustainable development goals: Growth versus ecology on a finite planet. Sustainable Development 27, 873–884. https://doi.org/10.1002/sd.1947</w:t>
      </w:r>
    </w:p>
    <w:p w14:paraId="2A259C0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Hickel, J., Kallis, G., 2020. Is Green Growth Possible? New Political Economy 25, 469–486. https://doi.org/10.1080/13563467.2019.1598964</w:t>
      </w:r>
    </w:p>
    <w:p w14:paraId="7FDFDDD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Hoekstra, R., 2019. Replacing GDP by 2030. Towards a Common Language for the Well-being and Sustainability Community. Cambride University Press, Cambridge, UK.</w:t>
      </w:r>
    </w:p>
    <w:p w14:paraId="4A4E290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Hutchinson, G.E., 1959. Homage to Santa Rosalia or why are there so many kinds of animals? The American Naturalist 93, 145–159.</w:t>
      </w:r>
    </w:p>
    <w:p w14:paraId="33895DC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IAASTD, 2009. Agriculture at a Crossroads. International Assessment of Agricultural Knowledge, Science and Technology for Development (IAASTD), Global Report. Island Press, Washington, D.C.</w:t>
      </w:r>
    </w:p>
    <w:p w14:paraId="37E00392"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Inostroza, L., 2014. Measuring urban ecosystem functions through ‘Technomass’—A novel indicator to assess urban metabolism. Ecological Indicators 42, 10–19. https://doi.org/10.1016/j.ecolind.2014.02.035</w:t>
      </w:r>
    </w:p>
    <w:p w14:paraId="27F5D52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IPBES, 2019. Global assessment report on biodiversity and ecosystem services of the Intergovernmental Science-Policy Platform on Biodiversity and Ecosystem Services. IPBES secretariat, Bonn, Germany.</w:t>
      </w:r>
    </w:p>
    <w:p w14:paraId="1CFFF0B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IPCC, 2018. Global Warming of 1.5 °C. An IPCC special report on the impacts of global warming of 1.5 °C above pre-industrial levels and related global greenhouse gas emission pathways, in the context of strengthening the global response to the threat of climate change, sustainable development, and efforts to eradicate poverty. WMO, UNEP, Geneva, Switzerland.</w:t>
      </w:r>
    </w:p>
    <w:p w14:paraId="21C2A6B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Jackson, T., Victor, P.A., 2019. Unraveling the claims for (and against) green growth. Science 366, 950–951.</w:t>
      </w:r>
    </w:p>
    <w:p w14:paraId="4382E5E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Janssen, M.A., Ostrom, E., 2006. Empirically based, agent-based models. Ecology and Society 11, 37.</w:t>
      </w:r>
    </w:p>
    <w:p w14:paraId="0FBB32A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Kallis, G., Kerschner, C., Martinez-Alier, J., 2012. The economics of degrowth. Ecological Economics 84, 172–180. https://doi.org/10.1016/j.ecolecon.2012.08.017</w:t>
      </w:r>
    </w:p>
    <w:p w14:paraId="1B91FE31"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Kalt, G., Lauk, C., Mayer, A., Theurl, M.C., Kaltenegger, K., Winiwarter, W., Erb, K.-H., Matej, S., Haberl, H., 2020. </w:t>
      </w:r>
      <w:r w:rsidRPr="0030793F">
        <w:rPr>
          <w:rFonts w:ascii="Times New Roman" w:hAnsi="Times New Roman" w:cs="Times New Roman"/>
          <w:lang w:val="en-US"/>
        </w:rPr>
        <w:t xml:space="preserve">Greenhouse gas implications of mobilizing agricultural biomass for energy: a reassessment of global potentials in 2050 under different food-system pathways. </w:t>
      </w:r>
      <w:r w:rsidRPr="0030793F">
        <w:rPr>
          <w:rFonts w:ascii="Times New Roman" w:hAnsi="Times New Roman" w:cs="Times New Roman"/>
        </w:rPr>
        <w:t>Environ. Res. Lett. 15, 034066. https://doi.org/10.1088/1748-9326/ab6c2e</w:t>
      </w:r>
    </w:p>
    <w:p w14:paraId="4AD15E04"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Kalt, G., Wiedenhofer, D., Görg, C., Haberl, H., 2019. </w:t>
      </w:r>
      <w:r w:rsidRPr="0030793F">
        <w:rPr>
          <w:rFonts w:ascii="Times New Roman" w:hAnsi="Times New Roman" w:cs="Times New Roman"/>
          <w:lang w:val="en-US"/>
        </w:rPr>
        <w:t xml:space="preserve">Conceptualizing energy services: A review of energy and well-being along the Energy Service Cascade. </w:t>
      </w:r>
      <w:r w:rsidRPr="0030793F">
        <w:rPr>
          <w:rFonts w:ascii="Times New Roman" w:hAnsi="Times New Roman" w:cs="Times New Roman"/>
        </w:rPr>
        <w:t>Energy Research &amp; Social Science 53, 47–58. https://doi.org/10.1016/j.erss.2019.02.026</w:t>
      </w:r>
    </w:p>
    <w:p w14:paraId="5D108C7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Kastner, T., Matej, S., Forrest, M., Gingrich, S., Haberl, H., Hickler, T., Krausmann, F., Lasslop, G., Niedertscheider, M., Plutzar, C., Schwarzmüller, T., Steinkamp, J., Erb, K.-H., in review. </w:t>
      </w:r>
      <w:r w:rsidRPr="0030793F">
        <w:rPr>
          <w:rFonts w:ascii="Times New Roman" w:hAnsi="Times New Roman" w:cs="Times New Roman"/>
          <w:lang w:val="en-US"/>
        </w:rPr>
        <w:t>Land use intensification increasingly drives the spatiotemporal patterns of the global human appropriation of net primary production in the last century. Global Change Biology in review.</w:t>
      </w:r>
    </w:p>
    <w:p w14:paraId="5EEA1A0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Kehoe, L., Kuemmerle, T., Meyer, C., Levers, C., Václavík, T., Kreft, H., 2015. Global patterns of agricultural land-use intensity and vertebrate diversity. Diversity and Distributions 21, 1308–1318. https://doi.org/10.1111/ddi.12359</w:t>
      </w:r>
    </w:p>
    <w:p w14:paraId="55F58C7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Kehoe, L., Romero-Muñoz, A., Polaina, E., Estes, L., Kreft, H., Kuemmerle, T., 2017. Biodiversity at risk under future cropland expansion and intensification. Nature Ecology &amp; Evolution 1, 1129–1135. https://doi.org/10.1038/s41559-017-0234-3</w:t>
      </w:r>
    </w:p>
    <w:p w14:paraId="481A3F6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Kennedy, C.A., Stewart, I., Facchini, A., Cersosimo, I., Mele, R., Chen, B., Uda, M., Kansal, A., Chiu, A., Kim, K., Dubeux, C., Rovere, E.L.L., Cunha, B., Pincetl, S., Keirstead, J., Barles, S., Pusaka, S., Gunawan, J., Adegbile, M., Nazariha, M., Hoque, S., Marcotullio, P.J., Otharán, F.G., Genena, T., Ibrahim, N., Farooqui, R., Cervantes, G., Sahin, A.D., 2015. Energy and material flows of megacities. PNAS 112, 5985–5990. https://doi.org/10.1073/pnas.1504315112</w:t>
      </w:r>
    </w:p>
    <w:p w14:paraId="31FEC5D5"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Krausmann, F., Erb, K.-H., Gingrich, S., Haberl, H., Bondeau, A., Gaube, V., Lauk, C., Plutzar, C., Searchinger, T.D., 2013. </w:t>
      </w:r>
      <w:r w:rsidRPr="0030793F">
        <w:rPr>
          <w:rFonts w:ascii="Times New Roman" w:hAnsi="Times New Roman" w:cs="Times New Roman"/>
          <w:lang w:val="en-US"/>
        </w:rPr>
        <w:t xml:space="preserve">Global human appropriation of net primary production doubled in the 20th century. </w:t>
      </w:r>
      <w:r w:rsidRPr="0030793F">
        <w:rPr>
          <w:rFonts w:ascii="Times New Roman" w:hAnsi="Times New Roman" w:cs="Times New Roman"/>
        </w:rPr>
        <w:t>PNAS 110, 10324–10329. https://doi.org/10.1073/pnas.1211349110</w:t>
      </w:r>
    </w:p>
    <w:p w14:paraId="15F8427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Krausmann, F., Fischer‐Kowalski, M., Schandl, H., Eisenmenger, N., 2008. </w:t>
      </w:r>
      <w:r w:rsidRPr="0030793F">
        <w:rPr>
          <w:rFonts w:ascii="Times New Roman" w:hAnsi="Times New Roman" w:cs="Times New Roman"/>
          <w:lang w:val="en-US"/>
        </w:rPr>
        <w:t>The Global Sociometabolic Transition. Journal of Industrial Ecology 12, 637–656. https://doi.org/10.1111/j.1530-9290.2008.00065.x</w:t>
      </w:r>
    </w:p>
    <w:p w14:paraId="7019962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Krausmann, F., Lauk, C., Haas, W., Wiedenhofer, D., 2018. </w:t>
      </w:r>
      <w:r w:rsidRPr="0030793F">
        <w:rPr>
          <w:rFonts w:ascii="Times New Roman" w:hAnsi="Times New Roman" w:cs="Times New Roman"/>
          <w:lang w:val="en-US"/>
        </w:rPr>
        <w:t>From resource extraction to outflows of wastes and emissions: The socioeconomic metabolism of the global economy, 1900–2015. Global Environmental Change 52, 131–140. https://doi.org/10.1016/j.gloenvcha.2018.07.003</w:t>
      </w:r>
    </w:p>
    <w:p w14:paraId="20A263B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Krausmann, F., Schandl, H., Eisenmenger, N., Giljum, S., Jackson, T., 2017a. Material Flow Accounting: Measuring Global Material Use for Sustainable Development. Annual Review of Environment and Resources 42, 647–675.</w:t>
      </w:r>
    </w:p>
    <w:p w14:paraId="10D7F53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Krausmann, F., Wiedenhofer, D., Lauk, C., Haas, W., Tanikawa, H., Fishman, T., Miatto, A., Schandl, H., Haberl, H., 2017b. Global socioeconomic material stocks rise 23-fold over the 20th century and require half of annual resource use. Proceedings of the National Academy of Sciences of the USA 114, 1880–1885. https://doi.org/10.1073/pnas.1613773114</w:t>
      </w:r>
    </w:p>
    <w:p w14:paraId="47E800D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Kuemmerle, T., Erb, K., Meyfroidt, P., Müller, D., Verburg, P.H., Estel, S., Haberl, H., Hostert, P., Jepsen, M.R., Kastner, T., Levers, C., Lindner, M., Plutzar, C., Verkerk, P.J., van der Zanden, E.H., Reenberg, A., 2013. </w:t>
      </w:r>
      <w:r w:rsidRPr="0030793F">
        <w:rPr>
          <w:rFonts w:ascii="Times New Roman" w:hAnsi="Times New Roman" w:cs="Times New Roman"/>
          <w:lang w:val="en-US"/>
        </w:rPr>
        <w:t>Challenges and opportunities in mapping land use intensity globally. Current Opinion in Environmental Sustainability 5, 484–493. https://doi.org/10.1016/j.cosust.2013.06.002</w:t>
      </w:r>
    </w:p>
    <w:p w14:paraId="2A76517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Kümmel, R., 2011. The Second Law of Economics, Energy, Entropy and the Origins of Wealth. Springer, New York.</w:t>
      </w:r>
    </w:p>
    <w:p w14:paraId="181F1B2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Lanz, B., Dietz, S., Swanson, T., 2018. The Expansion of Modern Agriculture and Global Biodiversity Decline: An Integrated Assessment. Ecological Economics 144, 260–277. https://doi.org/10.1016/j.ecolecon.2017.07.018</w:t>
      </w:r>
    </w:p>
    <w:p w14:paraId="7C610BA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Latouche, S., 2010. Degrowth. Journal of Cleaner Production 18, 519–522. https://doi.org/10.1016/j.jclepro.2010.02.003</w:t>
      </w:r>
    </w:p>
    <w:p w14:paraId="320985E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Laurance, W.F., Peletier-Jellema, A., Geenen, B., Koster, H., Verweij, P., Van Dijck, P., Lovejoy, T.E., Schleicher, J., Van Kuijk, M., 2015. </w:t>
      </w:r>
      <w:r w:rsidRPr="0030793F">
        <w:rPr>
          <w:rFonts w:ascii="Times New Roman" w:hAnsi="Times New Roman" w:cs="Times New Roman"/>
          <w:lang w:val="en-US"/>
        </w:rPr>
        <w:t>Reducing the global environmental impacts of rapid infrastructure expansion. Current Biology 25, R259–R262. https://doi.org/10.1016/j.cub.2015.02.050</w:t>
      </w:r>
    </w:p>
    <w:p w14:paraId="326390A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Le Quéré, C., Andrew, R.M., Friedlingstein, P., Sitch, S., Hauck, J., Pongratz, J., Pickers, P.A., Korsbakken, J.I., Peters, G.P., Canadell, J.G., Arneth, A., Arora, V.K., Barbero, L., Bastos, A., Bopp, L., Chevallier, F., Chini, L.P., Ciais, P., Doney, S.C., Gkritzalis, T., Goll, D.S., Harris, I., Haverd, V., Hoffman, F.M., Hoppema, M., Houghton, R.A., Hurtt, G., Ilyina, T., Jain, A.K., Johannessen, T., Jones, C.D., Kato, E., Keeling, R.F., Goldewijk, K.K., Landschützer, P., Lefèvre, N., Lienert, S., Liu, Z., Lombardozzi, D., Metzl, N., Munro, D.R., Nabel, J.E.M.S., Nakaoka, S., Neill, C., Olsen, A., Ono, T., Patra, P., Peregon, A., Peters, W., Peylin, P., Pfeil, B., Pierrot, D., Poulter, B., Rehder, G., Resplandy, L., Robertson, E., Rocher, M., Rödenbeck, C., Schuster, U., Schwinger, J., Séférian, R., Skjelvan, I., Steinhoff, T., Sutton, A., Tans, P.P., Tian, H., Tilbrook, B., Tubiello, F.N., van der Laan-Luijkx, I.T., van der Werf, G.R., Viovy, N., Walker, A.P., Wiltshire, A.J., Wright, R., Zaehle, S., Zheng, B., 2018. Global Carbon Budget 2018. Earth System Science Data 10, 2141–2194. https://doi.org/10.5194/essd-10-2141-2018</w:t>
      </w:r>
    </w:p>
    <w:p w14:paraId="30B1B31C"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 xml:space="preserve">Le Quéré, C., Korsbakken, J.I., Wilson, C., Tosun, J., Andrew, R., Andres, R.J., Canadell, J.G., Jordan, A., Peters, G.P., van Vuuren, D.P., 2019. Drivers of declining CO2 emissions in 18 </w:t>
      </w:r>
      <w:r w:rsidRPr="0030793F">
        <w:rPr>
          <w:rFonts w:ascii="Times New Roman" w:hAnsi="Times New Roman" w:cs="Times New Roman"/>
          <w:lang w:val="en-US"/>
        </w:rPr>
        <w:lastRenderedPageBreak/>
        <w:t>developed economies. Nature Climate Change 9, 213–217. https://doi.org/10.1038/s41558-019-0419-7</w:t>
      </w:r>
    </w:p>
    <w:p w14:paraId="2C30FB7C"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Lenzen, M., Moran, D., Kanemoto, K., Foran, B., Lobefaro, L., Geschke, A., 2012. </w:t>
      </w:r>
      <w:r w:rsidRPr="0030793F">
        <w:rPr>
          <w:rFonts w:ascii="Times New Roman" w:hAnsi="Times New Roman" w:cs="Times New Roman"/>
          <w:lang w:val="en-US"/>
        </w:rPr>
        <w:t>International trade drives biodiversity threats in developing nations. Nature 486, 109–112. https://doi.org/10.1038/nature11145</w:t>
      </w:r>
    </w:p>
    <w:p w14:paraId="6E2C945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Lorel, C., Plutzar, C., Erb, K.-H., Mouchet, M., 2019. Linking the human appropriation of net primary productivity-based indicators, input cost and high nature value to the dimensions of land-use intensity across French agricultural landscapes. Agriculture, Ecosystems &amp; Environment 283, 106565. https://doi.org/10.1016/j.agee.2019.06.004</w:t>
      </w:r>
    </w:p>
    <w:p w14:paraId="3F44CF9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Lovins, A.B., 1979. Soft Energy Paths: Towards A Durable Peace. Friends of the Earth International, San Francisco, Calif., Cambridge, Mass.</w:t>
      </w:r>
    </w:p>
    <w:p w14:paraId="4DDB931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Luckeneder, S., Giljum, S., Schaffartzik, A., Maus, V., Tost, M., 2021. </w:t>
      </w:r>
      <w:r w:rsidRPr="0030793F">
        <w:rPr>
          <w:rFonts w:ascii="Times New Roman" w:hAnsi="Times New Roman" w:cs="Times New Roman"/>
          <w:lang w:val="en-US"/>
        </w:rPr>
        <w:t>Surge in global metal mining threatens vulnerable ecosystems. Global Environmental Change 69, 102303. https://doi.org/10.1016/j.gloenvcha.2021.102303</w:t>
      </w:r>
    </w:p>
    <w:p w14:paraId="7BA5BF2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Lurgi, M., Brook, B.W., Saltré, F., Fordham, D.A., 2015. Modelling range dynamics under global change: which framework and why? Methods in Ecology and Evolution 6, 247–256. https://doi.org/10.1111/2041-210X.12315</w:t>
      </w:r>
    </w:p>
    <w:p w14:paraId="20A31C0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Martinez-Alier, J., 2002. The Environmentalism of the Poor. A Study of Ecological Conflicts and Valuation. Edward Elgar, Cheltenham, UK and Northampton, USA.</w:t>
      </w:r>
    </w:p>
    <w:p w14:paraId="2C77F35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Martinez-Alier, J., 1987. Ecological Economics. Energy, Environment and Society. Blackwell, Oxford, UK.</w:t>
      </w:r>
    </w:p>
    <w:p w14:paraId="10BE470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Maus, V., Giljum, S., Gutschlhofer, J., da Silva, D.M., Probst, M., Gass, S.L.B., Luckeneder, S., Lieber, M., McCallum, I., 2020. </w:t>
      </w:r>
      <w:r w:rsidRPr="0030793F">
        <w:rPr>
          <w:rFonts w:ascii="Times New Roman" w:hAnsi="Times New Roman" w:cs="Times New Roman"/>
          <w:lang w:val="en-US"/>
        </w:rPr>
        <w:t>A global-scale data set of mining areas. Sci Data 7, 289. https://doi.org/10.1038/s41597-020-00624-w</w:t>
      </w:r>
    </w:p>
    <w:p w14:paraId="6EB8119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Maxwell, S.L., Fuller, R.A., Brooks, T.M., Watson, J.E.M., 2016. Biodiversity: The ravages of guns, nets and bulldozers. Nature News 536, 143. https://doi.org/10.1038/536143a</w:t>
      </w:r>
    </w:p>
    <w:p w14:paraId="2687A83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Meadows, D.H., Meadows, D.L., Randers, J., Behrens, W.W., 1972. The Limits To Growth.  A Report for the Club of Rome’s Project on the Predicament of Mankind. Universe Books, New York.</w:t>
      </w:r>
    </w:p>
    <w:p w14:paraId="3D4D4895"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Millennium Ecosystem Assessment, 2005. Ecosystems and Human Well-being: Synthesis. Island Press, Washington, DC.</w:t>
      </w:r>
    </w:p>
    <w:p w14:paraId="58E6469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Mittelbach, G.G., Steiner, C.F., Scheiner, S.M., Gross, K.L., Reynolds, H.L., Waide, R.B., Willig, M.R., Dodson, S.I., Gough, L., 2001. What Is the Observed Relationship Between Species Richness and Productivity? Ecology 82, 2381–2396. https://doi.org/10.1890/0012-9658(2001)082[2381:WITORB]2.0.CO;2</w:t>
      </w:r>
    </w:p>
    <w:p w14:paraId="152F9748"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Mouchet, M., Levers, C., Zupan, L., Kuemmerle, T., Plutzar, C., Erb, K., Lavorel, S., Thuiller, W., Haberl, H., 2015. Testing the Effectiveness of Environmental Variables to Explain European Terrestrial Vertebrate Species Richness across Biogeographical Scales. </w:t>
      </w:r>
      <w:r w:rsidRPr="0030793F">
        <w:rPr>
          <w:rFonts w:ascii="Times New Roman" w:hAnsi="Times New Roman" w:cs="Times New Roman"/>
        </w:rPr>
        <w:t>PLoS One 10, e0131924. https://doi.org/10.1371/journal.pone.0131924</w:t>
      </w:r>
    </w:p>
    <w:p w14:paraId="5DCB590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Murguía, D.I., Bringezu, S., Schaldach, R., 2016. </w:t>
      </w:r>
      <w:r w:rsidRPr="0030793F">
        <w:rPr>
          <w:rFonts w:ascii="Times New Roman" w:hAnsi="Times New Roman" w:cs="Times New Roman"/>
          <w:lang w:val="en-US"/>
        </w:rPr>
        <w:t>Global direct pressures on biodiversity by large-scale metal mining: Spatial distribution and implications for conservation. Journal of Environmental Management 180, 409–420. https://doi.org/10.1016/j.jenvman.2016.05.040</w:t>
      </w:r>
    </w:p>
    <w:p w14:paraId="5D226FE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Newbold, T., Hudson, L.N., Hill, S.L.L., Contu, S., Lysenko, I., Senior, R.A., Börger, L., Bennett, D.J., Choimes, A., Collen, B., Day, J., Palma, A.D., Díaz, S., Echeverria-Londoño, S., Edgar, M.J., Feldman, A., Garon, M., Harrison, M.L.K., Alhusseini, T., Ingram, D.J., Itescu, Y., Kattge, J., Kemp, V., Kirkpatrick, L., Kleyer, M., Correia, D.L.P., Martin, C.D., Meiri, S., Novosolov, M., Pan, Y., Phillips, H.R.P., Purves, D.W., Robinson, A., Simpson, J., Tuck, S.L., Weiher, E., White, H.J., Ewers, R.M., Mace, G.M., Scharlemann, J.P.W., Purvis, A., 2015. Global effects of land use on local terrestrial biodiversity. Nature 520, 45–50. https://doi.org/10.1038/nature14324</w:t>
      </w:r>
    </w:p>
    <w:p w14:paraId="0D2ACF8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OECD, 2008. Measuring Material Flows and Resource Productivity. Volume I. The OECD Guide. Organisation for Economic Co-Operation and Development, Paris, France.</w:t>
      </w:r>
    </w:p>
    <w:p w14:paraId="3E6817C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O’Neill, D.W., 2012. Measuring progress in the degrowth transition to a steady state economy. Ecological Economics 84, 221–231. https://doi.org/10.1016/j.ecolecon.2011.05.020</w:t>
      </w:r>
    </w:p>
    <w:p w14:paraId="3A650DC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O’Neill, D.W., Fanning, A.L., Lamb, W.F., Steinberger, J.K., 2018. A good life for all within planetary boundaries. Nature Sustainability 1, 88–95. https://doi.org/10.1038/s41893-018-0021-4</w:t>
      </w:r>
    </w:p>
    <w:p w14:paraId="51CF498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Otero, I., Farrell, K.N., Pueyo, S., Kallis, G., Kehoe, L., Haberl, H., Plutzar, C., Hobson, P., García‐Márquez, J., Rodríguez‐Labajos, B., Martin, J.-L., Erb, K.-H., Schindler, S., Nielsen, J., Skorin, T., Settele, J., Essl, F., Gómez‐Baggethun, E., Brotons, L., Rabitsch, W., Schneider, F., Pe’er, G., 2020. Biodiversity policy beyond economic growth. Conservation Letters 13, e12713. https://doi.org/10.1111/conl.12713</w:t>
      </w:r>
    </w:p>
    <w:p w14:paraId="184410D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Parrique, T., Barth, J., Briens, F., Kerschner, C., Kraus-Polk, A., Kuokkanen, A., Spangenberg, J.H., 2019. </w:t>
      </w:r>
      <w:r w:rsidRPr="0030793F">
        <w:rPr>
          <w:rFonts w:ascii="Times New Roman" w:hAnsi="Times New Roman" w:cs="Times New Roman"/>
          <w:lang w:val="en-US"/>
        </w:rPr>
        <w:t>Decoupling debunked: evidence and arguments against green growth as a sole strategy for sustainability. European Environmental Bureau, eeb.org/library/decoupling-debunked.</w:t>
      </w:r>
    </w:p>
    <w:p w14:paraId="0646D15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Pauliuk, S., Arvesen, A., Stadler, K., Hertwich, E.G., 2017. Industrial ecology in integrated assessment models. Nature Clim. Change 7, 13–20. https://doi.org/10.1038/nclimate3148</w:t>
      </w:r>
    </w:p>
    <w:p w14:paraId="65D8AF4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Pauliuk, S., Müller, D.B., 2014. The role of in-use stocks in the social metabolism and in climate change mitigation. Global Environmental Change 24, 132–142. https://doi.org/10.1016/j.gloenvcha.2013.11.006</w:t>
      </w:r>
    </w:p>
    <w:p w14:paraId="44C9CA2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Pereira, H.M., Daily, G.C., 2006. Modeling biodiversity dynamics in countryside landscapes. Ecology 87, 1877–1885. https://doi.org/10.1890/0012-9658(2006)87[1877:mbdicl]2.0.co;2</w:t>
      </w:r>
    </w:p>
    <w:p w14:paraId="0C5D2851"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Pereira, H.M., Ziv, G., Miranda, M., 2014. Countryside Species–Area Relationship as a Valid Alternative to the Matrix-Calibrated Species–Area Model. </w:t>
      </w:r>
      <w:r w:rsidRPr="0030793F">
        <w:rPr>
          <w:rFonts w:ascii="Times New Roman" w:hAnsi="Times New Roman" w:cs="Times New Roman"/>
        </w:rPr>
        <w:t>Conserv Biol 28, 874–876. https://doi.org/10.1111/cobi.12289</w:t>
      </w:r>
    </w:p>
    <w:p w14:paraId="6CE05F5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Plank, C., Liehr, S., Hummel, D., Wiedenhofer, D., Haberl, H., Görg, C., 2021. </w:t>
      </w:r>
      <w:r w:rsidRPr="0030793F">
        <w:rPr>
          <w:rFonts w:ascii="Times New Roman" w:hAnsi="Times New Roman" w:cs="Times New Roman"/>
          <w:lang w:val="en-US"/>
        </w:rPr>
        <w:t>Doing more with less: Provisioning systems and the transformation of the stock-flow-service nexus. Ecological Economics 187, 107093. https://doi.org/10.1016/j.ecolecon.2021.107093</w:t>
      </w:r>
    </w:p>
    <w:p w14:paraId="76B6D4D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Pongratz, J., Dolman, H., Don, A., Erb, K.-H., Fuchs, R., Herold, M., Jones, C., Kuemmerle, T., Luyssaert, S., Meyfroidt, P., Naudts, K., 2018. Models meet data: Challenges and opportunities in implementing land management in Earth system models. Global Change Biology 24, 1470–1487. https://doi.org/10.1111/gcb.13988</w:t>
      </w:r>
    </w:p>
    <w:p w14:paraId="5F0F169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Preston, F.W., 1962. The Canonical Distribution of Commonness and Rarity: Part I. Ecology 43, 185–215. https://doi.org/10.2307/1931976</w:t>
      </w:r>
    </w:p>
    <w:p w14:paraId="60E26F6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Ramankutty, N., Mehrabi, Z., Waha, K., Jarvis, L., Kremen, C., Herrero, M., Rieseberg, L.H., 2018. </w:t>
      </w:r>
      <w:r w:rsidRPr="0030793F">
        <w:rPr>
          <w:rFonts w:ascii="Times New Roman" w:hAnsi="Times New Roman" w:cs="Times New Roman"/>
          <w:lang w:val="en-US"/>
        </w:rPr>
        <w:t>Trends in Global Agricultural Land Use: Implications for Environmental Health and Food Security. Annu. Rev. Plant Biol. 69, 789–815. https://doi.org/10.1146/annurev-arplant-042817-040256</w:t>
      </w:r>
    </w:p>
    <w:p w14:paraId="69D8A65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Romero-Muñoz, A., Fandos, G., Benítez-López, A., Kuemmerle, T., 2021. Habitat destruction and overexploitation drive widespread declines in all facets of mammalian diversity in the Gran Chaco. Global Change Biology 27, 755–767. https://doi.org/10.1111/gcb.15418</w:t>
      </w:r>
    </w:p>
    <w:p w14:paraId="3773703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Running, S.W., 2012. A Measurable Planetary Boundary for the Biosphere. Science 337, 1458–1459. https://doi.org/10.1126/science.1227620</w:t>
      </w:r>
    </w:p>
    <w:p w14:paraId="62A3CDE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Sachs, J.D., Schmidt-Traub, G., Mazzucato, M., Messner, D., Nakicenovic, N., Rockström, J., 2019. Six Transformations to achieve the Sustainable Development Goals. Nature Sustainability 2, 805–814. https://doi.org/10.1038/s41893-019-0352-9</w:t>
      </w:r>
    </w:p>
    <w:p w14:paraId="4120244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Sánchez-Bayo, F., Wyckhuys, K.A.G., 2019. Worldwide decline of the entomofauna: A review of its drivers. Biological Conservation 232, 8–27. https://doi.org/10.1016/j.biocon.2019.01.020</w:t>
      </w:r>
    </w:p>
    <w:p w14:paraId="091C016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Schaffartzik, A., Pichler, M., Pineault, E., Wiedenhofer, D., Gross, R., Haberl, H., 2021. The transformation of provisioning systems from an integrated perspective of social metabolism and political economy: a conceptual framework. Sustain Sci doi: 10.1007/s11625-021-00952-9, in press. https://doi.org/10.1007/s11625-021-00952-9</w:t>
      </w:r>
    </w:p>
    <w:p w14:paraId="126E5E7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Searchinger, T.D., Estes, L., Thornton, P.K., Beringer, T., Notenbaert, A., Rubenstein, D., Heimlich, R., Licker, R., Herrero, M., 2015. </w:t>
      </w:r>
      <w:r w:rsidRPr="0030793F">
        <w:rPr>
          <w:rFonts w:ascii="Times New Roman" w:hAnsi="Times New Roman" w:cs="Times New Roman"/>
          <w:lang w:val="en-US"/>
        </w:rPr>
        <w:t>High carbon and biodiversity costs from converting Africa/’s wet savannahs to cropland. Nature Clim. Change 5, 481–486. https://doi.org/10.1038/nclimate2584</w:t>
      </w:r>
    </w:p>
    <w:p w14:paraId="2F2B3F8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Selig, E.R., Turner, W.R., Troëng, S., Wallace, B.P., Halpern, B.S., Kaschner, K., Lascelles, B.G., Carpenter, K.E., Mittermeier, R.A., 2014. Global Priorities for Marine Biodiversity Conservation. PLOS ONE 9, e82898. https://doi.org/10.1371/journal.pone.0082898</w:t>
      </w:r>
    </w:p>
    <w:p w14:paraId="29318D7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Seto, K.C., Reenberg, A., Boone, C.G., Fragkias, M., Haase, D., Langanke, T., Marcotullio, P., Munroe, D.K., Olah, B., Simon, D., 2012. Urban Land Teleconnections and Sustainability. PNAS 109, 7687–7692. https://doi.org/10.1073/pnas.1117622109</w:t>
      </w:r>
    </w:p>
    <w:p w14:paraId="6D0BE8A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Smetschka, B., Gaube, V., 2020. Co-creating formalized models: Participatory modelling as method and process in transdisciplinary research and its impact potentials. Environmental Science &amp; Policy 103, 41–49. https://doi.org/10.1016/j.envsci.2019.10.005</w:t>
      </w:r>
    </w:p>
    <w:p w14:paraId="7CE8A51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Sonter, L.J., Ali, S.H., Watson, J.E.M., 2018. Mining and biodiversity: key issues and research needs in conservation science. Proceedings of the Royal Society B: Biological Sciences 285, 20181926. https://doi.org/10.1098/rspb.2018.1926</w:t>
      </w:r>
    </w:p>
    <w:p w14:paraId="0411F7D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Steffen, W., Broadgate, W., Deutsch, L., Gaffney, O., Ludwig, C., 2015. </w:t>
      </w:r>
      <w:r w:rsidRPr="0030793F">
        <w:rPr>
          <w:rFonts w:ascii="Times New Roman" w:hAnsi="Times New Roman" w:cs="Times New Roman"/>
          <w:lang w:val="en-US"/>
        </w:rPr>
        <w:t>The trajectory of the Anthropocene: The Great Acceleration. The Anthropocene Review 2, 81–98. https://doi.org/10.1177/2053019614564785</w:t>
      </w:r>
    </w:p>
    <w:p w14:paraId="405CB0A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Steinberger, J.K., Krausmann, F., Getzner, M., Schandl, H., West, J., 2013. </w:t>
      </w:r>
      <w:r w:rsidRPr="0030793F">
        <w:rPr>
          <w:rFonts w:ascii="Times New Roman" w:hAnsi="Times New Roman" w:cs="Times New Roman"/>
          <w:lang w:val="en-US"/>
        </w:rPr>
        <w:t>Development and Dematerialization: An International Study. PLoS ONE 8, e70385. https://doi.org/10.1371/journal.pone.0070385</w:t>
      </w:r>
    </w:p>
    <w:p w14:paraId="3EF25C4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Stiglitz, J.E., Sen, A., Fitoussi, J.-P., 2009. Report by the Commission on the Measurement of Economic Performance and Social Progress (CMEPSP). www.stiglitzsen-fitoussi.fr/, Paris, France.</w:t>
      </w:r>
    </w:p>
    <w:p w14:paraId="72C9CBB4"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Synes, N.W., Brown, C., Palmer, S.C.F., Bocedi, G., Osborne, P.E., Watts, K., Franklin, J., Travis, J.M.J., 2019. Coupled land use and ecological models reveal emergence and feedbacks in socio-ecological systems. Ecography 42, 814–825. https://doi.org/10.1111/ecog.04039</w:t>
      </w:r>
    </w:p>
    <w:p w14:paraId="4298AB08"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Torres, A., Jaeger, J.A.G., Alonso, J.C., 2016. Assessing large-scale wildlife responses to human infrastructure development. PNAS 113, 8472–8477. https://doi.org/10.1073/pnas.1522488113</w:t>
      </w:r>
    </w:p>
    <w:p w14:paraId="75E62872"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Tukker, A., Dietzenbacher, E., 2013. Global Multiregional Input–Output Frameworks: An Introduction and Outlook. </w:t>
      </w:r>
      <w:r w:rsidRPr="0030793F">
        <w:rPr>
          <w:rFonts w:ascii="Times New Roman" w:hAnsi="Times New Roman" w:cs="Times New Roman"/>
        </w:rPr>
        <w:t>Economic Systems Research 25, 1–19. https://doi.org/10.1080/09535314.2012.761179</w:t>
      </w:r>
    </w:p>
    <w:p w14:paraId="19AA95C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Tüxen, R., 1956. Die heutige potentielle natürliche Vegetation als Gegenstand der Vegetationskartierung. </w:t>
      </w:r>
      <w:r w:rsidRPr="0030793F">
        <w:rPr>
          <w:rFonts w:ascii="Times New Roman" w:hAnsi="Times New Roman" w:cs="Times New Roman"/>
          <w:lang w:val="en-US"/>
        </w:rPr>
        <w:t>Angewandte Pflanzensoziologie 13, 5–42.</w:t>
      </w:r>
    </w:p>
    <w:p w14:paraId="403FB5C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UNEP, 2016. Global Material Flows and Resource Productivity. Assessment Report of the UNEP International Resource Panel. United Nations Environment Programme, Paris.</w:t>
      </w:r>
    </w:p>
    <w:p w14:paraId="672E452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UNEP, 2011. Decoupling Natural Resource Use And Environmental Impacts From Economic Growth. United Nations Environment Programme. A Report of the Working Group on Decoupling to the International Resource Panel., Nairobi, Kenya.</w:t>
      </w:r>
    </w:p>
    <w:p w14:paraId="751FAE2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UNEP-IRP, 2021. International Resource Panel Global Material Flows Database. United Nations Environment Programme - International Resource Panel, online [https://www.resourcepanel.org/global-material-flows-database] accessed 30.7.2021.</w:t>
      </w:r>
    </w:p>
    <w:p w14:paraId="5B69D95A"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United Nations, 1987. Our Common Future. Report of the World Commission on Environment and Development. UN Document, Online at http://conspect.nl/pdf/Our_Common_Future-Brundtland_Report_1987.pdf.</w:t>
      </w:r>
    </w:p>
    <w:p w14:paraId="06C425D8"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rPr>
        <w:t xml:space="preserve">van den Bergh, J.C.J.M., 2010. </w:t>
      </w:r>
      <w:r w:rsidRPr="0030793F">
        <w:rPr>
          <w:rFonts w:ascii="Times New Roman" w:hAnsi="Times New Roman" w:cs="Times New Roman"/>
          <w:lang w:val="en-US"/>
        </w:rPr>
        <w:t xml:space="preserve">Relax about GDP growth: implications for climate and crisis policies. Journal of Cleaner Production, Growth, Recession or Degrowth for Sustainability and Equity? </w:t>
      </w:r>
      <w:r w:rsidRPr="0030793F">
        <w:rPr>
          <w:rFonts w:ascii="Times New Roman" w:hAnsi="Times New Roman" w:cs="Times New Roman"/>
        </w:rPr>
        <w:t>18, 540–543. https://doi.org/10.1016/j.jclepro.2009.08.011</w:t>
      </w:r>
    </w:p>
    <w:p w14:paraId="2DEC824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van den Bergh, J.C.J.M., Kallis, G., 2012. </w:t>
      </w:r>
      <w:r w:rsidRPr="0030793F">
        <w:rPr>
          <w:rFonts w:ascii="Times New Roman" w:hAnsi="Times New Roman" w:cs="Times New Roman"/>
          <w:lang w:val="en-US"/>
        </w:rPr>
        <w:t>Growth, A-Growth or Degrowth to Stay within Planetary Boundaries? Journal of Economic Issues 46, 909–920. https://doi.org/10.2753/JEI0021-3624460404</w:t>
      </w:r>
    </w:p>
    <w:p w14:paraId="654E70B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Venegas-Li, R., Levin, N., Morales-Barquero, L., Kaschner, K., Garilao, C., Kark, S., 2019. Global assessment of marine biodiversity potentially threatened by offshore hydrocarbon activities. Global Change Biology 25, 2009–2020. https://doi.org/10.1111/gcb.14616</w:t>
      </w:r>
    </w:p>
    <w:p w14:paraId="0D484DDE"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Venter, O., Sanderson, E.W., Magrach, A., Allan, J.R., Beher, J., Jones, K.R., Possingham, H.P., Laurance, W.F., Wood, P., Fekete, B.M., Levy, M.A., Watson, J.E.M., 2016. Global terrestrial Human Footprint maps for 1993 and 2009. Sci Data 3, 160067. https://doi.org/10.1038/sdata.2016.67</w:t>
      </w:r>
    </w:p>
    <w:p w14:paraId="29E00881"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Victor, P.A., Jackson, T., 2020. A research agenda for ecological macroeconomics, in: Costanza, R., Erickson, J.D., Farley, J., Kubiszewski, I. (Eds.), Sustainable Wellbeing Futures. A Research and Action Agenda for Ecological Macroeconomics. Edward Elgar, Cheltenham, Northhampton, pp. 357–372.</w:t>
      </w:r>
    </w:p>
    <w:p w14:paraId="12B301F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Vitousek, P.M., Ehrlich, P.R., Ehrlich, A.H., Matson, P.A., 1986. </w:t>
      </w:r>
      <w:r w:rsidRPr="0030793F">
        <w:rPr>
          <w:rFonts w:ascii="Times New Roman" w:hAnsi="Times New Roman" w:cs="Times New Roman"/>
          <w:lang w:val="en-US"/>
        </w:rPr>
        <w:t>Human Appropriation of the Products of Photosynthesis. Bioscience 36, 363–373.</w:t>
      </w:r>
    </w:p>
    <w:p w14:paraId="785E8CE2"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lastRenderedPageBreak/>
        <w:t>Vitousek, P.M., Mooney, H.A., Lubchenco, J., Melillo, J.M., 1997. Human Domination of Earth’s Ecosystems. Science 277, 494–499. https://doi.org/10.1126/science.277.5325.494</w:t>
      </w:r>
    </w:p>
    <w:p w14:paraId="5E4FB07D"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Wackernagel, M., Rees, W.E., 1997. Our Ecological Footprint: Reducing Human Impact on the Earth. New Society Publishers, Gabriola Island, BC.</w:t>
      </w:r>
    </w:p>
    <w:p w14:paraId="323284F3"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Waide, R.B., Willig, M.R., Steiner, C.F., Mittelbach, G., Gough, L., Dodson, S.I., Juday, G.P., Parmenter, R., 1999. The Relationship Between Productivity and Species Richness. Annual Review of Ecology and Systematics 30, 257–300. https://doi.org/10.1146/annurev.ecolsys.30.1.257</w:t>
      </w:r>
    </w:p>
    <w:p w14:paraId="57233A7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Wang, Z., Chiarucci, A., Arratia, J.F., 2019. Integrative models explain the relationships between species richness and productivity in plant communities. Scientific Reports 9, 13730. https://doi.org/10.1038/s41598-019-50016-3</w:t>
      </w:r>
    </w:p>
    <w:p w14:paraId="7D85C48F"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Weisz, H., Suh, S., Graedel, T.E., 2015. Industrial Ecology: The role of manufactured capital in sustainability. PNAS 112, 6260–6264. https://doi.org/10.1073/pnas.1506532112</w:t>
      </w:r>
    </w:p>
    <w:p w14:paraId="0FD2950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Westphal, M.I., Browne, M., MacKinnon, K., Noble, I., 2008. The link between international trade and the global distribution of invasive alien species. Biological Invasions 10, 391–398.</w:t>
      </w:r>
    </w:p>
    <w:p w14:paraId="1CAC7A79"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Whiting, K., Carmona, L.G., Brand-Correa, L., Simpson, E., 2020. Illumination as a material service: A comparison between Ancient Rome and early 19th century London. Ecological Economics 169, 106502. https://doi.org/10.1016/j.ecolecon.2019.106502</w:t>
      </w:r>
    </w:p>
    <w:p w14:paraId="1FE345A2"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Wiedenhofer, D., Virág, D., Kalt, G., Plank, B., Streeck, J., Pichler, M., Mayer, A., Krausmann, F.P., Brockway, P., Schaffartzik, A., Fishman, T., Hausknost, D., Leon-Gruchalski, B., Sousa, T., Creutzig, F., Haberl, H., 2020. A systematic review of the evidence on decoupling of GDP, resource use and GHG emissions, part I: bibliometric and conceptual mapping. Environ. Res. Lett. 15, 063002. https://doi.org/10.1088/1748-9326/ab8429</w:t>
      </w:r>
    </w:p>
    <w:p w14:paraId="6CF30AE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Wilson, D., Rodic, L., Modak, P., Soos, R., Carpintero, A., Velis, K., Simonett, O., 2015. Global waste management outlook. United Nations Environment Programme, Nairobi.</w:t>
      </w:r>
    </w:p>
    <w:p w14:paraId="42F527F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Winiwarter, V., 2018. The Other Kind of Research: On the Ambivalent Ties between Disciplinary, Multi-, Inter- and Transdisciplinary Scholarship. European Review 26, S85–S98. https://doi.org/10.1017/S1062798718000303</w:t>
      </w:r>
    </w:p>
    <w:p w14:paraId="520AFA7B"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Worm, B., Barbier, E.B., Beaumont, N., Duffy, J.E., Folke, C., Halpern, B.S., Jackson, J.B.C., Lotze, H.K., Micheli, F., Palumbi, S.R., Sala, E., Selkoe, K.A., Stachowicz, J.J., Watson, R., 2006. Impacts of Biodiversity Loss on Ocean Ecosystem Services. Science 314, 787–790. https://doi.org/10.1126/science.1132294</w:t>
      </w:r>
    </w:p>
    <w:p w14:paraId="0A383307"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Wright, D.H., 1990. Human Impacts on Energy Flow through Natural Ecosystems, and Implications for Species Endangerment. Ambio 19, 189–194.</w:t>
      </w:r>
    </w:p>
    <w:p w14:paraId="290A4E10"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Wright, D.H., 1987. Estimating human effects on global extinction. Int J Biometeorol 31, 293–299. https://doi.org/10.1007/BF02188940</w:t>
      </w:r>
    </w:p>
    <w:p w14:paraId="0B619056" w14:textId="77777777" w:rsidR="0030793F" w:rsidRPr="0030793F" w:rsidRDefault="0030793F" w:rsidP="0030793F">
      <w:pPr>
        <w:pStyle w:val="Literaturverzeichnis"/>
        <w:rPr>
          <w:rFonts w:ascii="Times New Roman" w:hAnsi="Times New Roman" w:cs="Times New Roman"/>
        </w:rPr>
      </w:pPr>
      <w:r w:rsidRPr="0030793F">
        <w:rPr>
          <w:rFonts w:ascii="Times New Roman" w:hAnsi="Times New Roman" w:cs="Times New Roman"/>
          <w:lang w:val="en-US"/>
        </w:rPr>
        <w:t xml:space="preserve">Wright, D.H., 1983. Species-Energy Theory: An Extension of Species-Area Theory. </w:t>
      </w:r>
      <w:r w:rsidRPr="0030793F">
        <w:rPr>
          <w:rFonts w:ascii="Times New Roman" w:hAnsi="Times New Roman" w:cs="Times New Roman"/>
        </w:rPr>
        <w:t>Oikos 41, 496–506.</w:t>
      </w:r>
    </w:p>
    <w:p w14:paraId="38EAE286"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rPr>
        <w:t xml:space="preserve">zu Ermgassen, S.O.S.E., Utamiputri, P., Bennun, L., Edwards, S., Bull, J.W., 2019. </w:t>
      </w:r>
      <w:r w:rsidRPr="0030793F">
        <w:rPr>
          <w:rFonts w:ascii="Times New Roman" w:hAnsi="Times New Roman" w:cs="Times New Roman"/>
          <w:lang w:val="en-US"/>
        </w:rPr>
        <w:t>The Role of “No Net Loss” Policies in Conserving Biodiversity Threatened by the Global Infrastructure Boom. One Earth 1, 305–315. https://doi.org/10.1016/j.oneear.2019.10.019</w:t>
      </w:r>
    </w:p>
    <w:p w14:paraId="2600F9C2" w14:textId="77777777" w:rsidR="0030793F" w:rsidRPr="0030793F" w:rsidRDefault="0030793F" w:rsidP="0030793F">
      <w:pPr>
        <w:pStyle w:val="Literaturverzeichnis"/>
        <w:rPr>
          <w:rFonts w:ascii="Times New Roman" w:hAnsi="Times New Roman" w:cs="Times New Roman"/>
          <w:lang w:val="en-US"/>
        </w:rPr>
      </w:pPr>
      <w:r w:rsidRPr="0030793F">
        <w:rPr>
          <w:rFonts w:ascii="Times New Roman" w:hAnsi="Times New Roman" w:cs="Times New Roman"/>
          <w:lang w:val="en-US"/>
        </w:rPr>
        <w:t>Zurell, D., Thuiller, W., Pagel, J., Cabral, J.S., Münkemüller, T., Gravel, D., Dullinger, S., Normand, S., Schiffers, K.H., Moore, K.A., Zimmermann, N.E., 2016. Benchmarking novel approaches for modelling species range dynamics. Global Change Biology 22, 2651–2664. https://doi.org/10.1111/gcb.13251</w:t>
      </w:r>
    </w:p>
    <w:p w14:paraId="5D4E4109" w14:textId="0E7A6178" w:rsidR="001A0748" w:rsidRDefault="001A0748" w:rsidP="00306ACB">
      <w:pPr>
        <w:spacing w:after="0" w:line="240" w:lineRule="auto"/>
        <w:rPr>
          <w:rFonts w:ascii="Times New Roman" w:hAnsi="Times New Roman" w:cs="Times New Roman"/>
          <w:sz w:val="24"/>
          <w:szCs w:val="24"/>
          <w:lang w:val="en-US"/>
        </w:rPr>
      </w:pPr>
      <w:r w:rsidRPr="0030793F">
        <w:rPr>
          <w:rFonts w:ascii="Times New Roman" w:hAnsi="Times New Roman" w:cs="Times New Roman"/>
          <w:lang w:val="en-US"/>
        </w:rPr>
        <w:fldChar w:fldCharType="end"/>
      </w:r>
    </w:p>
    <w:sectPr w:rsidR="001A0748" w:rsidSect="00306ACB">
      <w:footerReference w:type="default" r:id="rId16"/>
      <w:pgSz w:w="11906" w:h="16838"/>
      <w:pgMar w:top="1417" w:right="1417" w:bottom="1134" w:left="1417"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AC58E" w14:textId="77777777" w:rsidR="00A1112E" w:rsidRDefault="00A1112E" w:rsidP="00306ACB">
      <w:pPr>
        <w:spacing w:after="0" w:line="240" w:lineRule="auto"/>
      </w:pPr>
      <w:r>
        <w:separator/>
      </w:r>
    </w:p>
  </w:endnote>
  <w:endnote w:type="continuationSeparator" w:id="0">
    <w:p w14:paraId="32F1D866" w14:textId="77777777" w:rsidR="00A1112E" w:rsidRDefault="00A1112E" w:rsidP="00306A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399426"/>
      <w:docPartObj>
        <w:docPartGallery w:val="Page Numbers (Bottom of Page)"/>
        <w:docPartUnique/>
      </w:docPartObj>
    </w:sdtPr>
    <w:sdtEndPr/>
    <w:sdtContent>
      <w:p w14:paraId="5DCC45C4" w14:textId="574B5BEC" w:rsidR="00D9392D" w:rsidRDefault="00D9392D">
        <w:pPr>
          <w:pStyle w:val="Fuzeile"/>
          <w:jc w:val="center"/>
        </w:pPr>
        <w:r>
          <w:fldChar w:fldCharType="begin"/>
        </w:r>
        <w:r>
          <w:instrText>PAGE   \* MERGEFORMAT</w:instrText>
        </w:r>
        <w:r>
          <w:fldChar w:fldCharType="separate"/>
        </w:r>
        <w:r w:rsidRPr="005F3383">
          <w:rPr>
            <w:noProof/>
            <w:lang w:val="de-DE"/>
          </w:rPr>
          <w:t>19</w:t>
        </w:r>
        <w:r>
          <w:fldChar w:fldCharType="end"/>
        </w:r>
      </w:p>
    </w:sdtContent>
  </w:sdt>
  <w:p w14:paraId="009D5031" w14:textId="77777777" w:rsidR="00D9392D" w:rsidRDefault="00D939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02D89" w14:textId="77777777" w:rsidR="00A1112E" w:rsidRDefault="00A1112E" w:rsidP="00306ACB">
      <w:pPr>
        <w:spacing w:after="0" w:line="240" w:lineRule="auto"/>
      </w:pPr>
      <w:r>
        <w:separator/>
      </w:r>
    </w:p>
  </w:footnote>
  <w:footnote w:type="continuationSeparator" w:id="0">
    <w:p w14:paraId="63C1ECCE" w14:textId="77777777" w:rsidR="00A1112E" w:rsidRDefault="00A1112E" w:rsidP="00306A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A22C5"/>
    <w:multiLevelType w:val="hybridMultilevel"/>
    <w:tmpl w:val="3E54746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EF938D5"/>
    <w:multiLevelType w:val="hybridMultilevel"/>
    <w:tmpl w:val="20EC691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3F9B5A4F"/>
    <w:multiLevelType w:val="hybridMultilevel"/>
    <w:tmpl w:val="9970EB9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63B7716"/>
    <w:multiLevelType w:val="hybridMultilevel"/>
    <w:tmpl w:val="BBEE33E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A044462"/>
    <w:multiLevelType w:val="hybridMultilevel"/>
    <w:tmpl w:val="67CEA8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4C2278BA"/>
    <w:multiLevelType w:val="multilevel"/>
    <w:tmpl w:val="7304E7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CC035CA"/>
    <w:multiLevelType w:val="hybridMultilevel"/>
    <w:tmpl w:val="6FC8AC7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52960669"/>
    <w:multiLevelType w:val="multilevel"/>
    <w:tmpl w:val="46323E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64D1122"/>
    <w:multiLevelType w:val="hybridMultilevel"/>
    <w:tmpl w:val="F7C6FB3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activeWritingStyle w:appName="MSWord" w:lang="de-AT" w:vendorID="64" w:dllVersion="4096" w:nlCheck="1" w:checkStyle="0"/>
  <w:activeWritingStyle w:appName="MSWord" w:lang="en-GB" w:vendorID="64" w:dllVersion="4096" w:nlCheck="1" w:checkStyle="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443"/>
    <w:rsid w:val="000159F8"/>
    <w:rsid w:val="00017FD3"/>
    <w:rsid w:val="00022B2D"/>
    <w:rsid w:val="00026DB1"/>
    <w:rsid w:val="00040846"/>
    <w:rsid w:val="00045EE0"/>
    <w:rsid w:val="000511D8"/>
    <w:rsid w:val="0005649C"/>
    <w:rsid w:val="000704B4"/>
    <w:rsid w:val="00072B02"/>
    <w:rsid w:val="00072BEF"/>
    <w:rsid w:val="00076047"/>
    <w:rsid w:val="00076B8E"/>
    <w:rsid w:val="00080BF2"/>
    <w:rsid w:val="00085E84"/>
    <w:rsid w:val="000917C6"/>
    <w:rsid w:val="0009289F"/>
    <w:rsid w:val="000949CE"/>
    <w:rsid w:val="00094FAF"/>
    <w:rsid w:val="000A033C"/>
    <w:rsid w:val="000A4638"/>
    <w:rsid w:val="000B338C"/>
    <w:rsid w:val="000B5A05"/>
    <w:rsid w:val="000C1F33"/>
    <w:rsid w:val="000C5C96"/>
    <w:rsid w:val="000E5437"/>
    <w:rsid w:val="000E5D40"/>
    <w:rsid w:val="001003F2"/>
    <w:rsid w:val="001107FB"/>
    <w:rsid w:val="00117528"/>
    <w:rsid w:val="00126E3C"/>
    <w:rsid w:val="0013733F"/>
    <w:rsid w:val="00150899"/>
    <w:rsid w:val="00155659"/>
    <w:rsid w:val="00186D68"/>
    <w:rsid w:val="0018764B"/>
    <w:rsid w:val="00192FB9"/>
    <w:rsid w:val="00195197"/>
    <w:rsid w:val="001A0748"/>
    <w:rsid w:val="001A1988"/>
    <w:rsid w:val="001A75F2"/>
    <w:rsid w:val="001C21BA"/>
    <w:rsid w:val="001C64E6"/>
    <w:rsid w:val="001E5CAD"/>
    <w:rsid w:val="001F235F"/>
    <w:rsid w:val="0020639A"/>
    <w:rsid w:val="00212084"/>
    <w:rsid w:val="00234C65"/>
    <w:rsid w:val="002479BC"/>
    <w:rsid w:val="00262C09"/>
    <w:rsid w:val="002639D9"/>
    <w:rsid w:val="00270FFA"/>
    <w:rsid w:val="00276ABC"/>
    <w:rsid w:val="00284489"/>
    <w:rsid w:val="00294F31"/>
    <w:rsid w:val="002A2EB2"/>
    <w:rsid w:val="002A3561"/>
    <w:rsid w:val="002A4301"/>
    <w:rsid w:val="002A45AC"/>
    <w:rsid w:val="002A5E70"/>
    <w:rsid w:val="002B47AC"/>
    <w:rsid w:val="002B47C8"/>
    <w:rsid w:val="002D1990"/>
    <w:rsid w:val="002D742A"/>
    <w:rsid w:val="002E1BB0"/>
    <w:rsid w:val="002F0326"/>
    <w:rsid w:val="003013A7"/>
    <w:rsid w:val="003028FD"/>
    <w:rsid w:val="00306490"/>
    <w:rsid w:val="00306ACB"/>
    <w:rsid w:val="0030793F"/>
    <w:rsid w:val="00317D28"/>
    <w:rsid w:val="00317DF7"/>
    <w:rsid w:val="00321059"/>
    <w:rsid w:val="003247CB"/>
    <w:rsid w:val="00332782"/>
    <w:rsid w:val="00347EBB"/>
    <w:rsid w:val="00355AF0"/>
    <w:rsid w:val="00384E74"/>
    <w:rsid w:val="003871EA"/>
    <w:rsid w:val="003A0D2A"/>
    <w:rsid w:val="003A17AB"/>
    <w:rsid w:val="003A72E1"/>
    <w:rsid w:val="003B2055"/>
    <w:rsid w:val="003B3F58"/>
    <w:rsid w:val="003C0119"/>
    <w:rsid w:val="003C4912"/>
    <w:rsid w:val="003C57E4"/>
    <w:rsid w:val="003E5D46"/>
    <w:rsid w:val="003E682A"/>
    <w:rsid w:val="003E687B"/>
    <w:rsid w:val="003F029E"/>
    <w:rsid w:val="003F24AD"/>
    <w:rsid w:val="003F2F0C"/>
    <w:rsid w:val="00403886"/>
    <w:rsid w:val="00403AA6"/>
    <w:rsid w:val="00412821"/>
    <w:rsid w:val="0042466F"/>
    <w:rsid w:val="00426ADA"/>
    <w:rsid w:val="004658F4"/>
    <w:rsid w:val="00465C6D"/>
    <w:rsid w:val="0046683E"/>
    <w:rsid w:val="00474A42"/>
    <w:rsid w:val="00474C9C"/>
    <w:rsid w:val="0048617E"/>
    <w:rsid w:val="00492C4D"/>
    <w:rsid w:val="00497A5A"/>
    <w:rsid w:val="004A50DD"/>
    <w:rsid w:val="004A642B"/>
    <w:rsid w:val="004C6A1F"/>
    <w:rsid w:val="004D7FDE"/>
    <w:rsid w:val="004E62F9"/>
    <w:rsid w:val="004F79E4"/>
    <w:rsid w:val="0051730F"/>
    <w:rsid w:val="00534C36"/>
    <w:rsid w:val="00545679"/>
    <w:rsid w:val="00553BAE"/>
    <w:rsid w:val="00554257"/>
    <w:rsid w:val="00557D76"/>
    <w:rsid w:val="00560451"/>
    <w:rsid w:val="00590CF1"/>
    <w:rsid w:val="005B3D95"/>
    <w:rsid w:val="005B78E9"/>
    <w:rsid w:val="005D29A2"/>
    <w:rsid w:val="005D5B46"/>
    <w:rsid w:val="005E354F"/>
    <w:rsid w:val="005E466F"/>
    <w:rsid w:val="005F0356"/>
    <w:rsid w:val="005F3383"/>
    <w:rsid w:val="00611E5D"/>
    <w:rsid w:val="00630202"/>
    <w:rsid w:val="006322E6"/>
    <w:rsid w:val="00644BC1"/>
    <w:rsid w:val="00647498"/>
    <w:rsid w:val="006717E7"/>
    <w:rsid w:val="006718C5"/>
    <w:rsid w:val="00672288"/>
    <w:rsid w:val="00672DA6"/>
    <w:rsid w:val="006908A3"/>
    <w:rsid w:val="0069306F"/>
    <w:rsid w:val="0069390C"/>
    <w:rsid w:val="006962E0"/>
    <w:rsid w:val="006A4CC9"/>
    <w:rsid w:val="006B2B1D"/>
    <w:rsid w:val="006C3C27"/>
    <w:rsid w:val="006C4ED3"/>
    <w:rsid w:val="006C55AD"/>
    <w:rsid w:val="006D0A9D"/>
    <w:rsid w:val="006D2DFB"/>
    <w:rsid w:val="006D3194"/>
    <w:rsid w:val="006E4FAF"/>
    <w:rsid w:val="006F0D77"/>
    <w:rsid w:val="006F3455"/>
    <w:rsid w:val="006F5F19"/>
    <w:rsid w:val="007003E0"/>
    <w:rsid w:val="00717C4B"/>
    <w:rsid w:val="00720002"/>
    <w:rsid w:val="007358FA"/>
    <w:rsid w:val="007378DA"/>
    <w:rsid w:val="00770422"/>
    <w:rsid w:val="007A05C4"/>
    <w:rsid w:val="007A5348"/>
    <w:rsid w:val="007B081B"/>
    <w:rsid w:val="007B6745"/>
    <w:rsid w:val="007D390C"/>
    <w:rsid w:val="007D6C4C"/>
    <w:rsid w:val="007E74AE"/>
    <w:rsid w:val="007F1DF0"/>
    <w:rsid w:val="008167BE"/>
    <w:rsid w:val="00816B00"/>
    <w:rsid w:val="00823C98"/>
    <w:rsid w:val="00824557"/>
    <w:rsid w:val="00844336"/>
    <w:rsid w:val="00856D15"/>
    <w:rsid w:val="00880968"/>
    <w:rsid w:val="00883A67"/>
    <w:rsid w:val="00883E0A"/>
    <w:rsid w:val="00884BD8"/>
    <w:rsid w:val="008A54F0"/>
    <w:rsid w:val="008B0997"/>
    <w:rsid w:val="008B1CD4"/>
    <w:rsid w:val="008B320E"/>
    <w:rsid w:val="008C4CA5"/>
    <w:rsid w:val="008C650C"/>
    <w:rsid w:val="008E7CB1"/>
    <w:rsid w:val="008F0578"/>
    <w:rsid w:val="008F1F41"/>
    <w:rsid w:val="008F26DD"/>
    <w:rsid w:val="008F3DFB"/>
    <w:rsid w:val="008F4B79"/>
    <w:rsid w:val="00900532"/>
    <w:rsid w:val="00907F37"/>
    <w:rsid w:val="00920CD3"/>
    <w:rsid w:val="00925FE0"/>
    <w:rsid w:val="00930C55"/>
    <w:rsid w:val="00937108"/>
    <w:rsid w:val="0094618D"/>
    <w:rsid w:val="0094621C"/>
    <w:rsid w:val="00954E11"/>
    <w:rsid w:val="009611D8"/>
    <w:rsid w:val="00977543"/>
    <w:rsid w:val="009835AE"/>
    <w:rsid w:val="00990EF4"/>
    <w:rsid w:val="009A0A01"/>
    <w:rsid w:val="009A4791"/>
    <w:rsid w:val="009A7FC2"/>
    <w:rsid w:val="009B0FFB"/>
    <w:rsid w:val="009B4990"/>
    <w:rsid w:val="009C2AC5"/>
    <w:rsid w:val="009E1A88"/>
    <w:rsid w:val="009F2D9B"/>
    <w:rsid w:val="009F5F8B"/>
    <w:rsid w:val="009F74CE"/>
    <w:rsid w:val="00A00525"/>
    <w:rsid w:val="00A01235"/>
    <w:rsid w:val="00A02AD6"/>
    <w:rsid w:val="00A067BF"/>
    <w:rsid w:val="00A1112E"/>
    <w:rsid w:val="00A31BA5"/>
    <w:rsid w:val="00A51360"/>
    <w:rsid w:val="00A5656E"/>
    <w:rsid w:val="00A66B2F"/>
    <w:rsid w:val="00A77681"/>
    <w:rsid w:val="00A820C5"/>
    <w:rsid w:val="00A82A1E"/>
    <w:rsid w:val="00A84D16"/>
    <w:rsid w:val="00A85121"/>
    <w:rsid w:val="00A91189"/>
    <w:rsid w:val="00A92FC9"/>
    <w:rsid w:val="00A954FF"/>
    <w:rsid w:val="00A9784E"/>
    <w:rsid w:val="00AA18E3"/>
    <w:rsid w:val="00AA516A"/>
    <w:rsid w:val="00AA6129"/>
    <w:rsid w:val="00AB103E"/>
    <w:rsid w:val="00AB1B0C"/>
    <w:rsid w:val="00AB5391"/>
    <w:rsid w:val="00AB70AA"/>
    <w:rsid w:val="00AC0925"/>
    <w:rsid w:val="00AC18B2"/>
    <w:rsid w:val="00AC19CC"/>
    <w:rsid w:val="00AC61A5"/>
    <w:rsid w:val="00AE5953"/>
    <w:rsid w:val="00AF560C"/>
    <w:rsid w:val="00B00053"/>
    <w:rsid w:val="00B0139A"/>
    <w:rsid w:val="00B013DD"/>
    <w:rsid w:val="00B02FAA"/>
    <w:rsid w:val="00B06174"/>
    <w:rsid w:val="00B1574E"/>
    <w:rsid w:val="00B20122"/>
    <w:rsid w:val="00B21BD9"/>
    <w:rsid w:val="00B30D71"/>
    <w:rsid w:val="00B36354"/>
    <w:rsid w:val="00B366EC"/>
    <w:rsid w:val="00B36985"/>
    <w:rsid w:val="00B6550E"/>
    <w:rsid w:val="00B819D3"/>
    <w:rsid w:val="00B90A1C"/>
    <w:rsid w:val="00B90E99"/>
    <w:rsid w:val="00B93DAB"/>
    <w:rsid w:val="00B95FAE"/>
    <w:rsid w:val="00BA3BBF"/>
    <w:rsid w:val="00BA5693"/>
    <w:rsid w:val="00BA72C3"/>
    <w:rsid w:val="00BB0853"/>
    <w:rsid w:val="00BB39C5"/>
    <w:rsid w:val="00BB5CA4"/>
    <w:rsid w:val="00BB6097"/>
    <w:rsid w:val="00BC0251"/>
    <w:rsid w:val="00BC67C9"/>
    <w:rsid w:val="00BE0163"/>
    <w:rsid w:val="00BE4442"/>
    <w:rsid w:val="00BE571F"/>
    <w:rsid w:val="00BE64E6"/>
    <w:rsid w:val="00BF5308"/>
    <w:rsid w:val="00C01A26"/>
    <w:rsid w:val="00C07295"/>
    <w:rsid w:val="00C15D09"/>
    <w:rsid w:val="00C24305"/>
    <w:rsid w:val="00C25923"/>
    <w:rsid w:val="00C35262"/>
    <w:rsid w:val="00C37DE0"/>
    <w:rsid w:val="00C4023F"/>
    <w:rsid w:val="00C50455"/>
    <w:rsid w:val="00C63FCD"/>
    <w:rsid w:val="00C73039"/>
    <w:rsid w:val="00C7525F"/>
    <w:rsid w:val="00C80007"/>
    <w:rsid w:val="00C8110F"/>
    <w:rsid w:val="00C82ECB"/>
    <w:rsid w:val="00C85A2E"/>
    <w:rsid w:val="00C9510D"/>
    <w:rsid w:val="00C97F2B"/>
    <w:rsid w:val="00CA429F"/>
    <w:rsid w:val="00CC0FD9"/>
    <w:rsid w:val="00CC4224"/>
    <w:rsid w:val="00CC4979"/>
    <w:rsid w:val="00CD5BF4"/>
    <w:rsid w:val="00CE783E"/>
    <w:rsid w:val="00CF4646"/>
    <w:rsid w:val="00D06E8E"/>
    <w:rsid w:val="00D06FB5"/>
    <w:rsid w:val="00D07B1B"/>
    <w:rsid w:val="00D21748"/>
    <w:rsid w:val="00D22753"/>
    <w:rsid w:val="00D27884"/>
    <w:rsid w:val="00D27E9C"/>
    <w:rsid w:val="00D304EC"/>
    <w:rsid w:val="00D31C5B"/>
    <w:rsid w:val="00D32B3A"/>
    <w:rsid w:val="00D3703D"/>
    <w:rsid w:val="00D3750B"/>
    <w:rsid w:val="00D40098"/>
    <w:rsid w:val="00D41A76"/>
    <w:rsid w:val="00D41FD7"/>
    <w:rsid w:val="00D44912"/>
    <w:rsid w:val="00D573B3"/>
    <w:rsid w:val="00D574CF"/>
    <w:rsid w:val="00D63343"/>
    <w:rsid w:val="00D63382"/>
    <w:rsid w:val="00D76FE8"/>
    <w:rsid w:val="00D8087F"/>
    <w:rsid w:val="00D82F5D"/>
    <w:rsid w:val="00D90D4F"/>
    <w:rsid w:val="00D9392D"/>
    <w:rsid w:val="00DA1496"/>
    <w:rsid w:val="00DA3791"/>
    <w:rsid w:val="00DA6911"/>
    <w:rsid w:val="00DB0296"/>
    <w:rsid w:val="00DB0808"/>
    <w:rsid w:val="00DB5510"/>
    <w:rsid w:val="00DC17D8"/>
    <w:rsid w:val="00DC2D34"/>
    <w:rsid w:val="00DC3398"/>
    <w:rsid w:val="00DD3BD1"/>
    <w:rsid w:val="00DD63C4"/>
    <w:rsid w:val="00DE15A1"/>
    <w:rsid w:val="00DE4BF9"/>
    <w:rsid w:val="00DE5443"/>
    <w:rsid w:val="00DF46AF"/>
    <w:rsid w:val="00E02719"/>
    <w:rsid w:val="00E029DA"/>
    <w:rsid w:val="00E063DB"/>
    <w:rsid w:val="00E24B1D"/>
    <w:rsid w:val="00E27641"/>
    <w:rsid w:val="00E4395E"/>
    <w:rsid w:val="00E4518E"/>
    <w:rsid w:val="00E5227E"/>
    <w:rsid w:val="00E55EFA"/>
    <w:rsid w:val="00E67705"/>
    <w:rsid w:val="00E70EFD"/>
    <w:rsid w:val="00E76923"/>
    <w:rsid w:val="00EA1E2C"/>
    <w:rsid w:val="00EB39EB"/>
    <w:rsid w:val="00EB5B28"/>
    <w:rsid w:val="00EC2F6D"/>
    <w:rsid w:val="00EC6189"/>
    <w:rsid w:val="00ED4FD6"/>
    <w:rsid w:val="00ED501F"/>
    <w:rsid w:val="00EE4962"/>
    <w:rsid w:val="00EE5E74"/>
    <w:rsid w:val="00EF22AE"/>
    <w:rsid w:val="00EF2440"/>
    <w:rsid w:val="00EF3F01"/>
    <w:rsid w:val="00EF4FAC"/>
    <w:rsid w:val="00EF7BB1"/>
    <w:rsid w:val="00F02AAF"/>
    <w:rsid w:val="00F05DAC"/>
    <w:rsid w:val="00F1331F"/>
    <w:rsid w:val="00F24410"/>
    <w:rsid w:val="00F3383E"/>
    <w:rsid w:val="00F40815"/>
    <w:rsid w:val="00F41910"/>
    <w:rsid w:val="00F60FC6"/>
    <w:rsid w:val="00F671F6"/>
    <w:rsid w:val="00F70D24"/>
    <w:rsid w:val="00F73294"/>
    <w:rsid w:val="00F822B6"/>
    <w:rsid w:val="00F858E3"/>
    <w:rsid w:val="00F91A56"/>
    <w:rsid w:val="00F926E9"/>
    <w:rsid w:val="00F929E3"/>
    <w:rsid w:val="00F96D4B"/>
    <w:rsid w:val="00F96D86"/>
    <w:rsid w:val="00FA6546"/>
    <w:rsid w:val="00FB1147"/>
    <w:rsid w:val="00FB3F70"/>
    <w:rsid w:val="00FC679E"/>
    <w:rsid w:val="00FD2D79"/>
    <w:rsid w:val="00FE1407"/>
    <w:rsid w:val="00FE152D"/>
    <w:rsid w:val="00FE456D"/>
    <w:rsid w:val="00FE5ABB"/>
    <w:rsid w:val="00FE6AD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A22A"/>
  <w15:chartTrackingRefBased/>
  <w15:docId w15:val="{1070DDC3-DC04-4A27-BCEA-F3AF11A4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D31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EC2F6D"/>
    <w:pPr>
      <w:spacing w:before="100" w:beforeAutospacing="1" w:after="100" w:afterAutospacing="1" w:line="240" w:lineRule="auto"/>
      <w:outlineLvl w:val="1"/>
    </w:pPr>
    <w:rPr>
      <w:rFonts w:ascii="Times New Roman" w:eastAsia="Times New Roman" w:hAnsi="Times New Roman" w:cs="Times New Roman"/>
      <w:b/>
      <w:bCs/>
      <w:sz w:val="36"/>
      <w:szCs w:val="36"/>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306ACB"/>
    <w:pPr>
      <w:spacing w:before="100" w:beforeAutospacing="1" w:after="100" w:afterAutospacing="1" w:line="240" w:lineRule="auto"/>
    </w:pPr>
    <w:rPr>
      <w:rFonts w:ascii="Times New Roman" w:eastAsia="Times New Roman" w:hAnsi="Times New Roman" w:cs="Times New Roman"/>
      <w:sz w:val="24"/>
      <w:szCs w:val="24"/>
      <w:lang w:eastAsia="de-AT"/>
    </w:rPr>
  </w:style>
  <w:style w:type="character" w:styleId="Zeilennummer">
    <w:name w:val="line number"/>
    <w:basedOn w:val="Absatz-Standardschriftart"/>
    <w:uiPriority w:val="99"/>
    <w:semiHidden/>
    <w:unhideWhenUsed/>
    <w:rsid w:val="00306ACB"/>
  </w:style>
  <w:style w:type="paragraph" w:styleId="Kopfzeile">
    <w:name w:val="header"/>
    <w:basedOn w:val="Standard"/>
    <w:link w:val="KopfzeileZchn"/>
    <w:uiPriority w:val="99"/>
    <w:unhideWhenUsed/>
    <w:rsid w:val="00306AC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06ACB"/>
  </w:style>
  <w:style w:type="paragraph" w:styleId="Fuzeile">
    <w:name w:val="footer"/>
    <w:basedOn w:val="Standard"/>
    <w:link w:val="FuzeileZchn"/>
    <w:uiPriority w:val="99"/>
    <w:unhideWhenUsed/>
    <w:rsid w:val="00306AC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06ACB"/>
  </w:style>
  <w:style w:type="paragraph" w:customStyle="1" w:styleId="Default">
    <w:name w:val="Default"/>
    <w:rsid w:val="00306ACB"/>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39"/>
    <w:rsid w:val="00735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D1990"/>
    <w:pPr>
      <w:ind w:left="720"/>
      <w:contextualSpacing/>
    </w:pPr>
  </w:style>
  <w:style w:type="paragraph" w:styleId="Sprechblasentext">
    <w:name w:val="Balloon Text"/>
    <w:basedOn w:val="Standard"/>
    <w:link w:val="SprechblasentextZchn"/>
    <w:uiPriority w:val="99"/>
    <w:semiHidden/>
    <w:unhideWhenUsed/>
    <w:rsid w:val="00C5045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50455"/>
    <w:rPr>
      <w:rFonts w:ascii="Segoe UI" w:hAnsi="Segoe UI" w:cs="Segoe UI"/>
      <w:sz w:val="18"/>
      <w:szCs w:val="18"/>
    </w:rPr>
  </w:style>
  <w:style w:type="character" w:styleId="Kommentarzeichen">
    <w:name w:val="annotation reference"/>
    <w:basedOn w:val="Absatz-Standardschriftart"/>
    <w:uiPriority w:val="99"/>
    <w:semiHidden/>
    <w:unhideWhenUsed/>
    <w:rsid w:val="0020639A"/>
    <w:rPr>
      <w:sz w:val="16"/>
      <w:szCs w:val="16"/>
    </w:rPr>
  </w:style>
  <w:style w:type="paragraph" w:styleId="Kommentartext">
    <w:name w:val="annotation text"/>
    <w:basedOn w:val="Standard"/>
    <w:link w:val="KommentartextZchn"/>
    <w:uiPriority w:val="99"/>
    <w:unhideWhenUsed/>
    <w:rsid w:val="0020639A"/>
    <w:pPr>
      <w:spacing w:line="240" w:lineRule="auto"/>
    </w:pPr>
    <w:rPr>
      <w:sz w:val="20"/>
      <w:szCs w:val="20"/>
    </w:rPr>
  </w:style>
  <w:style w:type="character" w:customStyle="1" w:styleId="KommentartextZchn">
    <w:name w:val="Kommentartext Zchn"/>
    <w:basedOn w:val="Absatz-Standardschriftart"/>
    <w:link w:val="Kommentartext"/>
    <w:uiPriority w:val="99"/>
    <w:rsid w:val="0020639A"/>
    <w:rPr>
      <w:sz w:val="20"/>
      <w:szCs w:val="20"/>
    </w:rPr>
  </w:style>
  <w:style w:type="paragraph" w:styleId="Kommentarthema">
    <w:name w:val="annotation subject"/>
    <w:basedOn w:val="Kommentartext"/>
    <w:next w:val="Kommentartext"/>
    <w:link w:val="KommentarthemaZchn"/>
    <w:uiPriority w:val="99"/>
    <w:semiHidden/>
    <w:unhideWhenUsed/>
    <w:rsid w:val="0020639A"/>
    <w:rPr>
      <w:b/>
      <w:bCs/>
    </w:rPr>
  </w:style>
  <w:style w:type="character" w:customStyle="1" w:styleId="KommentarthemaZchn">
    <w:name w:val="Kommentarthema Zchn"/>
    <w:basedOn w:val="KommentartextZchn"/>
    <w:link w:val="Kommentarthema"/>
    <w:uiPriority w:val="99"/>
    <w:semiHidden/>
    <w:rsid w:val="0020639A"/>
    <w:rPr>
      <w:b/>
      <w:bCs/>
      <w:sz w:val="20"/>
      <w:szCs w:val="20"/>
    </w:rPr>
  </w:style>
  <w:style w:type="paragraph" w:styleId="Literaturverzeichnis">
    <w:name w:val="Bibliography"/>
    <w:basedOn w:val="Standard"/>
    <w:next w:val="Standard"/>
    <w:uiPriority w:val="37"/>
    <w:unhideWhenUsed/>
    <w:rsid w:val="001A0748"/>
    <w:pPr>
      <w:spacing w:after="0" w:line="240" w:lineRule="auto"/>
      <w:ind w:left="720" w:hanging="720"/>
    </w:pPr>
  </w:style>
  <w:style w:type="character" w:styleId="Hyperlink">
    <w:name w:val="Hyperlink"/>
    <w:basedOn w:val="Absatz-Standardschriftart"/>
    <w:uiPriority w:val="99"/>
    <w:unhideWhenUsed/>
    <w:rsid w:val="00920CD3"/>
    <w:rPr>
      <w:color w:val="0563C1" w:themeColor="hyperlink"/>
      <w:u w:val="single"/>
    </w:rPr>
  </w:style>
  <w:style w:type="character" w:styleId="BesuchterLink">
    <w:name w:val="FollowedHyperlink"/>
    <w:basedOn w:val="Absatz-Standardschriftart"/>
    <w:uiPriority w:val="99"/>
    <w:semiHidden/>
    <w:unhideWhenUsed/>
    <w:rsid w:val="00AE5953"/>
    <w:rPr>
      <w:color w:val="954F72" w:themeColor="followedHyperlink"/>
      <w:u w:val="single"/>
    </w:rPr>
  </w:style>
  <w:style w:type="character" w:customStyle="1" w:styleId="groupname">
    <w:name w:val="groupname"/>
    <w:basedOn w:val="Absatz-Standardschriftart"/>
    <w:rsid w:val="005B3D95"/>
  </w:style>
  <w:style w:type="character" w:customStyle="1" w:styleId="pubyear">
    <w:name w:val="pubyear"/>
    <w:basedOn w:val="Absatz-Standardschriftart"/>
    <w:rsid w:val="005B3D95"/>
  </w:style>
  <w:style w:type="character" w:customStyle="1" w:styleId="booktitle">
    <w:name w:val="booktitle"/>
    <w:basedOn w:val="Absatz-Standardschriftart"/>
    <w:rsid w:val="005B3D95"/>
  </w:style>
  <w:style w:type="character" w:customStyle="1" w:styleId="publisherlocation">
    <w:name w:val="publisherlocation"/>
    <w:basedOn w:val="Absatz-Standardschriftart"/>
    <w:rsid w:val="005B3D95"/>
  </w:style>
  <w:style w:type="character" w:styleId="Fett">
    <w:name w:val="Strong"/>
    <w:basedOn w:val="Absatz-Standardschriftart"/>
    <w:uiPriority w:val="22"/>
    <w:qFormat/>
    <w:rsid w:val="00306490"/>
    <w:rPr>
      <w:b/>
      <w:bCs/>
    </w:rPr>
  </w:style>
  <w:style w:type="character" w:customStyle="1" w:styleId="ls7">
    <w:name w:val="ls7"/>
    <w:basedOn w:val="Absatz-Standardschriftart"/>
    <w:rsid w:val="00EE4962"/>
  </w:style>
  <w:style w:type="character" w:customStyle="1" w:styleId="ff7">
    <w:name w:val="ff7"/>
    <w:basedOn w:val="Absatz-Standardschriftart"/>
    <w:rsid w:val="00EE4962"/>
  </w:style>
  <w:style w:type="character" w:customStyle="1" w:styleId="wsa0">
    <w:name w:val="wsa0"/>
    <w:basedOn w:val="Absatz-Standardschriftart"/>
    <w:rsid w:val="00EE4962"/>
  </w:style>
  <w:style w:type="character" w:customStyle="1" w:styleId="ff5">
    <w:name w:val="ff5"/>
    <w:basedOn w:val="Absatz-Standardschriftart"/>
    <w:rsid w:val="00EE4962"/>
  </w:style>
  <w:style w:type="character" w:customStyle="1" w:styleId="ls2a">
    <w:name w:val="ls2a"/>
    <w:basedOn w:val="Absatz-Standardschriftart"/>
    <w:rsid w:val="00EE4962"/>
  </w:style>
  <w:style w:type="character" w:customStyle="1" w:styleId="berschrift2Zchn">
    <w:name w:val="Überschrift 2 Zchn"/>
    <w:basedOn w:val="Absatz-Standardschriftart"/>
    <w:link w:val="berschrift2"/>
    <w:uiPriority w:val="9"/>
    <w:rsid w:val="00EC2F6D"/>
    <w:rPr>
      <w:rFonts w:ascii="Times New Roman" w:eastAsia="Times New Roman" w:hAnsi="Times New Roman" w:cs="Times New Roman"/>
      <w:b/>
      <w:bCs/>
      <w:sz w:val="36"/>
      <w:szCs w:val="36"/>
      <w:lang w:eastAsia="de-AT"/>
    </w:rPr>
  </w:style>
  <w:style w:type="character" w:customStyle="1" w:styleId="highwire-cite-metadata-doi">
    <w:name w:val="highwire-cite-metadata-doi"/>
    <w:basedOn w:val="Absatz-Standardschriftart"/>
    <w:rsid w:val="002A4301"/>
  </w:style>
  <w:style w:type="character" w:customStyle="1" w:styleId="berschrift1Zchn">
    <w:name w:val="Überschrift 1 Zchn"/>
    <w:basedOn w:val="Absatz-Standardschriftart"/>
    <w:link w:val="berschrift1"/>
    <w:uiPriority w:val="9"/>
    <w:rsid w:val="006D319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0508">
      <w:bodyDiv w:val="1"/>
      <w:marLeft w:val="0"/>
      <w:marRight w:val="0"/>
      <w:marTop w:val="0"/>
      <w:marBottom w:val="0"/>
      <w:divBdr>
        <w:top w:val="none" w:sz="0" w:space="0" w:color="auto"/>
        <w:left w:val="none" w:sz="0" w:space="0" w:color="auto"/>
        <w:bottom w:val="none" w:sz="0" w:space="0" w:color="auto"/>
        <w:right w:val="none" w:sz="0" w:space="0" w:color="auto"/>
      </w:divBdr>
      <w:divsChild>
        <w:div w:id="1822308146">
          <w:marLeft w:val="0"/>
          <w:marRight w:val="0"/>
          <w:marTop w:val="0"/>
          <w:marBottom w:val="0"/>
          <w:divBdr>
            <w:top w:val="none" w:sz="0" w:space="0" w:color="auto"/>
            <w:left w:val="none" w:sz="0" w:space="0" w:color="auto"/>
            <w:bottom w:val="none" w:sz="0" w:space="0" w:color="auto"/>
            <w:right w:val="none" w:sz="0" w:space="0" w:color="auto"/>
          </w:divBdr>
        </w:div>
      </w:divsChild>
    </w:div>
    <w:div w:id="89276054">
      <w:bodyDiv w:val="1"/>
      <w:marLeft w:val="0"/>
      <w:marRight w:val="0"/>
      <w:marTop w:val="0"/>
      <w:marBottom w:val="0"/>
      <w:divBdr>
        <w:top w:val="none" w:sz="0" w:space="0" w:color="auto"/>
        <w:left w:val="none" w:sz="0" w:space="0" w:color="auto"/>
        <w:bottom w:val="none" w:sz="0" w:space="0" w:color="auto"/>
        <w:right w:val="none" w:sz="0" w:space="0" w:color="auto"/>
      </w:divBdr>
      <w:divsChild>
        <w:div w:id="1525825357">
          <w:marLeft w:val="0"/>
          <w:marRight w:val="0"/>
          <w:marTop w:val="0"/>
          <w:marBottom w:val="0"/>
          <w:divBdr>
            <w:top w:val="none" w:sz="0" w:space="0" w:color="auto"/>
            <w:left w:val="none" w:sz="0" w:space="0" w:color="auto"/>
            <w:bottom w:val="none" w:sz="0" w:space="0" w:color="auto"/>
            <w:right w:val="none" w:sz="0" w:space="0" w:color="auto"/>
          </w:divBdr>
        </w:div>
      </w:divsChild>
    </w:div>
    <w:div w:id="116413044">
      <w:bodyDiv w:val="1"/>
      <w:marLeft w:val="0"/>
      <w:marRight w:val="0"/>
      <w:marTop w:val="0"/>
      <w:marBottom w:val="0"/>
      <w:divBdr>
        <w:top w:val="none" w:sz="0" w:space="0" w:color="auto"/>
        <w:left w:val="none" w:sz="0" w:space="0" w:color="auto"/>
        <w:bottom w:val="none" w:sz="0" w:space="0" w:color="auto"/>
        <w:right w:val="none" w:sz="0" w:space="0" w:color="auto"/>
      </w:divBdr>
      <w:divsChild>
        <w:div w:id="511530267">
          <w:marLeft w:val="480"/>
          <w:marRight w:val="0"/>
          <w:marTop w:val="0"/>
          <w:marBottom w:val="0"/>
          <w:divBdr>
            <w:top w:val="none" w:sz="0" w:space="0" w:color="auto"/>
            <w:left w:val="none" w:sz="0" w:space="0" w:color="auto"/>
            <w:bottom w:val="none" w:sz="0" w:space="0" w:color="auto"/>
            <w:right w:val="none" w:sz="0" w:space="0" w:color="auto"/>
          </w:divBdr>
          <w:divsChild>
            <w:div w:id="811099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4889">
      <w:bodyDiv w:val="1"/>
      <w:marLeft w:val="0"/>
      <w:marRight w:val="0"/>
      <w:marTop w:val="0"/>
      <w:marBottom w:val="0"/>
      <w:divBdr>
        <w:top w:val="none" w:sz="0" w:space="0" w:color="auto"/>
        <w:left w:val="none" w:sz="0" w:space="0" w:color="auto"/>
        <w:bottom w:val="none" w:sz="0" w:space="0" w:color="auto"/>
        <w:right w:val="none" w:sz="0" w:space="0" w:color="auto"/>
      </w:divBdr>
      <w:divsChild>
        <w:div w:id="1441797929">
          <w:marLeft w:val="480"/>
          <w:marRight w:val="0"/>
          <w:marTop w:val="0"/>
          <w:marBottom w:val="0"/>
          <w:divBdr>
            <w:top w:val="none" w:sz="0" w:space="0" w:color="auto"/>
            <w:left w:val="none" w:sz="0" w:space="0" w:color="auto"/>
            <w:bottom w:val="none" w:sz="0" w:space="0" w:color="auto"/>
            <w:right w:val="none" w:sz="0" w:space="0" w:color="auto"/>
          </w:divBdr>
          <w:divsChild>
            <w:div w:id="140745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14827">
      <w:bodyDiv w:val="1"/>
      <w:marLeft w:val="0"/>
      <w:marRight w:val="0"/>
      <w:marTop w:val="0"/>
      <w:marBottom w:val="0"/>
      <w:divBdr>
        <w:top w:val="none" w:sz="0" w:space="0" w:color="auto"/>
        <w:left w:val="none" w:sz="0" w:space="0" w:color="auto"/>
        <w:bottom w:val="none" w:sz="0" w:space="0" w:color="auto"/>
        <w:right w:val="none" w:sz="0" w:space="0" w:color="auto"/>
      </w:divBdr>
      <w:divsChild>
        <w:div w:id="1268729167">
          <w:marLeft w:val="480"/>
          <w:marRight w:val="0"/>
          <w:marTop w:val="0"/>
          <w:marBottom w:val="0"/>
          <w:divBdr>
            <w:top w:val="none" w:sz="0" w:space="0" w:color="auto"/>
            <w:left w:val="none" w:sz="0" w:space="0" w:color="auto"/>
            <w:bottom w:val="none" w:sz="0" w:space="0" w:color="auto"/>
            <w:right w:val="none" w:sz="0" w:space="0" w:color="auto"/>
          </w:divBdr>
          <w:divsChild>
            <w:div w:id="132462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7881">
      <w:bodyDiv w:val="1"/>
      <w:marLeft w:val="0"/>
      <w:marRight w:val="0"/>
      <w:marTop w:val="0"/>
      <w:marBottom w:val="0"/>
      <w:divBdr>
        <w:top w:val="none" w:sz="0" w:space="0" w:color="auto"/>
        <w:left w:val="none" w:sz="0" w:space="0" w:color="auto"/>
        <w:bottom w:val="none" w:sz="0" w:space="0" w:color="auto"/>
        <w:right w:val="none" w:sz="0" w:space="0" w:color="auto"/>
      </w:divBdr>
      <w:divsChild>
        <w:div w:id="569727838">
          <w:marLeft w:val="0"/>
          <w:marRight w:val="0"/>
          <w:marTop w:val="0"/>
          <w:marBottom w:val="0"/>
          <w:divBdr>
            <w:top w:val="none" w:sz="0" w:space="0" w:color="auto"/>
            <w:left w:val="none" w:sz="0" w:space="0" w:color="auto"/>
            <w:bottom w:val="none" w:sz="0" w:space="0" w:color="auto"/>
            <w:right w:val="none" w:sz="0" w:space="0" w:color="auto"/>
          </w:divBdr>
          <w:divsChild>
            <w:div w:id="1862821335">
              <w:marLeft w:val="0"/>
              <w:marRight w:val="0"/>
              <w:marTop w:val="0"/>
              <w:marBottom w:val="0"/>
              <w:divBdr>
                <w:top w:val="none" w:sz="0" w:space="0" w:color="auto"/>
                <w:left w:val="none" w:sz="0" w:space="0" w:color="auto"/>
                <w:bottom w:val="none" w:sz="0" w:space="0" w:color="auto"/>
                <w:right w:val="none" w:sz="0" w:space="0" w:color="auto"/>
              </w:divBdr>
            </w:div>
          </w:divsChild>
        </w:div>
        <w:div w:id="1199707131">
          <w:marLeft w:val="0"/>
          <w:marRight w:val="0"/>
          <w:marTop w:val="0"/>
          <w:marBottom w:val="0"/>
          <w:divBdr>
            <w:top w:val="none" w:sz="0" w:space="0" w:color="auto"/>
            <w:left w:val="none" w:sz="0" w:space="0" w:color="auto"/>
            <w:bottom w:val="none" w:sz="0" w:space="0" w:color="auto"/>
            <w:right w:val="none" w:sz="0" w:space="0" w:color="auto"/>
          </w:divBdr>
        </w:div>
      </w:divsChild>
    </w:div>
    <w:div w:id="326860620">
      <w:bodyDiv w:val="1"/>
      <w:marLeft w:val="0"/>
      <w:marRight w:val="0"/>
      <w:marTop w:val="0"/>
      <w:marBottom w:val="0"/>
      <w:divBdr>
        <w:top w:val="none" w:sz="0" w:space="0" w:color="auto"/>
        <w:left w:val="none" w:sz="0" w:space="0" w:color="auto"/>
        <w:bottom w:val="none" w:sz="0" w:space="0" w:color="auto"/>
        <w:right w:val="none" w:sz="0" w:space="0" w:color="auto"/>
      </w:divBdr>
      <w:divsChild>
        <w:div w:id="1767656270">
          <w:marLeft w:val="0"/>
          <w:marRight w:val="0"/>
          <w:marTop w:val="0"/>
          <w:marBottom w:val="0"/>
          <w:divBdr>
            <w:top w:val="none" w:sz="0" w:space="0" w:color="auto"/>
            <w:left w:val="none" w:sz="0" w:space="0" w:color="auto"/>
            <w:bottom w:val="none" w:sz="0" w:space="0" w:color="auto"/>
            <w:right w:val="none" w:sz="0" w:space="0" w:color="auto"/>
          </w:divBdr>
        </w:div>
      </w:divsChild>
    </w:div>
    <w:div w:id="346366321">
      <w:bodyDiv w:val="1"/>
      <w:marLeft w:val="0"/>
      <w:marRight w:val="0"/>
      <w:marTop w:val="0"/>
      <w:marBottom w:val="0"/>
      <w:divBdr>
        <w:top w:val="none" w:sz="0" w:space="0" w:color="auto"/>
        <w:left w:val="none" w:sz="0" w:space="0" w:color="auto"/>
        <w:bottom w:val="none" w:sz="0" w:space="0" w:color="auto"/>
        <w:right w:val="none" w:sz="0" w:space="0" w:color="auto"/>
      </w:divBdr>
      <w:divsChild>
        <w:div w:id="1278023852">
          <w:marLeft w:val="480"/>
          <w:marRight w:val="0"/>
          <w:marTop w:val="0"/>
          <w:marBottom w:val="0"/>
          <w:divBdr>
            <w:top w:val="none" w:sz="0" w:space="0" w:color="auto"/>
            <w:left w:val="none" w:sz="0" w:space="0" w:color="auto"/>
            <w:bottom w:val="none" w:sz="0" w:space="0" w:color="auto"/>
            <w:right w:val="none" w:sz="0" w:space="0" w:color="auto"/>
          </w:divBdr>
          <w:divsChild>
            <w:div w:id="190351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710450">
      <w:bodyDiv w:val="1"/>
      <w:marLeft w:val="0"/>
      <w:marRight w:val="0"/>
      <w:marTop w:val="0"/>
      <w:marBottom w:val="0"/>
      <w:divBdr>
        <w:top w:val="none" w:sz="0" w:space="0" w:color="auto"/>
        <w:left w:val="none" w:sz="0" w:space="0" w:color="auto"/>
        <w:bottom w:val="none" w:sz="0" w:space="0" w:color="auto"/>
        <w:right w:val="none" w:sz="0" w:space="0" w:color="auto"/>
      </w:divBdr>
      <w:divsChild>
        <w:div w:id="1001084147">
          <w:marLeft w:val="0"/>
          <w:marRight w:val="0"/>
          <w:marTop w:val="0"/>
          <w:marBottom w:val="0"/>
          <w:divBdr>
            <w:top w:val="none" w:sz="0" w:space="0" w:color="auto"/>
            <w:left w:val="none" w:sz="0" w:space="0" w:color="auto"/>
            <w:bottom w:val="none" w:sz="0" w:space="0" w:color="auto"/>
            <w:right w:val="none" w:sz="0" w:space="0" w:color="auto"/>
          </w:divBdr>
        </w:div>
      </w:divsChild>
    </w:div>
    <w:div w:id="385102946">
      <w:bodyDiv w:val="1"/>
      <w:marLeft w:val="0"/>
      <w:marRight w:val="0"/>
      <w:marTop w:val="0"/>
      <w:marBottom w:val="0"/>
      <w:divBdr>
        <w:top w:val="none" w:sz="0" w:space="0" w:color="auto"/>
        <w:left w:val="none" w:sz="0" w:space="0" w:color="auto"/>
        <w:bottom w:val="none" w:sz="0" w:space="0" w:color="auto"/>
        <w:right w:val="none" w:sz="0" w:space="0" w:color="auto"/>
      </w:divBdr>
      <w:divsChild>
        <w:div w:id="1046757101">
          <w:marLeft w:val="0"/>
          <w:marRight w:val="0"/>
          <w:marTop w:val="0"/>
          <w:marBottom w:val="0"/>
          <w:divBdr>
            <w:top w:val="none" w:sz="0" w:space="0" w:color="auto"/>
            <w:left w:val="none" w:sz="0" w:space="0" w:color="auto"/>
            <w:bottom w:val="none" w:sz="0" w:space="0" w:color="auto"/>
            <w:right w:val="none" w:sz="0" w:space="0" w:color="auto"/>
          </w:divBdr>
        </w:div>
      </w:divsChild>
    </w:div>
    <w:div w:id="484592961">
      <w:bodyDiv w:val="1"/>
      <w:marLeft w:val="0"/>
      <w:marRight w:val="0"/>
      <w:marTop w:val="0"/>
      <w:marBottom w:val="0"/>
      <w:divBdr>
        <w:top w:val="none" w:sz="0" w:space="0" w:color="auto"/>
        <w:left w:val="none" w:sz="0" w:space="0" w:color="auto"/>
        <w:bottom w:val="none" w:sz="0" w:space="0" w:color="auto"/>
        <w:right w:val="none" w:sz="0" w:space="0" w:color="auto"/>
      </w:divBdr>
      <w:divsChild>
        <w:div w:id="27802665">
          <w:marLeft w:val="0"/>
          <w:marRight w:val="0"/>
          <w:marTop w:val="0"/>
          <w:marBottom w:val="0"/>
          <w:divBdr>
            <w:top w:val="none" w:sz="0" w:space="0" w:color="auto"/>
            <w:left w:val="none" w:sz="0" w:space="0" w:color="auto"/>
            <w:bottom w:val="none" w:sz="0" w:space="0" w:color="auto"/>
            <w:right w:val="none" w:sz="0" w:space="0" w:color="auto"/>
          </w:divBdr>
        </w:div>
      </w:divsChild>
    </w:div>
    <w:div w:id="519897957">
      <w:bodyDiv w:val="1"/>
      <w:marLeft w:val="0"/>
      <w:marRight w:val="0"/>
      <w:marTop w:val="0"/>
      <w:marBottom w:val="0"/>
      <w:divBdr>
        <w:top w:val="none" w:sz="0" w:space="0" w:color="auto"/>
        <w:left w:val="none" w:sz="0" w:space="0" w:color="auto"/>
        <w:bottom w:val="none" w:sz="0" w:space="0" w:color="auto"/>
        <w:right w:val="none" w:sz="0" w:space="0" w:color="auto"/>
      </w:divBdr>
      <w:divsChild>
        <w:div w:id="934097884">
          <w:marLeft w:val="480"/>
          <w:marRight w:val="0"/>
          <w:marTop w:val="0"/>
          <w:marBottom w:val="0"/>
          <w:divBdr>
            <w:top w:val="none" w:sz="0" w:space="0" w:color="auto"/>
            <w:left w:val="none" w:sz="0" w:space="0" w:color="auto"/>
            <w:bottom w:val="none" w:sz="0" w:space="0" w:color="auto"/>
            <w:right w:val="none" w:sz="0" w:space="0" w:color="auto"/>
          </w:divBdr>
          <w:divsChild>
            <w:div w:id="18344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572501">
      <w:bodyDiv w:val="1"/>
      <w:marLeft w:val="0"/>
      <w:marRight w:val="0"/>
      <w:marTop w:val="0"/>
      <w:marBottom w:val="0"/>
      <w:divBdr>
        <w:top w:val="none" w:sz="0" w:space="0" w:color="auto"/>
        <w:left w:val="none" w:sz="0" w:space="0" w:color="auto"/>
        <w:bottom w:val="none" w:sz="0" w:space="0" w:color="auto"/>
        <w:right w:val="none" w:sz="0" w:space="0" w:color="auto"/>
      </w:divBdr>
      <w:divsChild>
        <w:div w:id="1522936026">
          <w:marLeft w:val="0"/>
          <w:marRight w:val="0"/>
          <w:marTop w:val="0"/>
          <w:marBottom w:val="0"/>
          <w:divBdr>
            <w:top w:val="none" w:sz="0" w:space="0" w:color="auto"/>
            <w:left w:val="none" w:sz="0" w:space="0" w:color="auto"/>
            <w:bottom w:val="none" w:sz="0" w:space="0" w:color="auto"/>
            <w:right w:val="none" w:sz="0" w:space="0" w:color="auto"/>
          </w:divBdr>
          <w:divsChild>
            <w:div w:id="1958683129">
              <w:marLeft w:val="0"/>
              <w:marRight w:val="0"/>
              <w:marTop w:val="0"/>
              <w:marBottom w:val="0"/>
              <w:divBdr>
                <w:top w:val="none" w:sz="0" w:space="0" w:color="auto"/>
                <w:left w:val="none" w:sz="0" w:space="0" w:color="auto"/>
                <w:bottom w:val="none" w:sz="0" w:space="0" w:color="auto"/>
                <w:right w:val="none" w:sz="0" w:space="0" w:color="auto"/>
              </w:divBdr>
              <w:divsChild>
                <w:div w:id="566263093">
                  <w:marLeft w:val="0"/>
                  <w:marRight w:val="0"/>
                  <w:marTop w:val="0"/>
                  <w:marBottom w:val="0"/>
                  <w:divBdr>
                    <w:top w:val="none" w:sz="0" w:space="0" w:color="auto"/>
                    <w:left w:val="none" w:sz="0" w:space="0" w:color="auto"/>
                    <w:bottom w:val="none" w:sz="0" w:space="0" w:color="auto"/>
                    <w:right w:val="none" w:sz="0" w:space="0" w:color="auto"/>
                  </w:divBdr>
                  <w:divsChild>
                    <w:div w:id="748579314">
                      <w:marLeft w:val="0"/>
                      <w:marRight w:val="0"/>
                      <w:marTop w:val="0"/>
                      <w:marBottom w:val="0"/>
                      <w:divBdr>
                        <w:top w:val="none" w:sz="0" w:space="0" w:color="auto"/>
                        <w:left w:val="none" w:sz="0" w:space="0" w:color="auto"/>
                        <w:bottom w:val="none" w:sz="0" w:space="0" w:color="auto"/>
                        <w:right w:val="none" w:sz="0" w:space="0" w:color="auto"/>
                      </w:divBdr>
                      <w:divsChild>
                        <w:div w:id="1348479872">
                          <w:marLeft w:val="0"/>
                          <w:marRight w:val="0"/>
                          <w:marTop w:val="0"/>
                          <w:marBottom w:val="0"/>
                          <w:divBdr>
                            <w:top w:val="none" w:sz="0" w:space="0" w:color="auto"/>
                            <w:left w:val="none" w:sz="0" w:space="0" w:color="auto"/>
                            <w:bottom w:val="none" w:sz="0" w:space="0" w:color="auto"/>
                            <w:right w:val="none" w:sz="0" w:space="0" w:color="auto"/>
                          </w:divBdr>
                        </w:div>
                        <w:div w:id="191627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330955">
          <w:marLeft w:val="0"/>
          <w:marRight w:val="0"/>
          <w:marTop w:val="0"/>
          <w:marBottom w:val="0"/>
          <w:divBdr>
            <w:top w:val="none" w:sz="0" w:space="0" w:color="auto"/>
            <w:left w:val="none" w:sz="0" w:space="0" w:color="auto"/>
            <w:bottom w:val="none" w:sz="0" w:space="0" w:color="auto"/>
            <w:right w:val="none" w:sz="0" w:space="0" w:color="auto"/>
          </w:divBdr>
        </w:div>
        <w:div w:id="429472378">
          <w:marLeft w:val="0"/>
          <w:marRight w:val="0"/>
          <w:marTop w:val="0"/>
          <w:marBottom w:val="0"/>
          <w:divBdr>
            <w:top w:val="none" w:sz="0" w:space="0" w:color="auto"/>
            <w:left w:val="none" w:sz="0" w:space="0" w:color="auto"/>
            <w:bottom w:val="none" w:sz="0" w:space="0" w:color="auto"/>
            <w:right w:val="none" w:sz="0" w:space="0" w:color="auto"/>
          </w:divBdr>
        </w:div>
        <w:div w:id="1873882536">
          <w:marLeft w:val="0"/>
          <w:marRight w:val="0"/>
          <w:marTop w:val="0"/>
          <w:marBottom w:val="0"/>
          <w:divBdr>
            <w:top w:val="none" w:sz="0" w:space="0" w:color="auto"/>
            <w:left w:val="none" w:sz="0" w:space="0" w:color="auto"/>
            <w:bottom w:val="none" w:sz="0" w:space="0" w:color="auto"/>
            <w:right w:val="none" w:sz="0" w:space="0" w:color="auto"/>
          </w:divBdr>
        </w:div>
        <w:div w:id="639849536">
          <w:marLeft w:val="0"/>
          <w:marRight w:val="0"/>
          <w:marTop w:val="0"/>
          <w:marBottom w:val="0"/>
          <w:divBdr>
            <w:top w:val="none" w:sz="0" w:space="0" w:color="auto"/>
            <w:left w:val="none" w:sz="0" w:space="0" w:color="auto"/>
            <w:bottom w:val="none" w:sz="0" w:space="0" w:color="auto"/>
            <w:right w:val="none" w:sz="0" w:space="0" w:color="auto"/>
          </w:divBdr>
        </w:div>
        <w:div w:id="1022634421">
          <w:marLeft w:val="0"/>
          <w:marRight w:val="0"/>
          <w:marTop w:val="0"/>
          <w:marBottom w:val="0"/>
          <w:divBdr>
            <w:top w:val="none" w:sz="0" w:space="0" w:color="auto"/>
            <w:left w:val="none" w:sz="0" w:space="0" w:color="auto"/>
            <w:bottom w:val="none" w:sz="0" w:space="0" w:color="auto"/>
            <w:right w:val="none" w:sz="0" w:space="0" w:color="auto"/>
          </w:divBdr>
        </w:div>
        <w:div w:id="367920319">
          <w:marLeft w:val="0"/>
          <w:marRight w:val="0"/>
          <w:marTop w:val="0"/>
          <w:marBottom w:val="0"/>
          <w:divBdr>
            <w:top w:val="none" w:sz="0" w:space="0" w:color="auto"/>
            <w:left w:val="none" w:sz="0" w:space="0" w:color="auto"/>
            <w:bottom w:val="none" w:sz="0" w:space="0" w:color="auto"/>
            <w:right w:val="none" w:sz="0" w:space="0" w:color="auto"/>
          </w:divBdr>
        </w:div>
        <w:div w:id="179852623">
          <w:marLeft w:val="0"/>
          <w:marRight w:val="0"/>
          <w:marTop w:val="0"/>
          <w:marBottom w:val="0"/>
          <w:divBdr>
            <w:top w:val="none" w:sz="0" w:space="0" w:color="auto"/>
            <w:left w:val="none" w:sz="0" w:space="0" w:color="auto"/>
            <w:bottom w:val="none" w:sz="0" w:space="0" w:color="auto"/>
            <w:right w:val="none" w:sz="0" w:space="0" w:color="auto"/>
          </w:divBdr>
        </w:div>
        <w:div w:id="1465807999">
          <w:marLeft w:val="0"/>
          <w:marRight w:val="0"/>
          <w:marTop w:val="0"/>
          <w:marBottom w:val="0"/>
          <w:divBdr>
            <w:top w:val="none" w:sz="0" w:space="0" w:color="auto"/>
            <w:left w:val="none" w:sz="0" w:space="0" w:color="auto"/>
            <w:bottom w:val="none" w:sz="0" w:space="0" w:color="auto"/>
            <w:right w:val="none" w:sz="0" w:space="0" w:color="auto"/>
          </w:divBdr>
        </w:div>
        <w:div w:id="1627589803">
          <w:marLeft w:val="0"/>
          <w:marRight w:val="0"/>
          <w:marTop w:val="0"/>
          <w:marBottom w:val="0"/>
          <w:divBdr>
            <w:top w:val="none" w:sz="0" w:space="0" w:color="auto"/>
            <w:left w:val="none" w:sz="0" w:space="0" w:color="auto"/>
            <w:bottom w:val="none" w:sz="0" w:space="0" w:color="auto"/>
            <w:right w:val="none" w:sz="0" w:space="0" w:color="auto"/>
          </w:divBdr>
        </w:div>
        <w:div w:id="298652921">
          <w:marLeft w:val="0"/>
          <w:marRight w:val="0"/>
          <w:marTop w:val="0"/>
          <w:marBottom w:val="0"/>
          <w:divBdr>
            <w:top w:val="none" w:sz="0" w:space="0" w:color="auto"/>
            <w:left w:val="none" w:sz="0" w:space="0" w:color="auto"/>
            <w:bottom w:val="none" w:sz="0" w:space="0" w:color="auto"/>
            <w:right w:val="none" w:sz="0" w:space="0" w:color="auto"/>
          </w:divBdr>
        </w:div>
        <w:div w:id="675687940">
          <w:marLeft w:val="0"/>
          <w:marRight w:val="0"/>
          <w:marTop w:val="0"/>
          <w:marBottom w:val="0"/>
          <w:divBdr>
            <w:top w:val="none" w:sz="0" w:space="0" w:color="auto"/>
            <w:left w:val="none" w:sz="0" w:space="0" w:color="auto"/>
            <w:bottom w:val="none" w:sz="0" w:space="0" w:color="auto"/>
            <w:right w:val="none" w:sz="0" w:space="0" w:color="auto"/>
          </w:divBdr>
        </w:div>
        <w:div w:id="1897622807">
          <w:marLeft w:val="0"/>
          <w:marRight w:val="0"/>
          <w:marTop w:val="0"/>
          <w:marBottom w:val="0"/>
          <w:divBdr>
            <w:top w:val="none" w:sz="0" w:space="0" w:color="auto"/>
            <w:left w:val="none" w:sz="0" w:space="0" w:color="auto"/>
            <w:bottom w:val="none" w:sz="0" w:space="0" w:color="auto"/>
            <w:right w:val="none" w:sz="0" w:space="0" w:color="auto"/>
          </w:divBdr>
        </w:div>
        <w:div w:id="953825815">
          <w:marLeft w:val="0"/>
          <w:marRight w:val="0"/>
          <w:marTop w:val="0"/>
          <w:marBottom w:val="0"/>
          <w:divBdr>
            <w:top w:val="none" w:sz="0" w:space="0" w:color="auto"/>
            <w:left w:val="none" w:sz="0" w:space="0" w:color="auto"/>
            <w:bottom w:val="none" w:sz="0" w:space="0" w:color="auto"/>
            <w:right w:val="none" w:sz="0" w:space="0" w:color="auto"/>
          </w:divBdr>
        </w:div>
        <w:div w:id="662394247">
          <w:marLeft w:val="0"/>
          <w:marRight w:val="0"/>
          <w:marTop w:val="0"/>
          <w:marBottom w:val="0"/>
          <w:divBdr>
            <w:top w:val="none" w:sz="0" w:space="0" w:color="auto"/>
            <w:left w:val="none" w:sz="0" w:space="0" w:color="auto"/>
            <w:bottom w:val="none" w:sz="0" w:space="0" w:color="auto"/>
            <w:right w:val="none" w:sz="0" w:space="0" w:color="auto"/>
          </w:divBdr>
        </w:div>
        <w:div w:id="1329791096">
          <w:marLeft w:val="0"/>
          <w:marRight w:val="0"/>
          <w:marTop w:val="0"/>
          <w:marBottom w:val="0"/>
          <w:divBdr>
            <w:top w:val="none" w:sz="0" w:space="0" w:color="auto"/>
            <w:left w:val="none" w:sz="0" w:space="0" w:color="auto"/>
            <w:bottom w:val="none" w:sz="0" w:space="0" w:color="auto"/>
            <w:right w:val="none" w:sz="0" w:space="0" w:color="auto"/>
          </w:divBdr>
        </w:div>
        <w:div w:id="348801585">
          <w:marLeft w:val="0"/>
          <w:marRight w:val="0"/>
          <w:marTop w:val="0"/>
          <w:marBottom w:val="0"/>
          <w:divBdr>
            <w:top w:val="none" w:sz="0" w:space="0" w:color="auto"/>
            <w:left w:val="none" w:sz="0" w:space="0" w:color="auto"/>
            <w:bottom w:val="none" w:sz="0" w:space="0" w:color="auto"/>
            <w:right w:val="none" w:sz="0" w:space="0" w:color="auto"/>
          </w:divBdr>
        </w:div>
        <w:div w:id="1672487600">
          <w:marLeft w:val="0"/>
          <w:marRight w:val="0"/>
          <w:marTop w:val="0"/>
          <w:marBottom w:val="0"/>
          <w:divBdr>
            <w:top w:val="none" w:sz="0" w:space="0" w:color="auto"/>
            <w:left w:val="none" w:sz="0" w:space="0" w:color="auto"/>
            <w:bottom w:val="none" w:sz="0" w:space="0" w:color="auto"/>
            <w:right w:val="none" w:sz="0" w:space="0" w:color="auto"/>
          </w:divBdr>
        </w:div>
        <w:div w:id="1283612120">
          <w:marLeft w:val="0"/>
          <w:marRight w:val="0"/>
          <w:marTop w:val="0"/>
          <w:marBottom w:val="0"/>
          <w:divBdr>
            <w:top w:val="none" w:sz="0" w:space="0" w:color="auto"/>
            <w:left w:val="none" w:sz="0" w:space="0" w:color="auto"/>
            <w:bottom w:val="none" w:sz="0" w:space="0" w:color="auto"/>
            <w:right w:val="none" w:sz="0" w:space="0" w:color="auto"/>
          </w:divBdr>
        </w:div>
        <w:div w:id="1140809273">
          <w:marLeft w:val="0"/>
          <w:marRight w:val="0"/>
          <w:marTop w:val="0"/>
          <w:marBottom w:val="0"/>
          <w:divBdr>
            <w:top w:val="none" w:sz="0" w:space="0" w:color="auto"/>
            <w:left w:val="none" w:sz="0" w:space="0" w:color="auto"/>
            <w:bottom w:val="none" w:sz="0" w:space="0" w:color="auto"/>
            <w:right w:val="none" w:sz="0" w:space="0" w:color="auto"/>
          </w:divBdr>
        </w:div>
        <w:div w:id="1128160608">
          <w:marLeft w:val="0"/>
          <w:marRight w:val="0"/>
          <w:marTop w:val="0"/>
          <w:marBottom w:val="0"/>
          <w:divBdr>
            <w:top w:val="none" w:sz="0" w:space="0" w:color="auto"/>
            <w:left w:val="none" w:sz="0" w:space="0" w:color="auto"/>
            <w:bottom w:val="none" w:sz="0" w:space="0" w:color="auto"/>
            <w:right w:val="none" w:sz="0" w:space="0" w:color="auto"/>
          </w:divBdr>
        </w:div>
        <w:div w:id="1548294132">
          <w:marLeft w:val="0"/>
          <w:marRight w:val="0"/>
          <w:marTop w:val="0"/>
          <w:marBottom w:val="0"/>
          <w:divBdr>
            <w:top w:val="none" w:sz="0" w:space="0" w:color="auto"/>
            <w:left w:val="none" w:sz="0" w:space="0" w:color="auto"/>
            <w:bottom w:val="none" w:sz="0" w:space="0" w:color="auto"/>
            <w:right w:val="none" w:sz="0" w:space="0" w:color="auto"/>
          </w:divBdr>
        </w:div>
        <w:div w:id="56632251">
          <w:marLeft w:val="0"/>
          <w:marRight w:val="0"/>
          <w:marTop w:val="0"/>
          <w:marBottom w:val="0"/>
          <w:divBdr>
            <w:top w:val="none" w:sz="0" w:space="0" w:color="auto"/>
            <w:left w:val="none" w:sz="0" w:space="0" w:color="auto"/>
            <w:bottom w:val="none" w:sz="0" w:space="0" w:color="auto"/>
            <w:right w:val="none" w:sz="0" w:space="0" w:color="auto"/>
          </w:divBdr>
        </w:div>
        <w:div w:id="1197348751">
          <w:marLeft w:val="0"/>
          <w:marRight w:val="0"/>
          <w:marTop w:val="0"/>
          <w:marBottom w:val="0"/>
          <w:divBdr>
            <w:top w:val="none" w:sz="0" w:space="0" w:color="auto"/>
            <w:left w:val="none" w:sz="0" w:space="0" w:color="auto"/>
            <w:bottom w:val="none" w:sz="0" w:space="0" w:color="auto"/>
            <w:right w:val="none" w:sz="0" w:space="0" w:color="auto"/>
          </w:divBdr>
        </w:div>
        <w:div w:id="1527131594">
          <w:marLeft w:val="0"/>
          <w:marRight w:val="0"/>
          <w:marTop w:val="0"/>
          <w:marBottom w:val="0"/>
          <w:divBdr>
            <w:top w:val="none" w:sz="0" w:space="0" w:color="auto"/>
            <w:left w:val="none" w:sz="0" w:space="0" w:color="auto"/>
            <w:bottom w:val="none" w:sz="0" w:space="0" w:color="auto"/>
            <w:right w:val="none" w:sz="0" w:space="0" w:color="auto"/>
          </w:divBdr>
        </w:div>
        <w:div w:id="558321101">
          <w:marLeft w:val="0"/>
          <w:marRight w:val="0"/>
          <w:marTop w:val="0"/>
          <w:marBottom w:val="0"/>
          <w:divBdr>
            <w:top w:val="none" w:sz="0" w:space="0" w:color="auto"/>
            <w:left w:val="none" w:sz="0" w:space="0" w:color="auto"/>
            <w:bottom w:val="none" w:sz="0" w:space="0" w:color="auto"/>
            <w:right w:val="none" w:sz="0" w:space="0" w:color="auto"/>
          </w:divBdr>
        </w:div>
        <w:div w:id="1193759854">
          <w:marLeft w:val="0"/>
          <w:marRight w:val="0"/>
          <w:marTop w:val="0"/>
          <w:marBottom w:val="0"/>
          <w:divBdr>
            <w:top w:val="none" w:sz="0" w:space="0" w:color="auto"/>
            <w:left w:val="none" w:sz="0" w:space="0" w:color="auto"/>
            <w:bottom w:val="none" w:sz="0" w:space="0" w:color="auto"/>
            <w:right w:val="none" w:sz="0" w:space="0" w:color="auto"/>
          </w:divBdr>
        </w:div>
        <w:div w:id="522129044">
          <w:marLeft w:val="0"/>
          <w:marRight w:val="0"/>
          <w:marTop w:val="0"/>
          <w:marBottom w:val="0"/>
          <w:divBdr>
            <w:top w:val="none" w:sz="0" w:space="0" w:color="auto"/>
            <w:left w:val="none" w:sz="0" w:space="0" w:color="auto"/>
            <w:bottom w:val="none" w:sz="0" w:space="0" w:color="auto"/>
            <w:right w:val="none" w:sz="0" w:space="0" w:color="auto"/>
          </w:divBdr>
        </w:div>
        <w:div w:id="1178226720">
          <w:marLeft w:val="0"/>
          <w:marRight w:val="0"/>
          <w:marTop w:val="0"/>
          <w:marBottom w:val="0"/>
          <w:divBdr>
            <w:top w:val="none" w:sz="0" w:space="0" w:color="auto"/>
            <w:left w:val="none" w:sz="0" w:space="0" w:color="auto"/>
            <w:bottom w:val="none" w:sz="0" w:space="0" w:color="auto"/>
            <w:right w:val="none" w:sz="0" w:space="0" w:color="auto"/>
          </w:divBdr>
        </w:div>
        <w:div w:id="173959443">
          <w:marLeft w:val="0"/>
          <w:marRight w:val="0"/>
          <w:marTop w:val="0"/>
          <w:marBottom w:val="0"/>
          <w:divBdr>
            <w:top w:val="none" w:sz="0" w:space="0" w:color="auto"/>
            <w:left w:val="none" w:sz="0" w:space="0" w:color="auto"/>
            <w:bottom w:val="none" w:sz="0" w:space="0" w:color="auto"/>
            <w:right w:val="none" w:sz="0" w:space="0" w:color="auto"/>
          </w:divBdr>
        </w:div>
        <w:div w:id="667246259">
          <w:marLeft w:val="0"/>
          <w:marRight w:val="0"/>
          <w:marTop w:val="0"/>
          <w:marBottom w:val="0"/>
          <w:divBdr>
            <w:top w:val="none" w:sz="0" w:space="0" w:color="auto"/>
            <w:left w:val="none" w:sz="0" w:space="0" w:color="auto"/>
            <w:bottom w:val="none" w:sz="0" w:space="0" w:color="auto"/>
            <w:right w:val="none" w:sz="0" w:space="0" w:color="auto"/>
          </w:divBdr>
        </w:div>
      </w:divsChild>
    </w:div>
    <w:div w:id="536772558">
      <w:bodyDiv w:val="1"/>
      <w:marLeft w:val="0"/>
      <w:marRight w:val="0"/>
      <w:marTop w:val="0"/>
      <w:marBottom w:val="0"/>
      <w:divBdr>
        <w:top w:val="none" w:sz="0" w:space="0" w:color="auto"/>
        <w:left w:val="none" w:sz="0" w:space="0" w:color="auto"/>
        <w:bottom w:val="none" w:sz="0" w:space="0" w:color="auto"/>
        <w:right w:val="none" w:sz="0" w:space="0" w:color="auto"/>
      </w:divBdr>
      <w:divsChild>
        <w:div w:id="1747530242">
          <w:marLeft w:val="480"/>
          <w:marRight w:val="0"/>
          <w:marTop w:val="0"/>
          <w:marBottom w:val="0"/>
          <w:divBdr>
            <w:top w:val="none" w:sz="0" w:space="0" w:color="auto"/>
            <w:left w:val="none" w:sz="0" w:space="0" w:color="auto"/>
            <w:bottom w:val="none" w:sz="0" w:space="0" w:color="auto"/>
            <w:right w:val="none" w:sz="0" w:space="0" w:color="auto"/>
          </w:divBdr>
          <w:divsChild>
            <w:div w:id="169326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92129">
      <w:bodyDiv w:val="1"/>
      <w:marLeft w:val="0"/>
      <w:marRight w:val="0"/>
      <w:marTop w:val="0"/>
      <w:marBottom w:val="0"/>
      <w:divBdr>
        <w:top w:val="none" w:sz="0" w:space="0" w:color="auto"/>
        <w:left w:val="none" w:sz="0" w:space="0" w:color="auto"/>
        <w:bottom w:val="none" w:sz="0" w:space="0" w:color="auto"/>
        <w:right w:val="none" w:sz="0" w:space="0" w:color="auto"/>
      </w:divBdr>
      <w:divsChild>
        <w:div w:id="84618070">
          <w:marLeft w:val="480"/>
          <w:marRight w:val="0"/>
          <w:marTop w:val="0"/>
          <w:marBottom w:val="0"/>
          <w:divBdr>
            <w:top w:val="none" w:sz="0" w:space="0" w:color="auto"/>
            <w:left w:val="none" w:sz="0" w:space="0" w:color="auto"/>
            <w:bottom w:val="none" w:sz="0" w:space="0" w:color="auto"/>
            <w:right w:val="none" w:sz="0" w:space="0" w:color="auto"/>
          </w:divBdr>
          <w:divsChild>
            <w:div w:id="177663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1332">
      <w:bodyDiv w:val="1"/>
      <w:marLeft w:val="0"/>
      <w:marRight w:val="0"/>
      <w:marTop w:val="0"/>
      <w:marBottom w:val="0"/>
      <w:divBdr>
        <w:top w:val="none" w:sz="0" w:space="0" w:color="auto"/>
        <w:left w:val="none" w:sz="0" w:space="0" w:color="auto"/>
        <w:bottom w:val="none" w:sz="0" w:space="0" w:color="auto"/>
        <w:right w:val="none" w:sz="0" w:space="0" w:color="auto"/>
      </w:divBdr>
      <w:divsChild>
        <w:div w:id="831606947">
          <w:marLeft w:val="0"/>
          <w:marRight w:val="0"/>
          <w:marTop w:val="0"/>
          <w:marBottom w:val="0"/>
          <w:divBdr>
            <w:top w:val="none" w:sz="0" w:space="0" w:color="auto"/>
            <w:left w:val="none" w:sz="0" w:space="0" w:color="auto"/>
            <w:bottom w:val="none" w:sz="0" w:space="0" w:color="auto"/>
            <w:right w:val="none" w:sz="0" w:space="0" w:color="auto"/>
          </w:divBdr>
        </w:div>
      </w:divsChild>
    </w:div>
    <w:div w:id="750739446">
      <w:bodyDiv w:val="1"/>
      <w:marLeft w:val="0"/>
      <w:marRight w:val="0"/>
      <w:marTop w:val="0"/>
      <w:marBottom w:val="0"/>
      <w:divBdr>
        <w:top w:val="none" w:sz="0" w:space="0" w:color="auto"/>
        <w:left w:val="none" w:sz="0" w:space="0" w:color="auto"/>
        <w:bottom w:val="none" w:sz="0" w:space="0" w:color="auto"/>
        <w:right w:val="none" w:sz="0" w:space="0" w:color="auto"/>
      </w:divBdr>
      <w:divsChild>
        <w:div w:id="1378771589">
          <w:marLeft w:val="0"/>
          <w:marRight w:val="0"/>
          <w:marTop w:val="0"/>
          <w:marBottom w:val="0"/>
          <w:divBdr>
            <w:top w:val="none" w:sz="0" w:space="0" w:color="auto"/>
            <w:left w:val="none" w:sz="0" w:space="0" w:color="auto"/>
            <w:bottom w:val="none" w:sz="0" w:space="0" w:color="auto"/>
            <w:right w:val="none" w:sz="0" w:space="0" w:color="auto"/>
          </w:divBdr>
        </w:div>
      </w:divsChild>
    </w:div>
    <w:div w:id="835457185">
      <w:bodyDiv w:val="1"/>
      <w:marLeft w:val="0"/>
      <w:marRight w:val="0"/>
      <w:marTop w:val="0"/>
      <w:marBottom w:val="0"/>
      <w:divBdr>
        <w:top w:val="none" w:sz="0" w:space="0" w:color="auto"/>
        <w:left w:val="none" w:sz="0" w:space="0" w:color="auto"/>
        <w:bottom w:val="none" w:sz="0" w:space="0" w:color="auto"/>
        <w:right w:val="none" w:sz="0" w:space="0" w:color="auto"/>
      </w:divBdr>
      <w:divsChild>
        <w:div w:id="217860866">
          <w:marLeft w:val="480"/>
          <w:marRight w:val="0"/>
          <w:marTop w:val="0"/>
          <w:marBottom w:val="0"/>
          <w:divBdr>
            <w:top w:val="none" w:sz="0" w:space="0" w:color="auto"/>
            <w:left w:val="none" w:sz="0" w:space="0" w:color="auto"/>
            <w:bottom w:val="none" w:sz="0" w:space="0" w:color="auto"/>
            <w:right w:val="none" w:sz="0" w:space="0" w:color="auto"/>
          </w:divBdr>
          <w:divsChild>
            <w:div w:id="7126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00976">
      <w:bodyDiv w:val="1"/>
      <w:marLeft w:val="0"/>
      <w:marRight w:val="0"/>
      <w:marTop w:val="0"/>
      <w:marBottom w:val="0"/>
      <w:divBdr>
        <w:top w:val="none" w:sz="0" w:space="0" w:color="auto"/>
        <w:left w:val="none" w:sz="0" w:space="0" w:color="auto"/>
        <w:bottom w:val="none" w:sz="0" w:space="0" w:color="auto"/>
        <w:right w:val="none" w:sz="0" w:space="0" w:color="auto"/>
      </w:divBdr>
      <w:divsChild>
        <w:div w:id="157577332">
          <w:marLeft w:val="480"/>
          <w:marRight w:val="0"/>
          <w:marTop w:val="0"/>
          <w:marBottom w:val="0"/>
          <w:divBdr>
            <w:top w:val="none" w:sz="0" w:space="0" w:color="auto"/>
            <w:left w:val="none" w:sz="0" w:space="0" w:color="auto"/>
            <w:bottom w:val="none" w:sz="0" w:space="0" w:color="auto"/>
            <w:right w:val="none" w:sz="0" w:space="0" w:color="auto"/>
          </w:divBdr>
          <w:divsChild>
            <w:div w:id="18373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308091">
      <w:bodyDiv w:val="1"/>
      <w:marLeft w:val="0"/>
      <w:marRight w:val="0"/>
      <w:marTop w:val="0"/>
      <w:marBottom w:val="0"/>
      <w:divBdr>
        <w:top w:val="none" w:sz="0" w:space="0" w:color="auto"/>
        <w:left w:val="none" w:sz="0" w:space="0" w:color="auto"/>
        <w:bottom w:val="none" w:sz="0" w:space="0" w:color="auto"/>
        <w:right w:val="none" w:sz="0" w:space="0" w:color="auto"/>
      </w:divBdr>
      <w:divsChild>
        <w:div w:id="1295208738">
          <w:marLeft w:val="480"/>
          <w:marRight w:val="0"/>
          <w:marTop w:val="0"/>
          <w:marBottom w:val="0"/>
          <w:divBdr>
            <w:top w:val="none" w:sz="0" w:space="0" w:color="auto"/>
            <w:left w:val="none" w:sz="0" w:space="0" w:color="auto"/>
            <w:bottom w:val="none" w:sz="0" w:space="0" w:color="auto"/>
            <w:right w:val="none" w:sz="0" w:space="0" w:color="auto"/>
          </w:divBdr>
          <w:divsChild>
            <w:div w:id="168762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06858">
      <w:bodyDiv w:val="1"/>
      <w:marLeft w:val="0"/>
      <w:marRight w:val="0"/>
      <w:marTop w:val="0"/>
      <w:marBottom w:val="0"/>
      <w:divBdr>
        <w:top w:val="none" w:sz="0" w:space="0" w:color="auto"/>
        <w:left w:val="none" w:sz="0" w:space="0" w:color="auto"/>
        <w:bottom w:val="none" w:sz="0" w:space="0" w:color="auto"/>
        <w:right w:val="none" w:sz="0" w:space="0" w:color="auto"/>
      </w:divBdr>
    </w:div>
    <w:div w:id="1033455484">
      <w:bodyDiv w:val="1"/>
      <w:marLeft w:val="0"/>
      <w:marRight w:val="0"/>
      <w:marTop w:val="0"/>
      <w:marBottom w:val="0"/>
      <w:divBdr>
        <w:top w:val="none" w:sz="0" w:space="0" w:color="auto"/>
        <w:left w:val="none" w:sz="0" w:space="0" w:color="auto"/>
        <w:bottom w:val="none" w:sz="0" w:space="0" w:color="auto"/>
        <w:right w:val="none" w:sz="0" w:space="0" w:color="auto"/>
      </w:divBdr>
      <w:divsChild>
        <w:div w:id="1966111310">
          <w:marLeft w:val="0"/>
          <w:marRight w:val="0"/>
          <w:marTop w:val="0"/>
          <w:marBottom w:val="0"/>
          <w:divBdr>
            <w:top w:val="none" w:sz="0" w:space="0" w:color="auto"/>
            <w:left w:val="none" w:sz="0" w:space="0" w:color="auto"/>
            <w:bottom w:val="none" w:sz="0" w:space="0" w:color="auto"/>
            <w:right w:val="none" w:sz="0" w:space="0" w:color="auto"/>
          </w:divBdr>
        </w:div>
      </w:divsChild>
    </w:div>
    <w:div w:id="1049916786">
      <w:bodyDiv w:val="1"/>
      <w:marLeft w:val="0"/>
      <w:marRight w:val="0"/>
      <w:marTop w:val="0"/>
      <w:marBottom w:val="0"/>
      <w:divBdr>
        <w:top w:val="none" w:sz="0" w:space="0" w:color="auto"/>
        <w:left w:val="none" w:sz="0" w:space="0" w:color="auto"/>
        <w:bottom w:val="none" w:sz="0" w:space="0" w:color="auto"/>
        <w:right w:val="none" w:sz="0" w:space="0" w:color="auto"/>
      </w:divBdr>
      <w:divsChild>
        <w:div w:id="1836610630">
          <w:marLeft w:val="0"/>
          <w:marRight w:val="0"/>
          <w:marTop w:val="0"/>
          <w:marBottom w:val="0"/>
          <w:divBdr>
            <w:top w:val="none" w:sz="0" w:space="0" w:color="auto"/>
            <w:left w:val="none" w:sz="0" w:space="0" w:color="auto"/>
            <w:bottom w:val="none" w:sz="0" w:space="0" w:color="auto"/>
            <w:right w:val="none" w:sz="0" w:space="0" w:color="auto"/>
          </w:divBdr>
        </w:div>
      </w:divsChild>
    </w:div>
    <w:div w:id="1111438940">
      <w:bodyDiv w:val="1"/>
      <w:marLeft w:val="0"/>
      <w:marRight w:val="0"/>
      <w:marTop w:val="0"/>
      <w:marBottom w:val="0"/>
      <w:divBdr>
        <w:top w:val="none" w:sz="0" w:space="0" w:color="auto"/>
        <w:left w:val="none" w:sz="0" w:space="0" w:color="auto"/>
        <w:bottom w:val="none" w:sz="0" w:space="0" w:color="auto"/>
        <w:right w:val="none" w:sz="0" w:space="0" w:color="auto"/>
      </w:divBdr>
      <w:divsChild>
        <w:div w:id="93745855">
          <w:marLeft w:val="0"/>
          <w:marRight w:val="0"/>
          <w:marTop w:val="0"/>
          <w:marBottom w:val="0"/>
          <w:divBdr>
            <w:top w:val="none" w:sz="0" w:space="0" w:color="auto"/>
            <w:left w:val="none" w:sz="0" w:space="0" w:color="auto"/>
            <w:bottom w:val="none" w:sz="0" w:space="0" w:color="auto"/>
            <w:right w:val="none" w:sz="0" w:space="0" w:color="auto"/>
          </w:divBdr>
        </w:div>
      </w:divsChild>
    </w:div>
    <w:div w:id="1123768536">
      <w:bodyDiv w:val="1"/>
      <w:marLeft w:val="0"/>
      <w:marRight w:val="0"/>
      <w:marTop w:val="0"/>
      <w:marBottom w:val="0"/>
      <w:divBdr>
        <w:top w:val="none" w:sz="0" w:space="0" w:color="auto"/>
        <w:left w:val="none" w:sz="0" w:space="0" w:color="auto"/>
        <w:bottom w:val="none" w:sz="0" w:space="0" w:color="auto"/>
        <w:right w:val="none" w:sz="0" w:space="0" w:color="auto"/>
      </w:divBdr>
      <w:divsChild>
        <w:div w:id="1892227763">
          <w:marLeft w:val="0"/>
          <w:marRight w:val="0"/>
          <w:marTop w:val="0"/>
          <w:marBottom w:val="0"/>
          <w:divBdr>
            <w:top w:val="none" w:sz="0" w:space="0" w:color="auto"/>
            <w:left w:val="none" w:sz="0" w:space="0" w:color="auto"/>
            <w:bottom w:val="none" w:sz="0" w:space="0" w:color="auto"/>
            <w:right w:val="none" w:sz="0" w:space="0" w:color="auto"/>
          </w:divBdr>
        </w:div>
      </w:divsChild>
    </w:div>
    <w:div w:id="1198002507">
      <w:bodyDiv w:val="1"/>
      <w:marLeft w:val="0"/>
      <w:marRight w:val="0"/>
      <w:marTop w:val="0"/>
      <w:marBottom w:val="0"/>
      <w:divBdr>
        <w:top w:val="none" w:sz="0" w:space="0" w:color="auto"/>
        <w:left w:val="none" w:sz="0" w:space="0" w:color="auto"/>
        <w:bottom w:val="none" w:sz="0" w:space="0" w:color="auto"/>
        <w:right w:val="none" w:sz="0" w:space="0" w:color="auto"/>
      </w:divBdr>
      <w:divsChild>
        <w:div w:id="315039778">
          <w:marLeft w:val="480"/>
          <w:marRight w:val="0"/>
          <w:marTop w:val="0"/>
          <w:marBottom w:val="0"/>
          <w:divBdr>
            <w:top w:val="none" w:sz="0" w:space="0" w:color="auto"/>
            <w:left w:val="none" w:sz="0" w:space="0" w:color="auto"/>
            <w:bottom w:val="none" w:sz="0" w:space="0" w:color="auto"/>
            <w:right w:val="none" w:sz="0" w:space="0" w:color="auto"/>
          </w:divBdr>
          <w:divsChild>
            <w:div w:id="9701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295425">
      <w:bodyDiv w:val="1"/>
      <w:marLeft w:val="0"/>
      <w:marRight w:val="0"/>
      <w:marTop w:val="0"/>
      <w:marBottom w:val="0"/>
      <w:divBdr>
        <w:top w:val="none" w:sz="0" w:space="0" w:color="auto"/>
        <w:left w:val="none" w:sz="0" w:space="0" w:color="auto"/>
        <w:bottom w:val="none" w:sz="0" w:space="0" w:color="auto"/>
        <w:right w:val="none" w:sz="0" w:space="0" w:color="auto"/>
      </w:divBdr>
      <w:divsChild>
        <w:div w:id="1844852969">
          <w:marLeft w:val="0"/>
          <w:marRight w:val="0"/>
          <w:marTop w:val="0"/>
          <w:marBottom w:val="0"/>
          <w:divBdr>
            <w:top w:val="none" w:sz="0" w:space="0" w:color="auto"/>
            <w:left w:val="none" w:sz="0" w:space="0" w:color="auto"/>
            <w:bottom w:val="none" w:sz="0" w:space="0" w:color="auto"/>
            <w:right w:val="none" w:sz="0" w:space="0" w:color="auto"/>
          </w:divBdr>
        </w:div>
      </w:divsChild>
    </w:div>
    <w:div w:id="1324552987">
      <w:bodyDiv w:val="1"/>
      <w:marLeft w:val="0"/>
      <w:marRight w:val="0"/>
      <w:marTop w:val="0"/>
      <w:marBottom w:val="0"/>
      <w:divBdr>
        <w:top w:val="none" w:sz="0" w:space="0" w:color="auto"/>
        <w:left w:val="none" w:sz="0" w:space="0" w:color="auto"/>
        <w:bottom w:val="none" w:sz="0" w:space="0" w:color="auto"/>
        <w:right w:val="none" w:sz="0" w:space="0" w:color="auto"/>
      </w:divBdr>
      <w:divsChild>
        <w:div w:id="1917087240">
          <w:marLeft w:val="0"/>
          <w:marRight w:val="0"/>
          <w:marTop w:val="0"/>
          <w:marBottom w:val="0"/>
          <w:divBdr>
            <w:top w:val="none" w:sz="0" w:space="0" w:color="auto"/>
            <w:left w:val="none" w:sz="0" w:space="0" w:color="auto"/>
            <w:bottom w:val="none" w:sz="0" w:space="0" w:color="auto"/>
            <w:right w:val="none" w:sz="0" w:space="0" w:color="auto"/>
          </w:divBdr>
        </w:div>
      </w:divsChild>
    </w:div>
    <w:div w:id="1428891638">
      <w:bodyDiv w:val="1"/>
      <w:marLeft w:val="0"/>
      <w:marRight w:val="0"/>
      <w:marTop w:val="0"/>
      <w:marBottom w:val="0"/>
      <w:divBdr>
        <w:top w:val="none" w:sz="0" w:space="0" w:color="auto"/>
        <w:left w:val="none" w:sz="0" w:space="0" w:color="auto"/>
        <w:bottom w:val="none" w:sz="0" w:space="0" w:color="auto"/>
        <w:right w:val="none" w:sz="0" w:space="0" w:color="auto"/>
      </w:divBdr>
      <w:divsChild>
        <w:div w:id="1850291673">
          <w:marLeft w:val="480"/>
          <w:marRight w:val="0"/>
          <w:marTop w:val="0"/>
          <w:marBottom w:val="0"/>
          <w:divBdr>
            <w:top w:val="none" w:sz="0" w:space="0" w:color="auto"/>
            <w:left w:val="none" w:sz="0" w:space="0" w:color="auto"/>
            <w:bottom w:val="none" w:sz="0" w:space="0" w:color="auto"/>
            <w:right w:val="none" w:sz="0" w:space="0" w:color="auto"/>
          </w:divBdr>
          <w:divsChild>
            <w:div w:id="35658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142389">
      <w:bodyDiv w:val="1"/>
      <w:marLeft w:val="0"/>
      <w:marRight w:val="0"/>
      <w:marTop w:val="0"/>
      <w:marBottom w:val="0"/>
      <w:divBdr>
        <w:top w:val="none" w:sz="0" w:space="0" w:color="auto"/>
        <w:left w:val="none" w:sz="0" w:space="0" w:color="auto"/>
        <w:bottom w:val="none" w:sz="0" w:space="0" w:color="auto"/>
        <w:right w:val="none" w:sz="0" w:space="0" w:color="auto"/>
      </w:divBdr>
      <w:divsChild>
        <w:div w:id="256407849">
          <w:marLeft w:val="480"/>
          <w:marRight w:val="0"/>
          <w:marTop w:val="0"/>
          <w:marBottom w:val="0"/>
          <w:divBdr>
            <w:top w:val="none" w:sz="0" w:space="0" w:color="auto"/>
            <w:left w:val="none" w:sz="0" w:space="0" w:color="auto"/>
            <w:bottom w:val="none" w:sz="0" w:space="0" w:color="auto"/>
            <w:right w:val="none" w:sz="0" w:space="0" w:color="auto"/>
          </w:divBdr>
          <w:divsChild>
            <w:div w:id="10802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1056">
      <w:bodyDiv w:val="1"/>
      <w:marLeft w:val="0"/>
      <w:marRight w:val="0"/>
      <w:marTop w:val="0"/>
      <w:marBottom w:val="0"/>
      <w:divBdr>
        <w:top w:val="none" w:sz="0" w:space="0" w:color="auto"/>
        <w:left w:val="none" w:sz="0" w:space="0" w:color="auto"/>
        <w:bottom w:val="none" w:sz="0" w:space="0" w:color="auto"/>
        <w:right w:val="none" w:sz="0" w:space="0" w:color="auto"/>
      </w:divBdr>
      <w:divsChild>
        <w:div w:id="511725359">
          <w:marLeft w:val="0"/>
          <w:marRight w:val="0"/>
          <w:marTop w:val="0"/>
          <w:marBottom w:val="0"/>
          <w:divBdr>
            <w:top w:val="none" w:sz="0" w:space="0" w:color="auto"/>
            <w:left w:val="none" w:sz="0" w:space="0" w:color="auto"/>
            <w:bottom w:val="none" w:sz="0" w:space="0" w:color="auto"/>
            <w:right w:val="none" w:sz="0" w:space="0" w:color="auto"/>
          </w:divBdr>
        </w:div>
      </w:divsChild>
    </w:div>
    <w:div w:id="1529752865">
      <w:bodyDiv w:val="1"/>
      <w:marLeft w:val="0"/>
      <w:marRight w:val="0"/>
      <w:marTop w:val="0"/>
      <w:marBottom w:val="0"/>
      <w:divBdr>
        <w:top w:val="none" w:sz="0" w:space="0" w:color="auto"/>
        <w:left w:val="none" w:sz="0" w:space="0" w:color="auto"/>
        <w:bottom w:val="none" w:sz="0" w:space="0" w:color="auto"/>
        <w:right w:val="none" w:sz="0" w:space="0" w:color="auto"/>
      </w:divBdr>
      <w:divsChild>
        <w:div w:id="1157649830">
          <w:marLeft w:val="0"/>
          <w:marRight w:val="0"/>
          <w:marTop w:val="0"/>
          <w:marBottom w:val="0"/>
          <w:divBdr>
            <w:top w:val="none" w:sz="0" w:space="0" w:color="auto"/>
            <w:left w:val="none" w:sz="0" w:space="0" w:color="auto"/>
            <w:bottom w:val="none" w:sz="0" w:space="0" w:color="auto"/>
            <w:right w:val="none" w:sz="0" w:space="0" w:color="auto"/>
          </w:divBdr>
        </w:div>
      </w:divsChild>
    </w:div>
    <w:div w:id="1575437410">
      <w:bodyDiv w:val="1"/>
      <w:marLeft w:val="0"/>
      <w:marRight w:val="0"/>
      <w:marTop w:val="0"/>
      <w:marBottom w:val="0"/>
      <w:divBdr>
        <w:top w:val="none" w:sz="0" w:space="0" w:color="auto"/>
        <w:left w:val="none" w:sz="0" w:space="0" w:color="auto"/>
        <w:bottom w:val="none" w:sz="0" w:space="0" w:color="auto"/>
        <w:right w:val="none" w:sz="0" w:space="0" w:color="auto"/>
      </w:divBdr>
      <w:divsChild>
        <w:div w:id="1601598194">
          <w:marLeft w:val="480"/>
          <w:marRight w:val="0"/>
          <w:marTop w:val="0"/>
          <w:marBottom w:val="0"/>
          <w:divBdr>
            <w:top w:val="none" w:sz="0" w:space="0" w:color="auto"/>
            <w:left w:val="none" w:sz="0" w:space="0" w:color="auto"/>
            <w:bottom w:val="none" w:sz="0" w:space="0" w:color="auto"/>
            <w:right w:val="none" w:sz="0" w:space="0" w:color="auto"/>
          </w:divBdr>
          <w:divsChild>
            <w:div w:id="83861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458279">
      <w:bodyDiv w:val="1"/>
      <w:marLeft w:val="0"/>
      <w:marRight w:val="0"/>
      <w:marTop w:val="0"/>
      <w:marBottom w:val="0"/>
      <w:divBdr>
        <w:top w:val="none" w:sz="0" w:space="0" w:color="auto"/>
        <w:left w:val="none" w:sz="0" w:space="0" w:color="auto"/>
        <w:bottom w:val="none" w:sz="0" w:space="0" w:color="auto"/>
        <w:right w:val="none" w:sz="0" w:space="0" w:color="auto"/>
      </w:divBdr>
      <w:divsChild>
        <w:div w:id="1988440186">
          <w:marLeft w:val="0"/>
          <w:marRight w:val="0"/>
          <w:marTop w:val="0"/>
          <w:marBottom w:val="0"/>
          <w:divBdr>
            <w:top w:val="none" w:sz="0" w:space="0" w:color="auto"/>
            <w:left w:val="none" w:sz="0" w:space="0" w:color="auto"/>
            <w:bottom w:val="none" w:sz="0" w:space="0" w:color="auto"/>
            <w:right w:val="none" w:sz="0" w:space="0" w:color="auto"/>
          </w:divBdr>
        </w:div>
      </w:divsChild>
    </w:div>
    <w:div w:id="1692757220">
      <w:bodyDiv w:val="1"/>
      <w:marLeft w:val="0"/>
      <w:marRight w:val="0"/>
      <w:marTop w:val="0"/>
      <w:marBottom w:val="0"/>
      <w:divBdr>
        <w:top w:val="none" w:sz="0" w:space="0" w:color="auto"/>
        <w:left w:val="none" w:sz="0" w:space="0" w:color="auto"/>
        <w:bottom w:val="none" w:sz="0" w:space="0" w:color="auto"/>
        <w:right w:val="none" w:sz="0" w:space="0" w:color="auto"/>
      </w:divBdr>
      <w:divsChild>
        <w:div w:id="992639862">
          <w:marLeft w:val="0"/>
          <w:marRight w:val="0"/>
          <w:marTop w:val="0"/>
          <w:marBottom w:val="0"/>
          <w:divBdr>
            <w:top w:val="none" w:sz="0" w:space="0" w:color="auto"/>
            <w:left w:val="none" w:sz="0" w:space="0" w:color="auto"/>
            <w:bottom w:val="none" w:sz="0" w:space="0" w:color="auto"/>
            <w:right w:val="none" w:sz="0" w:space="0" w:color="auto"/>
          </w:divBdr>
          <w:divsChild>
            <w:div w:id="661391589">
              <w:marLeft w:val="0"/>
              <w:marRight w:val="0"/>
              <w:marTop w:val="0"/>
              <w:marBottom w:val="0"/>
              <w:divBdr>
                <w:top w:val="none" w:sz="0" w:space="0" w:color="auto"/>
                <w:left w:val="none" w:sz="0" w:space="0" w:color="auto"/>
                <w:bottom w:val="none" w:sz="0" w:space="0" w:color="auto"/>
                <w:right w:val="none" w:sz="0" w:space="0" w:color="auto"/>
              </w:divBdr>
            </w:div>
          </w:divsChild>
        </w:div>
        <w:div w:id="2132429652">
          <w:marLeft w:val="0"/>
          <w:marRight w:val="0"/>
          <w:marTop w:val="0"/>
          <w:marBottom w:val="0"/>
          <w:divBdr>
            <w:top w:val="none" w:sz="0" w:space="0" w:color="auto"/>
            <w:left w:val="none" w:sz="0" w:space="0" w:color="auto"/>
            <w:bottom w:val="none" w:sz="0" w:space="0" w:color="auto"/>
            <w:right w:val="none" w:sz="0" w:space="0" w:color="auto"/>
          </w:divBdr>
        </w:div>
      </w:divsChild>
    </w:div>
    <w:div w:id="1721707530">
      <w:bodyDiv w:val="1"/>
      <w:marLeft w:val="0"/>
      <w:marRight w:val="0"/>
      <w:marTop w:val="0"/>
      <w:marBottom w:val="0"/>
      <w:divBdr>
        <w:top w:val="none" w:sz="0" w:space="0" w:color="auto"/>
        <w:left w:val="none" w:sz="0" w:space="0" w:color="auto"/>
        <w:bottom w:val="none" w:sz="0" w:space="0" w:color="auto"/>
        <w:right w:val="none" w:sz="0" w:space="0" w:color="auto"/>
      </w:divBdr>
      <w:divsChild>
        <w:div w:id="1700659860">
          <w:marLeft w:val="0"/>
          <w:marRight w:val="0"/>
          <w:marTop w:val="0"/>
          <w:marBottom w:val="0"/>
          <w:divBdr>
            <w:top w:val="none" w:sz="0" w:space="0" w:color="auto"/>
            <w:left w:val="none" w:sz="0" w:space="0" w:color="auto"/>
            <w:bottom w:val="none" w:sz="0" w:space="0" w:color="auto"/>
            <w:right w:val="none" w:sz="0" w:space="0" w:color="auto"/>
          </w:divBdr>
        </w:div>
      </w:divsChild>
    </w:div>
    <w:div w:id="1753046876">
      <w:bodyDiv w:val="1"/>
      <w:marLeft w:val="0"/>
      <w:marRight w:val="0"/>
      <w:marTop w:val="0"/>
      <w:marBottom w:val="0"/>
      <w:divBdr>
        <w:top w:val="none" w:sz="0" w:space="0" w:color="auto"/>
        <w:left w:val="none" w:sz="0" w:space="0" w:color="auto"/>
        <w:bottom w:val="none" w:sz="0" w:space="0" w:color="auto"/>
        <w:right w:val="none" w:sz="0" w:space="0" w:color="auto"/>
      </w:divBdr>
      <w:divsChild>
        <w:div w:id="497959296">
          <w:marLeft w:val="0"/>
          <w:marRight w:val="0"/>
          <w:marTop w:val="0"/>
          <w:marBottom w:val="0"/>
          <w:divBdr>
            <w:top w:val="none" w:sz="0" w:space="0" w:color="auto"/>
            <w:left w:val="none" w:sz="0" w:space="0" w:color="auto"/>
            <w:bottom w:val="none" w:sz="0" w:space="0" w:color="auto"/>
            <w:right w:val="none" w:sz="0" w:space="0" w:color="auto"/>
          </w:divBdr>
        </w:div>
      </w:divsChild>
    </w:div>
    <w:div w:id="1791127560">
      <w:bodyDiv w:val="1"/>
      <w:marLeft w:val="0"/>
      <w:marRight w:val="0"/>
      <w:marTop w:val="0"/>
      <w:marBottom w:val="0"/>
      <w:divBdr>
        <w:top w:val="none" w:sz="0" w:space="0" w:color="auto"/>
        <w:left w:val="none" w:sz="0" w:space="0" w:color="auto"/>
        <w:bottom w:val="none" w:sz="0" w:space="0" w:color="auto"/>
        <w:right w:val="none" w:sz="0" w:space="0" w:color="auto"/>
      </w:divBdr>
      <w:divsChild>
        <w:div w:id="363094873">
          <w:marLeft w:val="0"/>
          <w:marRight w:val="0"/>
          <w:marTop w:val="0"/>
          <w:marBottom w:val="0"/>
          <w:divBdr>
            <w:top w:val="none" w:sz="0" w:space="0" w:color="auto"/>
            <w:left w:val="none" w:sz="0" w:space="0" w:color="auto"/>
            <w:bottom w:val="none" w:sz="0" w:space="0" w:color="auto"/>
            <w:right w:val="none" w:sz="0" w:space="0" w:color="auto"/>
          </w:divBdr>
        </w:div>
      </w:divsChild>
    </w:div>
    <w:div w:id="1872304927">
      <w:bodyDiv w:val="1"/>
      <w:marLeft w:val="0"/>
      <w:marRight w:val="0"/>
      <w:marTop w:val="0"/>
      <w:marBottom w:val="0"/>
      <w:divBdr>
        <w:top w:val="none" w:sz="0" w:space="0" w:color="auto"/>
        <w:left w:val="none" w:sz="0" w:space="0" w:color="auto"/>
        <w:bottom w:val="none" w:sz="0" w:space="0" w:color="auto"/>
        <w:right w:val="none" w:sz="0" w:space="0" w:color="auto"/>
      </w:divBdr>
      <w:divsChild>
        <w:div w:id="1254896466">
          <w:marLeft w:val="0"/>
          <w:marRight w:val="0"/>
          <w:marTop w:val="0"/>
          <w:marBottom w:val="0"/>
          <w:divBdr>
            <w:top w:val="none" w:sz="0" w:space="0" w:color="auto"/>
            <w:left w:val="none" w:sz="0" w:space="0" w:color="auto"/>
            <w:bottom w:val="none" w:sz="0" w:space="0" w:color="auto"/>
            <w:right w:val="none" w:sz="0" w:space="0" w:color="auto"/>
          </w:divBdr>
        </w:div>
      </w:divsChild>
    </w:div>
    <w:div w:id="1920016224">
      <w:bodyDiv w:val="1"/>
      <w:marLeft w:val="0"/>
      <w:marRight w:val="0"/>
      <w:marTop w:val="0"/>
      <w:marBottom w:val="0"/>
      <w:divBdr>
        <w:top w:val="none" w:sz="0" w:space="0" w:color="auto"/>
        <w:left w:val="none" w:sz="0" w:space="0" w:color="auto"/>
        <w:bottom w:val="none" w:sz="0" w:space="0" w:color="auto"/>
        <w:right w:val="none" w:sz="0" w:space="0" w:color="auto"/>
      </w:divBdr>
      <w:divsChild>
        <w:div w:id="1788348152">
          <w:marLeft w:val="480"/>
          <w:marRight w:val="0"/>
          <w:marTop w:val="0"/>
          <w:marBottom w:val="0"/>
          <w:divBdr>
            <w:top w:val="none" w:sz="0" w:space="0" w:color="auto"/>
            <w:left w:val="none" w:sz="0" w:space="0" w:color="auto"/>
            <w:bottom w:val="none" w:sz="0" w:space="0" w:color="auto"/>
            <w:right w:val="none" w:sz="0" w:space="0" w:color="auto"/>
          </w:divBdr>
          <w:divsChild>
            <w:div w:id="202948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780221">
      <w:bodyDiv w:val="1"/>
      <w:marLeft w:val="0"/>
      <w:marRight w:val="0"/>
      <w:marTop w:val="0"/>
      <w:marBottom w:val="0"/>
      <w:divBdr>
        <w:top w:val="none" w:sz="0" w:space="0" w:color="auto"/>
        <w:left w:val="none" w:sz="0" w:space="0" w:color="auto"/>
        <w:bottom w:val="none" w:sz="0" w:space="0" w:color="auto"/>
        <w:right w:val="none" w:sz="0" w:space="0" w:color="auto"/>
      </w:divBdr>
      <w:divsChild>
        <w:div w:id="1642269890">
          <w:marLeft w:val="0"/>
          <w:marRight w:val="0"/>
          <w:marTop w:val="0"/>
          <w:marBottom w:val="0"/>
          <w:divBdr>
            <w:top w:val="none" w:sz="0" w:space="0" w:color="auto"/>
            <w:left w:val="none" w:sz="0" w:space="0" w:color="auto"/>
            <w:bottom w:val="none" w:sz="0" w:space="0" w:color="auto"/>
            <w:right w:val="none" w:sz="0" w:space="0" w:color="auto"/>
          </w:divBdr>
        </w:div>
      </w:divsChild>
    </w:div>
    <w:div w:id="2085028692">
      <w:bodyDiv w:val="1"/>
      <w:marLeft w:val="0"/>
      <w:marRight w:val="0"/>
      <w:marTop w:val="0"/>
      <w:marBottom w:val="0"/>
      <w:divBdr>
        <w:top w:val="none" w:sz="0" w:space="0" w:color="auto"/>
        <w:left w:val="none" w:sz="0" w:space="0" w:color="auto"/>
        <w:bottom w:val="none" w:sz="0" w:space="0" w:color="auto"/>
        <w:right w:val="none" w:sz="0" w:space="0" w:color="auto"/>
      </w:divBdr>
      <w:divsChild>
        <w:div w:id="1808669100">
          <w:marLeft w:val="480"/>
          <w:marRight w:val="0"/>
          <w:marTop w:val="0"/>
          <w:marBottom w:val="0"/>
          <w:divBdr>
            <w:top w:val="none" w:sz="0" w:space="0" w:color="auto"/>
            <w:left w:val="none" w:sz="0" w:space="0" w:color="auto"/>
            <w:bottom w:val="none" w:sz="0" w:space="0" w:color="auto"/>
            <w:right w:val="none" w:sz="0" w:space="0" w:color="auto"/>
          </w:divBdr>
          <w:divsChild>
            <w:div w:id="89674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448002">
      <w:bodyDiv w:val="1"/>
      <w:marLeft w:val="0"/>
      <w:marRight w:val="0"/>
      <w:marTop w:val="0"/>
      <w:marBottom w:val="0"/>
      <w:divBdr>
        <w:top w:val="none" w:sz="0" w:space="0" w:color="auto"/>
        <w:left w:val="none" w:sz="0" w:space="0" w:color="auto"/>
        <w:bottom w:val="none" w:sz="0" w:space="0" w:color="auto"/>
        <w:right w:val="none" w:sz="0" w:space="0" w:color="auto"/>
      </w:divBdr>
      <w:divsChild>
        <w:div w:id="2141416262">
          <w:marLeft w:val="480"/>
          <w:marRight w:val="0"/>
          <w:marTop w:val="0"/>
          <w:marBottom w:val="0"/>
          <w:divBdr>
            <w:top w:val="none" w:sz="0" w:space="0" w:color="auto"/>
            <w:left w:val="none" w:sz="0" w:space="0" w:color="auto"/>
            <w:bottom w:val="none" w:sz="0" w:space="0" w:color="auto"/>
            <w:right w:val="none" w:sz="0" w:space="0" w:color="auto"/>
          </w:divBdr>
          <w:divsChild>
            <w:div w:id="199946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DC64D-1D3D-4B82-95B7-F0639FC9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73445</Words>
  <Characters>462710</Characters>
  <Application>Microsoft Office Word</Application>
  <DocSecurity>0</DocSecurity>
  <Lines>3855</Lines>
  <Paragraphs>1070</Paragraphs>
  <ScaleCrop>false</ScaleCrop>
  <HeadingPairs>
    <vt:vector size="2" baseType="variant">
      <vt:variant>
        <vt:lpstr>Titel</vt:lpstr>
      </vt:variant>
      <vt:variant>
        <vt:i4>1</vt:i4>
      </vt:variant>
    </vt:vector>
  </HeadingPairs>
  <TitlesOfParts>
    <vt:vector size="1" baseType="lpstr">
      <vt:lpstr/>
    </vt:vector>
  </TitlesOfParts>
  <Company>BOKU</Company>
  <LinksUpToDate>false</LinksUpToDate>
  <CharactersWithSpaces>535085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hehaberl</dc:creator>
  <cp:keywords/>
  <dc:description/>
  <cp:lastModifiedBy>hehaberl</cp:lastModifiedBy>
  <cp:revision>11</cp:revision>
  <dcterms:created xsi:type="dcterms:W3CDTF">2021-08-09T07:35:00Z</dcterms:created>
  <dcterms:modified xsi:type="dcterms:W3CDTF">2021-08-10T14:22:00Z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zotero-version="5.0.96.2"&gt;&lt;session id="NlF3zVYn"/&gt;&lt;style id="http://www.zotero.org/styles/ecological-economics" hasBibliography="1" bibliographyStyleHasBeenSet="1"/&gt;&lt;prefs&gt;&lt;pref name="fieldType" value="Field"/&gt;&lt;/prefs&gt;&lt;/data&gt;</vt:lpwstr>
  </property>
</Properties>
</file>